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30" w:lineRule="exact"/>
        <w:ind w:left="48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9700"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665" w:right="665"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64" w:right="66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666" w:right="665" w:firstLine="0"/>
        <w:jc w:val="center"/>
        <w:rPr>
          <w:rFonts w:ascii="Times New Roman" w:hAnsi="Times New Roman" w:cs="Times New Roman" w:eastAsia="Times New Roman" w:hint="default"/>
          <w:sz w:val="22"/>
          <w:szCs w:val="22"/>
        </w:rPr>
      </w:pPr>
      <w:r>
        <w:rPr>
          <w:rFonts w:ascii="Times New Roman"/>
          <w:b/>
          <w:sz w:val="22"/>
        </w:rPr>
        <w:t>2018-025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666" w:right="66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公司负责人景晓军、主管会计工作负责人张晓辉及会计机构负责人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李艺声明：保证年度报告中财务报告的真实、准确、完整。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303" w:lineRule="exact" w:before="0"/>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司从事从事互联网游戏业务》的披露要求</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00" w:lineRule="auto" w:before="0"/>
        <w:ind w:left="1133" w:right="112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公司在经营中可能存在投资并购后的整合风险、核心人才流失风险、云计</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算等新技术应用催化行业变革的风险、网络游戏行业政策风险，有关风险内容</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已在本报告中第四节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之</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w:t>
      </w:r>
      <w:r>
        <w:rPr>
          <w:rFonts w:ascii="宋体" w:hAnsi="宋体" w:cs="宋体" w:eastAsia="宋体" w:hint="default"/>
          <w:b/>
          <w:bCs/>
          <w:spacing w:val="34"/>
          <w:w w:val="95"/>
          <w:sz w:val="28"/>
          <w:szCs w:val="28"/>
        </w:rPr>
        <w:t> </w:t>
      </w:r>
      <w:r>
        <w:rPr>
          <w:rFonts w:ascii="宋体" w:hAnsi="宋体" w:cs="宋体" w:eastAsia="宋体" w:hint="default"/>
          <w:b/>
          <w:bCs/>
          <w:sz w:val="28"/>
          <w:szCs w:val="28"/>
        </w:rPr>
        <w:t>予以详细描述，敬请广大投资者注意投资风险。</w:t>
      </w:r>
      <w:r>
        <w:rPr>
          <w:rFonts w:ascii="宋体" w:hAnsi="宋体" w:cs="宋体" w:eastAsia="宋体" w:hint="default"/>
          <w:sz w:val="28"/>
          <w:szCs w:val="28"/>
        </w:rPr>
      </w:r>
    </w:p>
    <w:p>
      <w:pPr>
        <w:spacing w:before="168"/>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447930709</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66" w:right="66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1076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13</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29</w:t>
            </w:r>
            <w:r>
              <w:rPr>
                <w:rFonts w:ascii="宋体" w:hAnsi="宋体" w:cs="宋体" w:eastAsia="宋体" w:hint="default"/>
                <w:b w:val="0"/>
                <w:bCs w:val="0"/>
              </w:rPr>
            </w:r>
          </w:hyperlink>
        </w:p>
        <w:p>
          <w:pPr>
            <w:pStyle w:val="TOC1"/>
            <w:tabs>
              <w:tab w:pos="1076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50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56</w:t>
            </w:r>
            <w:r>
              <w:rPr>
                <w:rFonts w:ascii="宋体" w:hAnsi="宋体" w:cs="宋体" w:eastAsia="宋体" w:hint="default"/>
                <w:b w:val="0"/>
                <w:bCs w:val="0"/>
              </w:rPr>
            </w:r>
          </w:hyperlink>
        </w:p>
        <w:p>
          <w:pPr>
            <w:pStyle w:val="TOC1"/>
            <w:tabs>
              <w:tab w:pos="1076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57</w:t>
            </w:r>
            <w:r>
              <w:rPr>
                <w:rFonts w:ascii="宋体" w:hAnsi="宋体" w:cs="宋体" w:eastAsia="宋体" w:hint="default"/>
                <w:b w:val="0"/>
                <w:bCs w:val="0"/>
              </w:rPr>
            </w:r>
          </w:hyperlink>
        </w:p>
        <w:p>
          <w:pPr>
            <w:pStyle w:val="TOC1"/>
            <w:tabs>
              <w:tab w:pos="1076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63</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68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69</w:t>
            </w:r>
            <w:r>
              <w:rPr>
                <w:rFonts w:ascii="宋体" w:hAnsi="宋体" w:cs="宋体" w:eastAsia="宋体" w:hint="default"/>
                <w:b w:val="0"/>
                <w:bCs w:val="0"/>
              </w:rPr>
            </w:r>
          </w:hyperlink>
        </w:p>
        <w:p>
          <w:pPr>
            <w:pStyle w:val="TOC1"/>
            <w:tabs>
              <w:tab w:pos="10763" w:val="right" w:leader="dot"/>
            </w:tabs>
            <w:spacing w:line="240" w:lineRule="auto" w:before="194"/>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171</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666" w:right="66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华信行、华信行投资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任子行科技、科技开发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网娱互动、成都网娱互动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公司全资子公司成都网娱互动网络科技有限公司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公司全资子公司武汉市任子行软件技术有限公司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公司全资子公司深圳泡椒思志信息技术有限公司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银狐游戏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深圳银狐游戏网络有限公司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上海穆冠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上海穆冠信息技术有限公司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公司全资子公司苏州唐人数码科技有限公司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北京亚鸿、亚鸿世纪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公司全资子公司北京亚鸿世纪科技发展有限公司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公司全资子公司惠州市任网安科技发展有限公司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公司控股子公司广州数沃信息科技有限公司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争渡科技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公司全资孙公司苏州争渡科技有限公司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富海永成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扬州市富海永成股权投资合伙企业（有限合伙）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上海创稷投资中心（有限合伙）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深圳云安宝科技有限公司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北京明略软件系统有限公司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深圳市逸风网络科技有限公司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信息安全产业基金、九合信息安全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文化创意产业基金、九合文化创意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翊峰基业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赣州翊峰基业网络科技合伙企业（有限合伙）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立鼎信和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赣州立鼎信和信息技术合伙企业（有限合伙）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松禾一号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深圳市松禾创新一号合伙企业（有限合伙）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中美创投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深圳市中美创投硅谷行基金管理企业（有限合伙）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BodyText"/>
        <w:spacing w:line="240" w:lineRule="auto" w:before="44"/>
        <w:ind w:left="0" w:right="1139"/>
        <w:jc w:val="right"/>
      </w:pPr>
      <w:r>
        <w:rPr/>
        <w:pict>
          <v:shape style="position:absolute;margin-left:56.459999pt;margin-top:-116.968292pt;width:478.65pt;height:433.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1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天津云鲁冀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天津云鲁冀科技发展中心（有限合伙）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天津任鸿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天津任鸿科技发展中心（有限合伙）</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互动派科技股份有限公司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北京永拓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《管理办法》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《任子行网络技术股份有限公司限制性股票激励计划实施考核管理 </w:t>
                        </w:r>
                        <w:r>
                          <w:rPr>
                            <w:rFonts w:ascii="宋体" w:hAnsi="宋体" w:cs="宋体" w:eastAsia="宋体" w:hint="default"/>
                            <w:spacing w:val="-12"/>
                            <w:sz w:val="18"/>
                            <w:szCs w:val="18"/>
                          </w:rPr>
                          <w:t>办法（修订稿）》</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《任子行网络技术股份有限公司限制性股票激励计划草</w:t>
                        </w:r>
                        <w:r>
                          <w:rPr>
                            <w:rFonts w:ascii="宋体" w:hAnsi="宋体" w:cs="宋体" w:eastAsia="宋体" w:hint="default"/>
                            <w:spacing w:val="-33"/>
                            <w:sz w:val="18"/>
                            <w:szCs w:val="18"/>
                          </w:rPr>
                          <w:t>案</w:t>
                        </w:r>
                        <w:r>
                          <w:rPr>
                            <w:rFonts w:ascii="宋体" w:hAnsi="宋体" w:cs="宋体" w:eastAsia="宋体" w:hint="default"/>
                            <w:sz w:val="18"/>
                            <w:szCs w:val="18"/>
                          </w:rPr>
                          <w:t>（修订稿</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中华人民共和国国家税务总局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 </w:t>
                        </w:r>
                        <w:r>
                          <w:rPr>
                            <w:rFonts w:ascii="宋体" w:hAnsi="宋体" w:cs="宋体" w:eastAsia="宋体" w:hint="default"/>
                            <w:sz w:val="18"/>
                            <w:szCs w:val="18"/>
                          </w:rPr>
                          <w:t>市场研究公司</w:t>
                        </w: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或互联网数据中心</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Internet Data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Center)</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ISP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互联网服务提供商</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7E7CC"/>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300311</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6"/>
                <w:sz w:val="18"/>
              </w:rPr>
              <w:t> </w:t>
            </w:r>
            <w:r>
              <w:rPr>
                <w:rFonts w:ascii="Times New Roman"/>
                <w:sz w:val="18"/>
              </w:rPr>
              <w:t>Co.,Ltd</w:t>
            </w:r>
          </w:p>
        </w:tc>
      </w:tr>
      <w:tr>
        <w:trPr>
          <w:trHeight w:val="401"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Surfilter</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7E7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201"/>
        <w:gridCol w:w="3179"/>
        <w:gridCol w:w="3179"/>
      </w:tblGrid>
      <w:tr>
        <w:trPr>
          <w:trHeight w:val="402"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201"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张雯</w:t>
            </w:r>
          </w:p>
        </w:tc>
      </w:tr>
      <w:tr>
        <w:trPr>
          <w:trHeight w:val="161" w:hRule="exact"/>
        </w:trPr>
        <w:tc>
          <w:tcPr>
            <w:tcW w:w="3201" w:type="dxa"/>
            <w:tcBorders>
              <w:top w:val="single" w:sz="4" w:space="0" w:color="000000"/>
              <w:left w:val="single" w:sz="4" w:space="0" w:color="000000"/>
              <w:bottom w:val="nil" w:sz="6" w:space="0" w:color="auto"/>
              <w:right w:val="single" w:sz="13" w:space="0" w:color="C7E7CC"/>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7E7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79"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201" w:type="dxa"/>
            <w:tcBorders>
              <w:top w:val="nil" w:sz="6" w:space="0" w:color="auto"/>
              <w:left w:val="single" w:sz="4" w:space="0" w:color="000000"/>
              <w:bottom w:val="nil" w:sz="6" w:space="0" w:color="auto"/>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7E7CC"/>
          </w:tcPr>
          <w:p>
            <w:pPr/>
          </w:p>
        </w:tc>
        <w:tc>
          <w:tcPr>
            <w:tcW w:w="3179" w:type="dxa"/>
            <w:vMerge/>
            <w:tcBorders>
              <w:left w:val="single" w:sz="4" w:space="0" w:color="000000"/>
              <w:right w:val="single" w:sz="4" w:space="0" w:color="000000"/>
            </w:tcBorders>
            <w:shd w:val="clear" w:color="auto" w:fill="C7E7CC"/>
          </w:tcPr>
          <w:p>
            <w:pPr/>
          </w:p>
        </w:tc>
      </w:tr>
      <w:tr>
        <w:trPr>
          <w:trHeight w:val="161" w:hRule="exact"/>
        </w:trPr>
        <w:tc>
          <w:tcPr>
            <w:tcW w:w="3201" w:type="dxa"/>
            <w:tcBorders>
              <w:top w:val="nil" w:sz="6" w:space="0" w:color="auto"/>
              <w:left w:val="single" w:sz="4" w:space="0" w:color="000000"/>
              <w:bottom w:val="single" w:sz="4" w:space="0" w:color="000000"/>
              <w:right w:val="single" w:sz="13" w:space="0" w:color="C7E7CC"/>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7E7CC"/>
          </w:tcPr>
          <w:p>
            <w:pPr/>
          </w:p>
        </w:tc>
        <w:tc>
          <w:tcPr>
            <w:tcW w:w="3179" w:type="dxa"/>
            <w:vMerge/>
            <w:tcBorders>
              <w:left w:val="single" w:sz="4" w:space="0" w:color="000000"/>
              <w:bottom w:val="single" w:sz="4" w:space="0" w:color="000000"/>
              <w:right w:val="single" w:sz="4" w:space="0" w:color="000000"/>
            </w:tcBorders>
            <w:shd w:val="clear" w:color="auto" w:fill="C7E7CC"/>
          </w:tcPr>
          <w:p>
            <w:pPr/>
          </w:p>
        </w:tc>
      </w:tr>
      <w:tr>
        <w:trPr>
          <w:trHeight w:val="402" w:hRule="exact"/>
        </w:trPr>
        <w:tc>
          <w:tcPr>
            <w:tcW w:w="3201"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0755-86156779</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2" w:hRule="exact"/>
        </w:trPr>
        <w:tc>
          <w:tcPr>
            <w:tcW w:w="3201"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0755-86168355</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2" w:hRule="exact"/>
        </w:trPr>
        <w:tc>
          <w:tcPr>
            <w:tcW w:w="3201"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74"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3"/>
        <w:gridCol w:w="164"/>
        <w:gridCol w:w="1373"/>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0" w:right="0"/>
              <w:jc w:val="left"/>
              <w:rPr>
                <w:rFonts w:ascii="Times New Roman" w:hAnsi="Times New Roman" w:cs="Times New Roman" w:eastAsia="Times New Roman" w:hint="default"/>
                <w:sz w:val="18"/>
                <w:szCs w:val="18"/>
              </w:rPr>
            </w:pPr>
            <w:r>
              <w:rPr>
                <w:rFonts w:ascii="Times New Roman"/>
                <w:sz w:val="18"/>
              </w:rPr>
              <w:t>1,076,908,064.59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662,859,791.50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359,912,426.63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149,268,092.48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109,549,436.73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65,371,071.24</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-45,804,917.92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92,281,713.25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-149.64%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55,805,689.87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201,622,734.01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91,701,033.10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75,167,993.08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42" w:right="0"/>
              <w:jc w:val="left"/>
              <w:rPr>
                <w:rFonts w:ascii="Times New Roman" w:hAnsi="Times New Roman" w:cs="Times New Roman" w:eastAsia="Times New Roman" w:hint="default"/>
                <w:sz w:val="18"/>
                <w:szCs w:val="18"/>
              </w:rPr>
            </w:pPr>
            <w:r>
              <w:rPr>
                <w:rFonts w:ascii="Times New Roman"/>
                <w:sz w:val="18"/>
              </w:rPr>
              <w:t>11.94%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0" w:right="0"/>
              <w:jc w:val="left"/>
              <w:rPr>
                <w:rFonts w:ascii="Times New Roman" w:hAnsi="Times New Roman" w:cs="Times New Roman" w:eastAsia="Times New Roman" w:hint="default"/>
                <w:sz w:val="18"/>
                <w:szCs w:val="18"/>
              </w:rPr>
            </w:pPr>
            <w:r>
              <w:rPr>
                <w:rFonts w:ascii="Times New Roman"/>
                <w:sz w:val="18"/>
              </w:rPr>
              <w:t>2,288,808,970.68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1,786,720,007.45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1,585,379,830.21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4"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1,223,911,172.26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1,236,960,194.49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1,117,709,700.20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220,078,426.26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239,761,691.02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190,545,913.41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426,522,033.90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10,611,172.06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35,319,680.03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39,248,695.28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64,088,545.10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8,351,487.47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32,402,315.33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34,049,224.41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-120,607,945.10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-73,751,741.85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38,352,091.95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43,982,327.50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193,040,056.40</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940"/>
        <w:gridCol w:w="1429"/>
        <w:gridCol w:w="1276"/>
        <w:gridCol w:w="1134"/>
        <w:gridCol w:w="779"/>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409,788.88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-531,315.58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-344,682.98</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12,416,781.16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8,279,700.00</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405,592.85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204,769,743.43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91,390.78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3,010,746.70</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6,520,828.47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21,926,014.76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1,253,073.49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1,670,018.01</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210,364.34</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195,073,010.40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17,267,723.48</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9,565,381.37</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134" w:right="0"/>
        <w:jc w:val="left"/>
      </w:pPr>
      <w:r>
        <w:rPr/>
        <w:t>注：</w:t>
      </w:r>
    </w:p>
    <w:p>
      <w:pPr>
        <w:pStyle w:val="BodyText"/>
        <w:spacing w:line="240" w:lineRule="auto" w:before="76"/>
        <w:ind w:left="1494" w:right="0"/>
        <w:jc w:val="left"/>
      </w:pPr>
      <w:r>
        <w:rPr>
          <w:rFonts w:ascii="宋体" w:hAnsi="宋体" w:cs="宋体" w:eastAsia="宋体" w:hint="default"/>
        </w:rPr>
        <w:t>2015</w:t>
      </w:r>
      <w:r>
        <w:rPr/>
        <w:t>年公司现金及发行股份购买唐人数码</w:t>
      </w:r>
      <w:r>
        <w:rPr>
          <w:rFonts w:ascii="宋体" w:hAnsi="宋体" w:cs="宋体" w:eastAsia="宋体" w:hint="default"/>
        </w:rPr>
        <w:t>100%</w:t>
      </w:r>
      <w:r>
        <w:rPr/>
        <w:t>股权</w:t>
      </w:r>
      <w:r>
        <w:rPr>
          <w:spacing w:val="-82"/>
        </w:rPr>
        <w:t>，</w:t>
      </w:r>
      <w:r>
        <w:rPr/>
        <w:t>唐人数码截至</w:t>
      </w:r>
      <w:r>
        <w:rPr>
          <w:rFonts w:ascii="宋体" w:hAnsi="宋体" w:cs="宋体" w:eastAsia="宋体" w:hint="default"/>
        </w:rPr>
        <w:t>201</w:t>
      </w:r>
      <w:r>
        <w:rPr>
          <w:rFonts w:ascii="宋体" w:hAnsi="宋体" w:cs="宋体" w:eastAsia="宋体" w:hint="default"/>
          <w:spacing w:val="-1"/>
        </w:rPr>
        <w:t>4</w:t>
      </w:r>
      <w:r>
        <w:rPr/>
        <w:t>年</w:t>
      </w:r>
      <w:r>
        <w:rPr>
          <w:rFonts w:ascii="宋体" w:hAnsi="宋体" w:cs="宋体" w:eastAsia="宋体" w:hint="default"/>
        </w:rPr>
        <w:t>12</w:t>
      </w:r>
      <w:r>
        <w:rPr/>
        <w:t>月</w:t>
      </w:r>
      <w:r>
        <w:rPr>
          <w:rFonts w:ascii="宋体" w:hAnsi="宋体" w:cs="宋体" w:eastAsia="宋体" w:hint="default"/>
        </w:rPr>
        <w:t>31</w:t>
      </w:r>
      <w:r>
        <w:rPr/>
        <w:t>日的全部股权按照收益法评估的价值为</w:t>
      </w:r>
    </w:p>
    <w:p>
      <w:pPr>
        <w:pStyle w:val="BodyText"/>
        <w:spacing w:line="316" w:lineRule="auto" w:before="76"/>
        <w:ind w:left="1404" w:right="1122" w:hanging="270"/>
        <w:jc w:val="left"/>
      </w:pPr>
      <w:r>
        <w:rPr>
          <w:rFonts w:ascii="宋体" w:hAnsi="宋体" w:cs="宋体" w:eastAsia="宋体" w:hint="default"/>
        </w:rPr>
        <w:t>64,336.19</w:t>
      </w:r>
      <w:r>
        <w:rPr/>
        <w:t>万元人民币</w:t>
      </w:r>
      <w:r>
        <w:rPr>
          <w:rFonts w:ascii="宋体" w:hAnsi="宋体" w:cs="宋体" w:eastAsia="宋体" w:hint="default"/>
        </w:rPr>
        <w:t>,</w:t>
      </w:r>
      <w:r>
        <w:rPr/>
        <w:t>交易对价</w:t>
      </w:r>
      <w:r>
        <w:rPr>
          <w:rFonts w:ascii="宋体" w:hAnsi="宋体" w:cs="宋体" w:eastAsia="宋体" w:hint="default"/>
        </w:rPr>
        <w:t>60,256</w:t>
      </w:r>
      <w:r>
        <w:rPr/>
        <w:t>万元。 交易报告书中另约定如下事项：如唐人数码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年度实现的净利润均不低于补偿义</w:t>
      </w:r>
    </w:p>
    <w:p>
      <w:pPr>
        <w:pStyle w:val="BodyText"/>
        <w:spacing w:line="316" w:lineRule="auto"/>
        <w:ind w:right="1123"/>
        <w:jc w:val="left"/>
      </w:pPr>
      <w:r>
        <w:rPr/>
        <w:t>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 产价格调整为现作价的</w:t>
      </w:r>
      <w:r>
        <w:rPr>
          <w:rFonts w:ascii="宋体" w:hAnsi="宋体" w:cs="宋体" w:eastAsia="宋体" w:hint="default"/>
        </w:rPr>
        <w:t>1.332</w:t>
      </w:r>
      <w:r>
        <w:rPr/>
        <w:t>倍，即交易的对价由</w:t>
      </w:r>
      <w:r>
        <w:rPr>
          <w:rFonts w:ascii="宋体" w:hAnsi="宋体" w:cs="宋体" w:eastAsia="宋体" w:hint="default"/>
        </w:rPr>
        <w:t>60,256.00</w:t>
      </w:r>
      <w:r>
        <w:rPr/>
        <w:t>万元调整为</w:t>
      </w:r>
      <w:r>
        <w:rPr>
          <w:rFonts w:ascii="宋体" w:hAnsi="宋体" w:cs="宋体" w:eastAsia="宋体" w:hint="default"/>
        </w:rPr>
        <w:t>80,258.00</w:t>
      </w:r>
      <w:r>
        <w:rPr/>
        <w:t>万元，增加的对价金额为</w:t>
      </w:r>
      <w:r>
        <w:rPr>
          <w:rFonts w:ascii="宋体" w:hAnsi="宋体" w:cs="宋体" w:eastAsia="宋体" w:hint="default"/>
        </w:rPr>
        <w:t>20,002</w:t>
      </w:r>
      <w:r>
        <w:rPr/>
        <w:t>万元；</w:t>
      </w:r>
    </w:p>
    <w:p>
      <w:pPr>
        <w:pStyle w:val="BodyText"/>
        <w:spacing w:line="316" w:lineRule="auto"/>
        <w:ind w:right="1139" w:firstLine="270"/>
        <w:jc w:val="both"/>
      </w:pPr>
      <w:r>
        <w:rPr/>
        <w:t>公司于</w:t>
      </w:r>
      <w:r>
        <w:rPr>
          <w:rFonts w:ascii="宋体" w:hAnsi="宋体" w:cs="宋体" w:eastAsia="宋体" w:hint="default"/>
        </w:rPr>
        <w:t>2015</w:t>
      </w:r>
      <w:r>
        <w:rPr/>
        <w:t>年度在母公司报表层面对</w:t>
      </w:r>
      <w:r>
        <w:rPr>
          <w:rFonts w:ascii="宋体" w:hAnsi="宋体" w:cs="宋体" w:eastAsia="宋体" w:hint="default"/>
        </w:rPr>
        <w:t>20,002</w:t>
      </w:r>
      <w:r>
        <w:rPr/>
        <w:t>万元确认为预计负债，同时增加对唐人数码的长期股权投资</w:t>
      </w:r>
      <w:r>
        <w:rPr>
          <w:rFonts w:ascii="宋体" w:hAnsi="宋体" w:cs="宋体" w:eastAsia="宋体" w:hint="default"/>
        </w:rPr>
        <w:t>20,002</w:t>
      </w:r>
      <w:r>
        <w:rPr/>
        <w:t>万元；在 合并报表层面，增加了合并商誉</w:t>
      </w:r>
      <w:r>
        <w:rPr>
          <w:rFonts w:ascii="宋体" w:hAnsi="宋体" w:cs="宋体" w:eastAsia="宋体" w:hint="default"/>
        </w:rPr>
        <w:t>20,002</w:t>
      </w:r>
      <w:r>
        <w:rPr/>
        <w:t>万元，同时确认预计负债</w:t>
      </w:r>
      <w:r>
        <w:rPr>
          <w:rFonts w:ascii="宋体" w:hAnsi="宋体" w:cs="宋体" w:eastAsia="宋体" w:hint="default"/>
        </w:rPr>
        <w:t>20,002</w:t>
      </w:r>
      <w:r>
        <w:rPr/>
        <w:t>万元。</w:t>
      </w:r>
    </w:p>
    <w:p>
      <w:pPr>
        <w:pStyle w:val="BodyText"/>
        <w:spacing w:line="319" w:lineRule="auto"/>
        <w:ind w:right="1130" w:firstLine="270"/>
        <w:jc w:val="both"/>
      </w:pPr>
      <w:r>
        <w:rPr/>
        <w:t>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年度经审计的归属于母公司股东的扣除非经常性损益后的净利润合计 </w:t>
      </w:r>
      <w:r>
        <w:rPr>
          <w:rFonts w:ascii="宋体" w:hAnsi="宋体" w:cs="宋体" w:eastAsia="宋体" w:hint="default"/>
        </w:rPr>
        <w:t>23,597.32</w:t>
      </w:r>
      <w:r>
        <w:rPr/>
        <w:t>万元，未达到</w:t>
      </w:r>
      <w:r>
        <w:rPr>
          <w:rFonts w:ascii="宋体" w:hAnsi="宋体" w:cs="宋体" w:eastAsia="宋体" w:hint="default"/>
        </w:rPr>
        <w:t>31,000</w:t>
      </w:r>
      <w:r>
        <w:rPr/>
        <w:t>万元，不满足交易报告书中的约定，公司无需支付预计负债</w:t>
      </w:r>
      <w:r>
        <w:rPr>
          <w:rFonts w:ascii="宋体" w:hAnsi="宋体" w:cs="宋体" w:eastAsia="宋体" w:hint="default"/>
        </w:rPr>
        <w:t>20,002</w:t>
      </w:r>
      <w:r>
        <w:rPr/>
        <w:t>万元。</w:t>
      </w:r>
      <w:r>
        <w:rPr>
          <w:rFonts w:ascii="宋体" w:hAnsi="宋体" w:cs="宋体" w:eastAsia="宋体" w:hint="default"/>
        </w:rPr>
        <w:t>2017</w:t>
      </w:r>
      <w:r>
        <w:rPr/>
        <w:t>年度合并报表 </w:t>
      </w:r>
      <w:r>
        <w:rPr>
          <w:spacing w:val="-2"/>
        </w:rPr>
        <w:t>公司对无需支付的预计负债金额</w:t>
      </w:r>
      <w:r>
        <w:rPr>
          <w:rFonts w:ascii="宋体" w:hAnsi="宋体" w:cs="宋体" w:eastAsia="宋体" w:hint="default"/>
          <w:spacing w:val="-2"/>
        </w:rPr>
        <w:t>20,002</w:t>
      </w:r>
      <w:r>
        <w:rPr>
          <w:spacing w:val="-2"/>
        </w:rPr>
        <w:t>万元全额计入营业外收入，同时对商誉计提减值准备</w:t>
      </w:r>
      <w:r>
        <w:rPr>
          <w:rFonts w:ascii="宋体" w:hAnsi="宋体" w:cs="宋体" w:eastAsia="宋体" w:hint="default"/>
          <w:spacing w:val="-2"/>
        </w:rPr>
        <w:t>20,002</w:t>
      </w:r>
      <w:r>
        <w:rPr>
          <w:spacing w:val="-2"/>
        </w:rPr>
        <w:t>万元，此事项对公司整体</w:t>
      </w:r>
      <w:r>
        <w:rPr>
          <w:spacing w:val="-52"/>
        </w:rPr>
        <w:t> </w:t>
      </w:r>
      <w:r>
        <w:rPr>
          <w:spacing w:val="-52"/>
        </w:rPr>
      </w:r>
      <w:r>
        <w:rPr>
          <w:spacing w:val="-2"/>
        </w:rPr>
        <w:t>的净利润不产生影响。营业外收入</w:t>
      </w:r>
      <w:r>
        <w:rPr>
          <w:rFonts w:ascii="宋体" w:hAnsi="宋体" w:cs="宋体" w:eastAsia="宋体" w:hint="default"/>
          <w:spacing w:val="-2"/>
        </w:rPr>
        <w:t>20,002</w:t>
      </w:r>
      <w:r>
        <w:rPr>
          <w:spacing w:val="-2"/>
        </w:rPr>
        <w:t>万元计入当期非经常性损益，商誉减值损失</w:t>
      </w:r>
      <w:r>
        <w:rPr>
          <w:rFonts w:ascii="宋体" w:hAnsi="宋体" w:cs="宋体" w:eastAsia="宋体" w:hint="default"/>
          <w:spacing w:val="-2"/>
        </w:rPr>
        <w:t>20,002</w:t>
      </w:r>
      <w:r>
        <w:rPr>
          <w:spacing w:val="-2"/>
        </w:rPr>
        <w:t>万元计入当期经常性损益，对公</w:t>
      </w:r>
      <w:r>
        <w:rPr>
          <w:spacing w:val="-54"/>
        </w:rPr>
        <w:t> </w:t>
      </w:r>
      <w:r>
        <w:rPr>
          <w:spacing w:val="-54"/>
        </w:rPr>
      </w:r>
      <w:r>
        <w:rPr/>
        <w:t>司当期非经常损益影响较大。</w:t>
      </w:r>
    </w:p>
    <w:p>
      <w:pPr>
        <w:spacing w:after="0" w:line="319"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665"/>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tabs>
          <w:tab w:pos="1674" w:val="left" w:leader="none"/>
        </w:tabs>
        <w:spacing w:line="360" w:lineRule="auto" w:before="0"/>
        <w:ind w:right="7710"/>
        <w:jc w:val="left"/>
      </w:pPr>
      <w:r>
        <w:rPr/>
        <w:t>公司是否需要遵守特殊行业的披露要求 是</w:t>
        <w:tab/>
        <w:t>互联网游戏业</w:t>
      </w:r>
    </w:p>
    <w:p>
      <w:pPr>
        <w:pStyle w:val="BodyText"/>
        <w:spacing w:line="357" w:lineRule="auto" w:before="26"/>
        <w:ind w:left="1494" w:right="0" w:hanging="360"/>
        <w:jc w:val="left"/>
      </w:pPr>
      <w:r>
        <w:rPr/>
        <w:t>（一）公司的主要业务和产品 </w:t>
      </w:r>
      <w:r>
        <w:rPr>
          <w:spacing w:val="-2"/>
        </w:rPr>
        <w:t>公司致力于成为国内领先的</w:t>
      </w:r>
      <w:r>
        <w:rPr>
          <w:rFonts w:ascii="Times New Roman" w:hAnsi="Times New Roman" w:cs="Times New Roman" w:eastAsia="Times New Roman" w:hint="default"/>
          <w:spacing w:val="-2"/>
        </w:rPr>
        <w:t>“</w:t>
      </w:r>
      <w:r>
        <w:rPr>
          <w:spacing w:val="-2"/>
        </w:rPr>
        <w:t>网络空间数据治理专家</w:t>
      </w:r>
      <w:r>
        <w:rPr>
          <w:rFonts w:ascii="Times New Roman" w:hAnsi="Times New Roman" w:cs="Times New Roman" w:eastAsia="Times New Roman" w:hint="default"/>
          <w:spacing w:val="-2"/>
        </w:rPr>
        <w:t>”</w:t>
      </w:r>
      <w:r>
        <w:rPr>
          <w:spacing w:val="-2"/>
        </w:rPr>
        <w:t>，主要从事公共网络安全、网络资源管理、舆情管理和网络信息安</w:t>
      </w:r>
    </w:p>
    <w:p>
      <w:pPr>
        <w:pStyle w:val="BodyText"/>
        <w:spacing w:line="201" w:lineRule="exact" w:before="0"/>
        <w:ind w:right="0"/>
        <w:jc w:val="left"/>
      </w:pPr>
      <w:r>
        <w:rPr/>
        <w:t>全管理等领域相关解决方案服务，以及网络游戏产品的研发、运营和发行。公司客户覆盖国内公安、运营商、军工、教育、</w:t>
      </w:r>
    </w:p>
    <w:p>
      <w:pPr>
        <w:pStyle w:val="BodyText"/>
        <w:spacing w:line="316" w:lineRule="auto" w:before="76"/>
        <w:ind w:left="1494" w:right="0" w:hanging="360"/>
        <w:jc w:val="left"/>
      </w:pPr>
      <w:r>
        <w:rPr/>
        <w:t>医疗、金融、企业、文化、能源等领域客户，部分业务拓展到海外。 </w:t>
      </w:r>
      <w:r>
        <w:rPr>
          <w:spacing w:val="-2"/>
        </w:rPr>
        <w:t>公司业务线分为网安业务群和网娱业务群两大板块，网安业务群主要包括公安事业部、网安事业部、信安事业部和全资</w:t>
      </w:r>
    </w:p>
    <w:p>
      <w:pPr>
        <w:pStyle w:val="BodyText"/>
        <w:spacing w:line="316" w:lineRule="auto"/>
        <w:ind w:left="1424" w:right="3733" w:hanging="291"/>
        <w:jc w:val="left"/>
      </w:pPr>
      <w:r>
        <w:rPr/>
        <w:t>子公司北京亚鸿，网娱业务群主要包括三家全资子公司：任网游、唐人数码、泡椒思志。 报告期内公司的主营业务主要产品和服务涉及以下几个方面：</w:t>
      </w:r>
    </w:p>
    <w:p>
      <w:pPr>
        <w:pStyle w:val="BodyText"/>
        <w:spacing w:line="240" w:lineRule="auto"/>
        <w:ind w:right="0"/>
        <w:jc w:val="left"/>
      </w:pPr>
      <w:r>
        <w:rPr>
          <w:rFonts w:ascii="Times New Roman" w:hAnsi="Times New Roman" w:cs="Times New Roman" w:eastAsia="Times New Roman" w:hint="default"/>
        </w:rPr>
        <w:t>1</w:t>
      </w:r>
      <w:r>
        <w:rPr/>
        <w:t>、公共网络安全解决方案，主要有以下产品线：</w:t>
      </w:r>
    </w:p>
    <w:p>
      <w:pPr>
        <w:pStyle w:val="BodyText"/>
        <w:spacing w:line="309" w:lineRule="auto" w:before="63"/>
        <w:ind w:right="1130" w:firstLine="360"/>
        <w:jc w:val="both"/>
      </w:pPr>
      <w:r>
        <w:rPr>
          <w:rFonts w:ascii="Times New Roman" w:hAnsi="Times New Roman" w:cs="Times New Roman" w:eastAsia="Times New Roman" w:hint="default"/>
        </w:rPr>
        <w:t>1</w:t>
      </w:r>
      <w:r>
        <w:rPr/>
        <w:t>）公安大数据产品线。公司以网络安全核心关键技术为依托，以大数据引领警务变革创新，提升公安部门预警预测预 </w:t>
      </w:r>
      <w:r>
        <w:rPr>
          <w:spacing w:val="-2"/>
        </w:rPr>
        <w:t>防能力和打防管控实战水平，实现情报全息化、指挥可视化、防控立体化、作战合成化，通过丰富的网络安全产品体系，让</w:t>
      </w:r>
      <w:r>
        <w:rPr>
          <w:spacing w:val="-67"/>
        </w:rPr>
        <w:t> </w:t>
      </w:r>
      <w:r>
        <w:rPr>
          <w:spacing w:val="-67"/>
        </w:rPr>
      </w:r>
      <w:r>
        <w:rPr>
          <w:spacing w:val="-2"/>
        </w:rPr>
        <w:t>警务大数据智能化、便捷化。该产品线结合各公安部门工作中的重点、业务上的难点、应用中的痛点，结合大数据特点，深</w:t>
      </w:r>
      <w:r>
        <w:rPr>
          <w:spacing w:val="-66"/>
        </w:rPr>
        <w:t> </w:t>
      </w:r>
      <w:r>
        <w:rPr>
          <w:spacing w:val="-66"/>
        </w:rPr>
      </w:r>
      <w:r>
        <w:rPr/>
        <w:t>入研究业务模型，精心打造一批主题应用，为公安机关打击犯罪和防范犯罪提高侦察效率。主要提供</w:t>
      </w:r>
      <w:r>
        <w:rPr>
          <w:rFonts w:ascii="Times New Roman" w:hAnsi="Times New Roman" w:cs="Times New Roman" w:eastAsia="Times New Roman" w:hint="default"/>
        </w:rPr>
        <w:t>“</w:t>
      </w:r>
      <w:r>
        <w:rPr/>
        <w:t>省、市两级单一警种</w:t>
      </w:r>
      <w:r>
        <w:rPr>
          <w:spacing w:val="-76"/>
        </w:rPr>
        <w:t> </w:t>
      </w:r>
      <w:r>
        <w:rPr>
          <w:spacing w:val="-76"/>
        </w:rPr>
      </w:r>
      <w:r>
        <w:rPr/>
        <w:t>的大数据应用分析平台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市级和区县级公安机关全警种大数据应用分析平台</w:t>
      </w:r>
      <w:r>
        <w:rPr>
          <w:rFonts w:ascii="Times New Roman" w:hAnsi="Times New Roman" w:cs="Times New Roman" w:eastAsia="Times New Roman" w:hint="default"/>
        </w:rPr>
        <w:t>”</w:t>
      </w:r>
      <w:r>
        <w:rPr/>
        <w:t>，为公安行业的客户提供一套基于警务大数</w:t>
      </w:r>
      <w:r>
        <w:rPr>
          <w:spacing w:val="-55"/>
        </w:rPr>
        <w:t> </w:t>
      </w:r>
      <w:r>
        <w:rPr>
          <w:spacing w:val="-55"/>
        </w:rPr>
      </w:r>
      <w:r>
        <w:rPr>
          <w:spacing w:val="-2"/>
        </w:rPr>
        <w:t>据融合接入管理、数据治理、数据挖掘分析、数据智能应用的实战大数据平台，在数据合成的基础上，系统上更突出警务机</w:t>
      </w:r>
      <w:r>
        <w:rPr>
          <w:spacing w:val="-65"/>
        </w:rPr>
        <w:t> </w:t>
      </w:r>
      <w:r>
        <w:rPr>
          <w:spacing w:val="-65"/>
        </w:rPr>
      </w:r>
      <w:r>
        <w:rPr>
          <w:spacing w:val="-2"/>
        </w:rPr>
        <w:t>制合成，为公安机关打击和防范犯罪，提高侦查效率，同时也更好的让基层公安机关享受到大数据融合应用后的红利；其次</w:t>
      </w:r>
      <w:r>
        <w:rPr>
          <w:spacing w:val="-68"/>
        </w:rPr>
        <w:t> </w:t>
      </w:r>
      <w:r>
        <w:rPr>
          <w:spacing w:val="-68"/>
        </w:rPr>
      </w:r>
      <w:r>
        <w:rPr>
          <w:spacing w:val="-2"/>
        </w:rPr>
        <w:t>提供</w:t>
      </w:r>
      <w:r>
        <w:rPr>
          <w:rFonts w:ascii="Times New Roman" w:hAnsi="Times New Roman" w:cs="Times New Roman" w:eastAsia="Times New Roman" w:hint="default"/>
          <w:spacing w:val="-2"/>
        </w:rPr>
        <w:t>“</w:t>
      </w:r>
      <w:r>
        <w:rPr>
          <w:spacing w:val="-2"/>
        </w:rPr>
        <w:t>智能感知数据的整体采集解决方案</w:t>
      </w:r>
      <w:r>
        <w:rPr>
          <w:rFonts w:ascii="Times New Roman" w:hAnsi="Times New Roman" w:cs="Times New Roman" w:eastAsia="Times New Roman" w:hint="default"/>
          <w:spacing w:val="-2"/>
        </w:rPr>
        <w:t>”</w:t>
      </w:r>
      <w:r>
        <w:rPr>
          <w:spacing w:val="-2"/>
        </w:rPr>
        <w:t>，解决大数据平台在融合好现有数据后仍然缺失数据的问题，通过部署公司的整体</w:t>
      </w:r>
      <w:r>
        <w:rPr>
          <w:spacing w:val="-44"/>
        </w:rPr>
        <w:t> </w:t>
      </w:r>
      <w:r>
        <w:rPr>
          <w:spacing w:val="-44"/>
        </w:rPr>
      </w:r>
      <w:r>
        <w:rPr/>
        <w:t>解决方案填补当前空缺的高价值数据。</w:t>
      </w:r>
    </w:p>
    <w:p>
      <w:pPr>
        <w:pStyle w:val="BodyText"/>
        <w:spacing w:line="300" w:lineRule="auto" w:before="24"/>
        <w:ind w:right="1123" w:firstLine="360"/>
        <w:jc w:val="left"/>
      </w:pPr>
      <w:r>
        <w:rPr>
          <w:rFonts w:ascii="Times New Roman" w:hAnsi="Times New Roman" w:cs="Times New Roman" w:eastAsia="Times New Roman" w:hint="default"/>
          <w:spacing w:val="-1"/>
        </w:rPr>
        <w:t>2</w:t>
      </w:r>
      <w:r>
        <w:rPr>
          <w:spacing w:val="-1"/>
        </w:rPr>
        <w:t>）网吧行业产品线。主要提供</w:t>
      </w:r>
      <w:r>
        <w:rPr>
          <w:rFonts w:ascii="Times New Roman" w:hAnsi="Times New Roman" w:cs="Times New Roman" w:eastAsia="Times New Roman" w:hint="default"/>
          <w:spacing w:val="-1"/>
        </w:rPr>
        <w:t>NET110</w:t>
      </w:r>
      <w:r>
        <w:rPr>
          <w:spacing w:val="-1"/>
        </w:rPr>
        <w:t>网络安全审计系统、</w:t>
      </w:r>
      <w:r>
        <w:rPr>
          <w:rFonts w:ascii="Times New Roman" w:hAnsi="Times New Roman" w:cs="Times New Roman" w:eastAsia="Times New Roman" w:hint="default"/>
          <w:spacing w:val="-1"/>
        </w:rPr>
        <w:t>NET110</w:t>
      </w:r>
      <w:r>
        <w:rPr>
          <w:spacing w:val="-1"/>
        </w:rPr>
        <w:t>公共场所无线上网信息安全系统和</w:t>
      </w:r>
      <w:r>
        <w:rPr>
          <w:rFonts w:ascii="Times New Roman" w:hAnsi="Times New Roman" w:cs="Times New Roman" w:eastAsia="Times New Roman" w:hint="default"/>
          <w:spacing w:val="-1"/>
        </w:rPr>
        <w:t>NET110</w:t>
      </w:r>
      <w:r>
        <w:rPr>
          <w:spacing w:val="-1"/>
        </w:rPr>
        <w:t>实名认证</w:t>
      </w:r>
      <w:r>
        <w:rPr/>
        <w:t> 登记系统，为网吧场所的安全管理提供整体的解决方案。</w:t>
      </w:r>
    </w:p>
    <w:p>
      <w:pPr>
        <w:pStyle w:val="BodyText"/>
        <w:spacing w:line="312" w:lineRule="auto" w:before="31"/>
        <w:ind w:right="0" w:firstLine="360"/>
        <w:jc w:val="left"/>
      </w:pPr>
      <w:r>
        <w:rPr>
          <w:rFonts w:ascii="Times New Roman" w:hAnsi="Times New Roman" w:cs="Times New Roman" w:eastAsia="Times New Roman" w:hint="default"/>
        </w:rPr>
        <w:t>3</w:t>
      </w:r>
      <w:r>
        <w:rPr/>
        <w:t>）互联网公共上网服务场所信息安全审计产品。为确保网民的上网安全，根据《中华人民共和国网络安全法》、公安 部</w:t>
      </w:r>
      <w:r>
        <w:rPr>
          <w:rFonts w:ascii="Times New Roman" w:hAnsi="Times New Roman" w:cs="Times New Roman" w:eastAsia="Times New Roman" w:hint="default"/>
        </w:rPr>
        <w:t>33</w:t>
      </w:r>
      <w:r>
        <w:rPr/>
        <w:t>号令第八条、</w:t>
      </w:r>
      <w:r>
        <w:rPr>
          <w:rFonts w:ascii="Times New Roman" w:hAnsi="Times New Roman" w:cs="Times New Roman" w:eastAsia="Times New Roman" w:hint="default"/>
        </w:rPr>
        <w:t>82</w:t>
      </w:r>
      <w:r>
        <w:rPr/>
        <w:t>号令第八条、《中华人民共和国刑法修正案</w:t>
      </w: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》、《中华人民共和国反恐怖主义法》、《计算机信息 </w:t>
      </w:r>
      <w:r>
        <w:rPr>
          <w:spacing w:val="-2"/>
        </w:rPr>
        <w:t>网络国际联网安全保护管理办法》、《互联网安全保护技术措施规定》等相关法律规定，互联网公共上网服务场所、公共无</w:t>
      </w:r>
      <w:r>
        <w:rPr>
          <w:spacing w:val="-67"/>
        </w:rPr>
        <w:t> </w:t>
      </w:r>
      <w:r>
        <w:rPr>
          <w:spacing w:val="-67"/>
        </w:rPr>
      </w:r>
      <w:r>
        <w:rPr>
          <w:spacing w:val="-4"/>
        </w:rPr>
        <w:t>线上网场所需要落实相关网络安全保护技术措施。公司互联网公共上网服务场所信息安全审计产品通过安装“安全审计设备”</w:t>
      </w:r>
      <w:r>
        <w:rPr>
          <w:spacing w:val="-44"/>
        </w:rPr>
        <w:t> </w:t>
      </w:r>
      <w:r>
        <w:rPr>
          <w:spacing w:val="-44"/>
        </w:rPr>
      </w:r>
      <w:r>
        <w:rPr/>
        <w:t>或“嵌入式安全审计软件模块”，使得客户满足上述监管要求。 </w:t>
      </w:r>
      <w:r>
        <w:rPr>
          <w:rFonts w:ascii="Times New Roman" w:hAnsi="Times New Roman" w:cs="Times New Roman" w:eastAsia="Times New Roman" w:hint="default"/>
        </w:rPr>
        <w:t>2</w:t>
      </w:r>
      <w:r>
        <w:rPr/>
        <w:t>、网资管理解决方案，主要由公司全资子公司北京亚鸿提供，主要有以下产品：</w:t>
      </w:r>
    </w:p>
    <w:p>
      <w:pPr>
        <w:pStyle w:val="BodyText"/>
        <w:spacing w:line="304" w:lineRule="auto" w:before="3"/>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IDC/ISP</w:t>
      </w:r>
      <w:r>
        <w:rPr>
          <w:spacing w:val="-2"/>
        </w:rPr>
        <w:t>信息安全解决方案，包括信息安全管理系统、接入资源管理系统和企业侧备案管理系统。信息安全管理系统</w:t>
      </w:r>
      <w:r>
        <w:rPr/>
        <w:t> </w:t>
      </w:r>
      <w:r>
        <w:rPr>
          <w:spacing w:val="-2"/>
        </w:rPr>
        <w:t>可实现对运营商和接入商的互联网数据中心的基础资源管理、信息监测、信息过滤、网上行为管理、黑名单监测处理、行为</w:t>
      </w:r>
      <w:r>
        <w:rPr>
          <w:spacing w:val="-66"/>
        </w:rPr>
        <w:t> </w:t>
      </w:r>
      <w:r>
        <w:rPr>
          <w:spacing w:val="-66"/>
        </w:rPr>
      </w:r>
      <w:r>
        <w:rPr/>
        <w:t>分类功能，实现对各地互联网数据中心的统一监督管理。接入资源管理系统能为</w:t>
      </w:r>
      <w:r>
        <w:rPr>
          <w:rFonts w:ascii="Times New Roman" w:hAnsi="Times New Roman" w:cs="Times New Roman" w:eastAsia="Times New Roman" w:hint="default"/>
        </w:rPr>
        <w:t>IDC/ISP</w:t>
      </w:r>
      <w:r>
        <w:rPr/>
        <w:t>用户提供优质经济的专业服务，减</w:t>
      </w:r>
      <w:r>
        <w:rPr>
          <w:spacing w:val="-76"/>
        </w:rPr>
        <w:t> </w:t>
      </w:r>
      <w:r>
        <w:rPr>
          <w:spacing w:val="-76"/>
        </w:rPr>
      </w:r>
      <w:r>
        <w:rPr/>
        <w:t>少企业的建设和维护成本，提升基础资源管理的准确性，为实现</w:t>
      </w:r>
      <w:r>
        <w:rPr>
          <w:rFonts w:ascii="Times New Roman" w:hAnsi="Times New Roman" w:cs="Times New Roman" w:eastAsia="Times New Roman" w:hint="default"/>
        </w:rPr>
        <w:t>IDC/ISP</w:t>
      </w:r>
      <w:r>
        <w:rPr/>
        <w:t>机房信息科学管理提供技术支持和管理的支撑。企</w:t>
      </w:r>
      <w:r>
        <w:rPr>
          <w:spacing w:val="-75"/>
        </w:rPr>
        <w:t> </w:t>
      </w:r>
      <w:r>
        <w:rPr>
          <w:spacing w:val="-75"/>
        </w:rPr>
      </w:r>
      <w:r>
        <w:rPr/>
        <w:t>业侧备案管理系统采用先进成熟的云计算技术，为</w:t>
      </w:r>
      <w:r>
        <w:rPr>
          <w:rFonts w:ascii="Times New Roman" w:hAnsi="Times New Roman" w:cs="Times New Roman" w:eastAsia="Times New Roman" w:hint="default"/>
        </w:rPr>
        <w:t>IDC/ISP</w:t>
      </w:r>
      <w:r>
        <w:rPr/>
        <w:t>用户提供优质经济的备案服务，提升备案管理者的工作效率。</w:t>
      </w:r>
    </w:p>
    <w:p>
      <w:pPr>
        <w:pStyle w:val="BodyText"/>
        <w:spacing w:line="309" w:lineRule="auto" w:before="50"/>
        <w:ind w:right="103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DNS</w:t>
      </w:r>
      <w:r>
        <w:rPr/>
        <w:t>域名管控系统、互联网流量采集分析系统（</w:t>
      </w:r>
      <w:r>
        <w:rPr>
          <w:rFonts w:ascii="Times New Roman" w:hAnsi="Times New Roman" w:cs="Times New Roman" w:eastAsia="Times New Roman" w:hint="default"/>
        </w:rPr>
        <w:t>DPI</w:t>
      </w:r>
      <w:r>
        <w:rPr/>
        <w:t>）、互联网专线、不良信息管理系统、分级管理系统等。该类 产品线主要根据国家有关部门对互联网安全审计及防治不良信息的政策要求，结合基础电信运营商的具体业务和技术特点，</w:t>
      </w:r>
      <w:r>
        <w:rPr>
          <w:spacing w:val="-85"/>
        </w:rPr>
        <w:t> </w:t>
      </w:r>
      <w:r>
        <w:rPr>
          <w:spacing w:val="-85"/>
        </w:rPr>
      </w:r>
      <w:r>
        <w:rPr/>
        <w:t>用于互联网非法信息防治和多项增值业务的集成技术平台。</w:t>
      </w:r>
    </w:p>
    <w:p>
      <w:pPr>
        <w:pStyle w:val="BodyText"/>
        <w:spacing w:line="240" w:lineRule="auto" w:before="65"/>
        <w:ind w:left="1493" w:right="0"/>
        <w:jc w:val="left"/>
      </w:pPr>
      <w:r>
        <w:rPr>
          <w:rFonts w:ascii="Times New Roman" w:hAnsi="Times New Roman" w:cs="Times New Roman" w:eastAsia="Times New Roman" w:hint="default"/>
        </w:rPr>
        <w:t>3</w:t>
      </w:r>
      <w:r>
        <w:rPr/>
        <w:t>）电信</w:t>
      </w:r>
      <w:r>
        <w:rPr>
          <w:rFonts w:ascii="Times New Roman" w:hAnsi="Times New Roman" w:cs="Times New Roman" w:eastAsia="Times New Roman" w:hint="default"/>
        </w:rPr>
        <w:t>/</w:t>
      </w:r>
      <w:r>
        <w:rPr/>
        <w:t>互联网防欺诈。该产品基于大数据技术，依托公司在运营商的数据卡位，为客户提供电信</w:t>
      </w:r>
      <w:r>
        <w:rPr>
          <w:rFonts w:ascii="Times New Roman" w:hAnsi="Times New Roman" w:cs="Times New Roman" w:eastAsia="Times New Roman" w:hint="default"/>
        </w:rPr>
        <w:t>/</w:t>
      </w:r>
      <w:r>
        <w:rPr/>
        <w:t>互联网防欺诈功能。</w:t>
      </w:r>
    </w:p>
    <w:p>
      <w:pPr>
        <w:pStyle w:val="BodyText"/>
        <w:spacing w:line="240" w:lineRule="auto" w:before="101"/>
        <w:ind w:right="0"/>
        <w:jc w:val="left"/>
      </w:pPr>
      <w:r>
        <w:rPr>
          <w:rFonts w:ascii="Times New Roman" w:hAnsi="Times New Roman" w:cs="Times New Roman" w:eastAsia="Times New Roman" w:hint="default"/>
        </w:rPr>
        <w:t>3</w:t>
      </w:r>
      <w:r>
        <w:rPr/>
        <w:t>、舆情管理解决方案，主要有以下产品：</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rFonts w:ascii="Times New Roman" w:hAnsi="Times New Roman" w:cs="Times New Roman" w:eastAsia="Times New Roman" w:hint="default"/>
          <w:spacing w:val="-4"/>
        </w:rPr>
        <w:t>1</w:t>
      </w:r>
      <w:r>
        <w:rPr>
          <w:spacing w:val="-4"/>
        </w:rPr>
        <w:t>）天虎。该产品聚焦用户关注课题，基于超算数据中心，借力信息分析系统，依托资深服务团队，提供专业分析报告。</w:t>
      </w:r>
    </w:p>
    <w:p>
      <w:pPr>
        <w:pStyle w:val="BodyText"/>
        <w:spacing w:line="300" w:lineRule="auto" w:before="63"/>
        <w:ind w:left="1134" w:right="1131" w:firstLine="360"/>
        <w:jc w:val="both"/>
      </w:pPr>
      <w:r>
        <w:rPr>
          <w:rFonts w:ascii="Times New Roman" w:hAnsi="Times New Roman" w:cs="Times New Roman" w:eastAsia="Times New Roman" w:hint="default"/>
        </w:rPr>
        <w:t>2</w:t>
      </w:r>
      <w:r>
        <w:rPr/>
        <w:t>）天鹰。该产品基于关键字及语义进行预警，快速发现关注网络信息，通过特殊技术手段实现对互联网数据的整理、 跟踪、分析，准确把握网络热点事件及关注事件的脉络。</w:t>
      </w:r>
    </w:p>
    <w:p>
      <w:pPr>
        <w:pStyle w:val="BodyText"/>
        <w:spacing w:line="240" w:lineRule="auto" w:before="31"/>
        <w:ind w:left="1494" w:right="0"/>
        <w:jc w:val="left"/>
      </w:pPr>
      <w:r>
        <w:rPr>
          <w:rFonts w:ascii="Times New Roman" w:hAnsi="Times New Roman" w:cs="Times New Roman" w:eastAsia="Times New Roman" w:hint="default"/>
        </w:rPr>
        <w:t>3</w:t>
      </w:r>
      <w:r>
        <w:rPr/>
        <w:t>）天眼。该产品专业针对微博等互联网平台进行重点监测、预警、研判及分析。</w:t>
      </w:r>
    </w:p>
    <w:p>
      <w:pPr>
        <w:pStyle w:val="BodyText"/>
        <w:spacing w:line="240" w:lineRule="auto" w:before="63"/>
        <w:ind w:right="0"/>
        <w:jc w:val="left"/>
      </w:pPr>
      <w:r>
        <w:rPr>
          <w:rFonts w:ascii="Times New Roman" w:hAnsi="Times New Roman" w:cs="Times New Roman" w:eastAsia="Times New Roman" w:hint="default"/>
        </w:rPr>
        <w:t>4</w:t>
      </w:r>
      <w:r>
        <w:rPr/>
        <w:t>、网络信息安全解决方案，主要有以下产品：</w:t>
      </w:r>
    </w:p>
    <w:p>
      <w:pPr>
        <w:pStyle w:val="BodyText"/>
        <w:spacing w:line="309" w:lineRule="auto" w:before="63"/>
        <w:ind w:left="1134" w:right="1130" w:firstLine="360"/>
        <w:jc w:val="both"/>
      </w:pPr>
      <w:r>
        <w:rPr>
          <w:rFonts w:ascii="Times New Roman" w:hAnsi="Times New Roman" w:cs="Times New Roman" w:eastAsia="Times New Roman" w:hint="default"/>
        </w:rPr>
        <w:t>1</w:t>
      </w:r>
      <w:r>
        <w:rPr/>
        <w:t>）内网安全系列。主要有网络安全审计、上网行为管理、网络审计与风险管理中心等产品，面向校园、企事业单位等 </w:t>
      </w:r>
      <w:r>
        <w:rPr>
          <w:spacing w:val="-2"/>
        </w:rPr>
        <w:t>应用场景，通过对内部网络空间的行为、内容、流量进行审计、统计和分析，使网络行为高度可视化，管理者能深刻洞察单</w:t>
      </w:r>
      <w:r>
        <w:rPr>
          <w:spacing w:val="-68"/>
        </w:rPr>
        <w:t> </w:t>
      </w:r>
      <w:r>
        <w:rPr>
          <w:spacing w:val="-68"/>
        </w:rPr>
      </w:r>
      <w:r>
        <w:rPr/>
        <w:t>位内部上网情况，并针对性地制定对上网行为、流量的控制策略，实现高效规范的内部网络行为管控。</w:t>
      </w:r>
    </w:p>
    <w:p>
      <w:pPr>
        <w:pStyle w:val="BodyText"/>
        <w:spacing w:line="300" w:lineRule="auto" w:before="24"/>
        <w:ind w:right="1043" w:firstLine="360"/>
        <w:jc w:val="both"/>
      </w:pPr>
      <w:r>
        <w:rPr>
          <w:rFonts w:ascii="Times New Roman" w:hAnsi="Times New Roman" w:cs="Times New Roman" w:eastAsia="Times New Roman" w:hint="default"/>
        </w:rPr>
        <w:t>2</w:t>
      </w:r>
      <w:r>
        <w:rPr/>
        <w:t>）边界安全系列。主要有下一代防火墙、入侵防御系统、虚拟防火墙、</w:t>
      </w:r>
      <w:r>
        <w:rPr>
          <w:rFonts w:ascii="Times New Roman" w:hAnsi="Times New Roman" w:cs="Times New Roman" w:eastAsia="Times New Roman" w:hint="default"/>
        </w:rPr>
        <w:t>WEB</w:t>
      </w:r>
      <w:r>
        <w:rPr/>
        <w:t>应用防火墙、应用交付等产品，针对日益 </w:t>
      </w:r>
      <w:r>
        <w:rPr>
          <w:spacing w:val="-4"/>
        </w:rPr>
        <w:t>严峻的网络安全态势，该系列产品可在内外网边界构筑多重网路安全防护屏障，为内外网之间的通信提供全方位的安全保障。</w:t>
      </w:r>
    </w:p>
    <w:p>
      <w:pPr>
        <w:pStyle w:val="BodyText"/>
        <w:spacing w:line="300" w:lineRule="auto" w:before="31"/>
        <w:ind w:right="1130" w:firstLine="360"/>
        <w:jc w:val="both"/>
      </w:pPr>
      <w:r>
        <w:rPr>
          <w:rFonts w:ascii="Times New Roman" w:hAnsi="Times New Roman" w:cs="Times New Roman" w:eastAsia="Times New Roman" w:hint="default"/>
        </w:rPr>
        <w:t>3</w:t>
      </w:r>
      <w:r>
        <w:rPr/>
        <w:t>）云安全系列。主要有云运维安全审计、云应用加密网关等产品，通过对各种信息系统的全程运维审计，结合对云端 应用数据传输加密等安全加固措施，有效解决了政府电子政务网、医疗平台、运营商云化改造、企业私有云</w:t>
      </w:r>
      <w:r>
        <w:rPr>
          <w:rFonts w:ascii="Times New Roman" w:hAnsi="Times New Roman" w:cs="Times New Roman" w:eastAsia="Times New Roman" w:hint="default"/>
        </w:rPr>
        <w:t>/</w:t>
      </w:r>
      <w:r>
        <w:rPr/>
        <w:t>公有云等核心</w:t>
      </w:r>
      <w:r>
        <w:rPr>
          <w:spacing w:val="-45"/>
        </w:rPr>
        <w:t> </w:t>
      </w:r>
      <w:r>
        <w:rPr>
          <w:spacing w:val="-45"/>
        </w:rPr>
      </w:r>
      <w:r>
        <w:rPr/>
        <w:t>运维问题和数据安全问题。</w:t>
      </w:r>
    </w:p>
    <w:p>
      <w:pPr>
        <w:pStyle w:val="BodyText"/>
        <w:spacing w:line="312" w:lineRule="auto" w:before="31"/>
        <w:ind w:right="1123" w:firstLine="360"/>
        <w:jc w:val="left"/>
      </w:pPr>
      <w:r>
        <w:rPr>
          <w:rFonts w:ascii="Times New Roman" w:hAnsi="Times New Roman" w:cs="Times New Roman" w:eastAsia="Times New Roman" w:hint="default"/>
        </w:rPr>
        <w:t>4</w:t>
      </w:r>
      <w:r>
        <w:rPr/>
        <w:t>）态势感知系列。主要有网络安全态势感知、网站监控预警、移动应用安全管理、移动新闻舆情监测等平台产品，融 </w:t>
      </w:r>
      <w:r>
        <w:rPr>
          <w:spacing w:val="-2"/>
        </w:rPr>
        <w:t>合多源、异构、海量安全数据，具备快速、高性能、关联分析和深度挖掘能力以及丰富、美观可定制的数据展示能力，从网</w:t>
      </w:r>
      <w:r>
        <w:rPr>
          <w:spacing w:val="-72"/>
        </w:rPr>
        <w:t> </w:t>
      </w:r>
      <w:r>
        <w:rPr>
          <w:spacing w:val="-72"/>
        </w:rPr>
      </w:r>
      <w:r>
        <w:rPr/>
        <w:t>络宏观整体安全态势细分至网站安全、移动安全、移动资讯舆情等各个方面，满足全方位的态势感知与监管需求。 </w:t>
      </w:r>
      <w:r>
        <w:rPr>
          <w:rFonts w:ascii="Times New Roman" w:hAnsi="Times New Roman" w:cs="Times New Roman" w:eastAsia="Times New Roman" w:hint="default"/>
        </w:rPr>
        <w:t>5</w:t>
      </w:r>
      <w:r>
        <w:rPr/>
        <w:t>、网络游戏业务方面，主要有以下产品：</w:t>
      </w:r>
    </w:p>
    <w:p>
      <w:pPr>
        <w:pStyle w:val="BodyText"/>
        <w:spacing w:line="300" w:lineRule="auto" w:before="44"/>
        <w:ind w:right="1132" w:firstLine="360"/>
        <w:jc w:val="both"/>
      </w:pPr>
      <w:r>
        <w:rPr>
          <w:rFonts w:ascii="Times New Roman" w:hAnsi="Times New Roman" w:cs="Times New Roman" w:eastAsia="Times New Roman" w:hint="default"/>
        </w:rPr>
        <w:t>1</w:t>
      </w:r>
      <w:r>
        <w:rPr/>
        <w:t>）唐人游。唐人游为唐人数码旗下以棋牌游戏为主，涵盖牌类、麻将类、棋类和休闲类四大类游戏的综合游戏平台， </w:t>
      </w:r>
      <w:r>
        <w:rPr>
          <w:spacing w:val="-5"/>
        </w:rPr>
        <w:t>于</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3</w:t>
      </w:r>
      <w:r>
        <w:rPr>
          <w:spacing w:val="-5"/>
        </w:rPr>
        <w:t>月开始上线运营。截止报告期末，唐人游的累计注册用户已达</w:t>
      </w:r>
      <w:r>
        <w:rPr>
          <w:rFonts w:ascii="Times New Roman" w:hAnsi="Times New Roman" w:cs="Times New Roman" w:eastAsia="Times New Roman" w:hint="default"/>
          <w:spacing w:val="-5"/>
        </w:rPr>
        <w:t>847.38</w:t>
      </w:r>
      <w:r>
        <w:rPr>
          <w:spacing w:val="-5"/>
        </w:rPr>
        <w:t>万人，</w:t>
      </w:r>
      <w:r>
        <w:rPr>
          <w:rFonts w:ascii="Times New Roman" w:hAnsi="Times New Roman" w:cs="Times New Roman" w:eastAsia="Times New Roman" w:hint="default"/>
          <w:spacing w:val="-5"/>
        </w:rPr>
        <w:t>2017</w:t>
      </w:r>
      <w:r>
        <w:rPr>
          <w:spacing w:val="-5"/>
        </w:rPr>
        <w:t>年年度月均活跃人数约为</w:t>
      </w:r>
      <w:r>
        <w:rPr>
          <w:rFonts w:ascii="Times New Roman" w:hAnsi="Times New Roman" w:cs="Times New Roman" w:eastAsia="Times New Roman" w:hint="default"/>
          <w:spacing w:val="-5"/>
        </w:rPr>
        <w:t>6.43</w:t>
      </w:r>
      <w:r>
        <w:rPr>
          <w:spacing w:val="-5"/>
        </w:rPr>
        <w:t>万人，</w:t>
      </w:r>
      <w:r>
        <w:rPr>
          <w:spacing w:val="-31"/>
        </w:rPr>
        <w:t> </w:t>
      </w:r>
      <w:r>
        <w:rPr>
          <w:spacing w:val="-31"/>
        </w:rPr>
      </w:r>
      <w:r>
        <w:rPr/>
        <w:t>月均付费用户数约为</w:t>
      </w:r>
      <w:r>
        <w:rPr>
          <w:rFonts w:ascii="Times New Roman" w:hAnsi="Times New Roman" w:cs="Times New Roman" w:eastAsia="Times New Roman" w:hint="default"/>
        </w:rPr>
        <w:t>1.37</w:t>
      </w:r>
      <w:r>
        <w:rPr/>
        <w:t>万人。</w:t>
      </w:r>
    </w:p>
    <w:p>
      <w:pPr>
        <w:pStyle w:val="BodyText"/>
        <w:spacing w:line="302" w:lineRule="auto" w:before="52"/>
        <w:ind w:right="103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6998</w:t>
      </w:r>
      <w:r>
        <w:rPr/>
        <w:t>平台。</w:t>
      </w:r>
      <w:r>
        <w:rPr>
          <w:rFonts w:ascii="Times New Roman" w:hAnsi="Times New Roman" w:cs="Times New Roman" w:eastAsia="Times New Roman" w:hint="default"/>
        </w:rPr>
        <w:t>6698</w:t>
      </w:r>
      <w:r>
        <w:rPr/>
        <w:t>游戏平台是由唐人数码旗下全资子公司争渡科技所运营的综合性服务平台，于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月正式上线，</w:t>
      </w:r>
      <w:r>
        <w:rPr>
          <w:spacing w:val="1"/>
        </w:rPr>
        <w:t> </w:t>
      </w:r>
      <w:r>
        <w:rPr>
          <w:spacing w:val="-2"/>
        </w:rPr>
        <w:t>其主要方向为联合发行其他厂商的网页游戏和自主运营唐人数码及子公司的游戏。截止报告期末，</w:t>
      </w:r>
      <w:r>
        <w:rPr>
          <w:rFonts w:ascii="Times New Roman" w:hAnsi="Times New Roman" w:cs="Times New Roman" w:eastAsia="Times New Roman" w:hint="default"/>
          <w:spacing w:val="-2"/>
        </w:rPr>
        <w:t>6998</w:t>
      </w:r>
      <w:r>
        <w:rPr>
          <w:spacing w:val="-2"/>
        </w:rPr>
        <w:t>平台的累计注册用户</w:t>
      </w:r>
      <w:r>
        <w:rPr>
          <w:spacing w:val="-59"/>
        </w:rPr>
        <w:t> </w:t>
      </w:r>
      <w:r>
        <w:rPr/>
        <w:t>已达</w:t>
      </w:r>
      <w:r>
        <w:rPr>
          <w:rFonts w:ascii="Times New Roman" w:hAnsi="Times New Roman" w:cs="Times New Roman" w:eastAsia="Times New Roman" w:hint="default"/>
        </w:rPr>
        <w:t>359</w:t>
      </w:r>
      <w:r>
        <w:rPr/>
        <w:t>万人，</w:t>
      </w:r>
      <w:r>
        <w:rPr>
          <w:rFonts w:ascii="Times New Roman" w:hAnsi="Times New Roman" w:cs="Times New Roman" w:eastAsia="Times New Roman" w:hint="default"/>
        </w:rPr>
        <w:t>2017</w:t>
      </w:r>
      <w:r>
        <w:rPr/>
        <w:t>年年度月均活跃人数约为</w:t>
      </w:r>
      <w:r>
        <w:rPr>
          <w:rFonts w:ascii="Times New Roman" w:hAnsi="Times New Roman" w:cs="Times New Roman" w:eastAsia="Times New Roman" w:hint="default"/>
        </w:rPr>
        <w:t>4.2</w:t>
      </w:r>
      <w:r>
        <w:rPr/>
        <w:t>万人，月均付费用户数约为</w:t>
      </w:r>
      <w:r>
        <w:rPr>
          <w:rFonts w:ascii="Times New Roman" w:hAnsi="Times New Roman" w:cs="Times New Roman" w:eastAsia="Times New Roman" w:hint="default"/>
        </w:rPr>
        <w:t>0.34</w:t>
      </w:r>
      <w:r>
        <w:rPr/>
        <w:t>万人。</w:t>
      </w:r>
    </w:p>
    <w:p>
      <w:pPr>
        <w:pStyle w:val="BodyText"/>
        <w:spacing w:line="302" w:lineRule="auto" w:before="49"/>
        <w:ind w:right="1130" w:firstLine="360"/>
        <w:jc w:val="both"/>
      </w:pPr>
      <w:r>
        <w:rPr>
          <w:rFonts w:ascii="Times New Roman" w:hAnsi="Times New Roman" w:cs="Times New Roman" w:eastAsia="Times New Roman" w:hint="default"/>
          <w:spacing w:val="-1"/>
        </w:rPr>
        <w:t>3</w:t>
      </w:r>
      <w:r>
        <w:rPr>
          <w:spacing w:val="-1"/>
        </w:rPr>
        <w:t>）争渡游戏。争渡游戏主要以自主研发大型</w:t>
      </w:r>
      <w:r>
        <w:rPr>
          <w:rFonts w:ascii="Times New Roman" w:hAnsi="Times New Roman" w:cs="Times New Roman" w:eastAsia="Times New Roman" w:hint="default"/>
          <w:spacing w:val="-1"/>
        </w:rPr>
        <w:t>3D</w:t>
      </w:r>
      <w:r>
        <w:rPr>
          <w:spacing w:val="-1"/>
        </w:rPr>
        <w:t>游戏为方向，</w:t>
      </w:r>
      <w:r>
        <w:rPr>
          <w:rFonts w:ascii="Times New Roman" w:hAnsi="Times New Roman" w:cs="Times New Roman" w:eastAsia="Times New Roman" w:hint="default"/>
          <w:spacing w:val="-1"/>
        </w:rPr>
        <w:t>2017</w:t>
      </w:r>
      <w:r>
        <w:rPr>
          <w:spacing w:val="-1"/>
        </w:rPr>
        <w:t>年上线运营了《渡仙名将》游戏，并与国内优秀的运</w:t>
      </w:r>
      <w:r>
        <w:rPr/>
        <w:t> 营平台追趣、凤凰网、搜狗游戏等合作运营。截止报告期末，《渡仙名将》游戏累计运营流水达</w:t>
      </w:r>
      <w:r>
        <w:rPr>
          <w:rFonts w:ascii="Times New Roman" w:hAnsi="Times New Roman" w:cs="Times New Roman" w:eastAsia="Times New Roman" w:hint="default"/>
        </w:rPr>
        <w:t>5,525</w:t>
      </w:r>
      <w:r>
        <w:rPr/>
        <w:t>万元。</w:t>
      </w:r>
    </w:p>
    <w:p>
      <w:pPr>
        <w:pStyle w:val="BodyText"/>
        <w:spacing w:line="300" w:lineRule="auto" w:before="49"/>
        <w:ind w:right="1140" w:firstLine="360"/>
        <w:jc w:val="both"/>
      </w:pPr>
      <w:r>
        <w:rPr>
          <w:rFonts w:ascii="Times New Roman" w:hAnsi="Times New Roman" w:cs="Times New Roman" w:eastAsia="Times New Roman" w:hint="default"/>
        </w:rPr>
        <w:t>4</w:t>
      </w:r>
      <w:r>
        <w:rPr/>
        <w:t>）泡椒网。泡椒网为泡椒思志旗下独立运营的手机游戏运营平台，其主要业务模式是利用平台的用户资源为游戏联运 及应用厂商等提供推广、分发服务。截止报告期末，累计注册用户达</w:t>
      </w:r>
      <w:r>
        <w:rPr>
          <w:rFonts w:ascii="Times New Roman" w:hAnsi="Times New Roman" w:cs="Times New Roman" w:eastAsia="Times New Roman" w:hint="default"/>
        </w:rPr>
        <w:t>362</w:t>
      </w:r>
      <w:r>
        <w:rPr/>
        <w:t>万，月均活跃用户数</w:t>
      </w:r>
      <w:r>
        <w:rPr>
          <w:rFonts w:ascii="Times New Roman" w:hAnsi="Times New Roman" w:cs="Times New Roman" w:eastAsia="Times New Roman" w:hint="default"/>
        </w:rPr>
        <w:t>60.2</w:t>
      </w:r>
      <w:r>
        <w:rPr/>
        <w:t>万，月均付费用户数约为 </w:t>
      </w:r>
      <w:r>
        <w:rPr>
          <w:rFonts w:ascii="Times New Roman" w:hAnsi="Times New Roman" w:cs="Times New Roman" w:eastAsia="Times New Roman" w:hint="default"/>
        </w:rPr>
        <w:t>6.7</w:t>
      </w:r>
      <w:r>
        <w:rPr/>
        <w:t>万。</w:t>
      </w:r>
    </w:p>
    <w:p>
      <w:pPr>
        <w:pStyle w:val="BodyText"/>
        <w:spacing w:line="357" w:lineRule="auto" w:before="53"/>
        <w:ind w:left="1494" w:right="0" w:hanging="360"/>
        <w:jc w:val="left"/>
      </w:pPr>
      <w:r>
        <w:rPr/>
        <w:t>（二）公司的经营模式 </w:t>
      </w:r>
      <w:r>
        <w:rPr>
          <w:spacing w:val="-5"/>
          <w:w w:val="100"/>
        </w:rPr>
        <w:t>公司秉持</w:t>
      </w:r>
      <w:r>
        <w:rPr>
          <w:rFonts w:ascii="Times New Roman" w:hAnsi="Times New Roman" w:cs="Times New Roman" w:eastAsia="Times New Roman" w:hint="default"/>
          <w:spacing w:val="-5"/>
          <w:w w:val="100"/>
        </w:rPr>
        <w:t>“</w:t>
      </w:r>
      <w:r>
        <w:rPr>
          <w:spacing w:val="-5"/>
          <w:w w:val="100"/>
        </w:rPr>
        <w:t>以市场为导向，视品质如生命</w:t>
      </w:r>
      <w:r>
        <w:rPr>
          <w:rFonts w:ascii="Times New Roman" w:hAnsi="Times New Roman" w:cs="Times New Roman" w:eastAsia="Times New Roman" w:hint="default"/>
          <w:spacing w:val="-5"/>
          <w:w w:val="100"/>
        </w:rPr>
        <w:t>”</w:t>
      </w:r>
      <w:r>
        <w:rPr>
          <w:spacing w:val="-5"/>
          <w:w w:val="100"/>
        </w:rPr>
        <w:t>的经营理念，持续为客户提供优质的产品与服务，致力于为客户提供一个安全、</w:t>
      </w:r>
    </w:p>
    <w:p>
      <w:pPr>
        <w:pStyle w:val="BodyText"/>
        <w:spacing w:line="201" w:lineRule="exact" w:before="0"/>
        <w:ind w:left="1134" w:right="0"/>
        <w:jc w:val="left"/>
      </w:pPr>
      <w:r>
        <w:rPr/>
        <w:t>绿色、高效的互联网环境。在产品研发方面，公司把自主创新设为公司发展的基石，公司在深圳、北京、武汉、成都设立了</w:t>
      </w:r>
    </w:p>
    <w:p>
      <w:pPr>
        <w:pStyle w:val="BodyText"/>
        <w:spacing w:line="319" w:lineRule="auto" w:before="76"/>
        <w:ind w:left="1134" w:right="1131"/>
        <w:jc w:val="both"/>
      </w:pPr>
      <w:r>
        <w:rPr>
          <w:spacing w:val="-2"/>
        </w:rPr>
        <w:t>研发基地，为企业积累了丰富的技术信息和科学研发能力，同时紧跟市场需求，积极扩大产品种类，为公司的发展提供坚强</w:t>
      </w:r>
      <w:r>
        <w:rPr>
          <w:spacing w:val="-66"/>
        </w:rPr>
        <w:t> </w:t>
      </w:r>
      <w:r>
        <w:rPr>
          <w:spacing w:val="-66"/>
        </w:rPr>
      </w:r>
      <w:r>
        <w:rPr>
          <w:spacing w:val="-2"/>
        </w:rPr>
        <w:t>的后盾力量。在市场销售方面，公司以深圳总部为核心，建立了完善的产品和服务输出体系，经过多年的不懈努力发展，在</w:t>
      </w:r>
      <w:r>
        <w:rPr>
          <w:spacing w:val="-66"/>
        </w:rPr>
        <w:t> </w:t>
      </w:r>
      <w:r>
        <w:rPr>
          <w:spacing w:val="-66"/>
        </w:rPr>
      </w:r>
      <w:r>
        <w:rPr/>
        <w:t>各地均建立了稳固牢靠的客户基础。</w:t>
      </w:r>
    </w:p>
    <w:p>
      <w:pPr>
        <w:pStyle w:val="BodyText"/>
        <w:spacing w:line="357" w:lineRule="auto" w:before="56"/>
        <w:ind w:left="1494" w:right="0" w:hanging="360"/>
        <w:jc w:val="left"/>
      </w:pPr>
      <w:r>
        <w:rPr/>
        <w:t>（三）主要业绩驱动因素 </w:t>
      </w:r>
      <w:r>
        <w:rPr>
          <w:spacing w:val="-4"/>
        </w:rPr>
        <w:t>国家对网络安全的重视有利于网络安全行业积极发展。以互联网为代表的网络技术正在改变着全球经济格局、利益格局、</w:t>
      </w:r>
    </w:p>
    <w:p>
      <w:pPr>
        <w:pStyle w:val="BodyText"/>
        <w:spacing w:line="237" w:lineRule="exact" w:before="0"/>
        <w:ind w:right="0"/>
        <w:jc w:val="left"/>
      </w:pPr>
      <w:r>
        <w:rPr/>
        <w:t>安全格局，网络安全的重要性与日俱增。</w:t>
      </w:r>
      <w:r>
        <w:rPr>
          <w:rFonts w:ascii="Times New Roman" w:hAnsi="Times New Roman" w:cs="Times New Roman" w:eastAsia="Times New Roman" w:hint="default"/>
        </w:rPr>
        <w:t>2017</w:t>
      </w:r>
      <w:r>
        <w:rPr/>
        <w:t>年以来，</w:t>
      </w:r>
      <w:r>
        <w:rPr>
          <w:rFonts w:ascii="Times New Roman" w:hAnsi="Times New Roman" w:cs="Times New Roman" w:eastAsia="Times New Roman" w:hint="default"/>
        </w:rPr>
        <w:t>“WannaCry”</w:t>
      </w:r>
      <w:r>
        <w:rPr/>
        <w:t>敲诈勒索病毒、</w:t>
      </w:r>
      <w:r>
        <w:rPr>
          <w:rFonts w:ascii="Times New Roman" w:hAnsi="Times New Roman" w:cs="Times New Roman" w:eastAsia="Times New Roman" w:hint="default"/>
        </w:rPr>
        <w:t>“</w:t>
      </w:r>
      <w:r>
        <w:rPr/>
        <w:t>暗云Ⅲ</w:t>
      </w:r>
      <w:r>
        <w:rPr>
          <w:rFonts w:ascii="Times New Roman" w:hAnsi="Times New Roman" w:cs="Times New Roman" w:eastAsia="Times New Roman" w:hint="default"/>
        </w:rPr>
        <w:t>”</w:t>
      </w:r>
      <w:r>
        <w:rPr/>
        <w:t>变种木马及</w:t>
      </w:r>
      <w:r>
        <w:rPr>
          <w:rFonts w:ascii="Times New Roman" w:hAnsi="Times New Roman" w:cs="Times New Roman" w:eastAsia="Times New Roman" w:hint="default"/>
        </w:rPr>
        <w:t>“Petya”</w:t>
      </w:r>
      <w:r>
        <w:rPr/>
        <w:t>勒索病毒、</w:t>
      </w:r>
    </w:p>
    <w:p>
      <w:pPr>
        <w:pStyle w:val="BodyText"/>
        <w:spacing w:line="302" w:lineRule="auto" w:before="63"/>
        <w:ind w:right="1170"/>
        <w:jc w:val="both"/>
      </w:pPr>
      <w:r>
        <w:rPr>
          <w:rFonts w:ascii="Times New Roman" w:hAnsi="Times New Roman" w:cs="Times New Roman" w:eastAsia="Times New Roman" w:hint="default"/>
        </w:rPr>
        <w:t>office</w:t>
      </w:r>
      <w:r>
        <w:rPr/>
        <w:t>高危漏洞导致恶意邮件窃取隐私等网络安全事故频频发生，不仅严重影响到了互联网使用者的个人利益，而且严重威</w:t>
      </w:r>
      <w:r>
        <w:rPr>
          <w:w w:val="99"/>
        </w:rPr>
        <w:t> </w:t>
      </w:r>
      <w:r>
        <w:rPr/>
        <w:t>胁到了经济社会的安全和稳定。</w:t>
      </w:r>
    </w:p>
    <w:p>
      <w:pPr>
        <w:pStyle w:val="BodyText"/>
        <w:spacing w:line="300" w:lineRule="auto" w:before="68"/>
        <w:ind w:right="1131" w:firstLine="360"/>
        <w:jc w:val="both"/>
      </w:pPr>
      <w:r>
        <w:rPr>
          <w:spacing w:val="-5"/>
        </w:rPr>
        <w:t>近年来，我国网络安全事件处理数量增长迅速，我国陆续颁布了一系列关于维护国家信息安全相关法律法规和政策。</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日，《中华人民共和国网络安全法》正式实施，填补了我国在网络安全领域的法律空白，标志着我国网络安全从此有</w:t>
      </w:r>
      <w:r>
        <w:rPr>
          <w:spacing w:val="-64"/>
        </w:rPr>
        <w:t> </w:t>
      </w:r>
      <w:r>
        <w:rPr>
          <w:spacing w:val="-64"/>
        </w:rPr>
      </w:r>
      <w:r>
        <w:rPr>
          <w:spacing w:val="-4"/>
        </w:rPr>
        <w:t>法可依。</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月，《深化党和国家机构改革方案》将中央网络安全和信息化领导小组改为中央网络安全和信息化委员会，</w:t>
      </w:r>
      <w:r>
        <w:rPr>
          <w:spacing w:val="-36"/>
        </w:rPr>
        <w:t> </w:t>
      </w:r>
      <w:r>
        <w:rPr>
          <w:spacing w:val="-36"/>
        </w:rPr>
      </w:r>
      <w:r>
        <w:rPr>
          <w:spacing w:val="-2"/>
        </w:rPr>
        <w:t>并将之前工信部下属的国家计算机网络与信息安全管理中心调整为中央网络安全和信息化委员会办公室管理，组织架构的调</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left="1134" w:right="1032"/>
        <w:jc w:val="left"/>
      </w:pPr>
      <w:r>
        <w:rPr/>
        <w:t>整体现了国家对网络安全的重视。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日，中共中央网络安全和信息化委员会办公室和中国证监会联合印发《关于</w:t>
      </w:r>
      <w:r>
        <w:rPr>
          <w:spacing w:val="-83"/>
        </w:rPr>
        <w:t> </w:t>
      </w:r>
      <w:r>
        <w:rPr>
          <w:spacing w:val="-83"/>
        </w:rPr>
      </w:r>
      <w:r>
        <w:rPr>
          <w:spacing w:val="-2"/>
        </w:rPr>
        <w:t>推动资本市场服务网络强国建设的指导意见》，该文件的出台有助于发挥资本市场支持网络强国建设的积极作用，有助于网</w:t>
      </w:r>
      <w:r>
        <w:rPr>
          <w:spacing w:val="-67"/>
        </w:rPr>
        <w:t> </w:t>
      </w:r>
      <w:r>
        <w:rPr>
          <w:spacing w:val="-67"/>
        </w:rPr>
      </w:r>
      <w:r>
        <w:rPr/>
        <w:t>信企业利用多层次资本市场做大做强。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日，全国网络安全和信息化工作会议在北京召开，中共中央总书记、国</w:t>
      </w:r>
      <w:r>
        <w:rPr>
          <w:spacing w:val="-84"/>
        </w:rPr>
        <w:t> </w:t>
      </w:r>
      <w:r>
        <w:rPr>
          <w:spacing w:val="-84"/>
        </w:rPr>
      </w:r>
      <w:r>
        <w:rPr/>
        <w:t>家主席、中央军委主席、中央网络安全和信息化委员会主任习近平出席会议并发表重要讲话。习主席指出，维护网络安全，</w:t>
      </w:r>
      <w:r>
        <w:rPr>
          <w:spacing w:val="-85"/>
        </w:rPr>
        <w:t> </w:t>
      </w:r>
      <w:r>
        <w:rPr>
          <w:spacing w:val="-85"/>
        </w:rPr>
      </w:r>
      <w:r>
        <w:rPr>
          <w:spacing w:val="-2"/>
        </w:rPr>
        <w:t>推动信息领域核心技术突破，发挥信息化对经济社会发展的引领作用，加强网信领域军民融合，主动参与网络空间国际治理</w:t>
      </w:r>
      <w:r>
        <w:rPr>
          <w:spacing w:val="-66"/>
        </w:rPr>
        <w:t> </w:t>
      </w:r>
      <w:r>
        <w:rPr>
          <w:spacing w:val="-66"/>
        </w:rPr>
      </w:r>
      <w:r>
        <w:rPr/>
        <w:t>进程，自主创新推进网络强国建设。</w:t>
      </w:r>
    </w:p>
    <w:p>
      <w:pPr>
        <w:pStyle w:val="BodyText"/>
        <w:spacing w:line="316" w:lineRule="auto" w:before="63"/>
        <w:ind w:left="1134" w:right="1130" w:firstLine="360"/>
        <w:jc w:val="both"/>
      </w:pPr>
      <w:r>
        <w:rPr>
          <w:spacing w:val="-6"/>
        </w:rPr>
        <w:t>网络安全需求日趋多样化。政府、电信、银行、能源、军队等仍然是网络安全企业关注的重点行业，证券、交通、教育、</w:t>
      </w:r>
      <w:r>
        <w:rPr/>
        <w:t> </w:t>
      </w:r>
      <w:r>
        <w:rPr>
          <w:spacing w:val="-2"/>
        </w:rPr>
        <w:t>制造等新兴市场需求强劲，为网络安全产品市场注入新的活力，网络安全产品结构愈加丰富。以北京亚鸿为例，随着国家对</w:t>
      </w:r>
      <w:r>
        <w:rPr>
          <w:spacing w:val="-65"/>
        </w:rPr>
        <w:t> </w:t>
      </w:r>
      <w:r>
        <w:rPr>
          <w:spacing w:val="-65"/>
        </w:rPr>
      </w:r>
      <w:r>
        <w:rPr/>
        <w:t>电信网络诈骗的重视，北京亚鸿研发的电信</w:t>
      </w:r>
      <w:r>
        <w:rPr>
          <w:rFonts w:ascii="Times New Roman" w:hAnsi="Times New Roman" w:cs="Times New Roman" w:eastAsia="Times New Roman" w:hint="default"/>
        </w:rPr>
        <w:t>/</w:t>
      </w:r>
      <w:r>
        <w:rPr/>
        <w:t>互联网反欺诈系统在</w:t>
      </w:r>
      <w:r>
        <w:rPr>
          <w:rFonts w:ascii="Times New Roman" w:hAnsi="Times New Roman" w:cs="Times New Roman" w:eastAsia="Times New Roman" w:hint="default"/>
        </w:rPr>
        <w:t>2017</w:t>
      </w:r>
      <w:r>
        <w:rPr/>
        <w:t>年实现销售收入重大突破。</w:t>
      </w:r>
    </w:p>
    <w:p>
      <w:pPr>
        <w:pStyle w:val="BodyText"/>
        <w:spacing w:line="312" w:lineRule="auto" w:before="38"/>
        <w:ind w:right="1033" w:firstLine="360"/>
        <w:jc w:val="left"/>
      </w:pPr>
      <w:r>
        <w:rPr>
          <w:spacing w:val="-5"/>
        </w:rPr>
        <w:t>公司秉承</w:t>
      </w:r>
      <w:r>
        <w:rPr>
          <w:rFonts w:ascii="Times New Roman" w:hAnsi="Times New Roman" w:cs="Times New Roman" w:eastAsia="Times New Roman" w:hint="default"/>
          <w:spacing w:val="-5"/>
        </w:rPr>
        <w:t>“</w:t>
      </w:r>
      <w:r>
        <w:rPr>
          <w:spacing w:val="-5"/>
        </w:rPr>
        <w:t>诚信、敬业、协同、创新</w:t>
      </w:r>
      <w:r>
        <w:rPr>
          <w:rFonts w:ascii="Times New Roman" w:hAnsi="Times New Roman" w:cs="Times New Roman" w:eastAsia="Times New Roman" w:hint="default"/>
          <w:spacing w:val="-5"/>
        </w:rPr>
        <w:t>”</w:t>
      </w:r>
      <w:r>
        <w:rPr>
          <w:spacing w:val="-5"/>
        </w:rPr>
        <w:t>的经营发展理念，抓住国家重视网络安全战略的发展机遇，在巩固原有市场的同时，</w:t>
      </w:r>
      <w:r>
        <w:rPr/>
        <w:t> 积极开辟新市场领域，有效的实施了经营管理层制定的公司年度经营计划，实现了销售收入和经营业绩的稳定增长。同时，</w:t>
      </w:r>
      <w:r>
        <w:rPr>
          <w:spacing w:val="-85"/>
        </w:rPr>
        <w:t> </w:t>
      </w:r>
      <w:r>
        <w:rPr>
          <w:spacing w:val="-85"/>
        </w:rPr>
      </w:r>
      <w:r>
        <w:rPr>
          <w:spacing w:val="-2"/>
        </w:rPr>
        <w:t>公司继续采取内生式增长与外延式发展相结合的方式，在聚焦信息安全领域的同时，大力发展网娱业务，以促进上市公司的</w:t>
      </w:r>
      <w:r>
        <w:rPr>
          <w:spacing w:val="-66"/>
        </w:rPr>
        <w:t> </w:t>
      </w:r>
      <w:r>
        <w:rPr>
          <w:spacing w:val="-66"/>
        </w:rPr>
      </w:r>
      <w:r>
        <w:rPr/>
        <w:t>抗风险能力，实现跨越式发展。</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994"/>
        <w:gridCol w:w="8575"/>
      </w:tblGrid>
      <w:tr>
        <w:trPr>
          <w:trHeight w:val="186"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5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575"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公司对外投资加大，可供出售金融资产较年初增加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7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14,108.32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月并购泡椒思志合并形成商誉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34,110.32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万元；唐人数码业</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绩对赌完成，或有对价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万元无需支付，形成</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万元的营业外收入，同时商誉计提减值准备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7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17,123.89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万元，主要是公司营业收入大幅增加导致应收账款增加。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7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万元，主要是公司项目备货增加。</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tabs>
          <w:tab w:pos="1674" w:val="left" w:leader="none"/>
        </w:tabs>
        <w:spacing w:line="357" w:lineRule="auto" w:before="0"/>
        <w:ind w:right="7710"/>
        <w:jc w:val="left"/>
      </w:pPr>
      <w:r>
        <w:rPr/>
        <w:t>公司是否需要遵守特殊行业的披露要求 是</w:t>
        <w:tab/>
        <w:t>互联网游戏业</w:t>
      </w:r>
    </w:p>
    <w:p>
      <w:pPr>
        <w:pStyle w:val="BodyText"/>
        <w:spacing w:line="316" w:lineRule="auto" w:before="28"/>
        <w:ind w:left="1493" w:right="0"/>
        <w:jc w:val="left"/>
      </w:pPr>
      <w:r>
        <w:rPr/>
        <w:t>（一）国内网络安全领军企业 </w:t>
      </w:r>
      <w:r>
        <w:rPr>
          <w:spacing w:val="-2"/>
        </w:rPr>
        <w:t>公司致力于成为国内领先的</w:t>
      </w:r>
      <w:r>
        <w:rPr>
          <w:rFonts w:ascii="Times New Roman" w:hAnsi="Times New Roman" w:cs="Times New Roman" w:eastAsia="Times New Roman" w:hint="default"/>
          <w:spacing w:val="-2"/>
        </w:rPr>
        <w:t>“</w:t>
      </w:r>
      <w:r>
        <w:rPr>
          <w:spacing w:val="-2"/>
        </w:rPr>
        <w:t>网络空间数据治理专家</w:t>
      </w:r>
      <w:r>
        <w:rPr>
          <w:rFonts w:ascii="Times New Roman" w:hAnsi="Times New Roman" w:cs="Times New Roman" w:eastAsia="Times New Roman" w:hint="default"/>
          <w:spacing w:val="-2"/>
        </w:rPr>
        <w:t>”</w:t>
      </w:r>
      <w:r>
        <w:rPr>
          <w:spacing w:val="-2"/>
        </w:rPr>
        <w:t>，公司参与了国家多部委重大网络安全工程建设，配合政府制定了</w:t>
      </w:r>
    </w:p>
    <w:p>
      <w:pPr>
        <w:pStyle w:val="BodyText"/>
        <w:spacing w:line="300" w:lineRule="auto" w:before="0"/>
        <w:ind w:right="1132"/>
        <w:jc w:val="both"/>
      </w:pPr>
      <w:r>
        <w:rPr>
          <w:spacing w:val="-5"/>
        </w:rPr>
        <w:t>多项网络安全行业标准，是国家互联网安全工程建设援助核心支撑团队，并在公共网络安全审计领域始终保持领军地位。</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日，上海社会科学院互联网研究中心正式发布《全球网络安全企业竞争力研究报告》，公司跻身全球网络安全企业 竞争力</w:t>
      </w:r>
      <w:r>
        <w:rPr>
          <w:rFonts w:ascii="Times New Roman" w:hAnsi="Times New Roman" w:cs="Times New Roman" w:eastAsia="Times New Roman" w:hint="default"/>
        </w:rPr>
        <w:t>100</w:t>
      </w:r>
      <w:r>
        <w:rPr/>
        <w:t>强，行业地位进一步得到巩固。</w:t>
      </w:r>
    </w:p>
    <w:p>
      <w:pPr>
        <w:pStyle w:val="BodyText"/>
        <w:spacing w:line="316" w:lineRule="auto" w:before="13"/>
        <w:ind w:left="1493" w:right="1228"/>
        <w:jc w:val="left"/>
        <w:rPr>
          <w:rFonts w:ascii="Times New Roman" w:hAnsi="Times New Roman" w:cs="Times New Roman" w:eastAsia="Times New Roman" w:hint="default"/>
        </w:rPr>
      </w:pPr>
      <w:r>
        <w:rPr/>
        <w:t>（二）优秀的核心团队和良好的激励机制 截止到本报告期末，公司共有员工</w:t>
      </w:r>
      <w:r>
        <w:rPr>
          <w:rFonts w:ascii="Times New Roman" w:hAnsi="Times New Roman" w:cs="Times New Roman" w:eastAsia="Times New Roman" w:hint="default"/>
        </w:rPr>
        <w:t>1,627</w:t>
      </w:r>
      <w:r>
        <w:rPr/>
        <w:t>人，其中</w:t>
      </w:r>
      <w:r>
        <w:rPr>
          <w:rFonts w:ascii="Times New Roman" w:hAnsi="Times New Roman" w:cs="Times New Roman" w:eastAsia="Times New Roman" w:hint="default"/>
        </w:rPr>
        <w:t>57%</w:t>
      </w:r>
      <w:r>
        <w:rPr/>
        <w:t>以上员工为研发人员，</w:t>
      </w:r>
      <w:r>
        <w:rPr>
          <w:rFonts w:ascii="Times New Roman" w:hAnsi="Times New Roman" w:cs="Times New Roman" w:eastAsia="Times New Roman" w:hint="default"/>
        </w:rPr>
        <w:t>71%</w:t>
      </w:r>
      <w:r>
        <w:rPr/>
        <w:t>以上员工具有本科及以上学历。</w:t>
      </w:r>
      <w:r>
        <w:rPr>
          <w:rFonts w:ascii="Times New Roman" w:hAnsi="Times New Roman" w:cs="Times New Roman" w:eastAsia="Times New Roman" w:hint="default"/>
        </w:rPr>
        <w:t>2017</w:t>
      </w:r>
    </w:p>
    <w:p>
      <w:pPr>
        <w:spacing w:after="0" w:line="316"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30"/>
        <w:jc w:val="both"/>
      </w:pPr>
      <w:r>
        <w:rPr>
          <w:spacing w:val="-2"/>
        </w:rPr>
        <w:t>年度，公司</w:t>
      </w:r>
      <w:r>
        <w:rPr>
          <w:rFonts w:ascii="Times New Roman" w:hAnsi="Times New Roman" w:cs="Times New Roman" w:eastAsia="Times New Roman" w:hint="default"/>
          <w:spacing w:val="-2"/>
        </w:rPr>
        <w:t>4</w:t>
      </w:r>
      <w:r>
        <w:rPr>
          <w:spacing w:val="-2"/>
        </w:rPr>
        <w:t>名员工被深圳市政府认定为高层次专业人才，</w:t>
      </w:r>
      <w:r>
        <w:rPr>
          <w:rFonts w:ascii="Times New Roman" w:hAnsi="Times New Roman" w:cs="Times New Roman" w:eastAsia="Times New Roman" w:hint="default"/>
          <w:spacing w:val="-2"/>
        </w:rPr>
        <w:t>1</w:t>
      </w:r>
      <w:r>
        <w:rPr>
          <w:spacing w:val="-2"/>
        </w:rPr>
        <w:t>名员工荣获深圳市</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技能菁英</w:t>
      </w:r>
      <w:r>
        <w:rPr>
          <w:rFonts w:ascii="Times New Roman" w:hAnsi="Times New Roman" w:cs="Times New Roman" w:eastAsia="Times New Roman" w:hint="default"/>
          <w:spacing w:val="-2"/>
        </w:rPr>
        <w:t>”</w:t>
      </w:r>
      <w:r>
        <w:rPr>
          <w:spacing w:val="-2"/>
        </w:rPr>
        <w:t>称号，公司董事长景晓军</w:t>
      </w:r>
      <w:r>
        <w:rPr>
          <w:spacing w:val="-37"/>
        </w:rPr>
        <w:t> </w:t>
      </w:r>
      <w:r>
        <w:rPr>
          <w:spacing w:val="-37"/>
        </w:rPr>
      </w:r>
      <w:r>
        <w:rPr/>
        <w:t>博士成功入选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广东特支计划</w:t>
      </w:r>
      <w:r>
        <w:rPr>
          <w:rFonts w:ascii="Times New Roman" w:hAnsi="Times New Roman" w:cs="Times New Roman" w:eastAsia="Times New Roman" w:hint="default"/>
        </w:rPr>
        <w:t>”</w:t>
      </w:r>
      <w:r>
        <w:rPr/>
        <w:t>科技创业领军人才。</w:t>
      </w:r>
    </w:p>
    <w:p>
      <w:pPr>
        <w:pStyle w:val="BodyText"/>
        <w:spacing w:line="319" w:lineRule="auto" w:before="13"/>
        <w:ind w:left="1134" w:right="1130" w:firstLine="360"/>
        <w:jc w:val="both"/>
      </w:pPr>
      <w:r>
        <w:rPr>
          <w:spacing w:val="-2"/>
        </w:rPr>
        <w:t>为了完善公司薪酬考核体系，增强公司管理团队和业务骨干对实现公司持续、健康发展的责任感、使命感，公司先后推</w:t>
      </w:r>
      <w:r>
        <w:rPr/>
        <w:t> </w:t>
      </w:r>
      <w:r>
        <w:rPr>
          <w:spacing w:val="-2"/>
        </w:rPr>
        <w:t>出了股权激励计划、员工持股计划等，有效的吸引和留住优秀人才。公司的核心管理团队在信息安全领域拥有丰富的实践经</w:t>
      </w:r>
      <w:r>
        <w:rPr>
          <w:spacing w:val="-66"/>
        </w:rPr>
        <w:t> </w:t>
      </w:r>
      <w:r>
        <w:rPr>
          <w:spacing w:val="-66"/>
        </w:rPr>
      </w:r>
      <w:r>
        <w:rPr/>
        <w:t>验，在其带领下公司建设了一支技术根底扎实、应用开发经验丰富的高素质信息安全技术研发队伍。</w:t>
      </w:r>
    </w:p>
    <w:p>
      <w:pPr>
        <w:pStyle w:val="BodyText"/>
        <w:spacing w:line="316" w:lineRule="auto" w:before="17"/>
        <w:ind w:left="1493" w:right="0"/>
        <w:jc w:val="left"/>
      </w:pPr>
      <w:r>
        <w:rPr/>
        <w:t>（三）稳固的客户基础和高效的销售服务体系 </w:t>
      </w:r>
      <w:r>
        <w:rPr>
          <w:spacing w:val="-2"/>
        </w:rPr>
        <w:t>在公共安全业务方面，公司的公共网络安全解决方案的大数据平台产品及智能感知整体解决方案目前已经应用于</w:t>
      </w:r>
      <w:r>
        <w:rPr>
          <w:rFonts w:ascii="Times New Roman" w:hAnsi="Times New Roman" w:cs="Times New Roman" w:eastAsia="Times New Roman" w:hint="default"/>
          <w:spacing w:val="-2"/>
        </w:rPr>
        <w:t>28</w:t>
      </w:r>
      <w:r>
        <w:rPr>
          <w:spacing w:val="-2"/>
        </w:rPr>
        <w:t>个省</w:t>
      </w:r>
    </w:p>
    <w:p>
      <w:pPr>
        <w:pStyle w:val="BodyText"/>
        <w:spacing w:line="300" w:lineRule="auto" w:before="0"/>
        <w:ind w:right="1131"/>
        <w:jc w:val="both"/>
      </w:pPr>
      <w:r>
        <w:rPr/>
        <w:t>的</w:t>
      </w:r>
      <w:r>
        <w:rPr>
          <w:rFonts w:ascii="Times New Roman" w:hAnsi="Times New Roman" w:cs="Times New Roman" w:eastAsia="Times New Roman" w:hint="default"/>
        </w:rPr>
        <w:t>237</w:t>
      </w:r>
      <w:r>
        <w:rPr/>
        <w:t>个地市和区县；网吧安全审计和实名登记解决方案覆盖</w:t>
      </w:r>
      <w:r>
        <w:rPr>
          <w:rFonts w:ascii="Times New Roman" w:hAnsi="Times New Roman" w:cs="Times New Roman" w:eastAsia="Times New Roman" w:hint="default"/>
        </w:rPr>
        <w:t>4</w:t>
      </w:r>
      <w:r>
        <w:rPr/>
        <w:t>万余家网吧，近</w:t>
      </w:r>
      <w:r>
        <w:rPr>
          <w:rFonts w:ascii="Times New Roman" w:hAnsi="Times New Roman" w:cs="Times New Roman" w:eastAsia="Times New Roman" w:hint="default"/>
        </w:rPr>
        <w:t>500</w:t>
      </w:r>
      <w:r>
        <w:rPr/>
        <w:t>万终端用户；互联网公共上网场所类在全 </w:t>
      </w:r>
      <w:r>
        <w:rPr>
          <w:spacing w:val="-1"/>
        </w:rPr>
        <w:t>国</w:t>
      </w:r>
      <w:r>
        <w:rPr>
          <w:rFonts w:ascii="Times New Roman" w:hAnsi="Times New Roman" w:cs="Times New Roman" w:eastAsia="Times New Roman" w:hint="default"/>
          <w:spacing w:val="-1"/>
        </w:rPr>
        <w:t>317</w:t>
      </w:r>
      <w:r>
        <w:rPr>
          <w:spacing w:val="-1"/>
        </w:rPr>
        <w:t>城市安装审计设备达</w:t>
      </w:r>
      <w:r>
        <w:rPr>
          <w:rFonts w:ascii="Times New Roman" w:hAnsi="Times New Roman" w:cs="Times New Roman" w:eastAsia="Times New Roman" w:hint="default"/>
          <w:spacing w:val="-1"/>
        </w:rPr>
        <w:t>38</w:t>
      </w:r>
      <w:r>
        <w:rPr>
          <w:spacing w:val="-1"/>
        </w:rPr>
        <w:t>万余台，涉及到的</w:t>
      </w:r>
      <w:r>
        <w:rPr>
          <w:rFonts w:ascii="Times New Roman" w:hAnsi="Times New Roman" w:cs="Times New Roman" w:eastAsia="Times New Roman" w:hint="default"/>
          <w:spacing w:val="-1"/>
        </w:rPr>
        <w:t>17.7</w:t>
      </w:r>
      <w:r>
        <w:rPr>
          <w:spacing w:val="-1"/>
        </w:rPr>
        <w:t>万家非经营性上网场所，日均保障</w:t>
      </w:r>
      <w:r>
        <w:rPr>
          <w:rFonts w:ascii="Times New Roman" w:hAnsi="Times New Roman" w:cs="Times New Roman" w:eastAsia="Times New Roman" w:hint="default"/>
          <w:spacing w:val="-1"/>
        </w:rPr>
        <w:t>230</w:t>
      </w:r>
      <w:r>
        <w:rPr>
          <w:spacing w:val="-1"/>
        </w:rPr>
        <w:t>多万智能终端安全上网，公共安全</w:t>
      </w:r>
      <w:r>
        <w:rPr>
          <w:spacing w:val="-71"/>
        </w:rPr>
        <w:t> </w:t>
      </w:r>
      <w:r>
        <w:rPr>
          <w:spacing w:val="-71"/>
        </w:rPr>
      </w:r>
      <w:r>
        <w:rPr/>
        <w:t>场所合规安全审计覆盖面处于国内领先地位。</w:t>
      </w:r>
    </w:p>
    <w:p>
      <w:pPr>
        <w:pStyle w:val="BodyText"/>
        <w:spacing w:line="316" w:lineRule="auto" w:before="31"/>
        <w:ind w:right="1130" w:firstLine="360"/>
        <w:jc w:val="both"/>
      </w:pPr>
      <w:r>
        <w:rPr>
          <w:spacing w:val="-2"/>
        </w:rPr>
        <w:t>在舆情管理方面，公司与中国移动通信集团公司、中国联合通信有限公司、中国电信集团公司等客户建立长期合作，同</w:t>
      </w:r>
      <w:r>
        <w:rPr/>
        <w:t> 时在海外市场突破多个国家级网络安全项目，树立了良好的国际口碑。</w:t>
      </w:r>
    </w:p>
    <w:p>
      <w:pPr>
        <w:pStyle w:val="BodyText"/>
        <w:spacing w:line="300" w:lineRule="auto"/>
        <w:ind w:right="1132" w:firstLine="360"/>
        <w:jc w:val="both"/>
      </w:pPr>
      <w:r>
        <w:rPr>
          <w:spacing w:val="-2"/>
        </w:rPr>
        <w:t>在运营商业务方面，公司已为</w:t>
      </w:r>
      <w:r>
        <w:rPr>
          <w:rFonts w:ascii="Times New Roman" w:hAnsi="Times New Roman" w:cs="Times New Roman" w:eastAsia="Times New Roman" w:hint="default"/>
          <w:spacing w:val="-2"/>
        </w:rPr>
        <w:t>25</w:t>
      </w:r>
      <w:r>
        <w:rPr>
          <w:spacing w:val="-2"/>
        </w:rPr>
        <w:t>省的通信管理局、</w:t>
      </w:r>
      <w:r>
        <w:rPr>
          <w:rFonts w:ascii="Times New Roman" w:hAnsi="Times New Roman" w:cs="Times New Roman" w:eastAsia="Times New Roman" w:hint="default"/>
          <w:spacing w:val="-2"/>
        </w:rPr>
        <w:t>18</w:t>
      </w:r>
      <w:r>
        <w:rPr>
          <w:spacing w:val="-2"/>
        </w:rPr>
        <w:t>省中国联合通信有限公司及其分支机构、</w:t>
      </w:r>
      <w:r>
        <w:rPr>
          <w:rFonts w:ascii="Times New Roman" w:hAnsi="Times New Roman" w:cs="Times New Roman" w:eastAsia="Times New Roman" w:hint="default"/>
          <w:spacing w:val="-2"/>
        </w:rPr>
        <w:t>19</w:t>
      </w:r>
      <w:r>
        <w:rPr>
          <w:spacing w:val="-2"/>
        </w:rPr>
        <w:t>省中国移动通信集团公</w:t>
      </w:r>
      <w:r>
        <w:rPr/>
        <w:t> </w:t>
      </w:r>
      <w:r>
        <w:rPr>
          <w:spacing w:val="-2"/>
        </w:rPr>
        <w:t>司及其分支机构、</w:t>
      </w:r>
      <w:r>
        <w:rPr>
          <w:rFonts w:ascii="Times New Roman" w:hAnsi="Times New Roman" w:cs="Times New Roman" w:eastAsia="Times New Roman" w:hint="default"/>
          <w:spacing w:val="-2"/>
        </w:rPr>
        <w:t>6</w:t>
      </w:r>
      <w:r>
        <w:rPr>
          <w:spacing w:val="-2"/>
        </w:rPr>
        <w:t>省中国电信集团公司及其分支机构、</w:t>
      </w:r>
      <w:r>
        <w:rPr>
          <w:rFonts w:ascii="Times New Roman" w:hAnsi="Times New Roman" w:cs="Times New Roman" w:eastAsia="Times New Roman" w:hint="default"/>
          <w:spacing w:val="-2"/>
        </w:rPr>
        <w:t>14</w:t>
      </w:r>
      <w:r>
        <w:rPr>
          <w:spacing w:val="-2"/>
        </w:rPr>
        <w:t>省中国铁通集团有限公司及其分支机构、</w:t>
      </w:r>
      <w:r>
        <w:rPr>
          <w:rFonts w:ascii="Times New Roman" w:hAnsi="Times New Roman" w:cs="Times New Roman" w:eastAsia="Times New Roman" w:hint="default"/>
          <w:spacing w:val="-2"/>
        </w:rPr>
        <w:t>1300</w:t>
      </w:r>
      <w:r>
        <w:rPr>
          <w:spacing w:val="-2"/>
        </w:rPr>
        <w:t>余多家</w:t>
      </w:r>
      <w:r>
        <w:rPr>
          <w:rFonts w:ascii="Times New Roman" w:hAnsi="Times New Roman" w:cs="Times New Roman" w:eastAsia="Times New Roman" w:hint="default"/>
          <w:spacing w:val="-2"/>
        </w:rPr>
        <w:t>IDC/ISP</w:t>
      </w:r>
      <w:r>
        <w:rPr>
          <w:spacing w:val="-2"/>
        </w:rPr>
        <w:t>企业</w:t>
      </w:r>
      <w:r>
        <w:rPr>
          <w:spacing w:val="-42"/>
        </w:rPr>
        <w:t> </w:t>
      </w:r>
      <w:r>
        <w:rPr/>
        <w:t>提供互联网信息安全综合管理解决方案。</w:t>
      </w:r>
    </w:p>
    <w:p>
      <w:pPr>
        <w:pStyle w:val="BodyText"/>
        <w:spacing w:line="316" w:lineRule="auto" w:before="31"/>
        <w:ind w:right="1130" w:firstLine="360"/>
        <w:jc w:val="both"/>
      </w:pPr>
      <w:r>
        <w:rPr>
          <w:spacing w:val="-2"/>
        </w:rPr>
        <w:t>公司目前已建立起一套完善强大的客户营销服务体系，形成以深圳为主体，营销服务分支遍布全国各地的模式，能在第</w:t>
      </w:r>
      <w:r>
        <w:rPr/>
        <w:t> </w:t>
      </w:r>
      <w:r>
        <w:rPr>
          <w:spacing w:val="-2"/>
        </w:rPr>
        <w:t>一时间内响应客户，解决客户遇到的问题，持续、及时、有效的为客户提供售前、售后服务与技术支持。目前公司产品和服</w:t>
      </w:r>
      <w:r>
        <w:rPr>
          <w:spacing w:val="-67"/>
        </w:rPr>
        <w:t> </w:t>
      </w:r>
      <w:r>
        <w:rPr>
          <w:spacing w:val="-67"/>
        </w:rPr>
      </w:r>
      <w:r>
        <w:rPr>
          <w:spacing w:val="-2"/>
        </w:rPr>
        <w:t>务输出体系已覆盖北方区、华北华东区、西北区、河南区、华中区、华南区、贵州区以及广东区等八大销售区域，且公司在</w:t>
      </w:r>
      <w:r>
        <w:rPr>
          <w:spacing w:val="-72"/>
        </w:rPr>
        <w:t> </w:t>
      </w:r>
      <w:r>
        <w:rPr>
          <w:spacing w:val="-72"/>
        </w:rPr>
      </w:r>
      <w:r>
        <w:rPr>
          <w:spacing w:val="-4"/>
        </w:rPr>
        <w:t>全国设立</w:t>
      </w:r>
      <w:r>
        <w:rPr>
          <w:rFonts w:ascii="Times New Roman" w:hAnsi="Times New Roman" w:cs="Times New Roman" w:eastAsia="Times New Roman" w:hint="default"/>
          <w:spacing w:val="-4"/>
        </w:rPr>
        <w:t>33</w:t>
      </w:r>
      <w:r>
        <w:rPr>
          <w:spacing w:val="-4"/>
        </w:rPr>
        <w:t>个分支机构，北京、上海、贵阳、佛山、武汉设立</w:t>
      </w:r>
      <w:r>
        <w:rPr>
          <w:rFonts w:ascii="Times New Roman" w:hAnsi="Times New Roman" w:cs="Times New Roman" w:eastAsia="Times New Roman" w:hint="default"/>
          <w:spacing w:val="-4"/>
        </w:rPr>
        <w:t>5</w:t>
      </w:r>
      <w:r>
        <w:rPr>
          <w:spacing w:val="-4"/>
        </w:rPr>
        <w:t>家分公司，保证为客户提供及时、便捷、专业、高效的服务。</w:t>
      </w:r>
    </w:p>
    <w:p>
      <w:pPr>
        <w:pStyle w:val="BodyText"/>
        <w:spacing w:line="235" w:lineRule="exact" w:before="0"/>
        <w:ind w:left="1494" w:right="0"/>
        <w:jc w:val="left"/>
      </w:pPr>
      <w:r>
        <w:rPr/>
        <w:t>（四）优秀的技术实力和研发能力</w:t>
      </w:r>
    </w:p>
    <w:p>
      <w:pPr>
        <w:pStyle w:val="BodyText"/>
        <w:spacing w:line="304" w:lineRule="auto" w:before="117"/>
        <w:ind w:right="1131" w:firstLine="360"/>
        <w:jc w:val="both"/>
      </w:pPr>
      <w:r>
        <w:rPr>
          <w:rFonts w:ascii="Times New Roman" w:hAnsi="Times New Roman" w:cs="Times New Roman" w:eastAsia="Times New Roman" w:hint="default"/>
        </w:rPr>
        <w:t>2017</w:t>
      </w:r>
      <w:r>
        <w:rPr/>
        <w:t>年度，公司申报的《移动互联网应用审计与综合处理平台》荣获深圳市科技进步一等奖；公司获批建设了</w:t>
      </w:r>
      <w:r>
        <w:rPr>
          <w:rFonts w:ascii="Times New Roman" w:hAnsi="Times New Roman" w:cs="Times New Roman" w:eastAsia="Times New Roman" w:hint="default"/>
        </w:rPr>
        <w:t>“</w:t>
      </w:r>
      <w:r>
        <w:rPr/>
        <w:t>网络空 间治理技术国家地方联合工程研究中心（深圳）</w:t>
      </w:r>
      <w:r>
        <w:rPr>
          <w:rFonts w:ascii="Times New Roman" w:hAnsi="Times New Roman" w:cs="Times New Roman" w:eastAsia="Times New Roman" w:hint="default"/>
        </w:rPr>
        <w:t>”</w:t>
      </w:r>
      <w:r>
        <w:rPr/>
        <w:t>，实现了近年来公司在国家级重大科技创新平台的重大突破，有助于公司 </w:t>
      </w:r>
      <w:r>
        <w:rPr>
          <w:spacing w:val="-2"/>
        </w:rPr>
        <w:t>进一步推进产学研合作机制，积极参与和推动国家网络空间安全建设，提升公司的自主创新能力，增强公司核心竞争力，促</w:t>
      </w:r>
      <w:r>
        <w:rPr>
          <w:spacing w:val="-66"/>
        </w:rPr>
        <w:t> </w:t>
      </w:r>
      <w:r>
        <w:rPr>
          <w:spacing w:val="-66"/>
        </w:rPr>
      </w:r>
      <w:r>
        <w:rPr>
          <w:spacing w:val="-2"/>
        </w:rPr>
        <w:t>进公司可持续发展。</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月，工信部发布</w:t>
      </w:r>
      <w:r>
        <w:rPr>
          <w:rFonts w:ascii="Times New Roman" w:hAnsi="Times New Roman" w:cs="Times New Roman" w:eastAsia="Times New Roman" w:hint="default"/>
          <w:spacing w:val="-2"/>
        </w:rPr>
        <w:t>2017</w:t>
      </w:r>
      <w:r>
        <w:rPr>
          <w:spacing w:val="-2"/>
        </w:rPr>
        <w:t>年电信和互联网行业网络安全试点示范项目公示公告，公司全资子公司北</w:t>
      </w:r>
      <w:r>
        <w:rPr>
          <w:spacing w:val="-56"/>
        </w:rPr>
        <w:t> </w:t>
      </w:r>
      <w:r>
        <w:rPr>
          <w:spacing w:val="-56"/>
        </w:rPr>
      </w:r>
      <w:r>
        <w:rPr/>
        <w:t>京亚鸿入围工信部</w:t>
      </w:r>
      <w:r>
        <w:rPr>
          <w:rFonts w:ascii="Times New Roman" w:hAnsi="Times New Roman" w:cs="Times New Roman" w:eastAsia="Times New Roman" w:hint="default"/>
        </w:rPr>
        <w:t>2017</w:t>
      </w:r>
      <w:r>
        <w:rPr/>
        <w:t>年网络安全试点示范项目，公司技术实力和服务能力得到多方认可。</w:t>
      </w:r>
    </w:p>
    <w:p>
      <w:pPr>
        <w:pStyle w:val="BodyText"/>
        <w:spacing w:line="300" w:lineRule="auto" w:before="48"/>
        <w:ind w:right="1033" w:firstLine="360"/>
        <w:jc w:val="left"/>
      </w:pPr>
      <w:r>
        <w:rPr/>
        <w:t>公司非常重视并投入大量的资源用于研发工作，近三年的研发投入占公司的销售收入的比例均在</w:t>
      </w:r>
      <w:r>
        <w:rPr>
          <w:rFonts w:ascii="Times New Roman" w:hAnsi="Times New Roman" w:cs="Times New Roman" w:eastAsia="Times New Roman" w:hint="default"/>
        </w:rPr>
        <w:t>10%</w:t>
      </w:r>
      <w:r>
        <w:rPr/>
        <w:t>以上。截止目前，</w:t>
      </w:r>
      <w:r>
        <w:rPr>
          <w:spacing w:val="1"/>
        </w:rPr>
        <w:t> </w:t>
      </w:r>
      <w:r>
        <w:rPr/>
        <w:t>公司拥有</w:t>
      </w:r>
      <w:r>
        <w:rPr>
          <w:rFonts w:ascii="Times New Roman" w:hAnsi="Times New Roman" w:cs="Times New Roman" w:eastAsia="Times New Roman" w:hint="default"/>
        </w:rPr>
        <w:t>40</w:t>
      </w:r>
      <w:r>
        <w:rPr/>
        <w:t>余项国家级核心技术，</w:t>
      </w:r>
      <w:r>
        <w:rPr>
          <w:rFonts w:ascii="Times New Roman" w:hAnsi="Times New Roman" w:cs="Times New Roman" w:eastAsia="Times New Roman" w:hint="default"/>
        </w:rPr>
        <w:t>50</w:t>
      </w:r>
      <w:r>
        <w:rPr/>
        <w:t>多项国家级重大课题研发，</w:t>
      </w:r>
      <w:r>
        <w:rPr>
          <w:rFonts w:ascii="Times New Roman" w:hAnsi="Times New Roman" w:cs="Times New Roman" w:eastAsia="Times New Roman" w:hint="default"/>
        </w:rPr>
        <w:t>700</w:t>
      </w:r>
      <w:r>
        <w:rPr/>
        <w:t>多项行业准入资质，</w:t>
      </w:r>
      <w:r>
        <w:rPr>
          <w:rFonts w:ascii="Times New Roman" w:hAnsi="Times New Roman" w:cs="Times New Roman" w:eastAsia="Times New Roman" w:hint="default"/>
        </w:rPr>
        <w:t>200</w:t>
      </w:r>
      <w:r>
        <w:rPr/>
        <w:t>多项国家级和省市级重大荣誉。</w:t>
      </w:r>
      <w:r>
        <w:rPr>
          <w:spacing w:val="-85"/>
        </w:rPr>
        <w:t> </w:t>
      </w:r>
      <w:r>
        <w:rPr>
          <w:spacing w:val="-85"/>
        </w:rPr>
      </w:r>
      <w:r>
        <w:rPr>
          <w:spacing w:val="-2"/>
        </w:rPr>
        <w:t>已拥有计算机软件著作权登记证书</w:t>
      </w:r>
      <w:r>
        <w:rPr>
          <w:rFonts w:ascii="Times New Roman" w:hAnsi="Times New Roman" w:cs="Times New Roman" w:eastAsia="Times New Roman" w:hint="default"/>
          <w:spacing w:val="-2"/>
        </w:rPr>
        <w:t>516</w:t>
      </w:r>
      <w:r>
        <w:rPr>
          <w:spacing w:val="-2"/>
        </w:rPr>
        <w:t>件，申请专利</w:t>
      </w:r>
      <w:r>
        <w:rPr>
          <w:rFonts w:ascii="Times New Roman" w:hAnsi="Times New Roman" w:cs="Times New Roman" w:eastAsia="Times New Roman" w:hint="default"/>
          <w:spacing w:val="-2"/>
        </w:rPr>
        <w:t>126</w:t>
      </w:r>
      <w:r>
        <w:rPr>
          <w:spacing w:val="-2"/>
        </w:rPr>
        <w:t>件，获得已授权专利</w:t>
      </w:r>
      <w:r>
        <w:rPr>
          <w:rFonts w:ascii="Times New Roman" w:hAnsi="Times New Roman" w:cs="Times New Roman" w:eastAsia="Times New Roman" w:hint="default"/>
          <w:spacing w:val="-2"/>
        </w:rPr>
        <w:t>17</w:t>
      </w:r>
      <w:r>
        <w:rPr>
          <w:spacing w:val="-2"/>
        </w:rPr>
        <w:t>件，其中发明专利</w:t>
      </w:r>
      <w:r>
        <w:rPr>
          <w:rFonts w:ascii="Times New Roman" w:hAnsi="Times New Roman" w:cs="Times New Roman" w:eastAsia="Times New Roman" w:hint="default"/>
          <w:spacing w:val="-2"/>
        </w:rPr>
        <w:t>9</w:t>
      </w:r>
      <w:r>
        <w:rPr>
          <w:spacing w:val="-2"/>
        </w:rPr>
        <w:t>件，外观设计</w:t>
      </w:r>
      <w:r>
        <w:rPr>
          <w:rFonts w:ascii="Times New Roman" w:hAnsi="Times New Roman" w:cs="Times New Roman" w:eastAsia="Times New Roman" w:hint="default"/>
          <w:spacing w:val="-2"/>
        </w:rPr>
        <w:t>3</w:t>
      </w:r>
      <w:r>
        <w:rPr>
          <w:spacing w:val="-2"/>
        </w:rPr>
        <w:t>件，实用新</w:t>
      </w:r>
      <w:r>
        <w:rPr>
          <w:spacing w:val="-59"/>
        </w:rPr>
        <w:t> </w:t>
      </w:r>
      <w:r>
        <w:rPr>
          <w:spacing w:val="-59"/>
        </w:rPr>
      </w:r>
      <w:r>
        <w:rPr/>
        <w:t>型</w:t>
      </w:r>
      <w:r>
        <w:rPr>
          <w:rFonts w:ascii="Times New Roman" w:hAnsi="Times New Roman" w:cs="Times New Roman" w:eastAsia="Times New Roman" w:hint="default"/>
        </w:rPr>
        <w:t>5</w:t>
      </w:r>
      <w:r>
        <w:rPr/>
        <w:t>件。报告期内，公司及子公司新增获得的专利授权</w:t>
      </w:r>
      <w:r>
        <w:rPr>
          <w:rFonts w:ascii="Times New Roman" w:hAnsi="Times New Roman" w:cs="Times New Roman" w:eastAsia="Times New Roman" w:hint="default"/>
        </w:rPr>
        <w:t>5</w:t>
      </w:r>
      <w:r>
        <w:rPr/>
        <w:t>件，获得著作权登记证书</w:t>
      </w:r>
      <w:r>
        <w:rPr>
          <w:rFonts w:ascii="Times New Roman" w:hAnsi="Times New Roman" w:cs="Times New Roman" w:eastAsia="Times New Roman" w:hint="default"/>
        </w:rPr>
        <w:t>163</w:t>
      </w:r>
      <w:r>
        <w:rPr/>
        <w:t>件，其中游戏软件著作权登记证书</w:t>
      </w:r>
      <w:r>
        <w:rPr>
          <w:rFonts w:ascii="Times New Roman" w:hAnsi="Times New Roman" w:cs="Times New Roman" w:eastAsia="Times New Roman" w:hint="default"/>
        </w:rPr>
        <w:t>134 </w:t>
      </w:r>
      <w:r>
        <w:rPr/>
        <w:t>件。新增专利情况如下：</w:t>
      </w:r>
    </w:p>
    <w:p>
      <w:pPr>
        <w:spacing w:line="240" w:lineRule="auto" w:before="7"/>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724"/>
        <w:gridCol w:w="992"/>
        <w:gridCol w:w="3544"/>
        <w:gridCol w:w="2112"/>
        <w:gridCol w:w="1290"/>
      </w:tblGrid>
      <w:tr>
        <w:trPr>
          <w:trHeight w:val="342"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申请号</w:t>
            </w:r>
            <w:r>
              <w:rPr>
                <w:rFonts w:ascii="宋体" w:hAnsi="宋体" w:cs="宋体" w:eastAsia="宋体" w:hint="default"/>
                <w:sz w:val="18"/>
                <w:szCs w:val="18"/>
              </w:rPr>
              <w:t>/</w:t>
            </w:r>
            <w:r>
              <w:rPr>
                <w:rFonts w:ascii="宋体" w:hAnsi="宋体" w:cs="宋体" w:eastAsia="宋体" w:hint="default"/>
                <w:sz w:val="18"/>
                <w:szCs w:val="18"/>
              </w:rPr>
              <w:t>专利号</w:t>
            </w:r>
            <w:r>
              <w:rPr>
                <w:rFonts w:ascii="宋体" w:hAnsi="宋体" w:cs="宋体" w:eastAsia="宋体" w:hint="default"/>
                <w:sz w:val="18"/>
                <w:szCs w:val="18"/>
              </w:rPr>
              <w:t>/</w:t>
            </w:r>
            <w:r>
              <w:rPr>
                <w:rFonts w:ascii="宋体" w:hAnsi="宋体" w:cs="宋体" w:eastAsia="宋体" w:hint="default"/>
                <w:sz w:val="18"/>
                <w:szCs w:val="18"/>
              </w:rPr>
              <w:t>著作权号</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授权日期</w:t>
            </w:r>
          </w:p>
        </w:tc>
      </w:tr>
      <w:tr>
        <w:trPr>
          <w:trHeight w:val="342"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一种上网行为管理方法和设备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ZL201210400696.8</w:t>
            </w:r>
          </w:p>
        </w:tc>
        <w:tc>
          <w:tcPr>
            <w:tcW w:w="12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21"/>
              <w:ind w:right="1"/>
              <w:jc w:val="center"/>
              <w:rPr>
                <w:rFonts w:ascii="宋体" w:hAnsi="宋体" w:cs="宋体" w:eastAsia="宋体" w:hint="default"/>
                <w:sz w:val="18"/>
                <w:szCs w:val="18"/>
              </w:rPr>
            </w:pPr>
            <w:r>
              <w:rPr>
                <w:rFonts w:ascii="宋体"/>
                <w:sz w:val="18"/>
              </w:rPr>
              <w:t>2017/4/5</w:t>
            </w:r>
          </w:p>
        </w:tc>
      </w:tr>
      <w:tr>
        <w:trPr>
          <w:trHeight w:val="342"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一种加密应用的内容获取系统及方法</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ZL201210401185.8</w:t>
            </w:r>
          </w:p>
        </w:tc>
        <w:tc>
          <w:tcPr>
            <w:tcW w:w="12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21"/>
              <w:ind w:right="1"/>
              <w:jc w:val="center"/>
              <w:rPr>
                <w:rFonts w:ascii="宋体" w:hAnsi="宋体" w:cs="宋体" w:eastAsia="宋体" w:hint="default"/>
                <w:sz w:val="18"/>
                <w:szCs w:val="18"/>
              </w:rPr>
            </w:pPr>
            <w:r>
              <w:rPr>
                <w:rFonts w:ascii="宋体"/>
                <w:sz w:val="18"/>
              </w:rPr>
              <w:t>2017/6/6</w:t>
            </w:r>
          </w:p>
        </w:tc>
      </w:tr>
      <w:tr>
        <w:trPr>
          <w:trHeight w:val="342"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z w:val="18"/>
                <w:szCs w:val="18"/>
              </w:rPr>
              <w:t>DPI</w:t>
            </w:r>
            <w:r>
              <w:rPr>
                <w:rFonts w:ascii="宋体" w:hAnsi="宋体" w:cs="宋体" w:eastAsia="宋体" w:hint="default"/>
                <w:sz w:val="18"/>
                <w:szCs w:val="18"/>
              </w:rPr>
              <w:t>无锁流状态管理方法及设备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ZL201410598932.0</w:t>
            </w:r>
          </w:p>
        </w:tc>
        <w:tc>
          <w:tcPr>
            <w:tcW w:w="12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21"/>
              <w:ind w:right="0"/>
              <w:jc w:val="center"/>
              <w:rPr>
                <w:rFonts w:ascii="宋体" w:hAnsi="宋体" w:cs="宋体" w:eastAsia="宋体" w:hint="default"/>
                <w:sz w:val="18"/>
                <w:szCs w:val="18"/>
              </w:rPr>
            </w:pPr>
            <w:r>
              <w:rPr>
                <w:rFonts w:ascii="宋体"/>
                <w:sz w:val="18"/>
              </w:rPr>
              <w:t>2017/11/3</w:t>
            </w:r>
          </w:p>
        </w:tc>
      </w:tr>
      <w:tr>
        <w:trPr>
          <w:trHeight w:val="654"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12" w:right="10" w:hanging="900"/>
              <w:jc w:val="left"/>
              <w:rPr>
                <w:rFonts w:ascii="宋体" w:hAnsi="宋体" w:cs="宋体" w:eastAsia="宋体" w:hint="default"/>
                <w:sz w:val="18"/>
                <w:szCs w:val="18"/>
              </w:rPr>
            </w:pPr>
            <w:r>
              <w:rPr>
                <w:rFonts w:ascii="宋体" w:hAnsi="宋体" w:cs="宋体" w:eastAsia="宋体" w:hint="default"/>
                <w:sz w:val="18"/>
                <w:szCs w:val="18"/>
              </w:rPr>
              <w:t>一种用于近距离采集</w:t>
            </w:r>
            <w:r>
              <w:rPr>
                <w:rFonts w:ascii="宋体" w:hAnsi="宋体" w:cs="宋体" w:eastAsia="宋体" w:hint="default"/>
                <w:sz w:val="18"/>
                <w:szCs w:val="18"/>
              </w:rPr>
              <w:t>MAC</w:t>
            </w:r>
            <w:r>
              <w:rPr>
                <w:rFonts w:ascii="宋体" w:hAnsi="宋体" w:cs="宋体" w:eastAsia="宋体" w:hint="default"/>
                <w:sz w:val="18"/>
                <w:szCs w:val="18"/>
              </w:rPr>
              <w:t>地址的射频电路和近 距离</w:t>
            </w:r>
            <w:r>
              <w:rPr>
                <w:rFonts w:ascii="宋体" w:hAnsi="宋体" w:cs="宋体" w:eastAsia="宋体" w:hint="default"/>
                <w:sz w:val="18"/>
                <w:szCs w:val="18"/>
              </w:rPr>
              <w:t>MAC</w:t>
            </w:r>
            <w:r>
              <w:rPr>
                <w:rFonts w:ascii="宋体" w:hAnsi="宋体" w:cs="宋体" w:eastAsia="宋体" w:hint="default"/>
                <w:sz w:val="18"/>
                <w:szCs w:val="18"/>
              </w:rPr>
              <w:t>地址采集装置</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ZL201621291598.5</w:t>
            </w:r>
          </w:p>
        </w:tc>
        <w:tc>
          <w:tcPr>
            <w:tcW w:w="12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2017/5/24</w:t>
            </w:r>
          </w:p>
        </w:tc>
      </w:tr>
      <w:tr>
        <w:trPr>
          <w:trHeight w:val="342" w:hRule="exact"/>
        </w:trPr>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一种基于特征采集设备的伪基站监测装置</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ZL201621362007.9</w:t>
            </w:r>
          </w:p>
        </w:tc>
        <w:tc>
          <w:tcPr>
            <w:tcW w:w="12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21"/>
              <w:ind w:right="1"/>
              <w:jc w:val="center"/>
              <w:rPr>
                <w:rFonts w:ascii="宋体" w:hAnsi="宋体" w:cs="宋体" w:eastAsia="宋体" w:hint="default"/>
                <w:sz w:val="18"/>
                <w:szCs w:val="18"/>
              </w:rPr>
            </w:pPr>
            <w:r>
              <w:rPr>
                <w:rFonts w:ascii="宋体"/>
                <w:sz w:val="18"/>
              </w:rPr>
              <w:t>2017/6/6</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0" w:firstLine="360"/>
        <w:jc w:val="left"/>
      </w:pPr>
      <w:r>
        <w:rPr>
          <w:spacing w:val="-2"/>
        </w:rPr>
        <w:t>网安业务方面，公司围绕公安大数据应用、舆情大数据管理、大数据反欺诈等领域，加大研发投入和产品优化，加强市</w:t>
      </w:r>
      <w:r>
        <w:rPr/>
        <w:t> 场推广力度，带动公司网络安全业务销售收入同比增长</w:t>
      </w:r>
      <w:r>
        <w:rPr>
          <w:rFonts w:ascii="Times New Roman" w:hAnsi="Times New Roman" w:cs="Times New Roman" w:eastAsia="Times New Roman" w:hint="default"/>
        </w:rPr>
        <w:t>26.48%</w:t>
      </w:r>
      <w:r>
        <w:rPr/>
        <w:t>。网娱业务方面，公司积极进行外延并购，网娱业务群业务 保持稳定增长。</w:t>
      </w:r>
    </w:p>
    <w:p>
      <w:pPr>
        <w:pStyle w:val="BodyText"/>
        <w:spacing w:line="240" w:lineRule="auto" w:before="24"/>
        <w:ind w:left="1494" w:right="0"/>
        <w:jc w:val="left"/>
      </w:pPr>
      <w:r>
        <w:rPr/>
        <w:t>报告期内，公司开展的工作和取得的成绩主要有以下几个方面：</w:t>
      </w:r>
    </w:p>
    <w:p>
      <w:pPr>
        <w:pStyle w:val="BodyText"/>
        <w:spacing w:line="316" w:lineRule="auto" w:before="76"/>
        <w:ind w:left="1494" w:right="0"/>
        <w:jc w:val="left"/>
      </w:pPr>
      <w:r>
        <w:rPr/>
        <w:t>（一）经营业绩方面 </w:t>
      </w:r>
      <w:r>
        <w:rPr>
          <w:spacing w:val="-2"/>
        </w:rPr>
        <w:t>在公司董事会的领导和管理层及全体员工的努力拼搏下，顺利完成了</w:t>
      </w:r>
      <w:r>
        <w:rPr>
          <w:rFonts w:ascii="Times New Roman" w:hAnsi="Times New Roman" w:cs="Times New Roman" w:eastAsia="Times New Roman" w:hint="default"/>
          <w:spacing w:val="-2"/>
        </w:rPr>
        <w:t>2017</w:t>
      </w:r>
      <w:r>
        <w:rPr>
          <w:spacing w:val="-2"/>
        </w:rPr>
        <w:t>年度的主要经营计划，网络空间数据治理的品</w:t>
      </w:r>
    </w:p>
    <w:p>
      <w:pPr>
        <w:pStyle w:val="BodyText"/>
        <w:spacing w:line="235" w:lineRule="exact" w:before="0"/>
        <w:ind w:right="0"/>
        <w:jc w:val="left"/>
      </w:pPr>
      <w:r>
        <w:rPr/>
        <w:t>牌形象得到进一步强化。</w:t>
      </w:r>
    </w:p>
    <w:p>
      <w:pPr>
        <w:pStyle w:val="BodyText"/>
        <w:spacing w:line="300" w:lineRule="auto" w:before="76"/>
        <w:ind w:right="1132" w:firstLine="360"/>
        <w:jc w:val="both"/>
      </w:pPr>
      <w:r>
        <w:rPr>
          <w:rFonts w:ascii="Times New Roman" w:hAnsi="Times New Roman" w:cs="Times New Roman" w:eastAsia="Times New Roman" w:hint="default"/>
          <w:spacing w:val="-1"/>
        </w:rPr>
        <w:t>2017</w:t>
      </w:r>
      <w:r>
        <w:rPr>
          <w:spacing w:val="-1"/>
        </w:rPr>
        <w:t>年，公司业绩实现快速增长。报告期内，公司实现营业总收入</w:t>
      </w:r>
      <w:r>
        <w:rPr>
          <w:rFonts w:ascii="Times New Roman" w:hAnsi="Times New Roman" w:cs="Times New Roman" w:eastAsia="Times New Roman" w:hint="default"/>
          <w:spacing w:val="-1"/>
        </w:rPr>
        <w:t>107,690.81</w:t>
      </w:r>
      <w:r>
        <w:rPr>
          <w:spacing w:val="-1"/>
        </w:rPr>
        <w:t>万元，较上年同期增长</w:t>
      </w:r>
      <w:r>
        <w:rPr>
          <w:rFonts w:ascii="Times New Roman" w:hAnsi="Times New Roman" w:cs="Times New Roman" w:eastAsia="Times New Roman" w:hint="default"/>
          <w:spacing w:val="-1"/>
        </w:rPr>
        <w:t>62.46%</w:t>
      </w:r>
      <w:r>
        <w:rPr>
          <w:spacing w:val="-1"/>
        </w:rPr>
        <w:t>；实现利润</w:t>
      </w:r>
      <w:r>
        <w:rPr/>
        <w:t> 总额</w:t>
      </w:r>
      <w:r>
        <w:rPr>
          <w:rFonts w:ascii="Times New Roman" w:hAnsi="Times New Roman" w:cs="Times New Roman" w:eastAsia="Times New Roman" w:hint="default"/>
        </w:rPr>
        <w:t>16,723.69</w:t>
      </w:r>
      <w:r>
        <w:rPr/>
        <w:t>万元，较上年同期增长</w:t>
      </w:r>
      <w:r>
        <w:rPr>
          <w:rFonts w:ascii="Times New Roman" w:hAnsi="Times New Roman" w:cs="Times New Roman" w:eastAsia="Times New Roman" w:hint="default"/>
        </w:rPr>
        <w:t>21.96%</w:t>
      </w:r>
      <w:r>
        <w:rPr/>
        <w:t>；实现归属于母公司股东净利润为</w:t>
      </w:r>
      <w:r>
        <w:rPr>
          <w:rFonts w:ascii="Times New Roman" w:hAnsi="Times New Roman" w:cs="Times New Roman" w:eastAsia="Times New Roman" w:hint="default"/>
        </w:rPr>
        <w:t>14,926.81</w:t>
      </w:r>
      <w:r>
        <w:rPr/>
        <w:t>万元，较上年同期增长</w:t>
      </w:r>
      <w:r>
        <w:rPr>
          <w:rFonts w:ascii="Times New Roman" w:hAnsi="Times New Roman" w:cs="Times New Roman" w:eastAsia="Times New Roman" w:hint="default"/>
        </w:rPr>
        <w:t>36.26%</w:t>
      </w:r>
      <w:r>
        <w:rPr/>
        <w:t>。</w:t>
      </w:r>
    </w:p>
    <w:p>
      <w:pPr>
        <w:pStyle w:val="BodyText"/>
        <w:spacing w:line="316" w:lineRule="auto" w:before="13"/>
        <w:ind w:left="1493" w:right="6073"/>
        <w:jc w:val="left"/>
      </w:pPr>
      <w:r>
        <w:rPr/>
        <w:t>（二）投资并购方面 报告期内，公司在投资并购方面主要进行了以下工作： </w:t>
      </w:r>
      <w:r>
        <w:rPr>
          <w:rFonts w:ascii="Times New Roman" w:hAnsi="Times New Roman" w:cs="Times New Roman" w:eastAsia="Times New Roman" w:hint="default"/>
        </w:rPr>
        <w:t>1</w:t>
      </w:r>
      <w:r>
        <w:rPr/>
        <w:t>、收购北京亚鸿</w:t>
      </w:r>
    </w:p>
    <w:p>
      <w:pPr>
        <w:pStyle w:val="BodyText"/>
        <w:spacing w:line="300" w:lineRule="auto" w:before="0"/>
        <w:ind w:right="1130" w:firstLine="360"/>
        <w:jc w:val="both"/>
      </w:pPr>
      <w:r>
        <w:rPr/>
        <w:t>为了更好地整合上市公司资产，促进公司长远发展，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日，公司第三届董事会第十七次会议审议通过了《关 </w:t>
      </w:r>
      <w:r>
        <w:rPr>
          <w:spacing w:val="-2"/>
        </w:rPr>
        <w:t>于收购控股子公司北京亚鸿世纪科技发展有限公司少数股东股权的议案》，同意公司以自有资金</w:t>
      </w:r>
      <w:r>
        <w:rPr>
          <w:rFonts w:ascii="Times New Roman" w:hAnsi="Times New Roman" w:cs="Times New Roman" w:eastAsia="Times New Roman" w:hint="default"/>
          <w:spacing w:val="-2"/>
        </w:rPr>
        <w:t>18,392.00</w:t>
      </w:r>
      <w:r>
        <w:rPr>
          <w:spacing w:val="-2"/>
        </w:rPr>
        <w:t>万元收购天津云鲁</w:t>
      </w:r>
      <w:r>
        <w:rPr>
          <w:spacing w:val="-57"/>
        </w:rPr>
        <w:t> </w:t>
      </w:r>
      <w:r>
        <w:rPr>
          <w:spacing w:val="-57"/>
        </w:rPr>
      </w:r>
      <w:r>
        <w:rPr>
          <w:spacing w:val="-4"/>
        </w:rPr>
        <w:t>冀和天津任鸿持有的北京亚鸿</w:t>
      </w:r>
      <w:r>
        <w:rPr>
          <w:rFonts w:ascii="Times New Roman" w:hAnsi="Times New Roman" w:cs="Times New Roman" w:eastAsia="Times New Roman" w:hint="default"/>
          <w:spacing w:val="-4"/>
        </w:rPr>
        <w:t>44%</w:t>
      </w:r>
      <w:r>
        <w:rPr>
          <w:spacing w:val="-4"/>
        </w:rPr>
        <w:t>的股权。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月，北京亚鸿</w:t>
      </w:r>
      <w:r>
        <w:rPr>
          <w:rFonts w:ascii="Times New Roman" w:hAnsi="Times New Roman" w:cs="Times New Roman" w:eastAsia="Times New Roman" w:hint="default"/>
          <w:spacing w:val="-4"/>
        </w:rPr>
        <w:t>44%</w:t>
      </w:r>
      <w:r>
        <w:rPr>
          <w:spacing w:val="-4"/>
        </w:rPr>
        <w:t>股权已过户至任子行名下。</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日，天津任鸿、</w:t>
      </w:r>
      <w:r>
        <w:rPr>
          <w:spacing w:val="-41"/>
        </w:rPr>
        <w:t> </w:t>
      </w:r>
      <w:r>
        <w:rPr>
          <w:spacing w:val="-41"/>
        </w:rPr>
      </w:r>
      <w:r>
        <w:rPr/>
        <w:t>天津云鲁冀履行相关承诺，通过二级市场购买了公司股票共计</w:t>
      </w:r>
      <w:r>
        <w:rPr>
          <w:rFonts w:ascii="Times New Roman" w:hAnsi="Times New Roman" w:cs="Times New Roman" w:eastAsia="Times New Roman" w:hint="default"/>
        </w:rPr>
        <w:t>844.3528</w:t>
      </w:r>
      <w:r>
        <w:rPr/>
        <w:t>万股，其中天津任鸿购买了</w:t>
      </w:r>
      <w:r>
        <w:rPr>
          <w:rFonts w:ascii="Times New Roman" w:hAnsi="Times New Roman" w:cs="Times New Roman" w:eastAsia="Times New Roman" w:hint="default"/>
        </w:rPr>
        <w:t>364.72</w:t>
      </w:r>
      <w:r>
        <w:rPr/>
        <w:t>万股，天津云鲁冀 </w:t>
      </w:r>
      <w:r>
        <w:rPr>
          <w:spacing w:val="-4"/>
        </w:rPr>
        <w:t>购买了</w:t>
      </w:r>
      <w:r>
        <w:rPr>
          <w:rFonts w:ascii="Times New Roman" w:hAnsi="Times New Roman" w:cs="Times New Roman" w:eastAsia="Times New Roman" w:hint="default"/>
          <w:spacing w:val="-4"/>
        </w:rPr>
        <w:t>479.63</w:t>
      </w:r>
      <w:r>
        <w:rPr>
          <w:spacing w:val="-4"/>
        </w:rPr>
        <w:t>万股。天津云鲁冀、天津任鸿承诺对其前述方式取得的公司股份进行锁定，自全部购买完成之日起分三年解锁。</w:t>
      </w:r>
      <w:r>
        <w:rPr>
          <w:spacing w:val="-76"/>
        </w:rPr>
        <w:t> </w:t>
      </w:r>
      <w:r>
        <w:rPr>
          <w:spacing w:val="-76"/>
        </w:rPr>
      </w:r>
      <w:r>
        <w:rPr>
          <w:spacing w:val="-2"/>
        </w:rPr>
        <w:t>本次交易完成后，天津云鲁冀、天津任鸿承诺北京亚鸿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年和</w:t>
      </w:r>
      <w:r>
        <w:rPr>
          <w:rFonts w:ascii="Times New Roman" w:hAnsi="Times New Roman" w:cs="Times New Roman" w:eastAsia="Times New Roman" w:hint="default"/>
          <w:spacing w:val="-2"/>
        </w:rPr>
        <w:t>2019</w:t>
      </w:r>
      <w:r>
        <w:rPr>
          <w:spacing w:val="-2"/>
        </w:rPr>
        <w:t>年每年度实现的合并报表扣除非经常性损益前</w:t>
      </w:r>
      <w:r>
        <w:rPr>
          <w:spacing w:val="-54"/>
        </w:rPr>
        <w:t> </w:t>
      </w:r>
      <w:r>
        <w:rPr/>
        <w:t>后孰低的归属于母公司净利润分别不低于</w:t>
      </w:r>
      <w:r>
        <w:rPr>
          <w:rFonts w:ascii="Times New Roman" w:hAnsi="Times New Roman" w:cs="Times New Roman" w:eastAsia="Times New Roman" w:hint="default"/>
        </w:rPr>
        <w:t>3,500</w:t>
      </w:r>
      <w:r>
        <w:rPr/>
        <w:t>万元、</w:t>
      </w:r>
      <w:r>
        <w:rPr>
          <w:rFonts w:ascii="Times New Roman" w:hAnsi="Times New Roman" w:cs="Times New Roman" w:eastAsia="Times New Roman" w:hint="default"/>
        </w:rPr>
        <w:t>4,550</w:t>
      </w:r>
      <w:r>
        <w:rPr/>
        <w:t>万元和</w:t>
      </w:r>
      <w:r>
        <w:rPr>
          <w:rFonts w:ascii="Times New Roman" w:hAnsi="Times New Roman" w:cs="Times New Roman" w:eastAsia="Times New Roman" w:hint="default"/>
        </w:rPr>
        <w:t>5,460</w:t>
      </w:r>
      <w:r>
        <w:rPr/>
        <w:t>万元，合计不低于</w:t>
      </w:r>
      <w:r>
        <w:rPr>
          <w:rFonts w:ascii="Times New Roman" w:hAnsi="Times New Roman" w:cs="Times New Roman" w:eastAsia="Times New Roman" w:hint="default"/>
        </w:rPr>
        <w:t>13,510</w:t>
      </w:r>
      <w:r>
        <w:rPr/>
        <w:t>万元。经北京永拓审计，北 京亚鸿</w:t>
      </w:r>
      <w:r>
        <w:rPr>
          <w:rFonts w:ascii="Times New Roman" w:hAnsi="Times New Roman" w:cs="Times New Roman" w:eastAsia="Times New Roman" w:hint="default"/>
        </w:rPr>
        <w:t>2017</w:t>
      </w:r>
      <w:r>
        <w:rPr/>
        <w:t>年度的业绩承诺已实现。</w:t>
      </w:r>
    </w:p>
    <w:p>
      <w:pPr>
        <w:pStyle w:val="BodyText"/>
        <w:spacing w:line="240" w:lineRule="auto" w:before="13"/>
        <w:ind w:left="1494" w:right="0"/>
        <w:jc w:val="left"/>
      </w:pPr>
      <w:r>
        <w:rPr>
          <w:rFonts w:ascii="Times New Roman" w:hAnsi="Times New Roman" w:cs="Times New Roman" w:eastAsia="Times New Roman" w:hint="default"/>
        </w:rPr>
        <w:t>2</w:t>
      </w:r>
      <w:r>
        <w:rPr/>
        <w:t>、收购泡椒思志</w:t>
      </w:r>
    </w:p>
    <w:p>
      <w:pPr>
        <w:pStyle w:val="BodyText"/>
        <w:spacing w:line="302" w:lineRule="auto" w:before="63"/>
        <w:ind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日，公司第三届董事会第九次会议审议通过了《关于支付现金收购深圳泡椒思志信息技术有限公司</w:t>
      </w:r>
      <w:r>
        <w:rPr>
          <w:rFonts w:ascii="Times New Roman" w:hAnsi="Times New Roman" w:cs="Times New Roman" w:eastAsia="Times New Roman" w:hint="default"/>
        </w:rPr>
        <w:t>100% </w:t>
      </w:r>
      <w:r>
        <w:rPr>
          <w:spacing w:val="-2"/>
        </w:rPr>
        <w:t>股权的议案》，同意公司与泡椒思志股东翊峰基业、松禾一号、中美创投、立鼎信和签署《支付现金购买协议》，以现金收</w:t>
      </w:r>
      <w:r>
        <w:rPr>
          <w:spacing w:val="-68"/>
        </w:rPr>
        <w:t> </w:t>
      </w:r>
      <w:r>
        <w:rPr>
          <w:spacing w:val="-68"/>
        </w:rPr>
      </w:r>
      <w:r>
        <w:rPr>
          <w:spacing w:val="-2"/>
        </w:rPr>
        <w:t>购的方式购买其合计持有的泡椒思志</w:t>
      </w:r>
      <w:r>
        <w:rPr>
          <w:rFonts w:ascii="Times New Roman" w:hAnsi="Times New Roman" w:cs="Times New Roman" w:eastAsia="Times New Roman" w:hint="default"/>
          <w:spacing w:val="-2"/>
        </w:rPr>
        <w:t>100%</w:t>
      </w:r>
      <w:r>
        <w:rPr>
          <w:spacing w:val="-2"/>
        </w:rPr>
        <w:t>股权，交易价格为</w:t>
      </w:r>
      <w:r>
        <w:rPr>
          <w:rFonts w:ascii="Times New Roman" w:hAnsi="Times New Roman" w:cs="Times New Roman" w:eastAsia="Times New Roman" w:hint="default"/>
          <w:spacing w:val="-2"/>
        </w:rPr>
        <w:t>41,000</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日，泡椒思志</w:t>
      </w:r>
      <w:r>
        <w:rPr>
          <w:rFonts w:ascii="Times New Roman" w:hAnsi="Times New Roman" w:cs="Times New Roman" w:eastAsia="Times New Roman" w:hint="default"/>
          <w:spacing w:val="-2"/>
        </w:rPr>
        <w:t>100%</w:t>
      </w:r>
      <w:r>
        <w:rPr>
          <w:spacing w:val="-2"/>
        </w:rPr>
        <w:t>股权已变更至任子</w:t>
      </w:r>
      <w:r>
        <w:rPr>
          <w:spacing w:val="-32"/>
        </w:rPr>
        <w:t> </w:t>
      </w:r>
      <w:r>
        <w:rPr>
          <w:spacing w:val="-32"/>
        </w:rPr>
      </w:r>
      <w:r>
        <w:rPr/>
        <w:t>行名下。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日，泡椒思志业绩承诺连带责任人洪志刚先生，履行相关承诺使用其自有资金以集中竞价方式在二级 </w:t>
      </w:r>
      <w:r>
        <w:rPr>
          <w:spacing w:val="-1"/>
        </w:rPr>
        <w:t>市场上购买公司股票</w:t>
      </w:r>
      <w:r>
        <w:rPr>
          <w:rFonts w:ascii="Times New Roman" w:hAnsi="Times New Roman" w:cs="Times New Roman" w:eastAsia="Times New Roman" w:hint="default"/>
          <w:spacing w:val="-1"/>
        </w:rPr>
        <w:t>142.9151</w:t>
      </w:r>
      <w:r>
        <w:rPr>
          <w:spacing w:val="-1"/>
        </w:rPr>
        <w:t>万股，并承诺自股票全部购买完成之日起至泡椒思志</w:t>
      </w:r>
      <w:r>
        <w:rPr>
          <w:rFonts w:ascii="Times New Roman" w:hAnsi="Times New Roman" w:cs="Times New Roman" w:eastAsia="Times New Roman" w:hint="default"/>
          <w:spacing w:val="-1"/>
        </w:rPr>
        <w:t>2017</w:t>
      </w:r>
      <w:r>
        <w:rPr>
          <w:spacing w:val="-1"/>
        </w:rPr>
        <w:t>年度审计报告出具日止，在此期间内</w:t>
      </w:r>
      <w:r>
        <w:rPr>
          <w:spacing w:val="-67"/>
        </w:rPr>
        <w:t> </w:t>
      </w:r>
      <w:r>
        <w:rPr>
          <w:spacing w:val="-67"/>
        </w:rPr>
      </w:r>
      <w:r>
        <w:rPr>
          <w:spacing w:val="-2"/>
        </w:rPr>
        <w:t>不转让或委托他人转让其所持有的全部股票。经北京永拓审计，</w:t>
      </w:r>
      <w:r>
        <w:rPr>
          <w:rFonts w:ascii="Times New Roman" w:hAnsi="Times New Roman" w:cs="Times New Roman" w:eastAsia="Times New Roman" w:hint="default"/>
          <w:spacing w:val="-2"/>
        </w:rPr>
        <w:t>2017</w:t>
      </w:r>
      <w:r>
        <w:rPr>
          <w:spacing w:val="-2"/>
        </w:rPr>
        <w:t>年度泡椒思志扣除非经常损益后归属于母公司股东的净</w:t>
      </w:r>
      <w:r>
        <w:rPr>
          <w:spacing w:val="-59"/>
        </w:rPr>
        <w:t> </w:t>
      </w:r>
      <w:r>
        <w:rPr/>
        <w:t>利润的实现数与协议约定的净利润相差</w:t>
      </w:r>
      <w:r>
        <w:rPr>
          <w:rFonts w:ascii="Times New Roman" w:hAnsi="Times New Roman" w:cs="Times New Roman" w:eastAsia="Times New Roman" w:hint="default"/>
        </w:rPr>
        <w:t>425.02</w:t>
      </w:r>
      <w:r>
        <w:rPr/>
        <w:t>万元，业绩承诺人应对公司给予现金补偿</w:t>
      </w:r>
      <w:r>
        <w:rPr>
          <w:rFonts w:ascii="Times New Roman" w:hAnsi="Times New Roman" w:cs="Times New Roman" w:eastAsia="Times New Roman" w:hint="default"/>
        </w:rPr>
        <w:t>1,161.71</w:t>
      </w:r>
      <w:r>
        <w:rPr/>
        <w:t>万元。</w:t>
      </w:r>
    </w:p>
    <w:p>
      <w:pPr>
        <w:pStyle w:val="BodyText"/>
        <w:spacing w:line="240" w:lineRule="auto" w:before="11"/>
        <w:ind w:left="1494" w:right="0"/>
        <w:jc w:val="left"/>
      </w:pPr>
      <w:r>
        <w:rPr>
          <w:rFonts w:ascii="Times New Roman" w:hAnsi="Times New Roman" w:cs="Times New Roman" w:eastAsia="Times New Roman" w:hint="default"/>
        </w:rPr>
        <w:t>3</w:t>
      </w:r>
      <w:r>
        <w:rPr/>
        <w:t>、设立合资公司</w:t>
      </w:r>
    </w:p>
    <w:p>
      <w:pPr>
        <w:pStyle w:val="BodyText"/>
        <w:spacing w:line="300" w:lineRule="auto" w:before="63"/>
        <w:ind w:right="113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日，公司第三届董事会第八次会议审议通过了《关于公司对外投资设立合资公司的议案》，同意公司使用</w:t>
      </w:r>
      <w:r>
        <w:rPr/>
        <w:t> 自有资金与互动派、黄晋共同出资设立合资公司，主要专注于大数据的获取、分析及应用。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月，合资公司广州数沃 完成工商注册登记手续。</w:t>
      </w:r>
    </w:p>
    <w:p>
      <w:pPr>
        <w:pStyle w:val="BodyText"/>
        <w:spacing w:line="300" w:lineRule="auto" w:before="31"/>
        <w:ind w:left="1494" w:right="1122"/>
        <w:jc w:val="left"/>
      </w:pPr>
      <w:r>
        <w:rPr>
          <w:rFonts w:ascii="Times New Roman" w:hAnsi="Times New Roman" w:cs="Times New Roman" w:eastAsia="Times New Roman" w:hint="default"/>
        </w:rPr>
        <w:t>4</w:t>
      </w:r>
      <w:r>
        <w:rPr/>
        <w:t>、设立全资孙公司 为了适应业务发展和对外投资的需求，</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日，公司第三届董事会第十七次会议审议通过了《关于投资设立全</w:t>
      </w:r>
    </w:p>
    <w:p>
      <w:pPr>
        <w:pStyle w:val="BodyText"/>
        <w:spacing w:line="300" w:lineRule="auto" w:before="13"/>
        <w:ind w:right="0"/>
        <w:jc w:val="left"/>
      </w:pPr>
      <w:r>
        <w:rPr>
          <w:spacing w:val="-1"/>
        </w:rPr>
        <w:t>资孙公司的议案》，同意公司全资子公司泡椒思志以自有资金在上海设立全资子公司，注册资本</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月，上</w:t>
      </w:r>
      <w:r>
        <w:rPr>
          <w:spacing w:val="-71"/>
        </w:rPr>
        <w:t> </w:t>
      </w:r>
      <w:r>
        <w:rPr>
          <w:spacing w:val="-71"/>
        </w:rPr>
      </w:r>
      <w:r>
        <w:rPr/>
        <w:t>海穆冠完成工商注册登记手续。</w:t>
      </w:r>
    </w:p>
    <w:p>
      <w:pPr>
        <w:pStyle w:val="BodyText"/>
        <w:spacing w:line="300" w:lineRule="auto" w:before="31"/>
        <w:ind w:left="1494" w:right="1122"/>
        <w:jc w:val="left"/>
      </w:pPr>
      <w:r>
        <w:rPr>
          <w:rFonts w:ascii="Times New Roman" w:hAnsi="Times New Roman" w:cs="Times New Roman" w:eastAsia="Times New Roman" w:hint="default"/>
        </w:rPr>
        <w:t>5</w:t>
      </w:r>
      <w:r>
        <w:rPr/>
        <w:t>、产业投资基金进展情况 </w:t>
      </w:r>
      <w:r>
        <w:rPr>
          <w:spacing w:val="-5"/>
        </w:rPr>
        <w:t>报告期内，公司参与的产业投资基金进展情况为：信息安全产业基金已投资</w:t>
      </w:r>
      <w:r>
        <w:rPr>
          <w:rFonts w:ascii="Times New Roman" w:hAnsi="Times New Roman" w:cs="Times New Roman" w:eastAsia="Times New Roman" w:hint="default"/>
          <w:spacing w:val="-5"/>
        </w:rPr>
        <w:t>3</w:t>
      </w:r>
      <w:r>
        <w:rPr>
          <w:spacing w:val="-5"/>
        </w:rPr>
        <w:t>个项目，文化创意产业基金已投资</w:t>
      </w:r>
      <w:r>
        <w:rPr>
          <w:rFonts w:ascii="Times New Roman" w:hAnsi="Times New Roman" w:cs="Times New Roman" w:eastAsia="Times New Roman" w:hint="default"/>
          <w:spacing w:val="-5"/>
        </w:rPr>
        <w:t>1</w:t>
      </w:r>
      <w:r>
        <w:rPr>
          <w:spacing w:val="-5"/>
        </w:rPr>
        <w:t>个项目，</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1"/>
        </w:rPr>
        <w:t>累计投资总额为</w:t>
      </w:r>
      <w:r>
        <w:rPr>
          <w:rFonts w:ascii="Times New Roman" w:hAnsi="Times New Roman" w:cs="Times New Roman" w:eastAsia="Times New Roman" w:hint="default"/>
          <w:spacing w:val="-1"/>
        </w:rPr>
        <w:t>5,600</w:t>
      </w:r>
      <w:r>
        <w:rPr>
          <w:spacing w:val="-1"/>
        </w:rPr>
        <w:t>万元人民币；创稷投资累计已投资</w:t>
      </w:r>
      <w:r>
        <w:rPr>
          <w:rFonts w:ascii="Times New Roman" w:hAnsi="Times New Roman" w:cs="Times New Roman" w:eastAsia="Times New Roman" w:hint="default"/>
          <w:spacing w:val="-1"/>
        </w:rPr>
        <w:t>28</w:t>
      </w:r>
      <w:r>
        <w:rPr>
          <w:spacing w:val="-1"/>
        </w:rPr>
        <w:t>个项目，报告期内新增投资</w:t>
      </w:r>
      <w:r>
        <w:rPr>
          <w:rFonts w:ascii="Times New Roman" w:hAnsi="Times New Roman" w:cs="Times New Roman" w:eastAsia="Times New Roman" w:hint="default"/>
          <w:spacing w:val="-1"/>
        </w:rPr>
        <w:t>7</w:t>
      </w:r>
      <w:r>
        <w:rPr>
          <w:spacing w:val="-1"/>
        </w:rPr>
        <w:t>个项目；富海永成累计已投资</w:t>
      </w:r>
      <w:r>
        <w:rPr>
          <w:rFonts w:ascii="Times New Roman" w:hAnsi="Times New Roman" w:cs="Times New Roman" w:eastAsia="Times New Roman" w:hint="default"/>
          <w:spacing w:val="-1"/>
        </w:rPr>
        <w:t>23</w:t>
      </w:r>
      <w:r>
        <w:rPr>
          <w:spacing w:val="-1"/>
        </w:rPr>
        <w:t>个项</w:t>
      </w:r>
      <w:r>
        <w:rPr>
          <w:spacing w:val="-72"/>
        </w:rPr>
        <w:t> </w:t>
      </w:r>
      <w:r>
        <w:rPr/>
        <w:t>目，报告期内新增投资</w:t>
      </w:r>
      <w:r>
        <w:rPr>
          <w:rFonts w:ascii="Times New Roman" w:hAnsi="Times New Roman" w:cs="Times New Roman" w:eastAsia="Times New Roman" w:hint="default"/>
        </w:rPr>
        <w:t>2</w:t>
      </w:r>
      <w:r>
        <w:rPr/>
        <w:t>个项目。具体内容详见</w:t>
      </w:r>
      <w:r>
        <w:rPr>
          <w:rFonts w:ascii="Times New Roman" w:hAnsi="Times New Roman" w:cs="Times New Roman" w:eastAsia="Times New Roman" w:hint="default"/>
        </w:rPr>
        <w:t>“</w:t>
      </w:r>
      <w:r>
        <w:rPr/>
        <w:t>第五节 重要事项</w:t>
      </w:r>
      <w:r>
        <w:rPr>
          <w:rFonts w:ascii="Times New Roman" w:hAnsi="Times New Roman" w:cs="Times New Roman" w:eastAsia="Times New Roman" w:hint="default"/>
        </w:rPr>
        <w:t>”“</w:t>
      </w:r>
      <w:r>
        <w:rPr/>
        <w:t>十八</w:t>
      </w:r>
      <w:r>
        <w:rPr>
          <w:spacing w:val="-38"/>
        </w:rPr>
        <w:t> </w:t>
      </w:r>
      <w:r>
        <w:rPr/>
        <w:t>其他重大事项的说明</w:t>
      </w:r>
      <w:r>
        <w:rPr>
          <w:rFonts w:ascii="Times New Roman" w:hAnsi="Times New Roman" w:cs="Times New Roman" w:eastAsia="Times New Roman" w:hint="default"/>
        </w:rPr>
        <w:t>”</w:t>
      </w:r>
      <w:r>
        <w:rPr/>
        <w:t>。</w:t>
      </w:r>
    </w:p>
    <w:p>
      <w:pPr>
        <w:pStyle w:val="BodyText"/>
        <w:spacing w:line="316" w:lineRule="auto" w:before="13"/>
        <w:ind w:left="1494" w:right="0"/>
        <w:jc w:val="left"/>
      </w:pPr>
      <w:r>
        <w:rPr/>
        <w:t>（三）科技创新与公司荣誉 </w:t>
      </w:r>
      <w:r>
        <w:rPr>
          <w:spacing w:val="-2"/>
        </w:rPr>
        <w:t>技术创新是公司未来发展的核心战略之一。公司自成立以来，一直致力于成为技术领先的科技公司，坚持自主创新，不</w:t>
      </w:r>
    </w:p>
    <w:p>
      <w:pPr>
        <w:pStyle w:val="BodyText"/>
        <w:spacing w:line="309" w:lineRule="auto"/>
        <w:ind w:left="1134" w:right="1132"/>
        <w:jc w:val="both"/>
      </w:pPr>
      <w:r>
        <w:rPr>
          <w:spacing w:val="-1"/>
        </w:rPr>
        <w:t>断增强研发实力。截止到本报告期末，公司研发人员占公司员工总人数</w:t>
      </w:r>
      <w:r>
        <w:rPr>
          <w:rFonts w:ascii="Times New Roman" w:hAnsi="Times New Roman" w:cs="Times New Roman" w:eastAsia="Times New Roman" w:hint="default"/>
          <w:spacing w:val="-1"/>
        </w:rPr>
        <w:t>57%</w:t>
      </w:r>
      <w:r>
        <w:rPr>
          <w:spacing w:val="-1"/>
        </w:rPr>
        <w:t>以上，</w:t>
      </w:r>
      <w:r>
        <w:rPr>
          <w:rFonts w:ascii="Times New Roman" w:hAnsi="Times New Roman" w:cs="Times New Roman" w:eastAsia="Times New Roman" w:hint="default"/>
          <w:spacing w:val="-1"/>
        </w:rPr>
        <w:t>71%</w:t>
      </w:r>
      <w:r>
        <w:rPr>
          <w:spacing w:val="-1"/>
        </w:rPr>
        <w:t>以上具有本科及以上学历。公司拥有</w:t>
      </w:r>
      <w:r>
        <w:rPr>
          <w:spacing w:val="-57"/>
        </w:rPr>
        <w:t> </w:t>
      </w:r>
      <w:r>
        <w:rPr>
          <w:spacing w:val="-57"/>
        </w:rPr>
      </w:r>
      <w:r>
        <w:rPr>
          <w:spacing w:val="-2"/>
        </w:rPr>
        <w:t>一支由国内外网络安全领域专家，中青年核心骨干，海归、硕士，博士等组成的骨干研发队伍，进一步促进公司发挥高端人</w:t>
      </w:r>
      <w:r>
        <w:rPr>
          <w:spacing w:val="-66"/>
        </w:rPr>
        <w:t> </w:t>
      </w:r>
      <w:r>
        <w:rPr>
          <w:spacing w:val="-66"/>
        </w:rPr>
      </w:r>
      <w:r>
        <w:rPr/>
        <w:t>才优势，引领科技创新、将产学研工作有机结合，有助于培养创新人才，增强企业自主创新能力和市场竞争力。</w:t>
      </w:r>
    </w:p>
    <w:p>
      <w:pPr>
        <w:pStyle w:val="BodyText"/>
        <w:spacing w:line="300" w:lineRule="auto" w:before="65"/>
        <w:ind w:left="1134" w:right="1131" w:firstLine="360"/>
        <w:jc w:val="both"/>
      </w:pPr>
      <w:r>
        <w:rPr>
          <w:rFonts w:ascii="Times New Roman" w:hAnsi="Times New Roman" w:cs="Times New Roman" w:eastAsia="Times New Roman" w:hint="default"/>
          <w:spacing w:val="-2"/>
        </w:rPr>
        <w:t>2017</w:t>
      </w:r>
      <w:r>
        <w:rPr>
          <w:spacing w:val="-2"/>
        </w:rPr>
        <w:t>年度，公司申报的《移动互联网应用审计与综合处理平台》荣获深圳市科技进步一等奖，这是公司首次独立申请并</w:t>
      </w:r>
      <w:r>
        <w:rPr/>
        <w:t> 成功获此奖项，也是公司在科技创新领域内自主创新与科技成果转化的又一重要成果体现。</w:t>
      </w:r>
    </w:p>
    <w:p>
      <w:pPr>
        <w:pStyle w:val="BodyText"/>
        <w:spacing w:line="319" w:lineRule="auto" w:before="71"/>
        <w:ind w:right="1133" w:firstLine="360"/>
        <w:jc w:val="both"/>
      </w:pPr>
      <w:r>
        <w:rPr>
          <w:spacing w:val="-2"/>
        </w:rPr>
        <w:t>公司获批建设了“网络空间治理技术国家地方联合工程研究中心（深圳）”，实现了近年来公司在国家级重大科技创新</w:t>
      </w:r>
      <w:r>
        <w:rPr/>
        <w:t> </w:t>
      </w:r>
      <w:r>
        <w:rPr>
          <w:spacing w:val="-2"/>
        </w:rPr>
        <w:t>平台的重大突破，有助于公司进一步推进产学研合作机制，积极参与和推动国家网络空间安全建设，提升公司的自主创新能</w:t>
      </w:r>
      <w:r>
        <w:rPr>
          <w:spacing w:val="-66"/>
        </w:rPr>
        <w:t> </w:t>
      </w:r>
      <w:r>
        <w:rPr>
          <w:spacing w:val="-66"/>
        </w:rPr>
      </w:r>
      <w:r>
        <w:rPr/>
        <w:t>力，增强公司核心竞争力，促进公司可持续发展。</w:t>
      </w:r>
    </w:p>
    <w:p>
      <w:pPr>
        <w:pStyle w:val="BodyText"/>
        <w:spacing w:line="302" w:lineRule="auto" w:before="55"/>
        <w:ind w:left="1134" w:right="115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2017“</w:t>
      </w:r>
      <w:r>
        <w:rPr/>
        <w:t>中央政府采购网</w:t>
      </w:r>
      <w:r>
        <w:rPr>
          <w:rFonts w:ascii="Times New Roman" w:hAnsi="Times New Roman" w:cs="Times New Roman" w:eastAsia="Times New Roman" w:hint="default"/>
        </w:rPr>
        <w:t>”</w:t>
      </w:r>
      <w:r>
        <w:rPr/>
        <w:t>名单公布，公司网络安全系统产品全面入围，表明公司在标的产品的规模、价格和 服务等优势得到行业的认可，有利于提升公司市场知名度和品牌影响力，从而进一步提升公司的核心竞争力。</w:t>
      </w:r>
    </w:p>
    <w:p>
      <w:pPr>
        <w:pStyle w:val="BodyText"/>
        <w:spacing w:line="307" w:lineRule="auto" w:before="68"/>
        <w:ind w:right="113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月，公司总经理沈智杰先生、副总经理周勇林先生和李斌辉先生受邀参加第三届中国互联网安全领袖峰会</w:t>
      </w:r>
      <w:r>
        <w:rPr>
          <w:rFonts w:ascii="Times New Roman" w:hAnsi="Times New Roman" w:cs="Times New Roman" w:eastAsia="Times New Roman" w:hint="default"/>
        </w:rPr>
        <w:t>—</w:t>
      </w:r>
      <w:r>
        <w:rPr/>
        <w:t>基 </w:t>
      </w:r>
      <w:r>
        <w:rPr>
          <w:spacing w:val="-2"/>
        </w:rPr>
        <w:t>础设施安全领袖圆桌会，就基础设施安全保障体系建设等话题发言，并与另外</w:t>
      </w:r>
      <w:r>
        <w:rPr>
          <w:rFonts w:ascii="Times New Roman" w:hAnsi="Times New Roman" w:cs="Times New Roman" w:eastAsia="Times New Roman" w:hint="default"/>
          <w:spacing w:val="-2"/>
        </w:rPr>
        <w:t>12</w:t>
      </w:r>
      <w:r>
        <w:rPr>
          <w:spacing w:val="-2"/>
        </w:rPr>
        <w:t>家网络安全上市企业领导人共同发起了《网</w:t>
      </w:r>
      <w:r>
        <w:rPr>
          <w:spacing w:val="-64"/>
        </w:rPr>
        <w:t> </w:t>
      </w:r>
      <w:r>
        <w:rPr>
          <w:spacing w:val="-64"/>
        </w:rPr>
      </w:r>
      <w:r>
        <w:rPr>
          <w:spacing w:val="-2"/>
        </w:rPr>
        <w:t>络安全产业中坚共识》。《网络安全产业中坚共识》的达成奠定了我国基础设施安全行业责任规范的基本雏形，并促成我国</w:t>
      </w:r>
      <w:r>
        <w:rPr>
          <w:spacing w:val="-66"/>
        </w:rPr>
        <w:t> </w:t>
      </w:r>
      <w:r>
        <w:rPr>
          <w:spacing w:val="-66"/>
        </w:rPr>
      </w:r>
      <w:r>
        <w:rPr/>
        <w:t>网络安全领域最权威行业联盟的初步建成。</w:t>
      </w:r>
    </w:p>
    <w:p>
      <w:pPr>
        <w:pStyle w:val="BodyText"/>
        <w:spacing w:line="300" w:lineRule="auto" w:before="65"/>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月，公司及任子行科技、任网游、银狐游戏被认定为高新技术企业，根据国家对高新技术企业的相关税收优惠</w:t>
      </w:r>
      <w:r>
        <w:rPr/>
        <w:t> </w:t>
      </w:r>
      <w:r>
        <w:rPr>
          <w:spacing w:val="-2"/>
        </w:rPr>
        <w:t>政策的有关规定，任子行、科技开发、任网游、银狐游戏自颁发证书之日起连续三年（</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年）可享受国家关于高</w:t>
      </w:r>
      <w:r>
        <w:rPr>
          <w:spacing w:val="-59"/>
        </w:rPr>
        <w:t> </w:t>
      </w:r>
      <w:r>
        <w:rPr>
          <w:spacing w:val="-59"/>
        </w:rPr>
      </w:r>
      <w:r>
        <w:rPr/>
        <w:t>新技术企业的税收优惠政策，按</w:t>
      </w:r>
      <w:r>
        <w:rPr>
          <w:rFonts w:ascii="Times New Roman" w:hAnsi="Times New Roman" w:cs="Times New Roman" w:eastAsia="Times New Roman" w:hint="default"/>
        </w:rPr>
        <w:t>15%</w:t>
      </w:r>
      <w:r>
        <w:rPr/>
        <w:t>的税率缴纳企业所得税。</w:t>
      </w:r>
    </w:p>
    <w:p>
      <w:pPr>
        <w:pStyle w:val="BodyText"/>
        <w:spacing w:line="302" w:lineRule="auto" w:before="51"/>
        <w:ind w:left="1134"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月，工信部发布</w:t>
      </w:r>
      <w:r>
        <w:rPr>
          <w:rFonts w:ascii="Times New Roman" w:hAnsi="Times New Roman" w:cs="Times New Roman" w:eastAsia="Times New Roman" w:hint="default"/>
          <w:spacing w:val="-2"/>
        </w:rPr>
        <w:t>2017</w:t>
      </w:r>
      <w:r>
        <w:rPr>
          <w:spacing w:val="-2"/>
        </w:rPr>
        <w:t>年电信和互联网行业网络安全试点示范项目公示公告，任子行全资子公司北京亚鸿入围工</w:t>
      </w:r>
      <w:r>
        <w:rPr/>
        <w:t> 信部</w:t>
      </w:r>
      <w:r>
        <w:rPr>
          <w:rFonts w:ascii="Times New Roman" w:hAnsi="Times New Roman" w:cs="Times New Roman" w:eastAsia="Times New Roman" w:hint="default"/>
        </w:rPr>
        <w:t>2017</w:t>
      </w:r>
      <w:r>
        <w:rPr/>
        <w:t>年网络安全试点示范项目，公司技术实力和服务能力得到多方认可。</w:t>
      </w:r>
    </w:p>
    <w:p>
      <w:pPr>
        <w:pStyle w:val="BodyText"/>
        <w:spacing w:line="357" w:lineRule="auto" w:before="50"/>
        <w:ind w:left="1493" w:right="0"/>
        <w:jc w:val="left"/>
      </w:pPr>
      <w:r>
        <w:rPr/>
        <w:t>（四）公司的员工激励与人力资源 </w:t>
      </w:r>
      <w:r>
        <w:rPr>
          <w:spacing w:val="-2"/>
        </w:rPr>
        <w:t>为了健全公司长期、有效的激励约束机制，提高员工的凝聚力和公司竞争力，促进公司长期、持续、健康发展，报告期</w:t>
      </w:r>
    </w:p>
    <w:p>
      <w:pPr>
        <w:pStyle w:val="BodyText"/>
        <w:spacing w:line="237" w:lineRule="exact" w:before="0"/>
        <w:ind w:right="0"/>
        <w:jc w:val="both"/>
      </w:pPr>
      <w:r>
        <w:rPr/>
        <w:t>内，公司实施员工持股计划，参加对象为包括公司董事、高管在内的员工不超过</w:t>
      </w:r>
      <w:r>
        <w:rPr>
          <w:rFonts w:ascii="Times New Roman" w:hAnsi="Times New Roman" w:cs="Times New Roman" w:eastAsia="Times New Roman" w:hint="default"/>
        </w:rPr>
        <w:t>100</w:t>
      </w:r>
      <w:r>
        <w:rPr/>
        <w:t>人，以回购价格</w:t>
      </w:r>
      <w:r>
        <w:rPr>
          <w:rFonts w:ascii="Times New Roman" w:hAnsi="Times New Roman" w:cs="Times New Roman" w:eastAsia="Times New Roman" w:hint="default"/>
        </w:rPr>
        <w:t>17.099</w:t>
      </w:r>
      <w:r>
        <w:rPr/>
        <w:t>元</w:t>
      </w:r>
      <w:r>
        <w:rPr>
          <w:rFonts w:ascii="Times New Roman" w:hAnsi="Times New Roman" w:cs="Times New Roman" w:eastAsia="Times New Roman" w:hint="default"/>
        </w:rPr>
        <w:t>/</w:t>
      </w:r>
      <w:r>
        <w:rPr/>
        <w:t>股的价格受让</w:t>
      </w:r>
    </w:p>
    <w:p>
      <w:pPr>
        <w:pStyle w:val="BodyText"/>
        <w:spacing w:line="302" w:lineRule="auto" w:before="63"/>
        <w:ind w:right="1157"/>
        <w:jc w:val="both"/>
      </w:pPr>
      <w:r>
        <w:rPr/>
        <w:t>公司回购专用证券账户的股份</w:t>
      </w:r>
      <w:r>
        <w:rPr>
          <w:rFonts w:ascii="Times New Roman" w:hAnsi="Times New Roman" w:cs="Times New Roman" w:eastAsia="Times New Roman" w:hint="default"/>
        </w:rPr>
        <w:t>5,847,069</w:t>
      </w:r>
      <w:r>
        <w:rPr/>
        <w:t>股，</w:t>
      </w:r>
      <w:r>
        <w:rPr>
          <w:spacing w:val="-21"/>
        </w:rPr>
        <w:t> </w:t>
      </w:r>
      <w:r>
        <w:rPr/>
        <w:t>本次员工持股计划的锁定期为</w:t>
      </w:r>
      <w:r>
        <w:rPr>
          <w:rFonts w:ascii="Times New Roman" w:hAnsi="Times New Roman" w:cs="Times New Roman" w:eastAsia="Times New Roman" w:hint="default"/>
        </w:rPr>
        <w:t>12</w:t>
      </w:r>
      <w:r>
        <w:rPr/>
        <w:t>个月，自公司公告标的股票过户至定向资产管 理计划名下时起算，即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pStyle w:val="BodyText"/>
        <w:spacing w:line="309" w:lineRule="auto" w:before="49"/>
        <w:ind w:right="1131" w:firstLine="360"/>
        <w:jc w:val="both"/>
      </w:pPr>
      <w:r>
        <w:rPr>
          <w:spacing w:val="-2"/>
        </w:rPr>
        <w:t>公司建立了完善的内部员工培训制度。针对新员工，公司定期开展新员工培训，同时不定期开展全员素质类培训；对于</w:t>
      </w:r>
      <w:r>
        <w:rPr/>
        <w:t> </w:t>
      </w:r>
      <w:r>
        <w:rPr>
          <w:spacing w:val="-2"/>
        </w:rPr>
        <w:t>专业技能岗位，公司组织了大数据岗位专业系统培训和计算机集成项目管理外派培训。为了提高公司中高层管理人员的领导</w:t>
      </w:r>
      <w:r>
        <w:rPr>
          <w:spacing w:val="-64"/>
        </w:rPr>
        <w:t> </w:t>
      </w:r>
      <w:r>
        <w:rPr>
          <w:spacing w:val="-64"/>
        </w:rPr>
      </w:r>
      <w:r>
        <w:rPr/>
        <w:t>力，公司外聘导师从战略、综合管理技能等多方面开展了不同维度的培训。</w:t>
      </w:r>
      <w:r>
        <w:rPr>
          <w:rFonts w:ascii="Times New Roman" w:hAnsi="Times New Roman" w:cs="Times New Roman" w:eastAsia="Times New Roman" w:hint="default"/>
        </w:rPr>
        <w:t>2017</w:t>
      </w:r>
      <w:r>
        <w:rPr/>
        <w:t>年度，公司</w:t>
      </w:r>
      <w:r>
        <w:rPr>
          <w:rFonts w:ascii="Times New Roman" w:hAnsi="Times New Roman" w:cs="Times New Roman" w:eastAsia="Times New Roman" w:hint="default"/>
        </w:rPr>
        <w:t>4</w:t>
      </w:r>
      <w:r>
        <w:rPr/>
        <w:t>名员工被深圳市政府认定为高 层次专业人才，</w:t>
      </w:r>
      <w:r>
        <w:rPr>
          <w:rFonts w:ascii="Times New Roman" w:hAnsi="Times New Roman" w:cs="Times New Roman" w:eastAsia="Times New Roman" w:hint="default"/>
        </w:rPr>
        <w:t>1</w:t>
      </w:r>
      <w:r>
        <w:rPr/>
        <w:t>名员工荣获深圳市</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w:t>
      </w:r>
      <w:r>
        <w:rPr/>
        <w:t>技能菁英</w:t>
      </w:r>
      <w:r>
        <w:rPr>
          <w:rFonts w:ascii="Times New Roman" w:hAnsi="Times New Roman" w:cs="Times New Roman" w:eastAsia="Times New Roman" w:hint="default"/>
        </w:rPr>
        <w:t>”</w:t>
      </w:r>
      <w:r>
        <w:rPr/>
        <w:t>称号，公司董事长景晓军博士成功入选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w:t>
      </w:r>
      <w:r>
        <w:rPr/>
        <w:t>广东特支计划</w:t>
      </w:r>
      <w:r>
        <w:rPr>
          <w:rFonts w:ascii="Times New Roman" w:hAnsi="Times New Roman" w:cs="Times New Roman" w:eastAsia="Times New Roman" w:hint="default"/>
        </w:rPr>
        <w:t>”</w:t>
      </w:r>
      <w:r>
        <w:rPr/>
        <w:t>科技 创业领军人才。</w:t>
      </w:r>
    </w:p>
    <w:p>
      <w:pPr>
        <w:pStyle w:val="BodyText"/>
        <w:spacing w:line="338" w:lineRule="auto" w:before="64"/>
        <w:ind w:left="1424" w:right="1934" w:hanging="291"/>
        <w:jc w:val="left"/>
      </w:pPr>
      <w:r>
        <w:rPr/>
        <w:t>公司需遵守《深圳证券交易所创业板行业信息披露指引第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报告期内游戏平台新增运营游戏数量为</w:t>
      </w:r>
      <w:r>
        <w:rPr>
          <w:rFonts w:ascii="Times New Roman" w:hAnsi="Times New Roman" w:cs="Times New Roman" w:eastAsia="Times New Roman" w:hint="default"/>
        </w:rPr>
        <w:t>17</w:t>
      </w:r>
      <w:r>
        <w:rPr/>
        <w:t>款，报告期末运营的游戏数量为</w:t>
      </w:r>
      <w:r>
        <w:rPr>
          <w:rFonts w:ascii="Times New Roman" w:hAnsi="Times New Roman" w:cs="Times New Roman" w:eastAsia="Times New Roman" w:hint="default"/>
        </w:rPr>
        <w:t>334</w:t>
      </w:r>
      <w:r>
        <w:rPr/>
        <w:t>款。</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是</w:t>
      </w:r>
    </w:p>
    <w:p>
      <w:pPr>
        <w:pStyle w:val="BodyText"/>
        <w:spacing w:line="240" w:lineRule="auto" w:before="43"/>
        <w:ind w:left="1134" w:right="0"/>
        <w:jc w:val="left"/>
      </w:pPr>
      <w:r>
        <w:rPr/>
        <w:t>主要游戏基本情况</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851"/>
        <w:gridCol w:w="851"/>
        <w:gridCol w:w="980"/>
        <w:gridCol w:w="1146"/>
        <w:gridCol w:w="852"/>
        <w:gridCol w:w="1274"/>
        <w:gridCol w:w="1419"/>
        <w:gridCol w:w="1346"/>
      </w:tblGrid>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游戏类型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收费方式</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both"/>
              <w:rPr>
                <w:rFonts w:ascii="宋体" w:hAnsi="宋体" w:cs="宋体" w:eastAsia="宋体" w:hint="default"/>
                <w:sz w:val="18"/>
                <w:szCs w:val="18"/>
              </w:rPr>
            </w:pPr>
            <w:r>
              <w:rPr>
                <w:rFonts w:ascii="宋体" w:hAnsi="宋体" w:cs="宋体" w:eastAsia="宋体" w:hint="default"/>
                <w:sz w:val="18"/>
                <w:szCs w:val="18"/>
              </w:rPr>
              <w:t>收入占游 戏业务收 入的比例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推广营销费用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5"/>
              <w:jc w:val="both"/>
              <w:rPr>
                <w:rFonts w:ascii="宋体" w:hAnsi="宋体" w:cs="宋体" w:eastAsia="宋体" w:hint="default"/>
                <w:sz w:val="18"/>
                <w:szCs w:val="18"/>
              </w:rPr>
            </w:pPr>
            <w:r>
              <w:rPr>
                <w:rFonts w:ascii="宋体" w:hAnsi="宋体" w:cs="宋体" w:eastAsia="宋体" w:hint="default"/>
                <w:sz w:val="18"/>
                <w:szCs w:val="18"/>
              </w:rPr>
              <w:t>推广营销费用占 游戏推广营销费 用总额的比例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6"/>
              <w:jc w:val="center"/>
              <w:rPr>
                <w:rFonts w:ascii="宋体" w:hAnsi="宋体" w:cs="宋体" w:eastAsia="宋体" w:hint="default"/>
                <w:sz w:val="18"/>
                <w:szCs w:val="18"/>
              </w:rPr>
            </w:pPr>
            <w:r>
              <w:rPr>
                <w:rFonts w:ascii="宋体" w:hAnsi="宋体" w:cs="宋体" w:eastAsia="宋体" w:hint="default"/>
                <w:sz w:val="18"/>
                <w:szCs w:val="18"/>
              </w:rPr>
              <w:t>推广营销费用占 主要游戏收入总 额的比例</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唐人游</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棋牌游戏</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平台运营</w:t>
            </w:r>
          </w:p>
        </w:tc>
        <w:tc>
          <w:tcPr>
            <w:tcW w:w="98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146"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73,048,516.06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5,985,658.26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61.00%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狂暴之翼</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ARPG</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联运</w:t>
            </w:r>
          </w:p>
        </w:tc>
        <w:tc>
          <w:tcPr>
            <w:tcW w:w="98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玩家充值</w:t>
            </w:r>
          </w:p>
        </w:tc>
        <w:tc>
          <w:tcPr>
            <w:tcW w:w="1146"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54,981,970.00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34,421,447.00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63.00%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青云诀</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MMO</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联运</w:t>
            </w:r>
          </w:p>
        </w:tc>
        <w:tc>
          <w:tcPr>
            <w:tcW w:w="98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玩家充值</w:t>
            </w:r>
          </w:p>
        </w:tc>
        <w:tc>
          <w:tcPr>
            <w:tcW w:w="1146"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36,858,930.00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18,234,986.00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49.00%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望仙</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MMO</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联运</w:t>
            </w:r>
          </w:p>
        </w:tc>
        <w:tc>
          <w:tcPr>
            <w:tcW w:w="98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玩家充值</w:t>
            </w:r>
          </w:p>
        </w:tc>
        <w:tc>
          <w:tcPr>
            <w:tcW w:w="1146"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18,269,296.00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7,782,319.00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43.00%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猎魔战歌</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ARPG</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联运</w:t>
            </w:r>
          </w:p>
        </w:tc>
        <w:tc>
          <w:tcPr>
            <w:tcW w:w="98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玩家充值</w:t>
            </w:r>
          </w:p>
        </w:tc>
        <w:tc>
          <w:tcPr>
            <w:tcW w:w="1146"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9,581,763.00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5,796,456.00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60.00%</w:t>
            </w:r>
          </w:p>
        </w:tc>
      </w:tr>
    </w:tbl>
    <w:p>
      <w:pPr>
        <w:pStyle w:val="BodyText"/>
        <w:spacing w:line="240" w:lineRule="auto" w:before="51"/>
        <w:ind w:left="1134" w:right="0"/>
        <w:jc w:val="left"/>
      </w:pPr>
      <w:r>
        <w:rPr/>
        <w:t>主要游戏分季度运营数据</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34"/>
        <w:gridCol w:w="1602"/>
        <w:gridCol w:w="1367"/>
        <w:gridCol w:w="1367"/>
        <w:gridCol w:w="1368"/>
        <w:gridCol w:w="1367"/>
        <w:gridCol w:w="1367"/>
      </w:tblGrid>
      <w:tr>
        <w:trPr>
          <w:trHeight w:val="39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付费用户数量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7"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唐人游</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17,912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224,795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50,980</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21,334,258.45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唐人游</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43,493</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19,785,810.62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唐人游</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34,990</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16,918,169.23</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唐人游</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34,407</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16,516,415.29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狂暴之翼</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410,665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2,286,405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48,913</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32,166,791.00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狂暴之翼</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1,335,623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23,135</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16,248,190.00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狂暴之翼</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498,140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3,030</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4,520,041.02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狂暴之翼</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1,607</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2,816,568.00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青云诀</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青云诀</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3,397</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535,319.00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青云诀</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399,125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1,480,420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47,086</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24,280,154.46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青云诀</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319,464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1,851,905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34,513</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22,996,381.25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望仙</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望仙</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2,470</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228,384.00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望仙</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427,799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65,468</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8,870,272.00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望仙</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187,904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682,348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107,302</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10,693,456.00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猎魔战歌</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17,402</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1,186,827.00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34"/>
        <w:gridCol w:w="1602"/>
        <w:gridCol w:w="1367"/>
        <w:gridCol w:w="1367"/>
        <w:gridCol w:w="1368"/>
        <w:gridCol w:w="1367"/>
        <w:gridCol w:w="1367"/>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猎魔战歌</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434"/>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291,774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40,594</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5,982,210.00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猎魔战歌</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434"/>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203,423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14,739</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2,576,609.00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猎魔战歌</w:t>
            </w:r>
          </w:p>
        </w:tc>
        <w:tc>
          <w:tcPr>
            <w:tcW w:w="16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434"/>
              <w:jc w:val="righ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80,998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6,394</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1,703,180.00</w:t>
            </w:r>
          </w:p>
        </w:tc>
      </w:tr>
    </w:tbl>
    <w:p>
      <w:pPr>
        <w:spacing w:line="240" w:lineRule="auto" w:before="7"/>
        <w:rPr>
          <w:rFonts w:ascii="宋体" w:hAnsi="宋体" w:cs="宋体" w:eastAsia="宋体" w:hint="default"/>
          <w:sz w:val="27"/>
          <w:szCs w:val="27"/>
        </w:rPr>
      </w:pPr>
    </w:p>
    <w:p>
      <w:pPr>
        <w:pStyle w:val="BodyText"/>
        <w:spacing w:line="240" w:lineRule="auto" w:before="44"/>
        <w:ind w:left="1134" w:right="0"/>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1,076,908,064.59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19"/>
              <w:jc w:val="right"/>
              <w:rPr>
                <w:rFonts w:ascii="Times New Roman" w:hAnsi="Times New Roman" w:cs="Times New Roman" w:eastAsia="Times New Roman" w:hint="default"/>
                <w:sz w:val="18"/>
                <w:szCs w:val="18"/>
              </w:rPr>
            </w:pPr>
            <w:r>
              <w:rPr>
                <w:rFonts w:ascii="Times New Roman"/>
                <w:spacing w:val="-1"/>
                <w:sz w:val="18"/>
              </w:rPr>
              <w:t>662,859,791.50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07" w:right="0"/>
              <w:jc w:val="left"/>
              <w:rPr>
                <w:rFonts w:ascii="Times New Roman" w:hAnsi="Times New Roman" w:cs="Times New Roman" w:eastAsia="Times New Roman" w:hint="default"/>
                <w:sz w:val="18"/>
                <w:szCs w:val="18"/>
              </w:rPr>
            </w:pPr>
            <w:r>
              <w:rPr>
                <w:rFonts w:ascii="Times New Roman"/>
                <w:sz w:val="18"/>
              </w:rPr>
              <w:t>62.46%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公共安全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291,561,514.43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272,878,535.99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-14.10%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32,133,597.60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30,275,701.97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113,570,969.07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54,514,232.21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235,692,229.36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174,381,925.57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399,262,504.19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127,064,624.36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17.90%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4,687,249.94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0"/>
              <w:jc w:val="right"/>
              <w:rPr>
                <w:rFonts w:ascii="Times New Roman" w:hAnsi="Times New Roman" w:cs="Times New Roman" w:eastAsia="Times New Roman" w:hint="default"/>
                <w:sz w:val="18"/>
                <w:szCs w:val="18"/>
              </w:rPr>
            </w:pPr>
            <w:r>
              <w:rPr>
                <w:rFonts w:ascii="Times New Roman"/>
                <w:spacing w:val="-1"/>
                <w:sz w:val="18"/>
              </w:rPr>
              <w:t>3,744,771.40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公共安全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291,561,514.43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272,878,535.99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-14.10%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32,133,597.60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30,275,701.97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113,570,969.07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54,514,232.21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235,692,229.36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174,381,925.57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399,262,504.19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127,064,624.36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17.90%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4,687,249.94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0"/>
              <w:jc w:val="right"/>
              <w:rPr>
                <w:rFonts w:ascii="Times New Roman" w:hAnsi="Times New Roman" w:cs="Times New Roman" w:eastAsia="Times New Roman" w:hint="default"/>
                <w:sz w:val="18"/>
                <w:szCs w:val="18"/>
              </w:rPr>
            </w:pPr>
            <w:r>
              <w:rPr>
                <w:rFonts w:ascii="Times New Roman"/>
                <w:spacing w:val="-1"/>
                <w:sz w:val="18"/>
              </w:rPr>
              <w:t>3,744,771.40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pacing w:val="-1"/>
                <w:sz w:val="18"/>
              </w:rPr>
              <w:t>36,117,229.26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21,097,819.28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75,791,971.92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35,344,643.25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222,704,909.21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125,362,942.66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227,617,278.98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186,309,479.04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-6.97%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170,390,193.58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85,562,481.64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150,289,385.59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85,048,960.99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72,856,809.34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60,012,633.77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121,140,286.71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64,120,830.87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3"/>
        <w:ind w:left="1134" w:right="-19"/>
        <w:jc w:val="left"/>
      </w:pPr>
      <w:r>
        <w:rPr/>
        <w:t>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公共安全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291,561,514.43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154,832,736.32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网络安全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32,133,597.60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15,344,239.85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113,570,969.07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47,885,684.43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333.99%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-21.92%</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网资管理</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235,692,229.36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108,894,791.96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文化娱乐</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399,262,504.19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192,396,022.70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-36.43%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4,687,249.94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1,453,198.79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公共安全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291,561,514.43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154,832,736.32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网络安全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32,133,597.60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15,344,239.85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113,570,969.07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47,885,684.43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333.99%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-21.92%</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网资管理</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235,692,229.36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108,894,791.96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文化娱乐</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399,262,504.19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192,396,022.70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-36.43%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4,687,249.94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1,453,198.79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出口</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36,117,229.26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7,757,198.52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78.52%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187.21%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-8.68%</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75,791,971.92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48,757,075.68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35.67%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157.19%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-10.69%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222,704,909.21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112,915,551.84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227,617,278.98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84,551,529.01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170,390,193.58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72,159,240.36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-14.97%</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150,289,385.59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88,433,692.75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72,856,809.34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44,106,194.47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1375"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121,140,286.71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62,126,191.41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-6.79%</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行业分类</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right="0"/>
        <w:jc w:val="left"/>
      </w:pPr>
      <w:r>
        <w:rPr>
          <w:rFonts w:ascii="Times New Roman" w:hAnsi="Times New Roman" w:cs="Times New Roman" w:eastAsia="Times New Roman" w:hint="default"/>
        </w:rPr>
        <w:t>1</w:t>
      </w:r>
      <w:r>
        <w:rPr/>
        <w:t>、公司报告期购买泡椒思志</w:t>
      </w:r>
      <w:r>
        <w:rPr>
          <w:rFonts w:ascii="Times New Roman" w:hAnsi="Times New Roman" w:cs="Times New Roman" w:eastAsia="Times New Roman" w:hint="default"/>
        </w:rPr>
        <w:t>100%</w:t>
      </w:r>
      <w:r>
        <w:rPr/>
        <w:t>股权，报告期实现净利润</w:t>
      </w:r>
      <w:r>
        <w:rPr>
          <w:rFonts w:ascii="Times New Roman" w:hAnsi="Times New Roman" w:cs="Times New Roman" w:eastAsia="Times New Roman" w:hint="default"/>
        </w:rPr>
        <w:t>3,875.40</w:t>
      </w:r>
      <w:r>
        <w:rPr/>
        <w:t>万元。</w:t>
      </w:r>
    </w:p>
    <w:p>
      <w:pPr>
        <w:pStyle w:val="BodyText"/>
        <w:spacing w:line="240" w:lineRule="auto" w:before="63"/>
        <w:ind w:right="0"/>
        <w:jc w:val="left"/>
      </w:pPr>
      <w:r>
        <w:rPr>
          <w:rFonts w:ascii="Times New Roman" w:hAnsi="Times New Roman" w:cs="Times New Roman" w:eastAsia="Times New Roman" w:hint="default"/>
        </w:rPr>
        <w:t>2</w:t>
      </w:r>
      <w:r>
        <w:rPr/>
        <w:t>、公司报告期新设立全资子公司任网安、控投子公司广州数沃，报告期分别实现净利润</w:t>
      </w:r>
      <w:r>
        <w:rPr>
          <w:rFonts w:ascii="Times New Roman" w:hAnsi="Times New Roman" w:cs="Times New Roman" w:eastAsia="Times New Roman" w:hint="default"/>
        </w:rPr>
        <w:t>-97.75</w:t>
      </w:r>
      <w:r>
        <w:rPr/>
        <w:t>万元、</w:t>
      </w:r>
      <w:r>
        <w:rPr>
          <w:rFonts w:ascii="Times New Roman" w:hAnsi="Times New Roman" w:cs="Times New Roman" w:eastAsia="Times New Roman" w:hint="default"/>
        </w:rPr>
        <w:t>-578.35</w:t>
      </w:r>
      <w:r>
        <w:rPr/>
        <w:t>万元。</w:t>
      </w:r>
    </w:p>
    <w:p>
      <w:pPr>
        <w:pStyle w:val="BodyText"/>
        <w:spacing w:line="300" w:lineRule="auto" w:before="63"/>
        <w:ind w:right="1153"/>
        <w:jc w:val="left"/>
      </w:pPr>
      <w:r>
        <w:rPr>
          <w:rFonts w:ascii="Times New Roman" w:hAnsi="Times New Roman" w:cs="Times New Roman" w:eastAsia="Times New Roman" w:hint="default"/>
        </w:rPr>
        <w:t>3</w:t>
      </w:r>
      <w:r>
        <w:rPr/>
        <w:t>、全资子公司泡椒思志本期新设立全资子公司上海穆冠，于本期转让其子公司上海魔情信息技术有限公司</w:t>
      </w:r>
      <w:r>
        <w:rPr>
          <w:rFonts w:ascii="Times New Roman" w:hAnsi="Times New Roman" w:cs="Times New Roman" w:eastAsia="Times New Roman" w:hint="default"/>
        </w:rPr>
        <w:t>65%</w:t>
      </w:r>
      <w:r>
        <w:rPr/>
        <w:t>股权；泡椒 思志的子公司银狐游戏于本期新设立全资子公司海南银狐思志网络科技有限公司。</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139,445,009.25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397"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7" w:hRule="exact"/>
        </w:trPr>
        <w:tc>
          <w:tcPr>
            <w:tcW w:w="80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0" w:right="0"/>
              <w:jc w:val="left"/>
              <w:rPr>
                <w:rFonts w:ascii="Times New Roman" w:hAnsi="Times New Roman" w:cs="Times New Roman" w:eastAsia="Times New Roman" w:hint="default"/>
                <w:sz w:val="18"/>
                <w:szCs w:val="18"/>
              </w:rPr>
            </w:pPr>
            <w:r>
              <w:rPr>
                <w:rFonts w:ascii="Times New Roman"/>
                <w:sz w:val="18"/>
              </w:rPr>
              <w:t>36,117,229.26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80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28,330,877.35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80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27,741,630.00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80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25,324,150.94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80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21,931,121.70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139,445,009.25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12.95%</w:t>
            </w:r>
          </w:p>
        </w:tc>
      </w:tr>
    </w:tbl>
    <w:p>
      <w:pPr>
        <w:pStyle w:val="BodyText"/>
        <w:spacing w:line="240" w:lineRule="auto" w:before="51"/>
        <w:ind w:left="1134" w:right="0"/>
        <w:jc w:val="left"/>
      </w:pPr>
      <w:r>
        <w:rPr/>
        <w:t>主要客户其他情况说明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185,410,449.12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44,147,809.44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36,983,387.84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36,483,274.31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33,941,627.62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33,854,349.91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185,410,449.12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24.85%</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71"/>
        <w:gridCol w:w="1428"/>
        <w:gridCol w:w="1419"/>
        <w:gridCol w:w="1417"/>
        <w:gridCol w:w="4323"/>
      </w:tblGrid>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168,384,715.54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101,278,085.44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66.26%</w:t>
            </w:r>
          </w:p>
        </w:tc>
        <w:tc>
          <w:tcPr>
            <w:tcW w:w="43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合并范围增加、销售人员加大及相关费用加大</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224,165,646.12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154,004,982.73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45.56%</w:t>
            </w:r>
          </w:p>
        </w:tc>
        <w:tc>
          <w:tcPr>
            <w:tcW w:w="43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合并范围增加、人力成本及费用加大</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4,240,228.10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-2,181,618.61</w:t>
            </w:r>
          </w:p>
        </w:tc>
        <w:tc>
          <w:tcPr>
            <w:tcW w:w="1417" w:type="dxa"/>
            <w:tcBorders>
              <w:top w:val="single" w:sz="4" w:space="0" w:color="000000"/>
              <w:left w:val="single" w:sz="4" w:space="0" w:color="000000"/>
              <w:bottom w:val="single" w:sz="4" w:space="0" w:color="000000"/>
              <w:right w:val="single" w:sz="4" w:space="0" w:color="000000"/>
            </w:tcBorders>
          </w:tcPr>
          <w:p>
            <w:pPr/>
          </w:p>
        </w:tc>
        <w:tc>
          <w:tcPr>
            <w:tcW w:w="43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报告期发生借款，利息支出加大。</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2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公司报告期研发投入</w:t>
      </w:r>
      <w:r>
        <w:rPr>
          <w:rFonts w:ascii="Times New Roman" w:hAnsi="Times New Roman" w:cs="Times New Roman" w:eastAsia="Times New Roman" w:hint="default"/>
        </w:rPr>
        <w:t>136,866,039.64</w:t>
      </w:r>
      <w:r>
        <w:rPr/>
        <w:t>元，占营业收入的比重</w:t>
      </w:r>
      <w:r>
        <w:rPr>
          <w:rFonts w:ascii="Times New Roman" w:hAnsi="Times New Roman" w:cs="Times New Roman" w:eastAsia="Times New Roman" w:hint="default"/>
        </w:rPr>
        <w:t>12.71%</w:t>
      </w:r>
      <w:r>
        <w:rPr/>
        <w:t>，研发投入较上年同期增长</w:t>
      </w:r>
      <w:r>
        <w:rPr>
          <w:rFonts w:ascii="Times New Roman" w:hAnsi="Times New Roman" w:cs="Times New Roman" w:eastAsia="Times New Roman" w:hint="default"/>
        </w:rPr>
        <w:t>77.43%</w:t>
      </w:r>
      <w:r>
        <w:rPr/>
        <w:t>。 近三年公司研发投入金额及占营业收入的比例</w:t>
      </w:r>
    </w:p>
    <w:p>
      <w:pPr>
        <w:spacing w:line="240" w:lineRule="auto" w:before="4"/>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54"/>
        <w:gridCol w:w="1820"/>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55.11%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136,866,039.64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72"/>
              <w:jc w:val="right"/>
              <w:rPr>
                <w:rFonts w:ascii="Times New Roman" w:hAnsi="Times New Roman" w:cs="Times New Roman" w:eastAsia="Times New Roman" w:hint="default"/>
                <w:sz w:val="18"/>
                <w:szCs w:val="18"/>
              </w:rPr>
            </w:pPr>
            <w:r>
              <w:rPr>
                <w:rFonts w:ascii="Times New Roman"/>
                <w:spacing w:val="-1"/>
                <w:sz w:val="18"/>
              </w:rPr>
              <w:t>77,137,478.20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53,333,511.83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14.82%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16"/>
              <w:jc w:val="right"/>
              <w:rPr>
                <w:rFonts w:ascii="Times New Roman" w:hAnsi="Times New Roman" w:cs="Times New Roman" w:eastAsia="Times New Roman" w:hint="default"/>
                <w:sz w:val="18"/>
                <w:szCs w:val="18"/>
              </w:rPr>
            </w:pPr>
            <w:r>
              <w:rPr>
                <w:rFonts w:ascii="Times New Roman"/>
                <w:spacing w:val="-1"/>
                <w:sz w:val="18"/>
              </w:rPr>
              <w:t>1,688,345.19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251,393.40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0.38%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11"/>
              <w:jc w:val="right"/>
              <w:rPr>
                <w:rFonts w:ascii="Times New Roman" w:hAnsi="Times New Roman" w:cs="Times New Roman" w:eastAsia="Times New Roman" w:hint="default"/>
                <w:sz w:val="18"/>
                <w:szCs w:val="18"/>
              </w:rPr>
            </w:pPr>
            <w:r>
              <w:rPr>
                <w:rFonts w:ascii="Times New Roman"/>
                <w:spacing w:val="-1"/>
                <w:sz w:val="18"/>
              </w:rPr>
              <w:t>1,288,850,421.42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705,733,331.02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82.63%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11"/>
              <w:jc w:val="right"/>
              <w:rPr>
                <w:rFonts w:ascii="Times New Roman" w:hAnsi="Times New Roman" w:cs="Times New Roman" w:eastAsia="Times New Roman" w:hint="default"/>
                <w:sz w:val="18"/>
                <w:szCs w:val="18"/>
              </w:rPr>
            </w:pPr>
            <w:r>
              <w:rPr>
                <w:rFonts w:ascii="Times New Roman"/>
                <w:spacing w:val="-1"/>
                <w:sz w:val="18"/>
              </w:rPr>
              <w:t>1,087,227,687.41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614,032,297.92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77.06%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76"/>
              <w:jc w:val="right"/>
              <w:rPr>
                <w:rFonts w:ascii="Times New Roman" w:hAnsi="Times New Roman" w:cs="Times New Roman" w:eastAsia="Times New Roman" w:hint="default"/>
                <w:sz w:val="18"/>
                <w:szCs w:val="18"/>
              </w:rPr>
            </w:pPr>
            <w:r>
              <w:rPr>
                <w:rFonts w:ascii="Times New Roman"/>
                <w:spacing w:val="-1"/>
                <w:sz w:val="18"/>
              </w:rPr>
              <w:t>201,622,734.01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91,701,033.10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119.87%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76"/>
              <w:jc w:val="right"/>
              <w:rPr>
                <w:rFonts w:ascii="Times New Roman" w:hAnsi="Times New Roman" w:cs="Times New Roman" w:eastAsia="Times New Roman" w:hint="default"/>
                <w:sz w:val="18"/>
                <w:szCs w:val="18"/>
              </w:rPr>
            </w:pPr>
            <w:r>
              <w:rPr>
                <w:rFonts w:ascii="Times New Roman"/>
                <w:spacing w:val="-1"/>
                <w:sz w:val="18"/>
              </w:rPr>
              <w:t>241,015,628.27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57,340,169.56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320.33%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76"/>
              <w:jc w:val="right"/>
              <w:rPr>
                <w:rFonts w:ascii="Times New Roman" w:hAnsi="Times New Roman" w:cs="Times New Roman" w:eastAsia="Times New Roman" w:hint="default"/>
                <w:sz w:val="18"/>
                <w:szCs w:val="18"/>
              </w:rPr>
            </w:pPr>
            <w:r>
              <w:rPr>
                <w:rFonts w:ascii="Times New Roman"/>
                <w:spacing w:val="-1"/>
                <w:sz w:val="18"/>
              </w:rPr>
              <w:t>470,942,699.73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173,471,460.33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171.48%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46"/>
              <w:jc w:val="right"/>
              <w:rPr>
                <w:rFonts w:ascii="Times New Roman" w:hAnsi="Times New Roman" w:cs="Times New Roman" w:eastAsia="Times New Roman" w:hint="default"/>
                <w:sz w:val="18"/>
                <w:szCs w:val="18"/>
              </w:rPr>
            </w:pPr>
            <w:r>
              <w:rPr>
                <w:rFonts w:ascii="Times New Roman"/>
                <w:spacing w:val="-1"/>
                <w:sz w:val="18"/>
              </w:rPr>
              <w:t>-229,927,071.46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-116,131,290.77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76"/>
              <w:jc w:val="right"/>
              <w:rPr>
                <w:rFonts w:ascii="Times New Roman" w:hAnsi="Times New Roman" w:cs="Times New Roman" w:eastAsia="Times New Roman" w:hint="default"/>
                <w:sz w:val="18"/>
                <w:szCs w:val="18"/>
              </w:rPr>
            </w:pPr>
            <w:r>
              <w:rPr>
                <w:rFonts w:ascii="Times New Roman"/>
                <w:spacing w:val="-1"/>
                <w:sz w:val="18"/>
              </w:rPr>
              <w:t>314,000,000.00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1,156.00%</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76"/>
              <w:jc w:val="right"/>
              <w:rPr>
                <w:rFonts w:ascii="Times New Roman" w:hAnsi="Times New Roman" w:cs="Times New Roman" w:eastAsia="Times New Roman" w:hint="default"/>
                <w:sz w:val="18"/>
                <w:szCs w:val="18"/>
              </w:rPr>
            </w:pPr>
            <w:r>
              <w:rPr>
                <w:rFonts w:ascii="Times New Roman"/>
                <w:spacing w:val="-1"/>
                <w:sz w:val="18"/>
              </w:rPr>
              <w:t>296,739,069.86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20,777,612.57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1,328.17%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17,260,930.14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4,222,387.43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308.80%</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94"/>
              <w:jc w:val="right"/>
              <w:rPr>
                <w:rFonts w:ascii="Times New Roman" w:hAnsi="Times New Roman" w:cs="Times New Roman" w:eastAsia="Times New Roman" w:hint="default"/>
                <w:sz w:val="18"/>
                <w:szCs w:val="18"/>
              </w:rPr>
            </w:pPr>
            <w:r>
              <w:rPr>
                <w:rFonts w:ascii="Times New Roman"/>
                <w:spacing w:val="-1"/>
                <w:sz w:val="18"/>
              </w:rPr>
              <w:t>-11,043,407.31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-20,207,870.24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、经营活动现金流入较去年同期增长</w:t>
      </w:r>
      <w:r>
        <w:rPr>
          <w:rFonts w:ascii="Times New Roman" w:hAnsi="Times New Roman" w:cs="Times New Roman" w:eastAsia="Times New Roman" w:hint="default"/>
        </w:rPr>
        <w:t>82.63%</w:t>
      </w:r>
      <w:r>
        <w:rPr/>
        <w:t>，主要系公司扩大销售规模相应回款增加所致；</w:t>
      </w:r>
    </w:p>
    <w:p>
      <w:pPr>
        <w:pStyle w:val="BodyText"/>
        <w:spacing w:line="240" w:lineRule="auto" w:before="63"/>
        <w:ind w:left="1134" w:right="0"/>
        <w:jc w:val="left"/>
      </w:pPr>
      <w:r>
        <w:rPr>
          <w:rFonts w:ascii="Times New Roman" w:hAnsi="Times New Roman" w:cs="Times New Roman" w:eastAsia="Times New Roman" w:hint="default"/>
        </w:rPr>
        <w:t>2</w:t>
      </w:r>
      <w:r>
        <w:rPr/>
        <w:t>、经营活动现金流出较去年同期增长</w:t>
      </w:r>
      <w:r>
        <w:rPr>
          <w:rFonts w:ascii="Times New Roman" w:hAnsi="Times New Roman" w:cs="Times New Roman" w:eastAsia="Times New Roman" w:hint="default"/>
        </w:rPr>
        <w:t>77.06%</w:t>
      </w:r>
      <w:r>
        <w:rPr/>
        <w:t>，主要系相应采购规模扩大，采购支付的现金增加所致；</w:t>
      </w:r>
    </w:p>
    <w:p>
      <w:pPr>
        <w:pStyle w:val="BodyText"/>
        <w:spacing w:line="240" w:lineRule="auto" w:before="63"/>
        <w:ind w:left="1134" w:right="0"/>
        <w:jc w:val="left"/>
      </w:pPr>
      <w:r>
        <w:rPr>
          <w:rFonts w:ascii="Times New Roman" w:hAnsi="Times New Roman" w:cs="Times New Roman" w:eastAsia="Times New Roman" w:hint="default"/>
        </w:rPr>
        <w:t>3</w:t>
      </w:r>
      <w:r>
        <w:rPr/>
        <w:t>、投资活动现金流入较去年同期增长</w:t>
      </w:r>
      <w:r>
        <w:rPr>
          <w:rFonts w:ascii="Times New Roman" w:hAnsi="Times New Roman" w:cs="Times New Roman" w:eastAsia="Times New Roman" w:hint="default"/>
        </w:rPr>
        <w:t>320.33%</w:t>
      </w:r>
      <w:r>
        <w:rPr/>
        <w:t>，主要系报告期购买的理财产品收回及收到公司员工持股计划款所致；</w:t>
      </w:r>
    </w:p>
    <w:p>
      <w:pPr>
        <w:pStyle w:val="BodyText"/>
        <w:spacing w:line="240" w:lineRule="auto" w:before="63"/>
        <w:ind w:left="1134" w:right="0"/>
        <w:jc w:val="left"/>
      </w:pPr>
      <w:r>
        <w:rPr>
          <w:rFonts w:ascii="Times New Roman" w:hAnsi="Times New Roman" w:cs="Times New Roman" w:eastAsia="Times New Roman" w:hint="default"/>
        </w:rPr>
        <w:t>4</w:t>
      </w:r>
      <w:r>
        <w:rPr/>
        <w:t>、投资活动现金流出较去年同期增长</w:t>
      </w:r>
      <w:r>
        <w:rPr>
          <w:rFonts w:ascii="Times New Roman" w:hAnsi="Times New Roman" w:cs="Times New Roman" w:eastAsia="Times New Roman" w:hint="default"/>
        </w:rPr>
        <w:t>171.48%</w:t>
      </w:r>
      <w:r>
        <w:rPr/>
        <w:t>，主要系报告期支付现金购买泡椒思志股权及支付公司员工持股计划款所致；</w:t>
      </w:r>
    </w:p>
    <w:p>
      <w:pPr>
        <w:pStyle w:val="BodyText"/>
        <w:spacing w:line="240" w:lineRule="auto" w:before="63"/>
        <w:ind w:right="0"/>
        <w:jc w:val="left"/>
      </w:pPr>
      <w:r>
        <w:rPr>
          <w:rFonts w:ascii="Times New Roman" w:hAnsi="Times New Roman" w:cs="Times New Roman" w:eastAsia="Times New Roman" w:hint="default"/>
        </w:rPr>
        <w:t>5</w:t>
      </w:r>
      <w:r>
        <w:rPr/>
        <w:t>、筹资活动现金流入较去年同期增长</w:t>
      </w:r>
      <w:r>
        <w:rPr>
          <w:rFonts w:ascii="Times New Roman" w:hAnsi="Times New Roman" w:cs="Times New Roman" w:eastAsia="Times New Roman" w:hint="default"/>
        </w:rPr>
        <w:t>1156%</w:t>
      </w:r>
      <w:r>
        <w:rPr/>
        <w:t>，主要系报告期取得银行借款所致；</w:t>
      </w:r>
    </w:p>
    <w:p>
      <w:pPr>
        <w:pStyle w:val="BodyText"/>
        <w:spacing w:line="338" w:lineRule="auto" w:before="103"/>
        <w:ind w:left="1134" w:right="1467"/>
        <w:jc w:val="left"/>
      </w:pPr>
      <w:r>
        <w:rPr>
          <w:rFonts w:ascii="Times New Roman" w:hAnsi="Times New Roman" w:cs="Times New Roman" w:eastAsia="Times New Roman" w:hint="default"/>
        </w:rPr>
        <w:t>6</w:t>
      </w:r>
      <w:r>
        <w:rPr/>
        <w:t>、筹资活动现金流出较去年同期增加</w:t>
      </w:r>
      <w:r>
        <w:rPr>
          <w:rFonts w:ascii="Times New Roman" w:hAnsi="Times New Roman" w:cs="Times New Roman" w:eastAsia="Times New Roman" w:hint="default"/>
        </w:rPr>
        <w:t>1328.17%</w:t>
      </w:r>
      <w:r>
        <w:rPr/>
        <w:t>，主要系报告期购买北京亚鸿少数股权支付现金及归还银行借款所致。 报告期内公司经营活动产生的现金净流量与本年度净利润存在重大差异的原因说明</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324"/>
        <w:gridCol w:w="1418"/>
        <w:gridCol w:w="3686"/>
        <w:gridCol w:w="1630"/>
      </w:tblGrid>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1,683,744.40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w:t>
            </w:r>
          </w:p>
        </w:tc>
        <w:tc>
          <w:tcPr>
            <w:tcW w:w="368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142"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4"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-226,949,610.68</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-135.71%</w:t>
            </w:r>
          </w:p>
        </w:tc>
        <w:tc>
          <w:tcPr>
            <w:tcW w:w="3686"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唐人数码业绩对赌完成，或有对价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无需支付，形成</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万元的营业外收入，同</w:t>
            </w:r>
          </w:p>
        </w:tc>
        <w:tc>
          <w:tcPr>
            <w:tcW w:w="1630"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324" w:type="dxa"/>
            <w:vMerge/>
            <w:tcBorders>
              <w:left w:val="single" w:sz="13"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shd w:val="clear" w:color="auto" w:fill="C7E7CC"/>
          </w:tcPr>
          <w:p>
            <w:pPr/>
          </w:p>
        </w:tc>
        <w:tc>
          <w:tcPr>
            <w:tcW w:w="1630" w:type="dxa"/>
            <w:vMerge/>
            <w:tcBorders>
              <w:left w:val="single" w:sz="4" w:space="0" w:color="000000"/>
              <w:right w:val="single" w:sz="4" w:space="0" w:color="000000"/>
            </w:tcBorders>
            <w:shd w:val="clear" w:color="auto" w:fill="C7E7CC"/>
          </w:tcPr>
          <w:p>
            <w:pPr/>
          </w:p>
        </w:tc>
      </w:tr>
      <w:tr>
        <w:trPr>
          <w:trHeight w:val="140"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4" w:type="dxa"/>
            <w:vMerge/>
            <w:tcBorders>
              <w:left w:val="single" w:sz="13"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shd w:val="clear" w:color="auto" w:fill="C7E7CC"/>
          </w:tcPr>
          <w:p>
            <w:pPr/>
          </w:p>
        </w:tc>
        <w:tc>
          <w:tcPr>
            <w:tcW w:w="1630" w:type="dxa"/>
            <w:vMerge/>
            <w:tcBorders>
              <w:left w:val="single" w:sz="4" w:space="0" w:color="000000"/>
              <w:bottom w:val="single" w:sz="4" w:space="0" w:color="000000"/>
              <w:right w:val="single" w:sz="4" w:space="0" w:color="000000"/>
            </w:tcBorders>
            <w:shd w:val="clear" w:color="auto" w:fill="C7E7CC"/>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313"/>
        <w:gridCol w:w="1418"/>
        <w:gridCol w:w="3686"/>
        <w:gridCol w:w="1630"/>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left="464" w:right="0"/>
              <w:jc w:val="left"/>
              <w:rPr>
                <w:rFonts w:ascii="宋体" w:hAnsi="宋体" w:cs="宋体" w:eastAsia="宋体" w:hint="default"/>
                <w:sz w:val="18"/>
                <w:szCs w:val="18"/>
              </w:rPr>
            </w:pPr>
            <w:r>
              <w:rPr>
                <w:rFonts w:ascii="宋体" w:hAnsi="宋体" w:cs="宋体" w:eastAsia="宋体" w:hint="default"/>
                <w:sz w:val="18"/>
                <w:szCs w:val="18"/>
              </w:rPr>
              <w:t>时商誉计提减值准备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63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204,826,466.57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122.48%</w:t>
            </w:r>
          </w:p>
        </w:tc>
        <w:tc>
          <w:tcPr>
            <w:tcW w:w="36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唐人数码业绩对赌完成，或有对价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无需支付，形成</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万元的营业外收入，同</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时商誉计提减值准备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63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60,514.50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0.04%</w:t>
            </w:r>
          </w:p>
        </w:tc>
        <w:tc>
          <w:tcPr>
            <w:tcW w:w="368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C7E7CC"/>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79"/>
        <w:gridCol w:w="1572"/>
        <w:gridCol w:w="1416"/>
        <w:gridCol w:w="1560"/>
        <w:gridCol w:w="1276"/>
        <w:gridCol w:w="851"/>
        <w:gridCol w:w="1193"/>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2988"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321,262,001.31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5" w:right="0"/>
              <w:jc w:val="left"/>
              <w:rPr>
                <w:rFonts w:ascii="Times New Roman" w:hAnsi="Times New Roman" w:cs="Times New Roman" w:eastAsia="Times New Roman" w:hint="default"/>
                <w:sz w:val="18"/>
                <w:szCs w:val="18"/>
              </w:rPr>
            </w:pPr>
            <w:r>
              <w:rPr>
                <w:rFonts w:ascii="Times New Roman"/>
                <w:sz w:val="18"/>
              </w:rPr>
              <w:t>14.04%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329,895,127.62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-4.42%</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368,671,700.79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8" w:right="0"/>
              <w:jc w:val="left"/>
              <w:rPr>
                <w:rFonts w:ascii="Times New Roman" w:hAnsi="Times New Roman" w:cs="Times New Roman" w:eastAsia="Times New Roman" w:hint="default"/>
                <w:sz w:val="18"/>
                <w:szCs w:val="18"/>
              </w:rPr>
            </w:pPr>
            <w:r>
              <w:rPr>
                <w:rFonts w:ascii="Times New Roman"/>
                <w:sz w:val="18"/>
              </w:rPr>
              <w:t>16.11%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197,432,824.42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5.06%</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176,997,233.69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7.73%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94,850,999.08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2.42%</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75,725,047.86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68,524,514.54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-0.53%</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17,962,308.16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8,654,195.21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0.30%</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178,980,308.68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177,091,520.33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-2.09%</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7.65%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7.65%</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179,341,350.00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0" w:right="0"/>
              <w:jc w:val="left"/>
              <w:rPr>
                <w:rFonts w:ascii="Times New Roman" w:hAnsi="Times New Roman" w:cs="Times New Roman" w:eastAsia="Times New Roman" w:hint="default"/>
                <w:sz w:val="18"/>
                <w:szCs w:val="18"/>
              </w:rPr>
            </w:pPr>
            <w:r>
              <w:rPr>
                <w:rFonts w:ascii="Times New Roman"/>
                <w:sz w:val="18"/>
              </w:rPr>
              <w:t>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126,981,350.00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0.73%</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848,763,184.87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5" w:right="0"/>
              <w:jc w:val="left"/>
              <w:rPr>
                <w:rFonts w:ascii="Times New Roman" w:hAnsi="Times New Roman" w:cs="Times New Roman" w:eastAsia="Times New Roman" w:hint="default"/>
                <w:sz w:val="18"/>
                <w:szCs w:val="18"/>
              </w:rPr>
            </w:pPr>
            <w:r>
              <w:rPr>
                <w:rFonts w:ascii="Times New Roman"/>
                <w:sz w:val="18"/>
              </w:rPr>
              <w:t>37.08%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707,679,949.75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-2.53%</w:t>
            </w:r>
          </w:p>
        </w:tc>
        <w:tc>
          <w:tcPr>
            <w:tcW w:w="1193" w:type="dxa"/>
            <w:tcBorders>
              <w:top w:val="single" w:sz="4" w:space="0" w:color="000000"/>
              <w:left w:val="single" w:sz="4" w:space="0" w:color="000000"/>
              <w:bottom w:val="single" w:sz="4" w:space="0" w:color="000000"/>
              <w:right w:val="single" w:sz="4" w:space="0" w:color="000000"/>
            </w:tcBorders>
            <w:shd w:val="clear" w:color="auto" w:fill="C7E7CC"/>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期末其他货币资金中</w:t>
      </w:r>
      <w:r>
        <w:rPr>
          <w:rFonts w:ascii="宋体" w:hAnsi="宋体" w:cs="宋体" w:eastAsia="宋体" w:hint="default"/>
          <w:sz w:val="18"/>
          <w:szCs w:val="18"/>
        </w:rPr>
        <w:t>7,290,070.00</w:t>
      </w:r>
      <w:r>
        <w:rPr>
          <w:rFonts w:ascii="宋体" w:hAnsi="宋体" w:cs="宋体" w:eastAsia="宋体" w:hint="default"/>
          <w:sz w:val="18"/>
          <w:szCs w:val="18"/>
        </w:rPr>
        <w:t>元系保函保证金。</w:t>
      </w:r>
    </w:p>
    <w:p>
      <w:pPr>
        <w:pStyle w:val="Heading2"/>
        <w:spacing w:line="240" w:lineRule="auto" w:before="100"/>
        <w:ind w:left="113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625,920,000.00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1,048.48%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10"/>
        <w:gridCol w:w="678"/>
        <w:gridCol w:w="662"/>
        <w:gridCol w:w="661"/>
        <w:gridCol w:w="662"/>
        <w:gridCol w:w="663"/>
        <w:gridCol w:w="658"/>
        <w:gridCol w:w="655"/>
        <w:gridCol w:w="658"/>
        <w:gridCol w:w="629"/>
        <w:gridCol w:w="740"/>
        <w:gridCol w:w="734"/>
        <w:gridCol w:w="734"/>
        <w:gridCol w:w="723"/>
      </w:tblGrid>
      <w:tr>
        <w:trPr>
          <w:trHeight w:val="1021"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9"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5"/>
              <w:jc w:val="left"/>
              <w:rPr>
                <w:rFonts w:ascii="宋体" w:hAnsi="宋体" w:cs="宋体" w:eastAsia="宋体" w:hint="default"/>
                <w:sz w:val="18"/>
                <w:szCs w:val="18"/>
              </w:rPr>
            </w:pPr>
            <w:r>
              <w:rPr>
                <w:rFonts w:ascii="宋体" w:hAnsi="宋体" w:cs="宋体" w:eastAsia="宋体" w:hint="default"/>
                <w:sz w:val="18"/>
                <w:szCs w:val="18"/>
              </w:rPr>
              <w:t>泡椒思 志</w:t>
            </w:r>
          </w:p>
        </w:tc>
        <w:tc>
          <w:tcPr>
            <w:tcW w:w="67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22" w:right="103"/>
              <w:jc w:val="both"/>
              <w:rPr>
                <w:rFonts w:ascii="宋体" w:hAnsi="宋体" w:cs="宋体" w:eastAsia="宋体" w:hint="default"/>
                <w:sz w:val="18"/>
                <w:szCs w:val="18"/>
              </w:rPr>
            </w:pPr>
            <w:r>
              <w:rPr>
                <w:rFonts w:ascii="宋体" w:hAnsi="宋体" w:cs="宋体" w:eastAsia="宋体" w:hint="default"/>
                <w:sz w:val="18"/>
                <w:szCs w:val="18"/>
              </w:rPr>
              <w:t>互联网 信息服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410,000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6"/>
              <w:ind w:left="22" w:right="83"/>
              <w:jc w:val="left"/>
              <w:rPr>
                <w:rFonts w:ascii="宋体" w:hAnsi="宋体" w:cs="宋体" w:eastAsia="宋体" w:hint="default"/>
                <w:sz w:val="18"/>
                <w:szCs w:val="18"/>
              </w:rPr>
            </w:pPr>
            <w:r>
              <w:rPr>
                <w:rFonts w:ascii="宋体" w:hAnsi="宋体" w:cs="宋体" w:eastAsia="宋体" w:hint="default"/>
                <w:sz w:val="18"/>
                <w:szCs w:val="18"/>
              </w:rPr>
              <w:t>翊峰基 业、立 鼎信 和、松 禾一 号、中 美创投</w:t>
            </w:r>
          </w:p>
        </w:tc>
        <w:tc>
          <w:tcPr>
            <w:tcW w:w="65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广州数 沃</w:t>
            </w:r>
          </w:p>
        </w:tc>
        <w:tc>
          <w:tcPr>
            <w:tcW w:w="67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3"/>
              <w:jc w:val="both"/>
              <w:rPr>
                <w:rFonts w:ascii="宋体" w:hAnsi="宋体" w:cs="宋体" w:eastAsia="宋体" w:hint="default"/>
                <w:sz w:val="18"/>
                <w:szCs w:val="18"/>
              </w:rPr>
            </w:pPr>
            <w:r>
              <w:rPr>
                <w:rFonts w:ascii="宋体" w:hAnsi="宋体" w:cs="宋体" w:eastAsia="宋体" w:hint="default"/>
                <w:sz w:val="18"/>
                <w:szCs w:val="18"/>
              </w:rPr>
              <w:t>软件开 发及销 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60.00%</w:t>
            </w:r>
          </w:p>
        </w:tc>
        <w:tc>
          <w:tcPr>
            <w:tcW w:w="6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3"/>
              <w:jc w:val="left"/>
              <w:rPr>
                <w:rFonts w:ascii="宋体" w:hAnsi="宋体" w:cs="宋体" w:eastAsia="宋体" w:hint="default"/>
                <w:sz w:val="18"/>
                <w:szCs w:val="18"/>
              </w:rPr>
            </w:pPr>
            <w:r>
              <w:rPr>
                <w:rFonts w:ascii="宋体" w:hAnsi="宋体" w:cs="宋体" w:eastAsia="宋体" w:hint="default"/>
                <w:sz w:val="18"/>
                <w:szCs w:val="18"/>
              </w:rPr>
              <w:t>互动 派、黄 晋</w:t>
            </w:r>
          </w:p>
        </w:tc>
        <w:tc>
          <w:tcPr>
            <w:tcW w:w="65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北京亚 鸿</w:t>
            </w:r>
          </w:p>
        </w:tc>
        <w:tc>
          <w:tcPr>
            <w:tcW w:w="67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3"/>
              <w:jc w:val="left"/>
              <w:rPr>
                <w:rFonts w:ascii="宋体" w:hAnsi="宋体" w:cs="宋体" w:eastAsia="宋体" w:hint="default"/>
                <w:sz w:val="18"/>
                <w:szCs w:val="18"/>
              </w:rPr>
            </w:pPr>
            <w:r>
              <w:rPr>
                <w:rFonts w:ascii="宋体" w:hAnsi="宋体" w:cs="宋体" w:eastAsia="宋体" w:hint="default"/>
                <w:sz w:val="18"/>
                <w:szCs w:val="18"/>
              </w:rPr>
              <w:t>运营商 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183,920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44.00%</w:t>
            </w:r>
          </w:p>
        </w:tc>
        <w:tc>
          <w:tcPr>
            <w:tcW w:w="6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天津任 鸿、天 津云鲁 冀</w:t>
            </w:r>
          </w:p>
        </w:tc>
        <w:tc>
          <w:tcPr>
            <w:tcW w:w="65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任网安</w:t>
            </w:r>
          </w:p>
        </w:tc>
        <w:tc>
          <w:tcPr>
            <w:tcW w:w="67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3"/>
              <w:jc w:val="both"/>
              <w:rPr>
                <w:rFonts w:ascii="宋体" w:hAnsi="宋体" w:cs="宋体" w:eastAsia="宋体" w:hint="default"/>
                <w:sz w:val="18"/>
                <w:szCs w:val="18"/>
              </w:rPr>
            </w:pPr>
            <w:r>
              <w:rPr>
                <w:rFonts w:ascii="宋体" w:hAnsi="宋体" w:cs="宋体" w:eastAsia="宋体" w:hint="default"/>
                <w:sz w:val="18"/>
                <w:szCs w:val="18"/>
              </w:rPr>
              <w:t>计算机 网络空 间安全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上海穆 冠</w:t>
            </w:r>
          </w:p>
        </w:tc>
        <w:tc>
          <w:tcPr>
            <w:tcW w:w="67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3"/>
              <w:jc w:val="both"/>
              <w:rPr>
                <w:rFonts w:ascii="宋体" w:hAnsi="宋体" w:cs="宋体" w:eastAsia="宋体" w:hint="default"/>
                <w:sz w:val="18"/>
                <w:szCs w:val="18"/>
              </w:rPr>
            </w:pPr>
            <w:r>
              <w:rPr>
                <w:rFonts w:ascii="宋体" w:hAnsi="宋体" w:cs="宋体" w:eastAsia="宋体" w:hint="default"/>
                <w:sz w:val="18"/>
                <w:szCs w:val="18"/>
              </w:rPr>
              <w:t>互联网 信息服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8"/>
              <w:jc w:val="both"/>
              <w:rPr>
                <w:rFonts w:ascii="宋体" w:hAnsi="宋体" w:cs="宋体" w:eastAsia="宋体" w:hint="default"/>
                <w:sz w:val="18"/>
                <w:szCs w:val="18"/>
              </w:rPr>
            </w:pPr>
            <w:r>
              <w:rPr>
                <w:rFonts w:ascii="宋体" w:hAnsi="宋体" w:cs="宋体" w:eastAsia="宋体" w:hint="default"/>
                <w:sz w:val="18"/>
                <w:szCs w:val="18"/>
              </w:rPr>
              <w:t>泡椒思 志自有 资金</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8"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625,920</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145"/>
        <w:jc w:val="right"/>
      </w:pPr>
      <w:r>
        <w:rPr/>
        <w:pict>
          <v:shape style="position:absolute;margin-left:56.459999pt;margin-top:-259.348267pt;width:478.95pt;height:441.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23,108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22,783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1,063</w:t>
                        </w:r>
                      </w:p>
                    </w:tc>
                    <w:tc>
                      <w:tcPr>
                        <w:tcW w:w="87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存放公司 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1,063</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19,685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19,685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专用账户 已注销</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1,063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1,063</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618"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、首次公开发行募集资金使用及结余情况</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[2012]411</w:t>
                        </w:r>
                        <w:r>
                          <w:rPr>
                            <w:rFonts w:ascii="宋体" w:hAnsi="宋体" w:cs="宋体" w:eastAsia="宋体" w:hint="default"/>
                            <w:spacing w:val="-55"/>
                            <w:sz w:val="18"/>
                            <w:szCs w:val="18"/>
                          </w:rPr>
                          <w:t> </w:t>
                        </w:r>
                        <w:r>
                          <w:rPr>
                            <w:rFonts w:ascii="宋体" w:hAnsi="宋体" w:cs="宋体" w:eastAsia="宋体" w:hint="default"/>
                            <w:sz w:val="18"/>
                            <w:szCs w:val="18"/>
                          </w:rPr>
                          <w:t>号文核准，并经深圳证券交易所同意，由承销商国信证券于</w:t>
                        </w:r>
                        <w:r>
                          <w:rPr>
                            <w:rFonts w:ascii="宋体" w:hAnsi="宋体" w:cs="宋体" w:eastAsia="宋体" w:hint="default"/>
                            <w:spacing w:val="-55"/>
                            <w:sz w:val="18"/>
                            <w:szCs w:val="18"/>
                          </w:rPr>
                          <w:t> </w:t>
                        </w: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 </w:t>
                        </w:r>
                        <w:r>
                          <w:rPr>
                            <w:rFonts w:ascii="宋体" w:hAnsi="宋体" w:cs="宋体" w:eastAsia="宋体" w:hint="default"/>
                            <w:sz w:val="18"/>
                            <w:szCs w:val="18"/>
                          </w:rPr>
                          <w:t>日向社会公众公开发行普通股（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1,770</w:t>
                        </w:r>
                        <w:r>
                          <w:rPr>
                            <w:rFonts w:ascii="宋体" w:hAnsi="宋体" w:cs="宋体" w:eastAsia="宋体" w:hint="default"/>
                            <w:spacing w:val="-46"/>
                            <w:sz w:val="18"/>
                            <w:szCs w:val="18"/>
                          </w:rPr>
                          <w:t>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
                            <w:sz w:val="18"/>
                            <w:szCs w:val="18"/>
                          </w:rPr>
                          <w:t> </w:t>
                        </w:r>
                        <w:r>
                          <w:rPr>
                            <w:rFonts w:ascii="宋体" w:hAnsi="宋体" w:cs="宋体" w:eastAsia="宋体" w:hint="default"/>
                            <w:spacing w:val="-3"/>
                            <w:sz w:val="18"/>
                            <w:szCs w:val="18"/>
                          </w:rPr>
                          <w:t>日止，本公司共募集资金</w:t>
                        </w:r>
                        <w:r>
                          <w:rPr>
                            <w:rFonts w:ascii="宋体" w:hAnsi="宋体" w:cs="宋体" w:eastAsia="宋体" w:hint="default"/>
                            <w:spacing w:val="-44"/>
                            <w:sz w:val="18"/>
                            <w:szCs w:val="18"/>
                          </w:rPr>
                          <w:t> </w:t>
                        </w:r>
                        <w:r>
                          <w:rPr>
                            <w:rFonts w:ascii="宋体" w:hAnsi="宋体" w:cs="宋体" w:eastAsia="宋体" w:hint="default"/>
                            <w:sz w:val="18"/>
                            <w:szCs w:val="18"/>
                          </w:rPr>
                          <w:t>265,500,000.00</w:t>
                        </w:r>
                        <w:r>
                          <w:rPr>
                            <w:rFonts w:ascii="宋体" w:hAnsi="宋体" w:cs="宋体" w:eastAsia="宋体" w:hint="default"/>
                            <w:spacing w:val="-44"/>
                            <w:sz w:val="18"/>
                            <w:szCs w:val="18"/>
                          </w:rPr>
                          <w:t> </w:t>
                        </w:r>
                        <w:r>
                          <w:rPr>
                            <w:rFonts w:ascii="宋体" w:hAnsi="宋体" w:cs="宋体" w:eastAsia="宋体" w:hint="default"/>
                            <w:spacing w:val="-4"/>
                            <w:sz w:val="18"/>
                            <w:szCs w:val="18"/>
                          </w:rPr>
                          <w:t>元，扣除发行费用</w:t>
                        </w:r>
                        <w:r>
                          <w:rPr>
                            <w:rFonts w:ascii="宋体" w:hAnsi="宋体" w:cs="宋体" w:eastAsia="宋体" w:hint="default"/>
                            <w:spacing w:val="-44"/>
                            <w:sz w:val="18"/>
                            <w:szCs w:val="18"/>
                          </w:rPr>
                          <w:t> </w:t>
                        </w:r>
                        <w:r>
                          <w:rPr>
                            <w:rFonts w:ascii="宋体" w:hAnsi="宋体" w:cs="宋体" w:eastAsia="宋体" w:hint="default"/>
                            <w:sz w:val="18"/>
                            <w:szCs w:val="18"/>
                          </w:rPr>
                          <w:t>34,420,013.00</w:t>
                        </w:r>
                        <w:r>
                          <w:rPr>
                            <w:rFonts w:ascii="宋体" w:hAnsi="宋体" w:cs="宋体" w:eastAsia="宋体" w:hint="default"/>
                            <w:spacing w:val="-44"/>
                            <w:sz w:val="18"/>
                            <w:szCs w:val="18"/>
                          </w:rPr>
                          <w:t> </w:t>
                        </w:r>
                        <w:r>
                          <w:rPr>
                            <w:rFonts w:ascii="宋体" w:hAnsi="宋体" w:cs="宋体" w:eastAsia="宋体" w:hint="default"/>
                            <w:spacing w:val="-4"/>
                            <w:sz w:val="18"/>
                            <w:szCs w:val="18"/>
                          </w:rPr>
                          <w:t>元，募集资金净额</w:t>
                        </w:r>
                        <w:r>
                          <w:rPr>
                            <w:rFonts w:ascii="宋体" w:hAnsi="宋体" w:cs="宋体" w:eastAsia="宋体" w:hint="default"/>
                            <w:spacing w:val="-44"/>
                            <w:sz w:val="18"/>
                            <w:szCs w:val="18"/>
                          </w:rPr>
                          <w:t> </w:t>
                        </w:r>
                        <w:r>
                          <w:rPr>
                            <w:rFonts w:ascii="宋体" w:hAnsi="宋体" w:cs="宋体" w:eastAsia="宋体" w:hint="default"/>
                            <w:sz w:val="18"/>
                            <w:szCs w:val="18"/>
                          </w:rPr>
                          <w:t>231,079,987.00</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业经北京永拓以“京永验字（</w:t>
                        </w:r>
                        <w:r>
                          <w:rPr>
                            <w:rFonts w:ascii="宋体" w:hAnsi="宋体" w:cs="宋体" w:eastAsia="宋体"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21002</w:t>
                        </w:r>
                        <w:r>
                          <w:rPr>
                            <w:rFonts w:ascii="宋体" w:hAnsi="宋体" w:cs="宋体" w:eastAsia="宋体" w:hint="default"/>
                            <w:spacing w:val="-46"/>
                            <w:sz w:val="18"/>
                            <w:szCs w:val="18"/>
                          </w:rPr>
                          <w:t> </w:t>
                        </w:r>
                        <w:r>
                          <w:rPr>
                            <w:rFonts w:ascii="宋体" w:hAnsi="宋体" w:cs="宋体" w:eastAsia="宋体" w:hint="default"/>
                            <w:sz w:val="18"/>
                            <w:szCs w:val="18"/>
                          </w:rPr>
                          <w:t>号”验资报告验证确认，本公司上述发行募集的资金已经全部到位。</w:t>
                        </w:r>
                      </w:p>
                      <w:p>
                        <w:pPr>
                          <w:pStyle w:val="TableParagraph"/>
                          <w:spacing w:line="240" w:lineRule="auto" w:before="115"/>
                          <w:ind w:left="382" w:right="-1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日，本公司募集资金累计投入</w:t>
                        </w:r>
                        <w:r>
                          <w:rPr>
                            <w:rFonts w:ascii="宋体" w:hAnsi="宋体" w:cs="宋体" w:eastAsia="宋体" w:hint="default"/>
                            <w:spacing w:val="-46"/>
                            <w:sz w:val="18"/>
                            <w:szCs w:val="18"/>
                          </w:rPr>
                          <w:t> </w:t>
                        </w:r>
                        <w:r>
                          <w:rPr>
                            <w:rFonts w:ascii="宋体" w:hAnsi="宋体" w:cs="宋体" w:eastAsia="宋体" w:hint="default"/>
                            <w:sz w:val="18"/>
                            <w:szCs w:val="18"/>
                          </w:rPr>
                          <w:t>227,829,037.45</w:t>
                        </w:r>
                        <w:r>
                          <w:rPr>
                            <w:rFonts w:ascii="宋体" w:hAnsi="宋体" w:cs="宋体" w:eastAsia="宋体" w:hint="default"/>
                            <w:spacing w:val="-46"/>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6"/>
                            <w:sz w:val="18"/>
                            <w:szCs w:val="18"/>
                          </w:rPr>
                          <w:t> </w:t>
                        </w:r>
                        <w:r>
                          <w:rPr>
                            <w:rFonts w:ascii="宋体" w:hAnsi="宋体" w:cs="宋体" w:eastAsia="宋体" w:hint="default"/>
                            <w:sz w:val="18"/>
                            <w:szCs w:val="18"/>
                          </w:rPr>
                          <w:t>10,630,401.68</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360" w:lineRule="auto" w:before="77"/>
                          <w:ind w:left="22" w:right="1880"/>
                          <w:jc w:val="left"/>
                          <w:rPr>
                            <w:rFonts w:ascii="宋体" w:hAnsi="宋体" w:cs="宋体" w:eastAsia="宋体" w:hint="default"/>
                            <w:sz w:val="18"/>
                            <w:szCs w:val="18"/>
                          </w:rPr>
                        </w:pPr>
                        <w:r>
                          <w:rPr>
                            <w:rFonts w:ascii="宋体" w:hAnsi="宋体" w:cs="宋体" w:eastAsia="宋体" w:hint="default"/>
                            <w:sz w:val="18"/>
                            <w:szCs w:val="18"/>
                          </w:rPr>
                          <w:t>加上累计银行存款利息收入</w:t>
                        </w:r>
                        <w:r>
                          <w:rPr>
                            <w:rFonts w:ascii="宋体" w:hAnsi="宋体" w:cs="宋体" w:eastAsia="宋体" w:hint="default"/>
                            <w:spacing w:val="-46"/>
                            <w:sz w:val="18"/>
                            <w:szCs w:val="18"/>
                          </w:rPr>
                          <w:t> </w:t>
                        </w:r>
                        <w:r>
                          <w:rPr>
                            <w:rFonts w:ascii="宋体" w:hAnsi="宋体" w:cs="宋体" w:eastAsia="宋体" w:hint="default"/>
                            <w:sz w:val="18"/>
                            <w:szCs w:val="18"/>
                          </w:rPr>
                          <w:t>7,379,452.13</w:t>
                        </w:r>
                        <w:r>
                          <w:rPr>
                            <w:rFonts w:ascii="宋体" w:hAnsi="宋体" w:cs="宋体" w:eastAsia="宋体" w:hint="default"/>
                            <w:spacing w:val="-46"/>
                            <w:sz w:val="18"/>
                            <w:szCs w:val="18"/>
                          </w:rPr>
                          <w:t> </w:t>
                        </w:r>
                        <w:r>
                          <w:rPr>
                            <w:rFonts w:ascii="宋体" w:hAnsi="宋体" w:cs="宋体" w:eastAsia="宋体" w:hint="default"/>
                            <w:sz w:val="18"/>
                            <w:szCs w:val="18"/>
                          </w:rPr>
                          <w:t>元，募集资金存储专户实际余额为</w:t>
                        </w:r>
                        <w:r>
                          <w:rPr>
                            <w:rFonts w:ascii="宋体" w:hAnsi="宋体" w:cs="宋体" w:eastAsia="宋体" w:hint="default"/>
                            <w:spacing w:val="-46"/>
                            <w:sz w:val="18"/>
                            <w:szCs w:val="18"/>
                          </w:rPr>
                          <w:t> </w:t>
                        </w:r>
                        <w:r>
                          <w:rPr>
                            <w:rFonts w:ascii="宋体" w:hAnsi="宋体" w:cs="宋体" w:eastAsia="宋体" w:hint="default"/>
                            <w:sz w:val="18"/>
                            <w:szCs w:val="18"/>
                          </w:rPr>
                          <w:t>10,630,401.68</w:t>
                        </w:r>
                        <w:r>
                          <w:rPr>
                            <w:rFonts w:ascii="宋体" w:hAnsi="宋体" w:cs="宋体" w:eastAsia="宋体" w:hint="default"/>
                            <w:spacing w:val="-46"/>
                            <w:sz w:val="18"/>
                            <w:szCs w:val="18"/>
                          </w:rPr>
                          <w:t> </w:t>
                        </w:r>
                        <w:r>
                          <w:rPr>
                            <w:rFonts w:ascii="宋体" w:hAnsi="宋体" w:cs="宋体" w:eastAsia="宋体" w:hint="default"/>
                            <w:sz w:val="18"/>
                            <w:szCs w:val="18"/>
                          </w:rPr>
                          <w:t>元。 </w:t>
                        </w:r>
                        <w:r>
                          <w:rPr>
                            <w:rFonts w:ascii="宋体" w:hAnsi="宋体" w:cs="宋体" w:eastAsia="宋体" w:hint="default"/>
                            <w:sz w:val="18"/>
                            <w:szCs w:val="18"/>
                          </w:rPr>
                          <w:t>2</w:t>
                        </w:r>
                        <w:r>
                          <w:rPr>
                            <w:rFonts w:ascii="宋体" w:hAnsi="宋体" w:cs="宋体" w:eastAsia="宋体" w:hint="default"/>
                            <w:sz w:val="18"/>
                            <w:szCs w:val="18"/>
                          </w:rPr>
                          <w:t>、向特定投资者非公开发行股份募集资金使用及结余情况</w:t>
                        </w:r>
                      </w:p>
                      <w:p>
                        <w:pPr>
                          <w:pStyle w:val="TableParagraph"/>
                          <w:spacing w:line="316" w:lineRule="auto" w:before="25"/>
                          <w:ind w:left="22" w:right="20"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宋体" w:hAnsi="宋体" w:cs="宋体" w:eastAsia="宋体" w:hint="default"/>
                            <w:sz w:val="18"/>
                            <w:szCs w:val="18"/>
                          </w:rPr>
                          <w:t>[2015]1913</w:t>
                        </w:r>
                        <w:r>
                          <w:rPr>
                            <w:rFonts w:ascii="宋体" w:hAnsi="宋体" w:cs="宋体" w:eastAsia="宋体" w:hint="default"/>
                            <w:spacing w:val="-46"/>
                            <w:sz w:val="18"/>
                            <w:szCs w:val="18"/>
                          </w:rPr>
                          <w:t> </w:t>
                        </w:r>
                        <w:r>
                          <w:rPr>
                            <w:rFonts w:ascii="宋体" w:hAnsi="宋体" w:cs="宋体" w:eastAsia="宋体" w:hint="default"/>
                            <w:sz w:val="18"/>
                            <w:szCs w:val="18"/>
                          </w:rPr>
                          <w:t>号文核准，同意公司非公开发行人民币普通股（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22,242,522 </w:t>
                        </w:r>
                        <w:r>
                          <w:rPr>
                            <w:rFonts w:ascii="宋体" w:hAnsi="宋体" w:cs="宋体" w:eastAsia="宋体" w:hint="default"/>
                            <w:sz w:val="18"/>
                            <w:szCs w:val="18"/>
                          </w:rPr>
                          <w:t>股募集本次发行股份购买资产的配套资金。公司向配售对象定价发行人民币普通股（</w:t>
                        </w:r>
                        <w:r>
                          <w:rPr>
                            <w:rFonts w:ascii="宋体" w:hAnsi="宋体" w:cs="宋体" w:eastAsia="宋体" w:hint="default"/>
                            <w:sz w:val="18"/>
                            <w:szCs w:val="18"/>
                          </w:rPr>
                          <w:t>A</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z w:val="18"/>
                            <w:szCs w:val="18"/>
                          </w:rPr>
                          <w:t>22,242,522</w:t>
                        </w:r>
                        <w:r>
                          <w:rPr>
                            <w:rFonts w:ascii="宋体" w:hAnsi="宋体" w:cs="宋体" w:eastAsia="宋体" w:hint="default"/>
                            <w:spacing w:val="-60"/>
                            <w:sz w:val="18"/>
                            <w:szCs w:val="18"/>
                          </w:rPr>
                          <w:t> </w:t>
                        </w:r>
                        <w:r>
                          <w:rPr>
                            <w:rFonts w:ascii="宋体" w:hAnsi="宋体" w:cs="宋体" w:eastAsia="宋体" w:hint="default"/>
                            <w:sz w:val="18"/>
                            <w:szCs w:val="18"/>
                          </w:rPr>
                          <w:t>股，每股面值人民 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元，发行价格为</w:t>
                        </w:r>
                        <w:r>
                          <w:rPr>
                            <w:rFonts w:ascii="宋体" w:hAnsi="宋体" w:cs="宋体" w:eastAsia="宋体" w:hint="default"/>
                            <w:spacing w:val="-46"/>
                            <w:sz w:val="18"/>
                            <w:szCs w:val="18"/>
                          </w:rPr>
                          <w:t> </w:t>
                        </w:r>
                        <w:r>
                          <w:rPr>
                            <w:rFonts w:ascii="宋体" w:hAnsi="宋体" w:cs="宋体" w:eastAsia="宋体" w:hint="default"/>
                            <w:sz w:val="18"/>
                            <w:szCs w:val="18"/>
                          </w:rPr>
                          <w:t>9.03</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股，募集配套资金总额人民币</w:t>
                        </w:r>
                        <w:r>
                          <w:rPr>
                            <w:rFonts w:ascii="宋体" w:hAnsi="宋体" w:cs="宋体" w:eastAsia="宋体" w:hint="default"/>
                            <w:spacing w:val="-46"/>
                            <w:sz w:val="18"/>
                            <w:szCs w:val="18"/>
                          </w:rPr>
                          <w:t> </w:t>
                        </w:r>
                        <w:r>
                          <w:rPr>
                            <w:rFonts w:ascii="宋体" w:hAnsi="宋体" w:cs="宋体" w:eastAsia="宋体" w:hint="default"/>
                            <w:sz w:val="18"/>
                            <w:szCs w:val="18"/>
                          </w:rPr>
                          <w:t>200,849,977.49</w:t>
                        </w:r>
                        <w:r>
                          <w:rPr>
                            <w:rFonts w:ascii="宋体" w:hAnsi="宋体" w:cs="宋体" w:eastAsia="宋体" w:hint="default"/>
                            <w:spacing w:val="-46"/>
                            <w:sz w:val="18"/>
                            <w:szCs w:val="18"/>
                          </w:rPr>
                          <w:t> </w:t>
                        </w:r>
                        <w:r>
                          <w:rPr>
                            <w:rFonts w:ascii="宋体" w:hAnsi="宋体" w:cs="宋体" w:eastAsia="宋体" w:hint="default"/>
                            <w:sz w:val="18"/>
                            <w:szCs w:val="18"/>
                          </w:rPr>
                          <w:t>元，扣除与券商相关的发行交易费用人民币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4,000,000.00</w:t>
                        </w:r>
                        <w:r>
                          <w:rPr>
                            <w:rFonts w:ascii="宋体" w:hAnsi="宋体" w:cs="宋体" w:eastAsia="宋体" w:hint="default"/>
                            <w:spacing w:val="-46"/>
                            <w:sz w:val="18"/>
                            <w:szCs w:val="18"/>
                          </w:rPr>
                          <w:t> </w:t>
                        </w:r>
                        <w:r>
                          <w:rPr>
                            <w:rFonts w:ascii="宋体" w:hAnsi="宋体" w:cs="宋体" w:eastAsia="宋体" w:hint="default"/>
                            <w:sz w:val="18"/>
                            <w:szCs w:val="18"/>
                          </w:rPr>
                          <w:t>元后募集资金净额为人民币</w:t>
                        </w:r>
                        <w:r>
                          <w:rPr>
                            <w:rFonts w:ascii="宋体" w:hAnsi="宋体" w:cs="宋体" w:eastAsia="宋体" w:hint="default"/>
                            <w:spacing w:val="-46"/>
                            <w:sz w:val="18"/>
                            <w:szCs w:val="18"/>
                          </w:rPr>
                          <w:t> </w:t>
                        </w:r>
                        <w:r>
                          <w:rPr>
                            <w:rFonts w:ascii="宋体" w:hAnsi="宋体" w:cs="宋体" w:eastAsia="宋体" w:hint="default"/>
                            <w:sz w:val="18"/>
                            <w:szCs w:val="18"/>
                          </w:rPr>
                          <w:t>196,849,977.49</w:t>
                        </w:r>
                        <w:r>
                          <w:rPr>
                            <w:rFonts w:ascii="宋体" w:hAnsi="宋体" w:cs="宋体" w:eastAsia="宋体" w:hint="default"/>
                            <w:spacing w:val="-46"/>
                            <w:sz w:val="18"/>
                            <w:szCs w:val="18"/>
                          </w:rPr>
                          <w:t> </w:t>
                        </w:r>
                        <w:r>
                          <w:rPr>
                            <w:rFonts w:ascii="宋体" w:hAnsi="宋体" w:cs="宋体" w:eastAsia="宋体" w:hint="default"/>
                            <w:sz w:val="18"/>
                            <w:szCs w:val="18"/>
                          </w:rPr>
                          <w:t>元。截止到</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日，上述募集资金全部到位，业经</w:t>
                        </w:r>
                      </w:p>
                      <w:p>
                        <w:pPr>
                          <w:pStyle w:val="TableParagraph"/>
                          <w:spacing w:line="319" w:lineRule="auto" w:before="76"/>
                          <w:ind w:left="22" w:right="79"/>
                          <w:jc w:val="left"/>
                          <w:rPr>
                            <w:rFonts w:ascii="宋体" w:hAnsi="宋体" w:cs="宋体" w:eastAsia="宋体" w:hint="default"/>
                            <w:sz w:val="18"/>
                            <w:szCs w:val="18"/>
                          </w:rPr>
                        </w:pPr>
                        <w:r>
                          <w:rPr>
                            <w:rFonts w:ascii="宋体" w:hAnsi="宋体" w:cs="宋体" w:eastAsia="宋体" w:hint="default"/>
                            <w:sz w:val="18"/>
                            <w:szCs w:val="18"/>
                          </w:rPr>
                          <w:t>北京永拓会计师事务所（有限合伙）以“京永验字（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21072</w:t>
                        </w:r>
                        <w:r>
                          <w:rPr>
                            <w:rFonts w:ascii="宋体" w:hAnsi="宋体" w:cs="宋体" w:eastAsia="宋体" w:hint="default"/>
                            <w:spacing w:val="-46"/>
                            <w:sz w:val="18"/>
                            <w:szCs w:val="18"/>
                          </w:rPr>
                          <w:t> </w:t>
                        </w:r>
                        <w:r>
                          <w:rPr>
                            <w:rFonts w:ascii="宋体" w:hAnsi="宋体" w:cs="宋体" w:eastAsia="宋体" w:hint="default"/>
                            <w:sz w:val="18"/>
                            <w:szCs w:val="18"/>
                          </w:rPr>
                          <w:t>号”验资报告验证确认。截至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 本公司向特定投资者非公开发行股份募集资金已按照规定全部使用完毕。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212"/>
        <w:gridCol w:w="635"/>
        <w:gridCol w:w="780"/>
        <w:gridCol w:w="780"/>
        <w:gridCol w:w="779"/>
        <w:gridCol w:w="924"/>
        <w:gridCol w:w="852"/>
        <w:gridCol w:w="850"/>
        <w:gridCol w:w="709"/>
        <w:gridCol w:w="566"/>
        <w:gridCol w:w="779"/>
      </w:tblGrid>
      <w:tr>
        <w:trPr>
          <w:trHeight w:val="133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5" w:right="3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8" w:right="26"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97"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61"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0"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网络内容与行为审计 产品升级优化项目</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7,532.45</w:t>
            </w: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7,533.89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3,563.6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网络信息安全监管平 台建设项目</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5,652.47</w:t>
            </w: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5,651.11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3,299.55</w:t>
            </w: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收购唐人数码支付现 金对价</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36,169.47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36,169.47</w:t>
            </w:r>
          </w:p>
        </w:tc>
        <w:tc>
          <w:tcPr>
            <w:tcW w:w="779"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36,090.01</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10" w:space="0" w:color="D2D2D2"/>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16,268.9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4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24" w:type="dxa"/>
            <w:vMerge/>
            <w:tcBorders>
              <w:left w:val="single" w:sz="4" w:space="0" w:color="000000"/>
              <w:right w:val="single" w:sz="9"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vMerge/>
            <w:tcBorders>
              <w:left w:val="single" w:sz="10" w:space="0" w:color="D2D2D2"/>
              <w:right w:val="single" w:sz="9" w:space="0" w:color="D2D2D2"/>
            </w:tcBorders>
          </w:tcPr>
          <w:p>
            <w:pP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9"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10" w:space="0" w:color="D2D2D2"/>
              <w:bottom w:val="single" w:sz="4" w:space="0" w:color="000000"/>
              <w:right w:val="single" w:sz="9" w:space="0" w:color="D2D2D2"/>
            </w:tcBorders>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购置固定资产</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4,281.54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支付亚鸿并购款</w:t>
            </w:r>
          </w:p>
        </w:tc>
        <w:tc>
          <w:tcPr>
            <w:tcW w:w="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1,227.34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1,227.34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21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151"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372.3</w:t>
            </w:r>
          </w:p>
        </w:tc>
        <w:tc>
          <w:tcPr>
            <w:tcW w:w="852" w:type="dxa"/>
            <w:tcBorders>
              <w:top w:val="single" w:sz="4" w:space="0" w:color="000000"/>
              <w:left w:val="single" w:sz="4" w:space="0" w:color="000000"/>
              <w:bottom w:val="single" w:sz="4" w:space="0" w:color="000000"/>
              <w:right w:val="single" w:sz="13" w:space="0" w:color="D2D2D2"/>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1,227.34</w:t>
            </w:r>
          </w:p>
        </w:tc>
        <w:tc>
          <w:tcPr>
            <w:tcW w:w="9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6,381.18</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13" w:space="0" w:color="D2D2D2"/>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36,169.47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36,169.47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1,227.34</w:t>
            </w:r>
          </w:p>
        </w:tc>
        <w:tc>
          <w:tcPr>
            <w:tcW w:w="92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42,471.19</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10" w:space="0" w:color="D2D2D2"/>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16,268.9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924" w:type="dxa"/>
            <w:vMerge/>
            <w:tcBorders>
              <w:left w:val="single" w:sz="4" w:space="0" w:color="000000"/>
              <w:right w:val="single" w:sz="9" w:space="0" w:color="D2D2D2"/>
            </w:tcBorders>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709" w:type="dxa"/>
            <w:vMerge/>
            <w:tcBorders>
              <w:left w:val="single" w:sz="10" w:space="0" w:color="D2D2D2"/>
              <w:right w:val="single" w:sz="9" w:space="0" w:color="D2D2D2"/>
            </w:tcBorders>
          </w:tcPr>
          <w:p>
            <w:pP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9" w:space="0" w:color="D2D2D2"/>
            </w:tcBorders>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10" w:space="0" w:color="D2D2D2"/>
              <w:bottom w:val="single" w:sz="4" w:space="0" w:color="000000"/>
              <w:right w:val="single" w:sz="9" w:space="0" w:color="D2D2D2"/>
            </w:tcBorders>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4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67" w:type="dxa"/>
            <w:gridSpan w:val="11"/>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67" w:type="dxa"/>
            <w:gridSpan w:val="11"/>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78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17"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7867" w:type="dxa"/>
            <w:gridSpan w:val="11"/>
            <w:vMerge w:val="restart"/>
            <w:tcBorders>
              <w:top w:val="single" w:sz="4" w:space="0" w:color="000000"/>
              <w:left w:val="single" w:sz="9" w:space="0" w:color="D2D2D2"/>
              <w:right w:val="single" w:sz="4" w:space="0" w:color="000000"/>
            </w:tcBorders>
          </w:tcPr>
          <w:p>
            <w:pPr>
              <w:pStyle w:val="TableParagraph"/>
              <w:spacing w:line="240" w:lineRule="auto" w:before="52"/>
              <w:ind w:left="3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公司首次公开发行股票实际募集资金净额人民币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23,108.00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万元，其中超额募集资金为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6,623.53</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5"/>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年第三次临时股东大会审议通过了关于使用超募资金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16" w:right="22"/>
              <w:jc w:val="both"/>
              <w:rPr>
                <w:rFonts w:ascii="宋体" w:hAnsi="宋体" w:cs="宋体" w:eastAsia="宋体" w:hint="default"/>
                <w:sz w:val="18"/>
                <w:szCs w:val="18"/>
              </w:rPr>
            </w:pPr>
            <w:r>
              <w:rPr>
                <w:rFonts w:ascii="宋体" w:hAnsi="宋体" w:cs="宋体" w:eastAsia="宋体" w:hint="default"/>
                <w:sz w:val="18"/>
                <w:szCs w:val="18"/>
              </w:rPr>
              <w:t>向中天信安增资的议案。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日，本公司与中天信安及其股东刘宏伟、刘健签订增资扩股 协议，以人民币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万元向中天信安增资，增资完成后本公司占中天信安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的股权比例，中天信 安的注册资本由</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万变为</w:t>
            </w:r>
            <w:r>
              <w:rPr>
                <w:rFonts w:ascii="宋体" w:hAnsi="宋体" w:cs="宋体" w:eastAsia="宋体" w:hint="default"/>
                <w:spacing w:val="-46"/>
                <w:sz w:val="18"/>
                <w:szCs w:val="18"/>
              </w:rPr>
              <w:t> </w:t>
            </w:r>
            <w:r>
              <w:rPr>
                <w:rFonts w:ascii="宋体" w:hAnsi="宋体" w:cs="宋体" w:eastAsia="宋体" w:hint="default"/>
                <w:sz w:val="18"/>
                <w:szCs w:val="18"/>
              </w:rPr>
              <w:t>1,250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日，完成了相关的工商变更登记手续。</w:t>
            </w:r>
          </w:p>
          <w:p>
            <w:pPr>
              <w:pStyle w:val="TableParagraph"/>
              <w:spacing w:line="240" w:lineRule="auto" w:before="69"/>
              <w:ind w:left="46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7</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4</w:t>
            </w:r>
            <w:r>
              <w:rPr>
                <w:rFonts w:ascii="宋体" w:hAnsi="宋体" w:cs="宋体" w:eastAsia="宋体" w:hint="default"/>
                <w:spacing w:val="-59"/>
                <w:sz w:val="18"/>
                <w:szCs w:val="18"/>
              </w:rPr>
              <w:t> </w:t>
            </w:r>
            <w:r>
              <w:rPr>
                <w:rFonts w:ascii="宋体" w:hAnsi="宋体" w:cs="宋体" w:eastAsia="宋体" w:hint="default"/>
                <w:sz w:val="18"/>
                <w:szCs w:val="18"/>
              </w:rPr>
              <w:t>日，本公司第二届董事会第二次会议审议通过《关于对外投资设立武汉子公司的</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67"/>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万元在武汉设立全资子公司武汉任子行</w:t>
            </w:r>
            <w:r>
              <w:rPr>
                <w:rFonts w:ascii="宋体" w:hAnsi="宋体" w:cs="宋体" w:eastAsia="宋体" w:hint="default"/>
                <w:spacing w:val="-67"/>
                <w:sz w:val="18"/>
                <w:szCs w:val="18"/>
              </w:rPr>
              <w:t>，</w:t>
            </w:r>
            <w:r>
              <w:rPr>
                <w:rFonts w:ascii="宋体" w:hAnsi="宋体" w:cs="宋体" w:eastAsia="宋体" w:hint="default"/>
                <w:sz w:val="18"/>
                <w:szCs w:val="18"/>
              </w:rPr>
              <w:t>注册资本</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66"/>
                <w:sz w:val="18"/>
                <w:szCs w:val="18"/>
              </w:rPr>
              <w:t>。</w:t>
            </w:r>
            <w:r>
              <w:rPr>
                <w:rFonts w:ascii="宋体" w:hAnsi="宋体" w:cs="宋体" w:eastAsia="宋体" w:hint="default"/>
                <w:sz w:val="18"/>
                <w:szCs w:val="18"/>
              </w:rPr>
              <w:t>2013</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日，完成了相关的工商注册登记手续。</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日，本公司第二届董事会第六次会</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67" w:type="dxa"/>
            <w:gridSpan w:val="11"/>
            <w:vMerge/>
            <w:tcBorders>
              <w:left w:val="single" w:sz="9" w:space="0" w:color="D2D2D2"/>
              <w:right w:val="single" w:sz="4" w:space="0" w:color="000000"/>
            </w:tcBorders>
          </w:tcPr>
          <w:p>
            <w:pPr/>
          </w:p>
        </w:tc>
      </w:tr>
      <w:tr>
        <w:trPr>
          <w:trHeight w:val="1319"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3.0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7867"/>
                  </w:tblGrid>
                  <w:tr>
                    <w:trPr>
                      <w:trHeight w:val="2898"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both"/>
                          <w:rPr>
                            <w:rFonts w:ascii="宋体" w:hAnsi="宋体" w:cs="宋体" w:eastAsia="宋体" w:hint="default"/>
                            <w:sz w:val="18"/>
                            <w:szCs w:val="18"/>
                          </w:rPr>
                        </w:pPr>
                        <w:r>
                          <w:rPr>
                            <w:rFonts w:ascii="宋体" w:hAnsi="宋体" w:cs="宋体" w:eastAsia="宋体" w:hint="default"/>
                            <w:spacing w:val="-3"/>
                            <w:sz w:val="18"/>
                            <w:szCs w:val="18"/>
                          </w:rPr>
                          <w:t>议审议通过《关于使用超募资金购置办公场所的议案》，同意公司使用超募资金认购位于武汉市东湖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开发区关山大道以西、南湖南路以南的光谷软件园</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层和</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层房产，以满足公司在 华中地区开展业务和全资子公司武汉市任子行软件技术有限公司办公使用，该项房产已于</w:t>
                        </w:r>
                        <w:r>
                          <w:rPr>
                            <w:rFonts w:ascii="宋体" w:hAnsi="宋体" w:cs="宋体" w:eastAsia="宋体" w:hint="default"/>
                            <w:spacing w:val="-65"/>
                            <w:sz w:val="18"/>
                            <w:szCs w:val="18"/>
                          </w:rPr>
                          <w:t> </w:t>
                        </w:r>
                        <w:r>
                          <w:rPr>
                            <w:rFonts w:ascii="宋体" w:hAnsi="宋体" w:cs="宋体" w:eastAsia="宋体" w:hint="default"/>
                            <w:sz w:val="18"/>
                            <w:szCs w:val="18"/>
                          </w:rPr>
                          <w:t>2014</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12 </w:t>
                        </w:r>
                        <w:r>
                          <w:rPr>
                            <w:rFonts w:ascii="宋体" w:hAnsi="宋体" w:cs="宋体" w:eastAsia="宋体" w:hint="default"/>
                            <w:sz w:val="18"/>
                            <w:szCs w:val="18"/>
                          </w:rPr>
                          <w:t>月完工并投入使用。</w:t>
                        </w:r>
                      </w:p>
                      <w:p>
                        <w:pPr>
                          <w:pStyle w:val="TableParagraph"/>
                          <w:spacing w:line="316" w:lineRule="auto" w:before="57"/>
                          <w:ind w:left="23" w:right="20" w:firstLine="45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日，公司召开第三届董事会第十九次会议及第三届监事会议第十七次会议，审 议通过了《关于变更超募资金投资项目暨使用剩余超募资金支付北京亚鸿世纪科技发展有限公司部 </w:t>
                        </w:r>
                        <w:r>
                          <w:rPr>
                            <w:rFonts w:ascii="宋体" w:hAnsi="宋体" w:cs="宋体" w:eastAsia="宋体" w:hint="default"/>
                            <w:spacing w:val="-3"/>
                            <w:sz w:val="18"/>
                            <w:szCs w:val="18"/>
                          </w:rPr>
                          <w:t>分股权转让款的议案》，同意注销武汉任子行，将原计划投入项目的超募资金进行变更，并将全部剩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余超募资金及利息用于支付北京亚鸿部分股权转让款，该议案已经</w:t>
                        </w:r>
                        <w:r>
                          <w:rPr>
                            <w:rFonts w:ascii="宋体" w:hAnsi="宋体" w:cs="宋体" w:eastAsia="宋体" w:hint="default"/>
                            <w:spacing w:val="-56"/>
                            <w:sz w:val="18"/>
                            <w:szCs w:val="18"/>
                          </w:rPr>
                          <w:t> </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第七次临时股东大会审议通</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过。截止</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日，累计支付北京亚鸿股权转让款</w:t>
                        </w:r>
                        <w:r>
                          <w:rPr>
                            <w:rFonts w:ascii="宋体" w:hAnsi="宋体" w:cs="宋体" w:eastAsia="宋体" w:hint="default"/>
                            <w:spacing w:val="-46"/>
                            <w:sz w:val="18"/>
                            <w:szCs w:val="18"/>
                          </w:rPr>
                          <w:t> </w:t>
                        </w:r>
                        <w:r>
                          <w:rPr>
                            <w:rFonts w:ascii="宋体" w:hAnsi="宋体" w:cs="宋体" w:eastAsia="宋体" w:hint="default"/>
                            <w:sz w:val="18"/>
                            <w:szCs w:val="18"/>
                          </w:rPr>
                          <w:t>1,227.26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01" w:type="dxa"/>
                        <w:vMerge/>
                        <w:tcBorders>
                          <w:left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01" w:type="dxa"/>
                        <w:vMerge/>
                        <w:tcBorders>
                          <w:left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701" w:type="dxa"/>
                        <w:vMerge/>
                        <w:tcBorders>
                          <w:left w:val="single" w:sz="4" w:space="0" w:color="000000"/>
                          <w:bottom w:val="single" w:sz="4" w:space="0" w:color="FFFFFF"/>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日，公司募集资金投资项目自筹资金实际已投入的资金总额为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5,380.75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元。其中网络内容与行为审计产品升级优化项目先期投入 </w:t>
                        </w:r>
                        <w:r>
                          <w:rPr>
                            <w:rFonts w:ascii="Times New Roman" w:hAnsi="Times New Roman" w:cs="Times New Roman" w:eastAsia="Times New Roman" w:hint="default"/>
                            <w:sz w:val="18"/>
                            <w:szCs w:val="18"/>
                          </w:rPr>
                          <w:t>2,077.64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万元，网络信息安全监管平台建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设项目先期投入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1,954.85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万元，研发中心扩建项目先期投入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1,348.26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万元。北京永拓对本公司上述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募集资金投资项目预先已投入的实际情况进行了审核并于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31063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号《关于任子行网络技术股份有限公司以募集资金置换预先投入募集资金投资项目的自筹</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pacing w:val="-10"/>
                            <w:sz w:val="18"/>
                            <w:szCs w:val="18"/>
                          </w:rPr>
                          <w:t>资金的鉴证报告》。</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日，本公司第一届董事会第十四次会议和第一届监事会第七次会</w:t>
                        </w:r>
                        <w:r>
                          <w:rPr>
                            <w:rFonts w:ascii="宋体" w:hAnsi="宋体" w:cs="宋体" w:eastAsia="宋体" w:hint="default"/>
                            <w:sz w:val="18"/>
                            <w:szCs w:val="18"/>
                          </w:rPr>
                          <w:t> 议，审议通过了《关于使用募集资金置换预先已投入募投资项目自筹资金》的议案，同意公司使用 募集资金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万元置换预先已投入募集资金投资项目的同等金额自筹资金。保荐机构国信证券 股份有限公司进行了核查，对公司本次募集资金置换预先已投入募集资金投资项目的自筹资金事项 发表无异议核查意见。公司已经在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年上半年完成募集资金投资项目先期投入的置换工作。</w:t>
                        </w:r>
                      </w:p>
                    </w:tc>
                  </w:tr>
                  <w:tr>
                    <w:trPr>
                      <w:trHeight w:val="402" w:hRule="exact"/>
                    </w:trPr>
                    <w:tc>
                      <w:tcPr>
                        <w:tcW w:w="170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4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日，公司募投项目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网络信息安全监管平台建设项目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研发中心扩建项目</w:t>
                        </w:r>
                        <w:r>
                          <w:rPr>
                            <w:rFonts w:ascii="Times New Roman" w:hAnsi="Times New Roman" w:cs="Times New Roman" w:eastAsia="Times New Roman" w:hint="default"/>
                            <w:spacing w:val="-2"/>
                            <w:sz w:val="18"/>
                            <w:szCs w:val="18"/>
                          </w:rPr>
                          <w:t>”</w:t>
                        </w:r>
                      </w:p>
                      <w:p>
                        <w:pPr>
                          <w:pStyle w:val="TableParagraph"/>
                          <w:spacing w:line="309"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已经完成投资，累计使用募集资金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8,871.07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万元，募集资金专户节余余额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万元，募投项目产 生节余资金主要原因是募集资金的利息收入以及募投项目建设过程中，公司坚持谨慎、节约的原则 对部分设备集中采购，降低了采购成本。</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日，公司第二届董事会第十五次会议审议 </w:t>
                        </w:r>
                        <w:r>
                          <w:rPr>
                            <w:rFonts w:ascii="宋体" w:hAnsi="宋体" w:cs="宋体" w:eastAsia="宋体" w:hint="default"/>
                            <w:spacing w:val="-3"/>
                            <w:sz w:val="18"/>
                            <w:szCs w:val="18"/>
                          </w:rPr>
                          <w:t>通过了《关于使用节余募集资金永久补充流动资金的议案》，全体董事一致同意使用节余募集资金永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久补充流动资金，资金利息永久补充流动资金后，公司将注销相应的募集资金专项账户。</w:t>
                        </w:r>
                      </w:p>
                      <w:p>
                        <w:pPr>
                          <w:pStyle w:val="TableParagraph"/>
                          <w:spacing w:line="240" w:lineRule="auto" w:before="62"/>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网络内容与行为审计产品升级优化项目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已经完成投资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累计使用募集资金</w:t>
                        </w:r>
                        <w:r>
                          <w:rPr>
                            <w:rFonts w:ascii="宋体" w:hAnsi="宋体" w:cs="宋体" w:eastAsia="宋体" w:hint="default"/>
                            <w:spacing w:val="-46"/>
                            <w:sz w:val="18"/>
                            <w:szCs w:val="18"/>
                          </w:rPr>
                          <w:t> </w:t>
                        </w:r>
                        <w:r>
                          <w:rPr>
                            <w:rFonts w:ascii="宋体" w:hAnsi="宋体" w:cs="宋体" w:eastAsia="宋体" w:hint="default"/>
                            <w:sz w:val="18"/>
                            <w:szCs w:val="18"/>
                          </w:rPr>
                          <w:t>7,533.89</w:t>
                        </w:r>
                        <w:r>
                          <w:rPr>
                            <w:rFonts w:ascii="宋体" w:hAnsi="宋体" w:cs="宋体" w:eastAsia="宋体" w:hint="default"/>
                            <w:spacing w:val="-44"/>
                            <w:sz w:val="18"/>
                            <w:szCs w:val="18"/>
                          </w:rPr>
                          <w:t> </w:t>
                        </w:r>
                        <w:r>
                          <w:rPr>
                            <w:rFonts w:ascii="宋体" w:hAnsi="宋体" w:cs="宋体" w:eastAsia="宋体" w:hint="default"/>
                            <w:sz w:val="18"/>
                            <w:szCs w:val="18"/>
                          </w:rPr>
                          <w:t>万元，募集资金专户节余余额</w:t>
                        </w:r>
                        <w:r>
                          <w:rPr>
                            <w:rFonts w:ascii="宋体" w:hAnsi="宋体" w:cs="宋体" w:eastAsia="宋体" w:hint="default"/>
                            <w:spacing w:val="-46"/>
                            <w:sz w:val="18"/>
                            <w:szCs w:val="18"/>
                          </w:rPr>
                          <w:t> </w:t>
                        </w:r>
                        <w:r>
                          <w:rPr>
                            <w:rFonts w:ascii="宋体" w:hAnsi="宋体" w:cs="宋体" w:eastAsia="宋体" w:hint="default"/>
                            <w:sz w:val="18"/>
                            <w:szCs w:val="18"/>
                          </w:rPr>
                          <w:t>110.43</w:t>
                        </w:r>
                        <w:r>
                          <w:rPr>
                            <w:rFonts w:ascii="宋体" w:hAnsi="宋体" w:cs="宋体" w:eastAsia="宋体" w:hint="default"/>
                            <w:spacing w:val="-46"/>
                            <w:sz w:val="18"/>
                            <w:szCs w:val="18"/>
                          </w:rPr>
                          <w:t> </w:t>
                        </w:r>
                        <w:r>
                          <w:rPr>
                            <w:rFonts w:ascii="宋体" w:hAnsi="宋体" w:cs="宋体" w:eastAsia="宋体" w:hint="default"/>
                            <w:sz w:val="18"/>
                            <w:szCs w:val="18"/>
                          </w:rPr>
                          <w:t>万元，募投项目产生节余资金主</w:t>
                        </w:r>
                      </w:p>
                      <w:p>
                        <w:pPr>
                          <w:pStyle w:val="TableParagraph"/>
                          <w:spacing w:line="316" w:lineRule="auto" w:before="76"/>
                          <w:ind w:left="23" w:right="21"/>
                          <w:jc w:val="both"/>
                          <w:rPr>
                            <w:rFonts w:ascii="宋体" w:hAnsi="宋体" w:cs="宋体" w:eastAsia="宋体" w:hint="default"/>
                            <w:sz w:val="18"/>
                            <w:szCs w:val="18"/>
                          </w:rPr>
                        </w:pPr>
                        <w:r>
                          <w:rPr>
                            <w:rFonts w:ascii="宋体" w:hAnsi="宋体" w:cs="宋体" w:eastAsia="宋体" w:hint="default"/>
                            <w:spacing w:val="-3"/>
                            <w:sz w:val="18"/>
                            <w:szCs w:val="18"/>
                          </w:rPr>
                          <w:t>要原因是募集资金的利息收入。</w:t>
                        </w:r>
                        <w:r>
                          <w:rPr>
                            <w:rFonts w:ascii="宋体" w:hAnsi="宋体" w:cs="宋体" w:eastAsia="宋体" w:hint="default"/>
                            <w:spacing w:val="-3"/>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pacing w:val="-5"/>
                            <w:sz w:val="18"/>
                            <w:szCs w:val="18"/>
                          </w:rPr>
                          <w:t>日，公司第二届董事会第二十六次会议审议通过了《关</w:t>
                        </w:r>
                        <w:r>
                          <w:rPr>
                            <w:rFonts w:ascii="宋体" w:hAnsi="宋体" w:cs="宋体" w:eastAsia="宋体" w:hint="default"/>
                            <w:sz w:val="18"/>
                            <w:szCs w:val="18"/>
                          </w:rPr>
                          <w:t> </w:t>
                        </w:r>
                        <w:r>
                          <w:rPr>
                            <w:rFonts w:ascii="宋体" w:hAnsi="宋体" w:cs="宋体" w:eastAsia="宋体" w:hint="default"/>
                            <w:spacing w:val="-3"/>
                            <w:sz w:val="18"/>
                            <w:szCs w:val="18"/>
                          </w:rPr>
                          <w:t>于将节余募集资金永久补充流动资金的议案》，全体董事一致同意使用上述募投项目节余利息永久补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充流动资金，资金利息永久补充流动资金后，公司将注销相应的募集资金专项账户。</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0"/>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1"/>
        <w:gridCol w:w="7867"/>
      </w:tblGrid>
      <w:tr>
        <w:trPr>
          <w:trHeight w:val="98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pacing w:val="-3"/>
                <w:sz w:val="18"/>
                <w:szCs w:val="18"/>
              </w:rPr>
              <w:t>日，公司办理了三个募集资金账户的销户手续，资金余额合计</w:t>
            </w:r>
            <w:r>
              <w:rPr>
                <w:rFonts w:ascii="宋体" w:hAnsi="宋体" w:cs="宋体" w:eastAsia="宋体" w:hint="default"/>
                <w:spacing w:val="-41"/>
                <w:sz w:val="18"/>
                <w:szCs w:val="18"/>
              </w:rPr>
              <w:t> </w:t>
            </w:r>
            <w:r>
              <w:rPr>
                <w:rFonts w:ascii="宋体" w:hAnsi="宋体" w:cs="宋体" w:eastAsia="宋体" w:hint="default"/>
                <w:sz w:val="18"/>
                <w:szCs w:val="18"/>
              </w:rPr>
              <w:t>369.01</w:t>
            </w:r>
            <w:r>
              <w:rPr>
                <w:rFonts w:ascii="宋体" w:hAnsi="宋体" w:cs="宋体" w:eastAsia="宋体" w:hint="default"/>
                <w:spacing w:val="-39"/>
                <w:sz w:val="18"/>
                <w:szCs w:val="18"/>
              </w:rPr>
              <w:t> </w:t>
            </w:r>
            <w:r>
              <w:rPr>
                <w:rFonts w:ascii="宋体" w:hAnsi="宋体" w:cs="宋体" w:eastAsia="宋体" w:hint="default"/>
                <w:sz w:val="18"/>
                <w:szCs w:val="18"/>
              </w:rPr>
              <w:t>万元已全部转基本户补充流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5"/>
                <w:sz w:val="18"/>
                <w:szCs w:val="18"/>
              </w:rPr>
              <w:t>动资金。</w:t>
            </w:r>
            <w:r>
              <w:rPr>
                <w:rFonts w:ascii="宋体" w:hAnsi="宋体" w:cs="宋体" w:eastAsia="宋体" w:hint="default"/>
                <w:spacing w:val="-5"/>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日，公司办理了收购苏州唐人数码科技有限公司配套募集资金账户的销户手</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续，资金余额</w:t>
            </w:r>
            <w:r>
              <w:rPr>
                <w:rFonts w:ascii="宋体" w:hAnsi="宋体" w:cs="宋体" w:eastAsia="宋体" w:hint="default"/>
                <w:spacing w:val="-46"/>
                <w:sz w:val="18"/>
                <w:szCs w:val="18"/>
              </w:rPr>
              <w:t> </w:t>
            </w:r>
            <w:r>
              <w:rPr>
                <w:rFonts w:ascii="宋体" w:hAnsi="宋体" w:cs="宋体" w:eastAsia="宋体" w:hint="default"/>
                <w:sz w:val="18"/>
                <w:szCs w:val="18"/>
              </w:rPr>
              <w:t>3.29</w:t>
            </w:r>
            <w:r>
              <w:rPr>
                <w:rFonts w:ascii="宋体" w:hAnsi="宋体" w:cs="宋体" w:eastAsia="宋体" w:hint="default"/>
                <w:spacing w:val="-46"/>
                <w:sz w:val="18"/>
                <w:szCs w:val="18"/>
              </w:rPr>
              <w:t> </w:t>
            </w:r>
            <w:r>
              <w:rPr>
                <w:rFonts w:ascii="宋体" w:hAnsi="宋体" w:cs="宋体" w:eastAsia="宋体" w:hint="default"/>
                <w:sz w:val="18"/>
                <w:szCs w:val="18"/>
              </w:rPr>
              <w:t>万元已全部转基本户补充流动资金。</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尚未使用的超募资金均存放在公司募集资金专户。</w:t>
            </w: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1204"/>
        <w:gridCol w:w="712"/>
        <w:gridCol w:w="956"/>
        <w:gridCol w:w="956"/>
        <w:gridCol w:w="1061"/>
        <w:gridCol w:w="852"/>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6" w:right="55"/>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变更后项目拟 投入募集资金 总额</w:t>
            </w:r>
            <w:r>
              <w:rPr>
                <w:rFonts w:ascii="Times New Roman" w:hAnsi="Times New Roman" w:cs="Times New Roman" w:eastAsia="Times New Roman" w:hint="default"/>
                <w:sz w:val="18"/>
                <w:szCs w:val="18"/>
              </w:rPr>
              <w:t>(1)</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1"/>
              <w:jc w:val="center"/>
              <w:rPr>
                <w:rFonts w:ascii="宋体" w:hAnsi="宋体" w:cs="宋体" w:eastAsia="宋体" w:hint="default"/>
                <w:sz w:val="18"/>
                <w:szCs w:val="18"/>
              </w:rPr>
            </w:pPr>
            <w:r>
              <w:rPr>
                <w:rFonts w:ascii="宋体" w:hAnsi="宋体" w:cs="宋体" w:eastAsia="宋体" w:hint="default"/>
                <w:sz w:val="18"/>
                <w:szCs w:val="18"/>
              </w:rPr>
              <w:t>本报告 期实际 投入金 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并购投资</w:t>
            </w:r>
          </w:p>
        </w:tc>
        <w:tc>
          <w:tcPr>
            <w:tcW w:w="95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1,062.01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1,062.01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3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 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452" w:type="dxa"/>
            <w:gridSpan w:val="7"/>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14</w:t>
            </w:r>
            <w:r>
              <w:rPr>
                <w:rFonts w:ascii="宋体" w:hAnsi="宋体" w:cs="宋体" w:eastAsia="宋体" w:hint="default"/>
                <w:spacing w:val="-53"/>
                <w:sz w:val="18"/>
                <w:szCs w:val="18"/>
              </w:rPr>
              <w:t> </w:t>
            </w:r>
            <w:r>
              <w:rPr>
                <w:rFonts w:ascii="宋体" w:hAnsi="宋体" w:cs="宋体" w:eastAsia="宋体" w:hint="default"/>
                <w:sz w:val="18"/>
                <w:szCs w:val="18"/>
              </w:rPr>
              <w:t>日，公司召开第三届董事会第十九次会议及第三届监事会议第十七 </w:t>
            </w:r>
            <w:r>
              <w:rPr>
                <w:rFonts w:ascii="宋体" w:hAnsi="宋体" w:cs="宋体" w:eastAsia="宋体" w:hint="default"/>
                <w:spacing w:val="-3"/>
                <w:sz w:val="18"/>
                <w:szCs w:val="18"/>
              </w:rPr>
              <w:t>次会议，审议通过了《关于变更超募资金投资项目暨使用剩余超募资金支付北京亚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7"/>
                <w:sz w:val="18"/>
                <w:szCs w:val="18"/>
              </w:rPr>
              <w:t>鸿世纪科技发展有限公司部分股权转让款的议案》，且议案已在</w:t>
            </w:r>
            <w:r>
              <w:rPr>
                <w:rFonts w:ascii="宋体" w:hAnsi="宋体" w:cs="宋体" w:eastAsia="宋体" w:hint="default"/>
                <w:spacing w:val="-36"/>
                <w:sz w:val="18"/>
                <w:szCs w:val="18"/>
              </w:rPr>
              <w:t> </w:t>
            </w: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z w:val="18"/>
                <w:szCs w:val="18"/>
              </w:rPr>
              <w:t>第七次临时股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东大会审议通过。</w:t>
            </w:r>
          </w:p>
        </w:tc>
      </w:tr>
      <w:tr>
        <w:trPr>
          <w:trHeight w:val="714" w:hRule="exact"/>
        </w:trPr>
        <w:tc>
          <w:tcPr>
            <w:tcW w:w="3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 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452" w:type="dxa"/>
            <w:gridSpan w:val="7"/>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报告期内武汉任子行尚未注销完成</w:t>
            </w:r>
          </w:p>
        </w:tc>
      </w:tr>
      <w:tr>
        <w:trPr>
          <w:trHeight w:val="714" w:hRule="exact"/>
        </w:trPr>
        <w:tc>
          <w:tcPr>
            <w:tcW w:w="3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6452" w:type="dxa"/>
            <w:gridSpan w:val="7"/>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51"/>
        <w:gridCol w:w="862"/>
        <w:gridCol w:w="981"/>
        <w:gridCol w:w="1134"/>
        <w:gridCol w:w="1276"/>
        <w:gridCol w:w="1276"/>
        <w:gridCol w:w="1197"/>
        <w:gridCol w:w="1213"/>
        <w:gridCol w:w="1134"/>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北京亚鸿</w:t>
            </w:r>
          </w:p>
        </w:tc>
        <w:tc>
          <w:tcPr>
            <w:tcW w:w="86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8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389" w:right="41" w:hanging="360"/>
              <w:jc w:val="left"/>
              <w:rPr>
                <w:rFonts w:ascii="宋体" w:hAnsi="宋体" w:cs="宋体" w:eastAsia="宋体" w:hint="default"/>
                <w:sz w:val="18"/>
                <w:szCs w:val="18"/>
              </w:rPr>
            </w:pPr>
            <w:r>
              <w:rPr>
                <w:rFonts w:ascii="宋体" w:hAnsi="宋体" w:cs="宋体" w:eastAsia="宋体" w:hint="default"/>
                <w:sz w:val="18"/>
                <w:szCs w:val="18"/>
              </w:rPr>
              <w:t>网资管理业 务</w:t>
            </w:r>
          </w:p>
        </w:tc>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320,328,522.40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59,022,269.88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233,188,922.92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36,842,321.95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37,541,995.34</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唐人数码</w:t>
            </w:r>
          </w:p>
        </w:tc>
        <w:tc>
          <w:tcPr>
            <w:tcW w:w="86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8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108,361,603.85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95,692,350.40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109,216,511.72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78,874,641.39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72,148,881.15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泡椒思志</w:t>
            </w:r>
          </w:p>
        </w:tc>
        <w:tc>
          <w:tcPr>
            <w:tcW w:w="86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8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11,694,737.00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115,375,572.88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80,459,974.67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280,803,958.44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44,770,803.36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38,754,037.29</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科技开发</w:t>
            </w:r>
          </w:p>
        </w:tc>
        <w:tc>
          <w:tcPr>
            <w:tcW w:w="86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8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230,980,199.02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74,435,918.43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123,286,979.93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24,676,531.56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22,499,473.27</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694"/>
        <w:gridCol w:w="3402"/>
        <w:gridCol w:w="346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泡椒思志</w:t>
            </w:r>
          </w:p>
        </w:tc>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346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368"/>
              <w:jc w:val="right"/>
              <w:rPr>
                <w:rFonts w:ascii="宋体" w:hAnsi="宋体" w:cs="宋体" w:eastAsia="宋体" w:hint="default"/>
                <w:sz w:val="18"/>
                <w:szCs w:val="18"/>
              </w:rPr>
            </w:pPr>
            <w:r>
              <w:rPr>
                <w:rFonts w:ascii="宋体" w:hAnsi="宋体" w:cs="宋体" w:eastAsia="宋体" w:hint="default"/>
                <w:sz w:val="18"/>
                <w:szCs w:val="18"/>
              </w:rPr>
              <w:t>报告期产生净利润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广州数沃</w:t>
            </w:r>
          </w:p>
        </w:tc>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6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428"/>
              <w:jc w:val="righ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-578.35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任网安</w:t>
            </w:r>
          </w:p>
        </w:tc>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46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473"/>
              <w:jc w:val="righ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-97.75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2"/>
        <w:ind w:left="1134" w:right="0"/>
        <w:jc w:val="left"/>
      </w:pPr>
      <w:r>
        <w:rPr/>
        <w:t>主要控股参股公司情况说明</w:t>
      </w:r>
    </w:p>
    <w:p>
      <w:pPr>
        <w:pStyle w:val="BodyText"/>
        <w:spacing w:line="300" w:lineRule="auto" w:before="115"/>
        <w:ind w:right="1132"/>
        <w:jc w:val="left"/>
      </w:pPr>
      <w:r>
        <w:rPr>
          <w:rFonts w:ascii="Times New Roman" w:hAnsi="Times New Roman" w:cs="Times New Roman" w:eastAsia="Times New Roman" w:hint="default"/>
        </w:rPr>
        <w:t>1</w:t>
      </w:r>
      <w:r>
        <w:rPr/>
        <w:t>、报告期内，任子行科技实现营业收入</w:t>
      </w:r>
      <w:r>
        <w:rPr>
          <w:rFonts w:ascii="Times New Roman" w:hAnsi="Times New Roman" w:cs="Times New Roman" w:eastAsia="Times New Roman" w:hint="default"/>
        </w:rPr>
        <w:t>12,328.70</w:t>
      </w:r>
      <w:r>
        <w:rPr/>
        <w:t>万元，较上年同期营业收入</w:t>
      </w:r>
      <w:r>
        <w:rPr>
          <w:rFonts w:ascii="Times New Roman" w:hAnsi="Times New Roman" w:cs="Times New Roman" w:eastAsia="Times New Roman" w:hint="default"/>
        </w:rPr>
        <w:t>6,033.55</w:t>
      </w:r>
      <w:r>
        <w:rPr/>
        <w:t>万元增长</w:t>
      </w:r>
      <w:r>
        <w:rPr>
          <w:rFonts w:ascii="Times New Roman" w:hAnsi="Times New Roman" w:cs="Times New Roman" w:eastAsia="Times New Roman" w:hint="default"/>
        </w:rPr>
        <w:t>105%</w:t>
      </w:r>
      <w:r>
        <w:rPr/>
        <w:t>，实现净利润</w:t>
      </w:r>
      <w:r>
        <w:rPr>
          <w:rFonts w:ascii="Times New Roman" w:hAnsi="Times New Roman" w:cs="Times New Roman" w:eastAsia="Times New Roman" w:hint="default"/>
        </w:rPr>
        <w:t>2,249.95 </w:t>
      </w:r>
      <w:r>
        <w:rPr/>
        <w:t>万元，较上年同期净利润</w:t>
      </w:r>
      <w:r>
        <w:rPr>
          <w:rFonts w:ascii="Times New Roman" w:hAnsi="Times New Roman" w:cs="Times New Roman" w:eastAsia="Times New Roman" w:hint="default"/>
        </w:rPr>
        <w:t>-290.82</w:t>
      </w:r>
      <w:r>
        <w:rPr/>
        <w:t>增长</w:t>
      </w:r>
      <w:r>
        <w:rPr>
          <w:rFonts w:ascii="Times New Roman" w:hAnsi="Times New Roman" w:cs="Times New Roman" w:eastAsia="Times New Roman" w:hint="default"/>
        </w:rPr>
        <w:t>674%</w:t>
      </w:r>
      <w:r>
        <w:rPr/>
        <w:t>，营业收入及净利润大幅增长主要系公司信安事业部营业收入大幅增长所致； </w:t>
      </w:r>
      <w:r>
        <w:rPr>
          <w:rFonts w:ascii="Times New Roman" w:hAnsi="Times New Roman" w:cs="Times New Roman" w:eastAsia="Times New Roman" w:hint="default"/>
          <w:spacing w:val="-3"/>
        </w:rPr>
        <w:t>2</w:t>
      </w:r>
      <w:r>
        <w:rPr>
          <w:spacing w:val="-3"/>
        </w:rPr>
        <w:t>、报告期内，公司现金收购泡椒思志</w:t>
      </w:r>
      <w:r>
        <w:rPr>
          <w:rFonts w:ascii="Times New Roman" w:hAnsi="Times New Roman" w:cs="Times New Roman" w:eastAsia="Times New Roman" w:hint="default"/>
          <w:spacing w:val="-3"/>
        </w:rPr>
        <w:t>100%</w:t>
      </w:r>
      <w:r>
        <w:rPr>
          <w:spacing w:val="-3"/>
        </w:rPr>
        <w:t>股权，报告期内泡椒思志实现营业收入</w:t>
      </w:r>
      <w:r>
        <w:rPr>
          <w:rFonts w:ascii="Times New Roman" w:hAnsi="Times New Roman" w:cs="Times New Roman" w:eastAsia="Times New Roman" w:hint="default"/>
          <w:spacing w:val="-3"/>
        </w:rPr>
        <w:t>28,080.40</w:t>
      </w:r>
      <w:r>
        <w:rPr>
          <w:spacing w:val="-3"/>
        </w:rPr>
        <w:t>万元，实现净利润</w:t>
      </w:r>
      <w:r>
        <w:rPr>
          <w:rFonts w:ascii="Times New Roman" w:hAnsi="Times New Roman" w:cs="Times New Roman" w:eastAsia="Times New Roman" w:hint="default"/>
          <w:spacing w:val="-3"/>
        </w:rPr>
        <w:t>3,875.40</w:t>
      </w:r>
      <w:r>
        <w:rPr>
          <w:spacing w:val="-3"/>
        </w:rPr>
        <w:t>万元。</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（一）公司未来发展展望</w:t>
      </w:r>
    </w:p>
    <w:p>
      <w:pPr>
        <w:pStyle w:val="BodyText"/>
        <w:spacing w:line="300" w:lineRule="auto" w:before="76"/>
        <w:ind w:left="1494" w:right="0" w:hanging="70"/>
        <w:jc w:val="left"/>
      </w:pPr>
      <w:r>
        <w:rPr>
          <w:rFonts w:ascii="Times New Roman" w:hAnsi="Times New Roman" w:cs="Times New Roman" w:eastAsia="Times New Roman" w:hint="default"/>
        </w:rPr>
        <w:t>1</w:t>
      </w:r>
      <w:r>
        <w:rPr/>
        <w:t>、</w:t>
      </w:r>
      <w:r>
        <w:rPr>
          <w:spacing w:val="-18"/>
        </w:rPr>
        <w:t> </w:t>
      </w:r>
      <w:r>
        <w:rPr/>
        <w:t>行业发展趋势</w:t>
      </w:r>
      <w:r>
        <w:rPr/>
        <w:t> </w:t>
      </w:r>
      <w:r>
        <w:rPr>
          <w:spacing w:val="-2"/>
        </w:rPr>
        <w:t>以互联网为代表的网络信息技术深刻改变着全球经济格局、利益格局、安全格局，世界经济加速向以网络信息技术产业</w:t>
      </w:r>
    </w:p>
    <w:p>
      <w:pPr>
        <w:pStyle w:val="BodyText"/>
        <w:spacing w:line="309" w:lineRule="auto" w:before="31"/>
        <w:ind w:left="1134" w:right="1129"/>
        <w:jc w:val="both"/>
      </w:pPr>
      <w:r>
        <w:rPr>
          <w:spacing w:val="-2"/>
        </w:rPr>
        <w:t>为重要内容的经济活动转变。随着网络信息技术对人类生活的不断渗透，网络空间如今已成为继陆、海、空、天之外的国家</w:t>
      </w:r>
      <w:r>
        <w:rPr>
          <w:spacing w:val="-66"/>
        </w:rPr>
        <w:t> </w:t>
      </w:r>
      <w:r>
        <w:rPr>
          <w:spacing w:val="-66"/>
        </w:rPr>
      </w:r>
      <w:r>
        <w:rPr>
          <w:rFonts w:ascii="Times New Roman" w:hAnsi="Times New Roman" w:cs="Times New Roman" w:eastAsia="Times New Roman" w:hint="default"/>
        </w:rPr>
        <w:t>“</w:t>
      </w:r>
      <w:r>
        <w:rPr/>
        <w:t>第五空间</w:t>
      </w:r>
      <w:r>
        <w:rPr>
          <w:rFonts w:ascii="Times New Roman" w:hAnsi="Times New Roman" w:cs="Times New Roman" w:eastAsia="Times New Roman" w:hint="default"/>
        </w:rPr>
        <w:t>”</w:t>
      </w:r>
      <w:r>
        <w:rPr/>
        <w:t>，其重要性不言而喻。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月，《网络安全法》正式实施，网络安全行业迎来历史性契机，行业有望蓬勃发</w:t>
      </w:r>
      <w:r>
        <w:rPr>
          <w:spacing w:val="-69"/>
        </w:rPr>
        <w:t> </w:t>
      </w:r>
      <w:r>
        <w:rPr>
          <w:spacing w:val="-69"/>
        </w:rPr>
      </w:r>
      <w:r>
        <w:rPr/>
        <w:t>展，我国正从网络大国向网络强国迈进。</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日，中共中央网络安全和信息化委员会办公室和中国证监会联合印发</w:t>
      </w:r>
    </w:p>
    <w:p>
      <w:pPr>
        <w:pStyle w:val="BodyText"/>
        <w:spacing w:line="316" w:lineRule="auto" w:before="5"/>
        <w:ind w:left="1134" w:right="0"/>
        <w:jc w:val="left"/>
      </w:pPr>
      <w:r>
        <w:rPr>
          <w:spacing w:val="-2"/>
        </w:rPr>
        <w:t>《关于推动资本市场服务网络强国建设的指导意见》，要求进一步发挥资本市场服务实体经济功能，加强政策引导，规范和</w:t>
      </w:r>
      <w:r>
        <w:rPr>
          <w:spacing w:val="-66"/>
        </w:rPr>
        <w:t> </w:t>
      </w:r>
      <w:r>
        <w:rPr>
          <w:spacing w:val="-66"/>
        </w:rPr>
      </w:r>
      <w:r>
        <w:rPr/>
        <w:t>促进网信企业创新发展，推进网络强国、数字中国建设。该指导意见将有利于网络安全企业借助资本市场实现腾飞发展。</w:t>
      </w:r>
    </w:p>
    <w:p>
      <w:pPr>
        <w:pStyle w:val="BodyText"/>
        <w:spacing w:line="300" w:lineRule="auto"/>
        <w:ind w:left="1494" w:right="0" w:hanging="7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年度发展计划 </w:t>
      </w:r>
      <w:r>
        <w:rPr>
          <w:spacing w:val="-2"/>
        </w:rPr>
        <w:t>面临新的机遇及挑战，为积极实现公司的长期发展战略，公司将聚焦网络安全领域，深耕网络空间数据治理，力争成为</w:t>
      </w:r>
    </w:p>
    <w:p>
      <w:pPr>
        <w:pStyle w:val="BodyText"/>
        <w:spacing w:line="316" w:lineRule="auto" w:before="30"/>
        <w:ind w:left="1494" w:right="0" w:hanging="360"/>
        <w:jc w:val="left"/>
        <w:rPr>
          <w:rFonts w:ascii="Times New Roman" w:hAnsi="Times New Roman" w:cs="Times New Roman" w:eastAsia="Times New Roman" w:hint="default"/>
        </w:rPr>
      </w:pPr>
      <w:r>
        <w:rPr/>
        <w:t>国家网络空间主权的捍卫者。 近年来，电信诈骗受到中央电视台等主流媒体多次报道，也得到工信部的重点关注，北京亚鸿根据客户痛点推出电信</w:t>
      </w:r>
      <w:r>
        <w:rPr>
          <w:rFonts w:ascii="Times New Roman" w:hAnsi="Times New Roman" w:cs="Times New Roman" w:eastAsia="Times New Roman" w:hint="default"/>
        </w:rPr>
        <w:t>/</w:t>
      </w:r>
    </w:p>
    <w:p>
      <w:pPr>
        <w:pStyle w:val="BodyText"/>
        <w:spacing w:line="248" w:lineRule="exact" w:before="0"/>
        <w:ind w:right="0"/>
        <w:jc w:val="left"/>
      </w:pPr>
      <w:r>
        <w:rPr/>
        <w:t>互联网反欺诈系统，得到客户高度认可，该业务全年实现合同额</w:t>
      </w:r>
      <w:r>
        <w:rPr>
          <w:rFonts w:ascii="Times New Roman" w:hAnsi="Times New Roman" w:cs="Times New Roman" w:eastAsia="Times New Roman" w:hint="default"/>
        </w:rPr>
        <w:t>8,052</w:t>
      </w:r>
      <w:r>
        <w:rPr/>
        <w:t>万元。</w:t>
      </w:r>
      <w:r>
        <w:rPr>
          <w:rFonts w:ascii="Times New Roman" w:hAnsi="Times New Roman" w:cs="Times New Roman" w:eastAsia="Times New Roman" w:hint="default"/>
        </w:rPr>
        <w:t>2018</w:t>
      </w:r>
      <w:r>
        <w:rPr/>
        <w:t>年，北京亚鸿将加大对电信</w:t>
      </w:r>
      <w:r>
        <w:rPr>
          <w:rFonts w:ascii="Times New Roman" w:hAnsi="Times New Roman" w:cs="Times New Roman" w:eastAsia="Times New Roman" w:hint="default"/>
        </w:rPr>
        <w:t>/</w:t>
      </w:r>
      <w:r>
        <w:rPr/>
        <w:t>互联网反欺诈</w:t>
      </w:r>
    </w:p>
    <w:p>
      <w:pPr>
        <w:spacing w:after="0" w:line="248" w:lineRule="exact"/>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hanging="360"/>
        <w:jc w:val="left"/>
      </w:pPr>
      <w:r>
        <w:rPr/>
        <w:t>系统的推广力度，实现更多省份覆盖。 公司信安事业部研发的互联网金融监控平台将结合北京亚鸿电信</w:t>
      </w:r>
      <w:r>
        <w:rPr>
          <w:rFonts w:ascii="Times New Roman" w:hAnsi="Times New Roman" w:cs="Times New Roman" w:eastAsia="Times New Roman" w:hint="default"/>
        </w:rPr>
        <w:t>/</w:t>
      </w:r>
      <w:r>
        <w:rPr/>
        <w:t>互联网反欺诈系统，共建金融数据云中心平台，利用</w:t>
      </w:r>
    </w:p>
    <w:p>
      <w:pPr>
        <w:pStyle w:val="BodyText"/>
        <w:spacing w:line="300" w:lineRule="auto" w:before="0"/>
        <w:ind w:right="1038"/>
        <w:jc w:val="left"/>
      </w:pPr>
      <w:r>
        <w:rPr/>
        <w:t>互联网金融分类识别技术，提升北京亚鸿电信</w:t>
      </w:r>
      <w:r>
        <w:rPr>
          <w:rFonts w:ascii="Times New Roman" w:hAnsi="Times New Roman" w:cs="Times New Roman" w:eastAsia="Times New Roman" w:hint="default"/>
        </w:rPr>
        <w:t>/</w:t>
      </w:r>
      <w:r>
        <w:rPr/>
        <w:t>互联网反欺诈项目基础部分网站分类的准确性，借助互联网金融相关技术、</w:t>
      </w:r>
      <w:r>
        <w:rPr>
          <w:spacing w:val="-49"/>
        </w:rPr>
        <w:t> </w:t>
      </w:r>
      <w:r>
        <w:rPr>
          <w:spacing w:val="-49"/>
        </w:rPr>
      </w:r>
      <w:r>
        <w:rPr/>
        <w:t>业务、资源的不断提升，贴合北京亚鸿电信</w:t>
      </w:r>
      <w:r>
        <w:rPr>
          <w:rFonts w:ascii="Times New Roman" w:hAnsi="Times New Roman" w:cs="Times New Roman" w:eastAsia="Times New Roman" w:hint="default"/>
        </w:rPr>
        <w:t>/</w:t>
      </w:r>
      <w:r>
        <w:rPr/>
        <w:t>互联网反欺诈项目中的金融反欺诈部分需求，有力支撑其在各省的互联网反欺</w:t>
      </w:r>
      <w:r>
        <w:rPr>
          <w:spacing w:val="-48"/>
        </w:rPr>
        <w:t> </w:t>
      </w:r>
      <w:r>
        <w:rPr>
          <w:spacing w:val="-48"/>
        </w:rPr>
      </w:r>
      <w:r>
        <w:rPr>
          <w:spacing w:val="-1"/>
        </w:rPr>
        <w:t>诈项目。电信</w:t>
      </w:r>
      <w:r>
        <w:rPr>
          <w:rFonts w:ascii="Times New Roman" w:hAnsi="Times New Roman" w:cs="Times New Roman" w:eastAsia="Times New Roman" w:hint="default"/>
          <w:spacing w:val="-1"/>
        </w:rPr>
        <w:t>/</w:t>
      </w:r>
      <w:r>
        <w:rPr>
          <w:spacing w:val="-1"/>
        </w:rPr>
        <w:t>互联网反欺诈和互联网金融监控平台业务将成为公司通过大数据技术实现网络安全数据增值服务的重要抓手，</w:t>
      </w:r>
      <w:r>
        <w:rPr>
          <w:spacing w:val="-77"/>
        </w:rPr>
        <w:t> </w:t>
      </w:r>
      <w:r>
        <w:rPr/>
        <w:t>实现了公司从</w:t>
      </w:r>
      <w:r>
        <w:rPr>
          <w:rFonts w:ascii="Times New Roman" w:hAnsi="Times New Roman" w:cs="Times New Roman" w:eastAsia="Times New Roman" w:hint="default"/>
        </w:rPr>
        <w:t>“</w:t>
      </w:r>
      <w:r>
        <w:rPr/>
        <w:t>网络空间数据治理</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网络空间数据增值服务</w:t>
      </w:r>
      <w:r>
        <w:rPr>
          <w:rFonts w:ascii="Times New Roman" w:hAnsi="Times New Roman" w:cs="Times New Roman" w:eastAsia="Times New Roman" w:hint="default"/>
        </w:rPr>
        <w:t>”</w:t>
      </w:r>
      <w:r>
        <w:rPr/>
        <w:t>拓展的重要里程碑。</w:t>
      </w:r>
    </w:p>
    <w:p>
      <w:pPr>
        <w:pStyle w:val="BodyText"/>
        <w:spacing w:line="300" w:lineRule="auto" w:before="13"/>
        <w:ind w:left="1134" w:right="0" w:firstLine="360"/>
        <w:jc w:val="left"/>
      </w:pPr>
      <w:r>
        <w:rPr>
          <w:spacing w:val="-4"/>
        </w:rPr>
        <w:t>在公安大数据平台方面，公司将不断提升产品稳定性，提升数据采集质量，结合公司在</w:t>
      </w:r>
      <w:r>
        <w:rPr>
          <w:rFonts w:ascii="Times New Roman" w:hAnsi="Times New Roman" w:cs="Times New Roman" w:eastAsia="Times New Roman" w:hint="default"/>
          <w:spacing w:val="-4"/>
        </w:rPr>
        <w:t>IDC</w:t>
      </w:r>
      <w:r>
        <w:rPr>
          <w:spacing w:val="-4"/>
        </w:rPr>
        <w:t>、网吧、非经场所、移动</w:t>
      </w:r>
      <w:r>
        <w:rPr>
          <w:rFonts w:ascii="Times New Roman" w:hAnsi="Times New Roman" w:cs="Times New Roman" w:eastAsia="Times New Roman" w:hint="default"/>
          <w:spacing w:val="-4"/>
        </w:rPr>
        <w:t>APP</w:t>
      </w:r>
      <w:r>
        <w:rPr>
          <w:rFonts w:ascii="Times New Roman" w:hAnsi="Times New Roman" w:cs="Times New Roman" w:eastAsia="Times New Roman" w:hint="default"/>
          <w:spacing w:val="-1"/>
          <w:w w:val="99"/>
        </w:rPr>
        <w:t> </w:t>
      </w:r>
      <w:r>
        <w:rPr/>
        <w:t>市场等行业的数据治理能力，拓展大数据平台在公安系统的实战能力。</w:t>
      </w:r>
    </w:p>
    <w:p>
      <w:pPr>
        <w:pStyle w:val="BodyText"/>
        <w:spacing w:line="309" w:lineRule="auto" w:before="31"/>
        <w:ind w:left="1134" w:right="103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月，公司现金收购泡椒思志</w:t>
      </w:r>
      <w:r>
        <w:rPr>
          <w:rFonts w:ascii="Times New Roman" w:hAnsi="Times New Roman" w:cs="Times New Roman" w:eastAsia="Times New Roman" w:hint="default"/>
        </w:rPr>
        <w:t>100%</w:t>
      </w:r>
      <w:r>
        <w:rPr/>
        <w:t>股权并过户完成，泡椒思志和唐人数码成为公司网络娱乐板块两大重要支撑， 网娱业务群为公司业务发展提供了稳定的现金流和利润支撑。</w:t>
      </w:r>
      <w:r>
        <w:rPr>
          <w:rFonts w:ascii="Times New Roman" w:hAnsi="Times New Roman" w:cs="Times New Roman" w:eastAsia="Times New Roman" w:hint="default"/>
        </w:rPr>
        <w:t>2018</w:t>
      </w:r>
      <w:r>
        <w:rPr/>
        <w:t>年，泡椒思志将在产品、发行、联运全产业链环节发力，</w:t>
      </w:r>
      <w:r>
        <w:rPr>
          <w:spacing w:val="-84"/>
        </w:rPr>
        <w:t> </w:t>
      </w:r>
      <w:r>
        <w:rPr>
          <w:spacing w:val="-84"/>
        </w:rPr>
      </w:r>
      <w:r>
        <w:rPr/>
        <w:t>建立完善的游戏生态体系；唐人数码将加大向移动端转型，尤其是依托其传统</w:t>
      </w:r>
      <w:r>
        <w:rPr>
          <w:rFonts w:ascii="Times New Roman" w:hAnsi="Times New Roman" w:cs="Times New Roman" w:eastAsia="Times New Roman" w:hint="default"/>
        </w:rPr>
        <w:t>PC</w:t>
      </w:r>
      <w:r>
        <w:rPr/>
        <w:t>端棋牌积累的行业优势，加大向移动棋牌</w:t>
      </w:r>
      <w:r>
        <w:rPr>
          <w:spacing w:val="-44"/>
        </w:rPr>
        <w:t> </w:t>
      </w:r>
      <w:r>
        <w:rPr>
          <w:spacing w:val="-44"/>
        </w:rPr>
      </w:r>
      <w:r>
        <w:rPr/>
        <w:t>转型。公司还将在网娱业务群加强投后管理，在管理机制上实现融合。在业务上，依托公司在网吧安全审计中的行业地位，</w:t>
      </w:r>
      <w:r>
        <w:rPr>
          <w:spacing w:val="-85"/>
        </w:rPr>
        <w:t> </w:t>
      </w:r>
      <w:r>
        <w:rPr>
          <w:spacing w:val="-85"/>
        </w:rPr>
      </w:r>
      <w:r>
        <w:rPr/>
        <w:t>建立基于网娱板块的通用会员体系，覆盖手游、端游、网吧实名认证和前端收费、网吧计费和安全审计、内容服务等领域。</w:t>
      </w:r>
      <w:r>
        <w:rPr>
          <w:spacing w:val="-85"/>
        </w:rPr>
        <w:t> </w:t>
      </w:r>
      <w:r>
        <w:rPr>
          <w:spacing w:val="-85"/>
        </w:rPr>
      </w:r>
      <w:r>
        <w:rPr>
          <w:spacing w:val="-2"/>
        </w:rPr>
        <w:t>网安业务群和网娱业务群还将共同探讨围绕公司在网络安全和游戏领域积累的大数据资源，积极探索大数据增值业务，实现</w:t>
      </w:r>
      <w:r>
        <w:rPr>
          <w:spacing w:val="-64"/>
        </w:rPr>
        <w:t> </w:t>
      </w:r>
      <w:r>
        <w:rPr>
          <w:spacing w:val="-64"/>
        </w:rPr>
      </w:r>
      <w:r>
        <w:rPr/>
        <w:t>商业模式拓展。</w:t>
      </w:r>
    </w:p>
    <w:p>
      <w:pPr>
        <w:pStyle w:val="BodyText"/>
        <w:spacing w:line="240" w:lineRule="auto" w:before="24"/>
        <w:ind w:left="1134" w:right="0"/>
        <w:jc w:val="both"/>
      </w:pPr>
      <w:r>
        <w:rPr/>
        <w:t>（二）公司面临的主要风险</w:t>
      </w:r>
    </w:p>
    <w:p>
      <w:pPr>
        <w:pStyle w:val="BodyText"/>
        <w:spacing w:line="300" w:lineRule="auto" w:before="76"/>
        <w:ind w:left="1494" w:right="0"/>
        <w:jc w:val="left"/>
      </w:pPr>
      <w:r>
        <w:rPr>
          <w:rFonts w:ascii="Times New Roman" w:hAnsi="Times New Roman" w:cs="Times New Roman" w:eastAsia="Times New Roman" w:hint="default"/>
        </w:rPr>
        <w:t>1</w:t>
      </w:r>
      <w:r>
        <w:rPr/>
        <w:t>、投资并购后的整合风险 </w:t>
      </w:r>
      <w:r>
        <w:rPr>
          <w:spacing w:val="-2"/>
        </w:rPr>
        <w:t>公司已经完成对唐人数码、泡椒思志和北京亚鸿的并购。上述收购完成后未来仍然存在盈利预测实现风险、商誉减值风</w:t>
      </w:r>
    </w:p>
    <w:p>
      <w:pPr>
        <w:pStyle w:val="BodyText"/>
        <w:spacing w:line="300" w:lineRule="auto" w:before="31"/>
        <w:ind w:right="1131"/>
        <w:jc w:val="both"/>
      </w:pPr>
      <w:r>
        <w:rPr>
          <w:spacing w:val="-5"/>
        </w:rPr>
        <w:t>险、标的资产经营风险等多项风险因素。</w:t>
      </w:r>
      <w:r>
        <w:rPr>
          <w:rFonts w:ascii="Times New Roman" w:hAnsi="Times New Roman" w:cs="Times New Roman" w:eastAsia="Times New Roman" w:hint="default"/>
          <w:spacing w:val="-5"/>
        </w:rPr>
        <w:t>2017</w:t>
      </w:r>
      <w:r>
        <w:rPr>
          <w:spacing w:val="-5"/>
        </w:rPr>
        <w:t>年是唐人数码业绩承诺期最后一年，在公司合并报表归属母公司股东净利润中，</w:t>
      </w:r>
      <w:r>
        <w:rPr>
          <w:spacing w:val="-69"/>
        </w:rPr>
        <w:t> </w:t>
      </w:r>
      <w:r>
        <w:rPr>
          <w:spacing w:val="-69"/>
        </w:rPr>
      </w:r>
      <w:r>
        <w:rPr>
          <w:spacing w:val="-2"/>
        </w:rPr>
        <w:t>来自唐人数码的贡献较大，如果唐人数码核心经营管理团队在</w:t>
      </w:r>
      <w:r>
        <w:rPr>
          <w:rFonts w:ascii="Times New Roman" w:hAnsi="Times New Roman" w:cs="Times New Roman" w:eastAsia="Times New Roman" w:hint="default"/>
          <w:spacing w:val="-2"/>
        </w:rPr>
        <w:t>2018</w:t>
      </w:r>
      <w:r>
        <w:rPr>
          <w:spacing w:val="-2"/>
        </w:rPr>
        <w:t>年不能保持足够的稳定性，则可能对公司未来的经营业绩</w:t>
      </w:r>
      <w:r>
        <w:rPr>
          <w:spacing w:val="-60"/>
        </w:rPr>
        <w:t> </w:t>
      </w:r>
      <w:r>
        <w:rPr>
          <w:spacing w:val="-60"/>
        </w:rPr>
      </w:r>
      <w:r>
        <w:rPr/>
        <w:t>构成较大影响。</w:t>
      </w:r>
    </w:p>
    <w:p>
      <w:pPr>
        <w:pStyle w:val="BodyText"/>
        <w:spacing w:line="300" w:lineRule="auto" w:before="31"/>
        <w:ind w:left="1494" w:right="0"/>
        <w:jc w:val="left"/>
      </w:pPr>
      <w:r>
        <w:rPr>
          <w:rFonts w:ascii="Times New Roman" w:hAnsi="Times New Roman" w:cs="Times New Roman" w:eastAsia="Times New Roman" w:hint="default"/>
        </w:rPr>
        <w:t>2</w:t>
      </w:r>
      <w:r>
        <w:rPr/>
        <w:t>、核心人才流失风险 </w:t>
      </w:r>
      <w:r>
        <w:rPr>
          <w:spacing w:val="-2"/>
        </w:rPr>
        <w:t>随着国家在网络安全行业政策不断落地以及政府部门对网络安全的日趋重视，我国网络安全行业正在迎来新的发展机遇。</w:t>
      </w:r>
    </w:p>
    <w:p>
      <w:pPr>
        <w:pStyle w:val="BodyText"/>
        <w:spacing w:line="316" w:lineRule="auto" w:before="31"/>
        <w:ind w:left="1134" w:right="1131"/>
        <w:jc w:val="both"/>
      </w:pPr>
      <w:r>
        <w:rPr>
          <w:spacing w:val="-5"/>
        </w:rPr>
        <w:t>另外一方面，互联网公司不断进军网络安全行业，对行业人才的争夺日趋激烈，公司需要不断增强企业凝聚力，引进、培养、</w:t>
      </w:r>
      <w:r>
        <w:rPr>
          <w:spacing w:val="-78"/>
        </w:rPr>
        <w:t> </w:t>
      </w:r>
      <w:r>
        <w:rPr>
          <w:spacing w:val="-78"/>
        </w:rPr>
      </w:r>
      <w:r>
        <w:rPr>
          <w:spacing w:val="-2"/>
        </w:rPr>
        <w:t>留住、储备一批中高级人才，才能满足公司快速发展的需要。公司在积极完善和优化员工薪酬福利制度、企业文化环境、股</w:t>
      </w:r>
      <w:r>
        <w:rPr>
          <w:spacing w:val="-66"/>
        </w:rPr>
        <w:t> </w:t>
      </w:r>
      <w:r>
        <w:rPr>
          <w:spacing w:val="-66"/>
        </w:rPr>
      </w:r>
      <w:r>
        <w:rPr/>
        <w:t>权激励等激励措施，但是面临行业激烈的人才竞争，公司依然存在核心人员流失的风险。</w:t>
      </w:r>
    </w:p>
    <w:p>
      <w:pPr>
        <w:pStyle w:val="BodyText"/>
        <w:spacing w:line="300" w:lineRule="auto"/>
        <w:ind w:left="1494" w:right="0"/>
        <w:jc w:val="left"/>
      </w:pPr>
      <w:r>
        <w:rPr>
          <w:rFonts w:ascii="Times New Roman" w:hAnsi="Times New Roman" w:cs="Times New Roman" w:eastAsia="Times New Roman" w:hint="default"/>
        </w:rPr>
        <w:t>3</w:t>
      </w:r>
      <w:r>
        <w:rPr/>
        <w:t>、云计算等新技术应用催化行业变革的风险 </w:t>
      </w:r>
      <w:r>
        <w:rPr>
          <w:spacing w:val="-5"/>
        </w:rPr>
        <w:t>云计算、大数据、物联网、移动互联网等新兴</w:t>
      </w:r>
      <w:r>
        <w:rPr>
          <w:rFonts w:ascii="Times New Roman" w:hAnsi="Times New Roman" w:cs="Times New Roman" w:eastAsia="Times New Roman" w:hint="default"/>
          <w:spacing w:val="-5"/>
        </w:rPr>
        <w:t>IT</w:t>
      </w:r>
      <w:r>
        <w:rPr>
          <w:spacing w:val="-5"/>
        </w:rPr>
        <w:t>技术的不断涌现，使得传统</w:t>
      </w:r>
      <w:r>
        <w:rPr>
          <w:rFonts w:ascii="Times New Roman" w:hAnsi="Times New Roman" w:cs="Times New Roman" w:eastAsia="Times New Roman" w:hint="default"/>
          <w:spacing w:val="-5"/>
        </w:rPr>
        <w:t>IT</w:t>
      </w:r>
      <w:r>
        <w:rPr>
          <w:spacing w:val="-5"/>
        </w:rPr>
        <w:t>企业的发展面临重大变化。以云计算为例，</w:t>
      </w:r>
    </w:p>
    <w:p>
      <w:pPr>
        <w:pStyle w:val="BodyText"/>
        <w:spacing w:line="300" w:lineRule="auto" w:before="13"/>
        <w:ind w:right="1120"/>
        <w:jc w:val="left"/>
      </w:pPr>
      <w:r>
        <w:rPr>
          <w:spacing w:val="-1"/>
        </w:rPr>
        <w:t>随着企业</w:t>
      </w:r>
      <w:r>
        <w:rPr>
          <w:rFonts w:ascii="Times New Roman" w:hAnsi="Times New Roman" w:cs="Times New Roman" w:eastAsia="Times New Roman" w:hint="default"/>
          <w:spacing w:val="-1"/>
        </w:rPr>
        <w:t>IT</w:t>
      </w:r>
      <w:r>
        <w:rPr>
          <w:spacing w:val="-1"/>
        </w:rPr>
        <w:t>业务不断迁移到云平台，云计算业务在</w:t>
      </w:r>
      <w:r>
        <w:rPr>
          <w:rFonts w:ascii="Times New Roman" w:hAnsi="Times New Roman" w:cs="Times New Roman" w:eastAsia="Times New Roman" w:hint="default"/>
          <w:spacing w:val="-1"/>
        </w:rPr>
        <w:t>IT</w:t>
      </w:r>
      <w:r>
        <w:rPr>
          <w:spacing w:val="-1"/>
        </w:rPr>
        <w:t>支出中比例越来越高，传统</w:t>
      </w:r>
      <w:r>
        <w:rPr>
          <w:rFonts w:ascii="Times New Roman" w:hAnsi="Times New Roman" w:cs="Times New Roman" w:eastAsia="Times New Roman" w:hint="default"/>
          <w:spacing w:val="-1"/>
        </w:rPr>
        <w:t>IT</w:t>
      </w:r>
      <w:r>
        <w:rPr>
          <w:spacing w:val="-1"/>
        </w:rPr>
        <w:t>企业面临的压力不断增大。如果公司业务</w:t>
      </w:r>
      <w:r>
        <w:rPr>
          <w:spacing w:val="-85"/>
        </w:rPr>
        <w:t> </w:t>
      </w:r>
      <w:r>
        <w:rPr>
          <w:spacing w:val="-85"/>
        </w:rPr>
      </w:r>
      <w:r>
        <w:rPr/>
        <w:t>不能紧跟行业趋势，将存在被新技术逐渐替代的风险。</w:t>
      </w:r>
    </w:p>
    <w:p>
      <w:pPr>
        <w:pStyle w:val="BodyText"/>
        <w:spacing w:line="240" w:lineRule="auto" w:before="31"/>
        <w:ind w:left="1494" w:right="0"/>
        <w:jc w:val="left"/>
      </w:pPr>
      <w:r>
        <w:rPr>
          <w:rFonts w:ascii="Times New Roman" w:hAnsi="Times New Roman" w:cs="Times New Roman" w:eastAsia="Times New Roman" w:hint="default"/>
        </w:rPr>
        <w:t>4</w:t>
      </w:r>
      <w:r>
        <w:rPr/>
        <w:t>、网络游戏行业政策风险</w:t>
      </w:r>
    </w:p>
    <w:p>
      <w:pPr>
        <w:pStyle w:val="BodyText"/>
        <w:spacing w:line="314" w:lineRule="auto" w:before="63"/>
        <w:ind w:right="1131" w:firstLine="360"/>
        <w:jc w:val="both"/>
      </w:pPr>
      <w:r>
        <w:rPr>
          <w:rFonts w:ascii="Times New Roman" w:hAnsi="Times New Roman" w:cs="Times New Roman" w:eastAsia="Times New Roman" w:hint="default"/>
          <w:spacing w:val="-2"/>
        </w:rPr>
        <w:t>2013</w:t>
      </w:r>
      <w:r>
        <w:rPr>
          <w:spacing w:val="-2"/>
        </w:rPr>
        <w:t>年起，公司积极探索开展网络游戏业务，通过不断投资并购实现公司业务的外延式发展。网络游戏行业主要受工信</w:t>
      </w:r>
      <w:r>
        <w:rPr/>
        <w:t> </w:t>
      </w:r>
      <w:r>
        <w:rPr>
          <w:spacing w:val="-5"/>
        </w:rPr>
        <w:t>部、文化部、国家新闻出版广电总局、国家版权局的共同监管。由于网络游戏产业快速发展的同时可能会引发一些社会问题，</w:t>
      </w:r>
      <w:r>
        <w:rPr>
          <w:spacing w:val="-82"/>
        </w:rPr>
        <w:t> </w:t>
      </w:r>
      <w:r>
        <w:rPr>
          <w:spacing w:val="-82"/>
        </w:rPr>
      </w:r>
      <w:r>
        <w:rPr>
          <w:spacing w:val="-2"/>
        </w:rPr>
        <w:t>相关监管部门逐步加强了对行业的监管力度，针对游戏运营单位的业务资质、游戏内容、游戏时间、经营场所和审查备案程</w:t>
      </w:r>
      <w:r>
        <w:rPr>
          <w:spacing w:val="-66"/>
        </w:rPr>
        <w:t> </w:t>
      </w:r>
      <w:r>
        <w:rPr>
          <w:spacing w:val="-66"/>
        </w:rPr>
      </w:r>
      <w:r>
        <w:rPr>
          <w:spacing w:val="-2"/>
        </w:rPr>
        <w:t>序等不断出台相关的管理制度或政策。公司的子公司从事移动网络游戏运营的，存在未能达到新政策的要求及时取得相关业</w:t>
      </w:r>
      <w:r>
        <w:rPr>
          <w:spacing w:val="-64"/>
        </w:rPr>
        <w:t> </w:t>
      </w:r>
      <w:r>
        <w:rPr>
          <w:spacing w:val="-64"/>
        </w:rPr>
      </w:r>
      <w:r>
        <w:rPr/>
        <w:t>务资质或许可的风险。</w:t>
      </w:r>
    </w:p>
    <w:p>
      <w:pPr>
        <w:spacing w:line="240" w:lineRule="auto" w:before="12"/>
        <w:rPr>
          <w:rFonts w:ascii="宋体" w:hAnsi="宋体" w:cs="宋体" w:eastAsia="宋体" w:hint="default"/>
          <w:sz w:val="20"/>
          <w:szCs w:val="20"/>
        </w:rPr>
      </w:pPr>
    </w:p>
    <w:p>
      <w:pPr>
        <w:pStyle w:val="Heading2"/>
        <w:spacing w:line="240" w:lineRule="auto"/>
        <w:ind w:left="1134"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665"/>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38" w:lineRule="auto" w:before="117"/>
        <w:ind w:left="1493"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6"/>
        </w:rPr>
        <w:t>报告期内，公司严格按照《公司章程》相关利润分配政策和审议程序实施利润分配方案，分红标准和分红比例明确清晰，</w:t>
      </w:r>
    </w:p>
    <w:p>
      <w:pPr>
        <w:pStyle w:val="BodyText"/>
        <w:spacing w:line="316" w:lineRule="auto" w:before="2"/>
        <w:ind w:right="0"/>
        <w:jc w:val="left"/>
      </w:pPr>
      <w:r>
        <w:rPr>
          <w:spacing w:val="-2"/>
        </w:rPr>
        <w:t>相关的决策程序和机制完备。公司利润分配方案经由董事会、监事会审议过后提交股东大会审议，并由独立董事发表独立意</w:t>
      </w:r>
      <w:r>
        <w:rPr>
          <w:spacing w:val="-66"/>
        </w:rPr>
        <w:t> </w:t>
      </w:r>
      <w:r>
        <w:rPr>
          <w:spacing w:val="-66"/>
        </w:rPr>
      </w:r>
      <w:r>
        <w:rPr/>
        <w:t>见，审议通过后在规定时间内进行实施，切实保证了全体股东的利益。</w:t>
      </w:r>
    </w:p>
    <w:p>
      <w:pPr>
        <w:pStyle w:val="BodyText"/>
        <w:spacing w:line="300" w:lineRule="auto"/>
        <w:ind w:right="1033" w:firstLine="362"/>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日，公司</w:t>
      </w:r>
      <w:r>
        <w:rPr>
          <w:rFonts w:ascii="Times New Roman" w:hAnsi="Times New Roman" w:cs="Times New Roman" w:eastAsia="Times New Roman" w:hint="default"/>
          <w:spacing w:val="-3"/>
        </w:rPr>
        <w:t>2016</w:t>
      </w:r>
      <w:r>
        <w:rPr>
          <w:spacing w:val="-3"/>
        </w:rPr>
        <w:t>年度股东大会审议通过</w:t>
      </w:r>
      <w:r>
        <w:rPr>
          <w:rFonts w:ascii="Times New Roman" w:hAnsi="Times New Roman" w:cs="Times New Roman" w:eastAsia="Times New Roman" w:hint="default"/>
          <w:spacing w:val="-3"/>
        </w:rPr>
        <w:t>2016</w:t>
      </w:r>
      <w:r>
        <w:rPr>
          <w:spacing w:val="-3"/>
        </w:rPr>
        <w:t>年度利润分配方案：以截至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448,331,331</w:t>
      </w:r>
      <w:r>
        <w:rPr>
          <w:rFonts w:ascii="Times New Roman" w:hAnsi="Times New Roman" w:cs="Times New Roman" w:eastAsia="Times New Roman" w:hint="default"/>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w:t>
      </w:r>
      <w:r>
        <w:rPr/>
        <w:t>元人民币（含税），剩余未分配利润滚存至以后年度分配。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 司在中国证监会创业板指定信息披露网站巨潮资讯网发布《</w:t>
      </w:r>
      <w:r>
        <w:rPr>
          <w:rFonts w:ascii="Times New Roman" w:hAnsi="Times New Roman" w:cs="Times New Roman" w:eastAsia="Times New Roman" w:hint="default"/>
        </w:rPr>
        <w:t>2016</w:t>
      </w:r>
      <w:r>
        <w:rPr/>
        <w:t>年年度权益分派实施公告》，本次权益分派股权登记日为：</w:t>
      </w:r>
      <w:r>
        <w:rPr>
          <w:spacing w:val="-85"/>
        </w:rPr>
        <w:t> </w:t>
      </w:r>
      <w:r>
        <w:rPr>
          <w:spacing w:val="-85"/>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3"/>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447,930,709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13,437,921.27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321,706,513.73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2686" w:lineRule="exact"/>
        <w:ind w:left="1129"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81.75pt;height:134.3pt;mso-position-horizontal-relative:char;mso-position-vertical-relative:line" coordorigin="0,0" coordsize="9635,2686">
            <v:group style="position:absolute;left:21;top:14;width:2;height:2658" coordorigin="21,14" coordsize="2,2658">
              <v:shape style="position:absolute;left:21;top:14;width:2;height:2658" coordorigin="21,14" coordsize="0,2658" path="m21,14l21,2672e" filled="false" stroked="true" strokeweight="1.140pt" strokecolor="#c7e7cc">
                <v:path arrowok="t"/>
              </v:shape>
            </v:group>
            <v:group style="position:absolute;left:9557;top:14;width:2;height:2658" coordorigin="9557,14" coordsize="2,2658">
              <v:shape style="position:absolute;left:9557;top:14;width:2;height:2658" coordorigin="9557,14" coordsize="0,2658" path="m9557,14l9557,2672e" filled="false" stroked="true" strokeweight="1.140pt" strokecolor="#c7e7cc">
                <v:path arrowok="t"/>
              </v:shape>
            </v:group>
            <v:group style="position:absolute;left:32;top:14;width:9514;height:353" coordorigin="32,14" coordsize="9514,353">
              <v:shape style="position:absolute;left:32;top:14;width:9514;height:353" coordorigin="32,14" coordsize="9514,353" path="m32,367l9546,367,9546,14,32,14,32,367xe" filled="true" fillcolor="#c7e7cc" stroked="false">
                <v:path arrowok="t"/>
                <v:fill type="solid"/>
              </v:shape>
            </v:group>
            <v:group style="position:absolute;left:32;top:367;width:9514;height:352" coordorigin="32,367" coordsize="9514,352">
              <v:shape style="position:absolute;left:32;top:367;width:9514;height:352" coordorigin="32,367" coordsize="9514,352" path="m32,719l9546,719,9546,367,32,367,32,719xe" filled="true" fillcolor="#c7e7cc" stroked="false">
                <v:path arrowok="t"/>
                <v:fill type="solid"/>
              </v:shape>
            </v:group>
            <v:group style="position:absolute;left:32;top:719;width:9514;height:312" coordorigin="32,719" coordsize="9514,312">
              <v:shape style="position:absolute;left:32;top:719;width:9514;height:312" coordorigin="32,719" coordsize="9514,312" path="m32,1031l9546,1031,9546,719,32,719,32,1031xe" filled="true" fillcolor="#c7e7cc" stroked="false">
                <v:path arrowok="t"/>
                <v:fill type="solid"/>
              </v:shape>
            </v:group>
            <v:group style="position:absolute;left:32;top:1031;width:9514;height:352" coordorigin="32,1031" coordsize="9514,352">
              <v:shape style="position:absolute;left:32;top:1031;width:9514;height:352" coordorigin="32,1031" coordsize="9514,352" path="m32,1383l9546,1383,9546,1031,32,1031,32,1383xe" filled="true" fillcolor="#c7e7cc" stroked="false">
                <v:path arrowok="t"/>
                <v:fill type="solid"/>
              </v:shape>
            </v:group>
            <v:group style="position:absolute;left:32;top:1383;width:9514;height:312" coordorigin="32,1383" coordsize="9514,312">
              <v:shape style="position:absolute;left:32;top:1383;width:9514;height:312" coordorigin="32,1383" coordsize="9514,312" path="m32,1695l9546,1695,9546,1383,32,1383,32,1695xe" filled="true" fillcolor="#c7e7cc" stroked="false">
                <v:path arrowok="t"/>
                <v:fill type="solid"/>
              </v:shape>
            </v:group>
            <v:group style="position:absolute;left:32;top:1695;width:9514;height:312" coordorigin="32,1695" coordsize="9514,312">
              <v:shape style="position:absolute;left:32;top:1695;width:9514;height:312" coordorigin="32,1695" coordsize="9514,312" path="m32,2007l9546,2007,9546,1695,32,1695,32,2007xe" filled="true" fillcolor="#c7e7cc" stroked="false">
                <v:path arrowok="t"/>
                <v:fill type="solid"/>
              </v:shape>
            </v:group>
            <v:group style="position:absolute;left:32;top:2007;width:9514;height:312" coordorigin="32,2007" coordsize="9514,312">
              <v:shape style="position:absolute;left:32;top:2007;width:9514;height:312" coordorigin="32,2007" coordsize="9514,312" path="m32,2319l9546,2319,9546,2007,32,2007,32,2319xe" filled="true" fillcolor="#c7e7cc" stroked="false">
                <v:path arrowok="t"/>
                <v:fill type="solid"/>
              </v:shape>
            </v:group>
            <v:group style="position:absolute;left:32;top:2319;width:9514;height:353" coordorigin="32,2319" coordsize="9514,353">
              <v:shape style="position:absolute;left:32;top:2319;width:9514;height:353" coordorigin="32,2319" coordsize="9514,353" path="m32,2672l9546,2672,9546,2319,32,2319,32,2672xe" filled="true" fillcolor="#c7e7cc" stroked="false">
                <v:path arrowok="t"/>
                <v:fill type="solid"/>
              </v:shape>
            </v:group>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2677" coordorigin="5,5" coordsize="2,2677">
              <v:shape style="position:absolute;left:5;top:5;width:2;height:2677" coordorigin="5,5" coordsize="0,2677" path="m5,5l5,2681e" filled="false" stroked="true" strokeweight=".48pt" strokecolor="#000000">
                <v:path arrowok="t"/>
              </v:shape>
            </v:group>
            <v:group style="position:absolute;left:10;top:2676;width:9560;height:2" coordorigin="10,2676" coordsize="9560,2">
              <v:shape style="position:absolute;left:10;top:2676;width:9560;height:2" coordorigin="10,2676" coordsize="9560,0" path="m10,2676l9569,2676e" filled="false" stroked="true" strokeweight=".48pt" strokecolor="#000000">
                <v:path arrowok="t"/>
              </v:shape>
            </v:group>
            <v:group style="position:absolute;left:9574;top:5;width:2;height:2677" coordorigin="9574,5" coordsize="2,2677">
              <v:shape style="position:absolute;left:9574;top:5;width:2;height:2677" coordorigin="9574,5" coordsize="0,2677" path="m9574,5l9574,2681e" filled="false" stroked="true" strokeweight=".48pt" strokecolor="#000000">
                <v:path arrowok="t"/>
              </v:shape>
              <v:shape style="position:absolute;left:0;top:0;width:9635;height:2686" type="#_x0000_t202" filled="false" stroked="false">
                <v:textbox inset="0,0,0,0">
                  <w:txbxContent>
                    <w:p>
                      <w:pPr>
                        <w:spacing w:before="65"/>
                        <w:ind w:left="392" w:right="0" w:firstLine="0"/>
                        <w:jc w:val="left"/>
                        <w:rPr>
                          <w:rFonts w:ascii="宋体" w:hAnsi="宋体" w:cs="宋体" w:eastAsia="宋体" w:hint="default"/>
                          <w:sz w:val="18"/>
                          <w:szCs w:val="18"/>
                        </w:rPr>
                      </w:pPr>
                      <w:r>
                        <w:rPr>
                          <w:rFonts w:ascii="宋体" w:hAnsi="宋体" w:cs="宋体" w:eastAsia="宋体" w:hint="default"/>
                          <w:sz w:val="18"/>
                          <w:szCs w:val="18"/>
                        </w:rPr>
                        <w:t>经北京永拓审计，公司</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年实现归属于公司股东的净利润为</w:t>
                      </w:r>
                      <w:r>
                        <w:rPr>
                          <w:rFonts w:ascii="宋体" w:hAnsi="宋体" w:cs="宋体" w:eastAsia="宋体" w:hint="default"/>
                          <w:spacing w:val="-54"/>
                          <w:sz w:val="18"/>
                          <w:szCs w:val="18"/>
                        </w:rPr>
                        <w:t> </w:t>
                      </w:r>
                      <w:r>
                        <w:rPr>
                          <w:rFonts w:ascii="宋体" w:hAnsi="宋体" w:cs="宋体" w:eastAsia="宋体" w:hint="default"/>
                          <w:sz w:val="18"/>
                          <w:szCs w:val="18"/>
                        </w:rPr>
                        <w:t>149,268,092.48</w:t>
                      </w:r>
                      <w:r>
                        <w:rPr>
                          <w:rFonts w:ascii="宋体" w:hAnsi="宋体" w:cs="宋体" w:eastAsia="宋体" w:hint="default"/>
                          <w:spacing w:val="-54"/>
                          <w:sz w:val="18"/>
                          <w:szCs w:val="18"/>
                        </w:rPr>
                        <w:t> </w:t>
                      </w:r>
                      <w:r>
                        <w:rPr>
                          <w:rFonts w:ascii="宋体" w:hAnsi="宋体" w:cs="宋体" w:eastAsia="宋体" w:hint="default"/>
                          <w:sz w:val="18"/>
                          <w:szCs w:val="18"/>
                        </w:rPr>
                        <w:t>元，报告期末归属于上市公司的累计</w:t>
                      </w:r>
                    </w:p>
                    <w:p>
                      <w:pPr>
                        <w:spacing w:before="77"/>
                        <w:ind w:left="32" w:right="0" w:firstLine="0"/>
                        <w:jc w:val="left"/>
                        <w:rPr>
                          <w:rFonts w:ascii="宋体" w:hAnsi="宋体" w:cs="宋体" w:eastAsia="宋体" w:hint="default"/>
                          <w:sz w:val="18"/>
                          <w:szCs w:val="18"/>
                        </w:rPr>
                      </w:pPr>
                      <w:r>
                        <w:rPr>
                          <w:rFonts w:ascii="宋体" w:hAnsi="宋体" w:cs="宋体" w:eastAsia="宋体" w:hint="default"/>
                          <w:sz w:val="18"/>
                          <w:szCs w:val="18"/>
                        </w:rPr>
                        <w:t>未分配利润为</w:t>
                      </w:r>
                      <w:r>
                        <w:rPr>
                          <w:rFonts w:ascii="宋体" w:hAnsi="宋体" w:cs="宋体" w:eastAsia="宋体" w:hint="default"/>
                          <w:spacing w:val="-46"/>
                          <w:sz w:val="18"/>
                          <w:szCs w:val="18"/>
                        </w:rPr>
                        <w:t> </w:t>
                      </w:r>
                      <w:r>
                        <w:rPr>
                          <w:rFonts w:ascii="宋体" w:hAnsi="宋体" w:cs="宋体" w:eastAsia="宋体" w:hint="default"/>
                          <w:sz w:val="18"/>
                          <w:szCs w:val="18"/>
                        </w:rPr>
                        <w:t>396,598,647.02</w:t>
                      </w:r>
                      <w:r>
                        <w:rPr>
                          <w:rFonts w:ascii="宋体" w:hAnsi="宋体" w:cs="宋体" w:eastAsia="宋体" w:hint="default"/>
                          <w:spacing w:val="-46"/>
                          <w:sz w:val="18"/>
                          <w:szCs w:val="18"/>
                        </w:rPr>
                        <w:t> </w:t>
                      </w:r>
                      <w:r>
                        <w:rPr>
                          <w:rFonts w:ascii="宋体" w:hAnsi="宋体" w:cs="宋体" w:eastAsia="宋体" w:hint="default"/>
                          <w:sz w:val="18"/>
                          <w:szCs w:val="18"/>
                        </w:rPr>
                        <w:t>元，资本公积金余额为</w:t>
                      </w:r>
                      <w:r>
                        <w:rPr>
                          <w:rFonts w:ascii="宋体" w:hAnsi="宋体" w:cs="宋体" w:eastAsia="宋体" w:hint="default"/>
                          <w:spacing w:val="-46"/>
                          <w:sz w:val="18"/>
                          <w:szCs w:val="18"/>
                        </w:rPr>
                        <w:t> </w:t>
                      </w:r>
                      <w:r>
                        <w:rPr>
                          <w:rFonts w:ascii="宋体" w:hAnsi="宋体" w:cs="宋体" w:eastAsia="宋体" w:hint="default"/>
                          <w:sz w:val="18"/>
                          <w:szCs w:val="18"/>
                        </w:rPr>
                        <w:t>337,041,373.09 </w:t>
                      </w:r>
                      <w:r>
                        <w:rPr>
                          <w:rFonts w:ascii="宋体" w:hAnsi="宋体" w:cs="宋体" w:eastAsia="宋体" w:hint="default"/>
                          <w:sz w:val="18"/>
                          <w:szCs w:val="18"/>
                        </w:rPr>
                        <w:t>元。</w:t>
                      </w:r>
                    </w:p>
                    <w:p>
                      <w:pPr>
                        <w:spacing w:before="115"/>
                        <w:ind w:left="392"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年母公司实现的净利润为</w:t>
                      </w:r>
                      <w:r>
                        <w:rPr>
                          <w:rFonts w:ascii="宋体" w:hAnsi="宋体" w:cs="宋体" w:eastAsia="宋体" w:hint="default"/>
                          <w:spacing w:val="-48"/>
                          <w:sz w:val="18"/>
                          <w:szCs w:val="18"/>
                        </w:rPr>
                        <w:t> </w:t>
                      </w:r>
                      <w:r>
                        <w:rPr>
                          <w:rFonts w:ascii="宋体" w:hAnsi="宋体" w:cs="宋体" w:eastAsia="宋体" w:hint="default"/>
                          <w:sz w:val="18"/>
                          <w:szCs w:val="18"/>
                        </w:rPr>
                        <w:t>69,334,646.96</w:t>
                      </w:r>
                      <w:r>
                        <w:rPr>
                          <w:rFonts w:ascii="宋体" w:hAnsi="宋体" w:cs="宋体" w:eastAsia="宋体" w:hint="default"/>
                          <w:spacing w:val="-4"/>
                          <w:sz w:val="18"/>
                          <w:szCs w:val="18"/>
                        </w:rPr>
                        <w:t> </w:t>
                      </w:r>
                      <w:r>
                        <w:rPr>
                          <w:rFonts w:ascii="宋体" w:hAnsi="宋体" w:cs="宋体" w:eastAsia="宋体" w:hint="default"/>
                          <w:sz w:val="18"/>
                          <w:szCs w:val="18"/>
                        </w:rPr>
                        <w:t>元，报告期末母公司累计未分配利润为</w:t>
                      </w:r>
                      <w:r>
                        <w:rPr>
                          <w:rFonts w:ascii="宋体" w:hAnsi="宋体" w:cs="宋体" w:eastAsia="宋体" w:hint="default"/>
                          <w:spacing w:val="-48"/>
                          <w:sz w:val="18"/>
                          <w:szCs w:val="18"/>
                        </w:rPr>
                        <w:t> </w:t>
                      </w:r>
                      <w:r>
                        <w:rPr>
                          <w:rFonts w:ascii="宋体" w:hAnsi="宋体" w:cs="宋体" w:eastAsia="宋体" w:hint="default"/>
                          <w:sz w:val="18"/>
                          <w:szCs w:val="18"/>
                        </w:rPr>
                        <w:t>321,706,513.73</w:t>
                      </w:r>
                      <w:r>
                        <w:rPr>
                          <w:rFonts w:ascii="宋体" w:hAnsi="宋体" w:cs="宋体" w:eastAsia="宋体" w:hint="default"/>
                          <w:spacing w:val="-48"/>
                          <w:sz w:val="18"/>
                          <w:szCs w:val="18"/>
                        </w:rPr>
                        <w:t> </w:t>
                      </w:r>
                      <w:r>
                        <w:rPr>
                          <w:rFonts w:ascii="宋体" w:hAnsi="宋体" w:cs="宋体" w:eastAsia="宋体" w:hint="default"/>
                          <w:spacing w:val="-3"/>
                          <w:sz w:val="18"/>
                          <w:szCs w:val="18"/>
                        </w:rPr>
                        <w:t>元，母公司年</w:t>
                      </w:r>
                    </w:p>
                    <w:p>
                      <w:pPr>
                        <w:spacing w:before="77"/>
                        <w:ind w:left="32" w:right="0" w:firstLine="0"/>
                        <w:jc w:val="left"/>
                        <w:rPr>
                          <w:rFonts w:ascii="宋体" w:hAnsi="宋体" w:cs="宋体" w:eastAsia="宋体" w:hint="default"/>
                          <w:sz w:val="18"/>
                          <w:szCs w:val="18"/>
                        </w:rPr>
                      </w:pPr>
                      <w:r>
                        <w:rPr>
                          <w:rFonts w:ascii="宋体" w:hAnsi="宋体" w:cs="宋体" w:eastAsia="宋体" w:hint="default"/>
                          <w:sz w:val="18"/>
                          <w:szCs w:val="18"/>
                        </w:rPr>
                        <w:t>末资本公积金余额为 </w:t>
                      </w:r>
                      <w:r>
                        <w:rPr>
                          <w:rFonts w:ascii="宋体" w:hAnsi="宋体" w:cs="宋体" w:eastAsia="宋体" w:hint="default"/>
                          <w:sz w:val="18"/>
                          <w:szCs w:val="18"/>
                        </w:rPr>
                        <w:t>505,586,715.52</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5"/>
                        <w:ind w:left="392" w:right="0" w:firstLine="0"/>
                        <w:jc w:val="left"/>
                        <w:rPr>
                          <w:rFonts w:ascii="宋体" w:hAnsi="宋体" w:cs="宋体" w:eastAsia="宋体" w:hint="default"/>
                          <w:sz w:val="18"/>
                          <w:szCs w:val="18"/>
                        </w:rPr>
                      </w:pPr>
                      <w:r>
                        <w:rPr>
                          <w:rFonts w:ascii="宋体" w:hAnsi="宋体" w:cs="宋体" w:eastAsia="宋体" w:hint="default"/>
                          <w:sz w:val="18"/>
                          <w:szCs w:val="18"/>
                        </w:rPr>
                        <w:t>根据《公司法》及《公司章程》的相关规定，现拟定公司</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年年度利润分配预案为：以截至</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日公</w:t>
                      </w:r>
                    </w:p>
                    <w:p>
                      <w:pPr>
                        <w:spacing w:before="76"/>
                        <w:ind w:left="32" w:right="0" w:firstLine="0"/>
                        <w:jc w:val="left"/>
                        <w:rPr>
                          <w:rFonts w:ascii="宋体" w:hAnsi="宋体" w:cs="宋体" w:eastAsia="宋体" w:hint="default"/>
                          <w:sz w:val="18"/>
                          <w:szCs w:val="18"/>
                        </w:rPr>
                      </w:pPr>
                      <w:r>
                        <w:rPr>
                          <w:rFonts w:ascii="宋体" w:hAnsi="宋体" w:cs="宋体" w:eastAsia="宋体" w:hint="default"/>
                          <w:sz w:val="18"/>
                          <w:szCs w:val="18"/>
                        </w:rPr>
                        <w:t>司总股本</w:t>
                      </w:r>
                      <w:r>
                        <w:rPr>
                          <w:rFonts w:ascii="宋体" w:hAnsi="宋体" w:cs="宋体" w:eastAsia="宋体" w:hint="default"/>
                          <w:spacing w:val="-46"/>
                          <w:sz w:val="18"/>
                          <w:szCs w:val="18"/>
                        </w:rPr>
                        <w:t> </w:t>
                      </w:r>
                      <w:r>
                        <w:rPr>
                          <w:rFonts w:ascii="宋体" w:hAnsi="宋体" w:cs="宋体" w:eastAsia="宋体" w:hint="default"/>
                          <w:sz w:val="18"/>
                          <w:szCs w:val="18"/>
                        </w:rPr>
                        <w:t>447,930,709</w:t>
                      </w:r>
                      <w:r>
                        <w:rPr>
                          <w:rFonts w:ascii="宋体" w:hAnsi="宋体" w:cs="宋体" w:eastAsia="宋体" w:hint="default"/>
                          <w:spacing w:val="-46"/>
                          <w:sz w:val="18"/>
                          <w:szCs w:val="18"/>
                        </w:rPr>
                        <w:t> </w:t>
                      </w:r>
                      <w:r>
                        <w:rPr>
                          <w:rFonts w:ascii="宋体" w:hAnsi="宋体" w:cs="宋体" w:eastAsia="宋体" w:hint="default"/>
                          <w:sz w:val="18"/>
                          <w:szCs w:val="18"/>
                        </w:rPr>
                        <w:t>股为基数</w:t>
                      </w:r>
                      <w:r>
                        <w:rPr>
                          <w:rFonts w:ascii="宋体" w:hAnsi="宋体" w:cs="宋体" w:eastAsia="宋体" w:hint="default"/>
                          <w:spacing w:val="-40"/>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人民</w:t>
                      </w:r>
                      <w:r>
                        <w:rPr>
                          <w:rFonts w:ascii="宋体" w:hAnsi="宋体" w:cs="宋体" w:eastAsia="宋体" w:hint="default"/>
                          <w:spacing w:val="-40"/>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同时进行资本公积金转增股</w:t>
                      </w:r>
                      <w:r>
                        <w:rPr>
                          <w:rFonts w:ascii="宋体" w:hAnsi="宋体" w:cs="宋体" w:eastAsia="宋体" w:hint="default"/>
                          <w:spacing w:val="1"/>
                          <w:sz w:val="18"/>
                          <w:szCs w:val="18"/>
                        </w:rPr>
                        <w:t>本</w:t>
                      </w:r>
                      <w:r>
                        <w:rPr>
                          <w:rFonts w:ascii="宋体" w:hAnsi="宋体" w:cs="宋体" w:eastAsia="宋体" w:hint="default"/>
                          <w:sz w:val="18"/>
                          <w:szCs w:val="18"/>
                        </w:rPr>
                        <w:t>，</w:t>
                      </w:r>
                    </w:p>
                    <w:p>
                      <w:pPr>
                        <w:spacing w:line="319" w:lineRule="auto" w:before="76"/>
                        <w:ind w:left="32" w:right="86" w:firstLine="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3"/>
                          <w:sz w:val="18"/>
                          <w:szCs w:val="18"/>
                        </w:rPr>
                        <w:t> </w:t>
                      </w:r>
                      <w:r>
                        <w:rPr>
                          <w:rFonts w:ascii="宋体" w:hAnsi="宋体" w:cs="宋体" w:eastAsia="宋体" w:hint="default"/>
                          <w:sz w:val="18"/>
                          <w:szCs w:val="18"/>
                        </w:rPr>
                        <w:t>447,930,709</w:t>
                      </w:r>
                      <w:r>
                        <w:rPr>
                          <w:rFonts w:ascii="宋体" w:hAnsi="宋体" w:cs="宋体" w:eastAsia="宋体" w:hint="default"/>
                          <w:spacing w:val="-5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股转增</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pacing w:val="-16"/>
                          <w:sz w:val="18"/>
                          <w:szCs w:val="18"/>
                        </w:rPr>
                        <w:t>股，共计转增</w:t>
                      </w:r>
                      <w:r>
                        <w:rPr>
                          <w:rFonts w:ascii="宋体" w:hAnsi="宋体" w:cs="宋体" w:eastAsia="宋体" w:hint="default"/>
                          <w:spacing w:val="-53"/>
                          <w:sz w:val="18"/>
                          <w:szCs w:val="18"/>
                        </w:rPr>
                        <w:t> </w:t>
                      </w:r>
                      <w:r>
                        <w:rPr>
                          <w:rFonts w:ascii="宋体" w:hAnsi="宋体" w:cs="宋体" w:eastAsia="宋体" w:hint="default"/>
                          <w:sz w:val="18"/>
                          <w:szCs w:val="18"/>
                        </w:rPr>
                        <w:t>223,965,355</w:t>
                      </w:r>
                      <w:r>
                        <w:rPr>
                          <w:rFonts w:ascii="宋体" w:hAnsi="宋体" w:cs="宋体" w:eastAsia="宋体" w:hint="default"/>
                          <w:spacing w:val="-53"/>
                          <w:sz w:val="18"/>
                          <w:szCs w:val="18"/>
                        </w:rPr>
                        <w:t> </w:t>
                      </w:r>
                      <w:r>
                        <w:rPr>
                          <w:rFonts w:ascii="宋体" w:hAnsi="宋体" w:cs="宋体" w:eastAsia="宋体" w:hint="default"/>
                          <w:spacing w:val="-7"/>
                          <w:sz w:val="18"/>
                          <w:szCs w:val="18"/>
                        </w:rPr>
                        <w:t>股，转增后公司总股本将增加至</w:t>
                      </w:r>
                      <w:r>
                        <w:rPr>
                          <w:rFonts w:ascii="宋体" w:hAnsi="宋体" w:cs="宋体" w:eastAsia="宋体" w:hint="default"/>
                          <w:spacing w:val="-53"/>
                          <w:sz w:val="18"/>
                          <w:szCs w:val="18"/>
                        </w:rPr>
                        <w:t> </w:t>
                      </w:r>
                      <w:r>
                        <w:rPr>
                          <w:rFonts w:ascii="宋体" w:hAnsi="宋体" w:cs="宋体" w:eastAsia="宋体" w:hint="default"/>
                          <w:sz w:val="18"/>
                          <w:szCs w:val="18"/>
                        </w:rPr>
                        <w:t>671,896,064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53"/>
          <w:sz w:val="20"/>
          <w:szCs w:val="20"/>
        </w:rPr>
      </w:r>
    </w:p>
    <w:p>
      <w:pPr>
        <w:pStyle w:val="BodyText"/>
        <w:spacing w:line="319" w:lineRule="auto" w:before="46"/>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年年度利润分配预案：以截至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447,930,709</w:t>
      </w:r>
      <w:r>
        <w:rPr/>
        <w:t>股为基数，向全体股东每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0.3</w:t>
      </w:r>
      <w:r>
        <w:rPr/>
        <w:t>元人民币（含税），同时进行资本公积金转增股本，以</w:t>
      </w:r>
      <w:r>
        <w:rPr>
          <w:rFonts w:ascii="Times New Roman" w:hAnsi="Times New Roman" w:cs="Times New Roman" w:eastAsia="Times New Roman" w:hint="default"/>
        </w:rPr>
        <w:t>447,930,709</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p>
    <w:p>
      <w:pPr>
        <w:pStyle w:val="BodyText"/>
        <w:spacing w:line="246" w:lineRule="exact" w:before="0"/>
        <w:ind w:left="1134" w:right="0"/>
        <w:jc w:val="left"/>
      </w:pPr>
      <w:r>
        <w:rPr>
          <w:rFonts w:ascii="Times New Roman" w:hAnsi="Times New Roman" w:cs="Times New Roman" w:eastAsia="Times New Roman" w:hint="default"/>
        </w:rPr>
        <w:t>223,965,355</w:t>
      </w:r>
      <w:r>
        <w:rPr/>
        <w:t>股，转增后公司总股本将增加至</w:t>
      </w:r>
      <w:r>
        <w:rPr>
          <w:rFonts w:ascii="Times New Roman" w:hAnsi="Times New Roman" w:cs="Times New Roman" w:eastAsia="Times New Roman" w:hint="default"/>
        </w:rPr>
        <w:t>671,896,064</w:t>
      </w:r>
      <w:r>
        <w:rPr/>
        <w:t>股。</w:t>
      </w:r>
    </w:p>
    <w:p>
      <w:pPr>
        <w:pStyle w:val="BodyText"/>
        <w:spacing w:line="240" w:lineRule="auto" w:before="63"/>
        <w:ind w:left="1134"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年年度利润分配预案：以截止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448,331,331</w:t>
      </w:r>
      <w:r>
        <w:rPr/>
        <w:t>股为基数向全体股东每</w:t>
      </w:r>
      <w:r>
        <w:rPr>
          <w:rFonts w:ascii="Times New Roman" w:hAnsi="Times New Roman" w:cs="Times New Roman" w:eastAsia="Times New Roman" w:hint="default"/>
        </w:rPr>
        <w:t>10</w:t>
      </w:r>
      <w:r>
        <w:rPr/>
        <w:t>股派发现金股利</w:t>
      </w:r>
    </w:p>
    <w:p>
      <w:pPr>
        <w:pStyle w:val="BodyText"/>
        <w:spacing w:line="240" w:lineRule="auto" w:before="63"/>
        <w:ind w:right="0"/>
        <w:jc w:val="left"/>
      </w:pPr>
      <w:r>
        <w:rPr>
          <w:rFonts w:ascii="Times New Roman" w:hAnsi="Times New Roman" w:cs="Times New Roman" w:eastAsia="Times New Roman" w:hint="default"/>
        </w:rPr>
        <w:t>0.50</w:t>
      </w:r>
      <w:r>
        <w:rPr/>
        <w:t>元人民币（含税）；</w:t>
      </w:r>
    </w:p>
    <w:p>
      <w:pPr>
        <w:pStyle w:val="BodyText"/>
        <w:spacing w:line="240" w:lineRule="auto" w:before="63"/>
        <w:ind w:left="1134"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年年度利润分配预案：以截至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298,958,771</w:t>
      </w:r>
      <w:r>
        <w:rPr/>
        <w:t>股为基数向全体股东每</w:t>
      </w:r>
      <w:r>
        <w:rPr>
          <w:rFonts w:ascii="Times New Roman" w:hAnsi="Times New Roman" w:cs="Times New Roman" w:eastAsia="Times New Roman" w:hint="default"/>
        </w:rPr>
        <w:t>10</w:t>
      </w:r>
      <w:r>
        <w:rPr/>
        <w:t>股派发现金股利</w:t>
      </w:r>
    </w:p>
    <w:p>
      <w:pPr>
        <w:pStyle w:val="BodyText"/>
        <w:spacing w:line="240" w:lineRule="auto" w:before="63"/>
        <w:ind w:right="0"/>
        <w:jc w:val="left"/>
      </w:pPr>
      <w:r>
        <w:rPr>
          <w:rFonts w:ascii="Times New Roman" w:hAnsi="Times New Roman" w:cs="Times New Roman" w:eastAsia="Times New Roman" w:hint="default"/>
        </w:rPr>
        <w:t>0.35</w:t>
      </w:r>
      <w:r>
        <w:rPr/>
        <w:t>元人民币（含税），同时进行资本公积金转增股本，以</w:t>
      </w:r>
      <w:r>
        <w:rPr>
          <w:rFonts w:ascii="Times New Roman" w:hAnsi="Times New Roman" w:cs="Times New Roman" w:eastAsia="Times New Roman" w:hint="default"/>
        </w:rPr>
        <w:t>298,958,771</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p>
    <w:p>
      <w:pPr>
        <w:pStyle w:val="BodyText"/>
        <w:spacing w:line="340" w:lineRule="auto" w:before="63"/>
        <w:ind w:left="1134" w:right="6072"/>
        <w:jc w:val="left"/>
      </w:pPr>
      <w:r>
        <w:rPr>
          <w:rFonts w:ascii="Times New Roman" w:hAnsi="Times New Roman" w:cs="Times New Roman" w:eastAsia="Times New Roman" w:hint="default"/>
        </w:rPr>
        <w:t>149,479,385</w:t>
      </w:r>
      <w:r>
        <w:rPr/>
        <w:t>股，转增后公司总股本将增加至</w:t>
      </w:r>
      <w:r>
        <w:rPr>
          <w:rFonts w:ascii="Times New Roman" w:hAnsi="Times New Roman" w:cs="Times New Roman" w:eastAsia="Times New Roman" w:hint="default"/>
        </w:rPr>
        <w:t>448,438,156</w:t>
      </w:r>
      <w:r>
        <w:rPr/>
        <w:t>股。 公司近三年（包括本报告期）普通股现金分红情况表</w:t>
      </w:r>
    </w:p>
    <w:p>
      <w:pPr>
        <w:pStyle w:val="BodyText"/>
        <w:spacing w:line="240" w:lineRule="auto" w:before="40"/>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0"/>
        <w:ind w:left="3568" w:right="0"/>
        <w:jc w:val="left"/>
      </w:pPr>
      <w:r>
        <w:rPr/>
        <w:pict>
          <v:shape style="position:absolute;margin-left:56.459999pt;margin-top:-18.648273pt;width:479.1pt;height:112.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702"/>
                    <w:gridCol w:w="86"/>
                    <w:gridCol w:w="1758"/>
                    <w:gridCol w:w="1982"/>
                    <w:gridCol w:w="1594"/>
                    <w:gridCol w:w="1595"/>
                  </w:tblGrid>
                  <w:tr>
                    <w:trPr>
                      <w:trHeight w:val="161"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c>
                      <w:tcPr>
                        <w:tcW w:w="86" w:type="dxa"/>
                        <w:tcBorders>
                          <w:top w:val="single" w:sz="4" w:space="0" w:color="000000"/>
                          <w:left w:val="single" w:sz="4" w:space="0" w:color="000000"/>
                          <w:bottom w:val="nil" w:sz="6" w:space="0" w:color="auto"/>
                          <w:right w:val="nil" w:sz="6" w:space="0" w:color="auto"/>
                        </w:tcBorders>
                        <w:shd w:val="clear" w:color="auto" w:fill="D2D2D2"/>
                      </w:tcPr>
                      <w:p>
                        <w:pPr/>
                      </w:p>
                    </w:tc>
                    <w:tc>
                      <w:tcPr>
                        <w:tcW w:w="1758" w:type="dxa"/>
                        <w:tcBorders>
                          <w:top w:val="single" w:sz="4" w:space="0" w:color="000000"/>
                          <w:left w:val="nil" w:sz="6" w:space="0" w:color="auto"/>
                          <w:bottom w:val="nil" w:sz="6" w:space="0" w:color="auto"/>
                          <w:right w:val="single" w:sz="4" w:space="0" w:color="000000"/>
                        </w:tcBorders>
                        <w:shd w:val="clear" w:color="auto" w:fill="D2D2D2"/>
                      </w:tcPr>
                      <w:p>
                        <w:pPr/>
                      </w:p>
                    </w:tc>
                    <w:tc>
                      <w:tcPr>
                        <w:tcW w:w="19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86" w:type="dxa"/>
                        <w:tcBorders>
                          <w:top w:val="nil" w:sz="6" w:space="0" w:color="auto"/>
                          <w:left w:val="single" w:sz="4" w:space="0" w:color="000000"/>
                          <w:bottom w:val="nil" w:sz="6" w:space="0" w:color="auto"/>
                          <w:right w:val="nil" w:sz="6" w:space="0" w:color="auto"/>
                        </w:tcBorders>
                        <w:shd w:val="clear" w:color="auto" w:fill="D2D2D2"/>
                      </w:tcPr>
                      <w:p>
                        <w:pPr/>
                      </w:p>
                    </w:tc>
                    <w:tc>
                      <w:tcPr>
                        <w:tcW w:w="1758" w:type="dxa"/>
                        <w:vMerge w:val="restart"/>
                        <w:tcBorders>
                          <w:top w:val="nil" w:sz="6" w:space="0" w:color="auto"/>
                          <w:left w:val="nil" w:sz="6" w:space="0" w:color="auto"/>
                          <w:right w:val="single" w:sz="4" w:space="0" w:color="000000"/>
                        </w:tcBorders>
                        <w:shd w:val="clear" w:color="auto" w:fill="D2D2D2"/>
                      </w:tcPr>
                      <w:p>
                        <w:pPr>
                          <w:pStyle w:val="TableParagraph"/>
                          <w:spacing w:line="131" w:lineRule="exact"/>
                          <w:ind w:left="24"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p>
                        <w:pPr>
                          <w:pStyle w:val="TableParagraph"/>
                          <w:spacing w:line="319" w:lineRule="auto" w:before="75"/>
                          <w:ind w:left="204" w:right="106" w:hanging="180"/>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tc>
                    <w:tc>
                      <w:tcPr>
                        <w:tcW w:w="1982"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86" w:type="dxa"/>
                        <w:tcBorders>
                          <w:top w:val="nil" w:sz="6" w:space="0" w:color="auto"/>
                          <w:left w:val="single" w:sz="4" w:space="0" w:color="000000"/>
                          <w:bottom w:val="nil" w:sz="6" w:space="0" w:color="auto"/>
                          <w:right w:val="nil" w:sz="6" w:space="0" w:color="auto"/>
                        </w:tcBorders>
                        <w:shd w:val="clear" w:color="auto" w:fill="D2D2D2"/>
                      </w:tcPr>
                      <w:p>
                        <w:pPr/>
                      </w:p>
                    </w:tc>
                    <w:tc>
                      <w:tcPr>
                        <w:tcW w:w="1758" w:type="dxa"/>
                        <w:vMerge/>
                        <w:tcBorders>
                          <w:left w:val="nil" w:sz="6" w:space="0" w:color="auto"/>
                          <w:right w:val="single" w:sz="4" w:space="0" w:color="000000"/>
                        </w:tcBorders>
                        <w:shd w:val="clear" w:color="auto" w:fill="D2D2D2"/>
                      </w:tcPr>
                      <w:p>
                        <w:pPr/>
                      </w:p>
                    </w:tc>
                    <w:tc>
                      <w:tcPr>
                        <w:tcW w:w="1982"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c>
                      <w:tcPr>
                        <w:tcW w:w="86" w:type="dxa"/>
                        <w:tcBorders>
                          <w:top w:val="nil" w:sz="6" w:space="0" w:color="auto"/>
                          <w:left w:val="single" w:sz="4" w:space="0" w:color="000000"/>
                          <w:bottom w:val="nil" w:sz="6" w:space="0" w:color="auto"/>
                          <w:right w:val="nil" w:sz="6" w:space="0" w:color="auto"/>
                        </w:tcBorders>
                        <w:shd w:val="clear" w:color="auto" w:fill="D2D2D2"/>
                      </w:tcPr>
                      <w:p>
                        <w:pPr/>
                      </w:p>
                    </w:tc>
                    <w:tc>
                      <w:tcPr>
                        <w:tcW w:w="1758" w:type="dxa"/>
                        <w:vMerge/>
                        <w:tcBorders>
                          <w:left w:val="nil" w:sz="6" w:space="0" w:color="auto"/>
                          <w:right w:val="single" w:sz="4" w:space="0" w:color="000000"/>
                        </w:tcBorders>
                        <w:shd w:val="clear" w:color="auto" w:fill="D2D2D2"/>
                      </w:tcPr>
                      <w:p>
                        <w:pPr/>
                      </w:p>
                    </w:tc>
                    <w:tc>
                      <w:tcPr>
                        <w:tcW w:w="1982"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86" w:type="dxa"/>
                        <w:tcBorders>
                          <w:top w:val="nil" w:sz="6" w:space="0" w:color="auto"/>
                          <w:left w:val="single" w:sz="4" w:space="0" w:color="000000"/>
                          <w:bottom w:val="single" w:sz="4" w:space="0" w:color="000000"/>
                          <w:right w:val="nil" w:sz="6" w:space="0" w:color="auto"/>
                        </w:tcBorders>
                        <w:shd w:val="clear" w:color="auto" w:fill="D2D2D2"/>
                      </w:tcPr>
                      <w:p>
                        <w:pPr/>
                      </w:p>
                    </w:tc>
                    <w:tc>
                      <w:tcPr>
                        <w:tcW w:w="1758" w:type="dxa"/>
                        <w:vMerge/>
                        <w:tcBorders>
                          <w:left w:val="nil" w:sz="6" w:space="0" w:color="auto"/>
                          <w:bottom w:val="single" w:sz="4" w:space="0" w:color="000000"/>
                          <w:right w:val="single" w:sz="4" w:space="0" w:color="000000"/>
                        </w:tcBorders>
                        <w:shd w:val="clear" w:color="auto" w:fill="D2D2D2"/>
                      </w:tcPr>
                      <w:p>
                        <w:pPr/>
                      </w:p>
                    </w:tc>
                    <w:tc>
                      <w:tcPr>
                        <w:tcW w:w="198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13,437,921.27</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149,268,092.48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22,416,566.55</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109,549,436.73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20.46%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10,463,556.99</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65,371,071.24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16.01%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83"/>
        <w:gridCol w:w="708"/>
        <w:gridCol w:w="851"/>
        <w:gridCol w:w="4537"/>
        <w:gridCol w:w="850"/>
        <w:gridCol w:w="851"/>
        <w:gridCol w:w="850"/>
      </w:tblGrid>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4" w:space="0" w:color="000000"/>
              <w:left w:val="single" w:sz="4" w:space="0" w:color="000000"/>
              <w:bottom w:val="single" w:sz="12" w:space="0" w:color="C7E7CC"/>
              <w:right w:val="single" w:sz="4" w:space="0" w:color="000000"/>
            </w:tcBorders>
            <w:shd w:val="clear" w:color="auto" w:fill="D2D2D2"/>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28"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9" w:space="0" w:color="D2D2D2"/>
              <w:right w:val="single" w:sz="4" w:space="0" w:color="000000"/>
            </w:tcBorders>
            <w:shd w:val="clear" w:color="auto" w:fill="C7E7CC"/>
          </w:tcPr>
          <w:p>
            <w:pPr>
              <w:pStyle w:val="TableParagraph"/>
              <w:spacing w:line="316" w:lineRule="auto" w:before="71"/>
              <w:ind w:left="16" w:right="-45"/>
              <w:jc w:val="left"/>
              <w:rPr>
                <w:rFonts w:ascii="宋体" w:hAnsi="宋体" w:cs="宋体" w:eastAsia="宋体" w:hint="default"/>
                <w:sz w:val="18"/>
                <w:szCs w:val="18"/>
              </w:rPr>
            </w:pPr>
            <w:r>
              <w:rPr>
                <w:rFonts w:ascii="宋体" w:hAnsi="宋体" w:cs="宋体" w:eastAsia="宋体" w:hint="default"/>
                <w:sz w:val="18"/>
                <w:szCs w:val="18"/>
              </w:rPr>
              <w:t>丁伟国、 蒋利琴、 </w:t>
            </w:r>
            <w:r>
              <w:rPr>
                <w:rFonts w:ascii="宋体" w:hAnsi="宋体" w:cs="宋体" w:eastAsia="宋体" w:hint="default"/>
                <w:spacing w:val="-18"/>
                <w:sz w:val="18"/>
                <w:szCs w:val="18"/>
              </w:rPr>
              <w:t>刘泉、朱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瑶、华信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行、龙象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之本、杨</w:t>
            </w:r>
          </w:p>
        </w:tc>
        <w:tc>
          <w:tcPr>
            <w:tcW w:w="851"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537" w:type="dxa"/>
            <w:vMerge w:val="restart"/>
            <w:tcBorders>
              <w:top w:val="single" w:sz="4" w:space="0" w:color="000000"/>
              <w:left w:val="single" w:sz="4" w:space="0" w:color="000000"/>
              <w:right w:val="single" w:sz="4" w:space="0" w:color="000000"/>
            </w:tcBorders>
            <w:shd w:val="clear" w:color="auto" w:fill="C7E7CC"/>
          </w:tcPr>
          <w:p>
            <w:pPr>
              <w:pStyle w:val="TableParagraph"/>
              <w:spacing w:line="357" w:lineRule="auto" w:before="52"/>
              <w:ind w:left="382" w:right="21" w:hanging="360"/>
              <w:jc w:val="left"/>
              <w:rPr>
                <w:rFonts w:ascii="宋体" w:hAnsi="宋体" w:cs="宋体" w:eastAsia="宋体" w:hint="default"/>
                <w:sz w:val="18"/>
                <w:szCs w:val="18"/>
              </w:rPr>
            </w:pPr>
            <w:r>
              <w:rPr>
                <w:rFonts w:ascii="宋体" w:hAnsi="宋体" w:cs="宋体" w:eastAsia="宋体" w:hint="default"/>
                <w:sz w:val="18"/>
                <w:szCs w:val="18"/>
              </w:rPr>
              <w:t>（一）发行股份购买资产 </w:t>
            </w:r>
            <w:r>
              <w:rPr>
                <w:rFonts w:ascii="宋体" w:hAnsi="宋体" w:cs="宋体" w:eastAsia="宋体" w:hint="default"/>
                <w:spacing w:val="-1"/>
                <w:sz w:val="18"/>
                <w:szCs w:val="18"/>
              </w:rPr>
              <w:t>丁伟国、蒋利琴、刘泉、朱瑶分别承诺，自发行结束</w:t>
            </w:r>
          </w:p>
          <w:p>
            <w:pPr>
              <w:pStyle w:val="TableParagraph"/>
              <w:spacing w:line="23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之日起因本次交易所获得的股份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12</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pacing w:val="-1"/>
                <w:sz w:val="18"/>
                <w:szCs w:val="18"/>
              </w:rPr>
              <w:t>个月的限售期满后，取得的股票按照以下约定分批解除限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售：（</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）第一期股份：在持股期满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个月且标的公司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1"/>
                <w:sz w:val="18"/>
                <w:szCs w:val="18"/>
              </w:rPr>
              <w:t>年度《专项审核报告》披露后，补偿义务人可解锁股份占</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05"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08" w:type="dxa"/>
            <w:vMerge/>
            <w:tcBorders>
              <w:left w:val="single" w:sz="9" w:space="0" w:color="D2D2D2"/>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629"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9" w:space="0" w:color="D2D2D2"/>
              <w:bottom w:val="single" w:sz="4" w:space="0" w:color="000000"/>
              <w:right w:val="single" w:sz="4" w:space="0" w:color="000000"/>
            </w:tcBorders>
            <w:shd w:val="clear" w:color="auto" w:fill="C7E7CC"/>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4537" w:type="dxa"/>
            <w:vMerge/>
            <w:tcBorders>
              <w:left w:val="single" w:sz="4" w:space="0" w:color="000000"/>
              <w:bottom w:val="single" w:sz="4" w:space="0" w:color="000000"/>
              <w:right w:val="single" w:sz="4" w:space="0" w:color="000000"/>
            </w:tcBorders>
            <w:shd w:val="clear" w:color="auto" w:fill="C7E7CC"/>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850" w:type="dxa"/>
            <w:vMerge/>
            <w:tcBorders>
              <w:left w:val="single" w:sz="4" w:space="0" w:color="000000"/>
              <w:bottom w:val="single" w:sz="4" w:space="0" w:color="000000"/>
              <w:right w:val="single" w:sz="4" w:space="0" w:color="000000"/>
            </w:tcBorders>
            <w:shd w:val="clear" w:color="auto" w:fill="C7E7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97.194pt;margin-top:72.47998pt;width:156.25pt;height:255.65pt;mso-position-horizontal-relative:page;mso-position-vertical-relative:page;z-index:-964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1079" w:right="0" w:firstLine="2"/>
                    <w:jc w:val="left"/>
                  </w:pPr>
                  <w:r>
                    <w:rPr/>
                    <w:t>专项审核报告》</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before="0"/>
                    <w:ind w:left="900" w:right="0" w:firstLine="178"/>
                    <w:jc w:val="left"/>
                  </w:pPr>
                  <w:r>
                    <w:rPr/>
                    <w:t>专项审核报告》</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636" w:lineRule="auto" w:before="0"/>
                    <w:ind w:left="0" w:right="782" w:firstLine="900"/>
                    <w:jc w:val="left"/>
                  </w:pPr>
                  <w:r>
                    <w:rPr/>
                    <w:t>周益斌分别承诺： 前述股份由于上市公司送股、</w:t>
                  </w:r>
                </w:p>
              </w:txbxContent>
            </v:textbox>
            <w10:wrap type="none"/>
          </v:shape>
        </w:pict>
      </w:r>
      <w:r>
        <w:rPr/>
        <w:pict>
          <v:shape style="position:absolute;margin-left:387.279999pt;margin-top:328.639984pt;width:66.150pt;height:201.05pt;mso-position-horizontal-relative:page;mso-position-vertical-relative:page;z-index:-964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7"/>
                      <w:szCs w:val="17"/>
                    </w:rPr>
                  </w:pPr>
                </w:p>
                <w:p>
                  <w:pPr>
                    <w:pStyle w:val="BodyText"/>
                    <w:spacing w:line="240" w:lineRule="auto" w:before="0"/>
                    <w:ind w:left="0" w:right="0"/>
                    <w:jc w:val="left"/>
                  </w:pPr>
                  <w:r>
                    <w:rPr/>
                    <w:t>万元，</w:t>
                  </w:r>
                </w:p>
              </w:txbxContent>
            </v:textbox>
            <w10:wrap type="none"/>
          </v:shape>
        </w:pict>
      </w:r>
      <w:r>
        <w:rPr/>
        <w:pict>
          <v:group style="position:absolute;margin-left:411.420013pt;margin-top:72.47998pt;width:42pt;height:457.2pt;mso-position-horizontal-relative:page;mso-position-vertical-relative:page;z-index:-964816" coordorigin="8228,1450" coordsize="840,9144">
            <v:group style="position:absolute;left:8228;top:1450;width:840;height:5113" coordorigin="8228,1450" coordsize="840,5113">
              <v:shape style="position:absolute;left:8228;top:1450;width:840;height:5113" coordorigin="8228,1450" coordsize="840,5113" path="m8228,6562l9068,6562,9068,1450,8228,1450,8228,6562xe" filled="true" fillcolor="#ffffff" stroked="false">
                <v:path arrowok="t"/>
                <v:fill type="solid"/>
              </v:shape>
            </v:group>
            <v:group style="position:absolute;left:8228;top:6573;width:840;height:4021" coordorigin="8228,6573" coordsize="840,4021">
              <v:shape style="position:absolute;left:8228;top:6573;width:840;height:4021" coordorigin="8228,6573" coordsize="840,4021" path="m8228,10593l9068,10593,9068,6573,8228,6573,8228,1059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C7E7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8"/>
                <w:sz w:val="18"/>
                <w:szCs w:val="18"/>
              </w:rPr>
              <w:t>敏、水向</w:t>
            </w: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nil" w:sz="6" w:space="0" w:color="auto"/>
              <w:right w:val="single" w:sz="4" w:space="0" w:color="000000"/>
            </w:tcBorders>
            <w:shd w:val="clear" w:color="auto" w:fill="C7E7CC"/>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其本次交易所获得任子行股份的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）第二期股份：</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850" w:type="dxa"/>
            <w:vMerge w:val="restart"/>
            <w:tcBorders>
              <w:top w:val="single" w:sz="4" w:space="0" w:color="000000"/>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8"/>
                <w:sz w:val="18"/>
                <w:szCs w:val="18"/>
              </w:rPr>
              <w:t>东、周益</w:t>
            </w: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在持股期满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个月且标的公司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度</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斌</w:t>
            </w: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披露后，补偿义务人可解锁股份占其本次交易所获得任子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）第三期股份：在持股期满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年度《专项审核报告》披露后，补偿义务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人可解锁股份占其本次交易所获得任子行股份的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）第四期股份：在标的公司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年度《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及《减值测试报告》披露后，补偿义务人可解锁股份占其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8"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本次交易所获得任子行股份的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4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（二）募集配套资金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9"/>
              <w:ind w:left="382" w:right="0"/>
              <w:jc w:val="left"/>
              <w:rPr>
                <w:rFonts w:ascii="宋体" w:hAnsi="宋体" w:cs="宋体" w:eastAsia="宋体" w:hint="default"/>
                <w:sz w:val="18"/>
                <w:szCs w:val="18"/>
              </w:rPr>
            </w:pPr>
            <w:r>
              <w:rPr>
                <w:rFonts w:ascii="宋体" w:hAnsi="宋体" w:cs="宋体" w:eastAsia="宋体" w:hint="default"/>
                <w:spacing w:val="-6"/>
                <w:sz w:val="18"/>
                <w:szCs w:val="18"/>
              </w:rPr>
              <w:t>华信行、龙象之本、杨敏、水向东、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本人本次认购的任子行股份自股票上市之日起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不得转让。本次发行结束后，</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转增股本等原因增加的股份，亦应遵守上述约定。锁定期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结束后，将按中国证监会及深圳证券交易所的有关规定执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56"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C7E7CC"/>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single" w:sz="4" w:space="0" w:color="000000"/>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850" w:type="dxa"/>
            <w:vMerge/>
            <w:tcBorders>
              <w:left w:val="single" w:sz="4" w:space="0" w:color="000000"/>
              <w:bottom w:val="single" w:sz="4" w:space="0" w:color="000000"/>
              <w:right w:val="single" w:sz="4" w:space="0" w:color="000000"/>
            </w:tcBorders>
            <w:shd w:val="clear" w:color="auto" w:fill="C7E7CC"/>
          </w:tcPr>
          <w:p>
            <w:pPr/>
          </w:p>
        </w:tc>
      </w:tr>
      <w:tr>
        <w:trPr>
          <w:trHeight w:val="37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C7E7CC"/>
          </w:tcPr>
          <w:p>
            <w:pPr/>
          </w:p>
        </w:tc>
        <w:tc>
          <w:tcPr>
            <w:tcW w:w="851" w:type="dxa"/>
            <w:tcBorders>
              <w:top w:val="single" w:sz="4" w:space="0" w:color="000000"/>
              <w:left w:val="single" w:sz="4" w:space="0" w:color="000000"/>
              <w:bottom w:val="nil" w:sz="6" w:space="0" w:color="auto"/>
              <w:right w:val="single" w:sz="4" w:space="0" w:color="000000"/>
            </w:tcBorders>
            <w:shd w:val="clear" w:color="auto" w:fill="C7E7CC"/>
          </w:tcPr>
          <w:p>
            <w:pPr/>
          </w:p>
        </w:tc>
        <w:tc>
          <w:tcPr>
            <w:tcW w:w="4537" w:type="dxa"/>
            <w:tcBorders>
              <w:top w:val="single" w:sz="4" w:space="0" w:color="000000"/>
              <w:left w:val="single" w:sz="4" w:space="0" w:color="000000"/>
              <w:bottom w:val="nil" w:sz="6" w:space="0" w:color="auto"/>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（一）盈利承诺情况</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7E7CC"/>
          </w:tcPr>
          <w:p>
            <w:pPr/>
          </w:p>
        </w:tc>
        <w:tc>
          <w:tcPr>
            <w:tcW w:w="850" w:type="dxa"/>
            <w:tcBorders>
              <w:top w:val="single" w:sz="4" w:space="0" w:color="000000"/>
              <w:left w:val="single" w:sz="4" w:space="0" w:color="000000"/>
              <w:bottom w:val="nil" w:sz="6" w:space="0" w:color="auto"/>
              <w:right w:val="single" w:sz="4" w:space="0" w:color="000000"/>
            </w:tcBorders>
            <w:shd w:val="clear" w:color="auto" w:fill="C7E7CC"/>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9"/>
              <w:ind w:right="22"/>
              <w:jc w:val="right"/>
              <w:rPr>
                <w:rFonts w:ascii="宋体" w:hAnsi="宋体" w:cs="宋体" w:eastAsia="宋体" w:hint="default"/>
                <w:sz w:val="18"/>
                <w:szCs w:val="18"/>
              </w:rPr>
            </w:pPr>
            <w:r>
              <w:rPr>
                <w:rFonts w:ascii="宋体" w:hAnsi="宋体" w:cs="宋体" w:eastAsia="宋体" w:hint="default"/>
                <w:spacing w:val="-1"/>
                <w:sz w:val="18"/>
                <w:szCs w:val="18"/>
              </w:rPr>
              <w:t>本次交易的补偿义务人丁伟国、蒋利琴、刘泉、朱瑶</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承诺唐人数码 </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2015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2016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87"/>
                <w:sz w:val="18"/>
                <w:szCs w:val="18"/>
              </w:rPr>
              <w:t>度</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利润补偿期间</w:t>
            </w:r>
            <w:r>
              <w:rPr>
                <w:rFonts w:ascii="Times New Roman" w:hAnsi="Times New Roman" w:cs="Times New Roman" w:eastAsia="Times New Roman" w:hint="default"/>
                <w:w w:val="100"/>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各年度净利</w:t>
            </w:r>
            <w:r>
              <w:rPr>
                <w:rFonts w:ascii="宋体" w:hAnsi="宋体" w:cs="宋体" w:eastAsia="宋体" w:hint="default"/>
                <w:spacing w:val="-87"/>
                <w:sz w:val="18"/>
                <w:szCs w:val="18"/>
              </w:rPr>
              <w:t>润</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）如下：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年度不低于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74.00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年度不低于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300.00</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万元，合计不低于为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23,274.00</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万元。前述净利润指标的公司每个会计年度合并报表中扣</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除非经常性损益后归属于母公司股东的净利润（以具有中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国证券从业资格的会计师事务所按中国企业会计准则出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3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具的审计报告为准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274"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（二）补偿义务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1345"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188" w:lineRule="exact"/>
              <w:ind w:left="23" w:right="0"/>
              <w:jc w:val="left"/>
              <w:rPr>
                <w:rFonts w:ascii="宋体" w:hAnsi="宋体" w:cs="宋体" w:eastAsia="宋体" w:hint="default"/>
                <w:sz w:val="18"/>
                <w:szCs w:val="18"/>
              </w:rPr>
            </w:pPr>
            <w:r>
              <w:rPr>
                <w:rFonts w:ascii="宋体" w:hAnsi="宋体" w:cs="宋体" w:eastAsia="宋体" w:hint="default"/>
                <w:sz w:val="18"/>
                <w:szCs w:val="18"/>
              </w:rPr>
              <w:t>丁伟国</w:t>
            </w:r>
          </w:p>
          <w:p>
            <w:pPr>
              <w:pStyle w:val="TableParagraph"/>
              <w:spacing w:line="319" w:lineRule="auto" w:before="75"/>
              <w:ind w:left="23" w:right="23"/>
              <w:jc w:val="left"/>
              <w:rPr>
                <w:rFonts w:ascii="宋体" w:hAnsi="宋体" w:cs="宋体" w:eastAsia="宋体" w:hint="default"/>
                <w:sz w:val="18"/>
                <w:szCs w:val="18"/>
              </w:rPr>
            </w:pPr>
            <w:r>
              <w:rPr>
                <w:rFonts w:ascii="宋体" w:hAnsi="宋体" w:cs="宋体" w:eastAsia="宋体" w:hint="default"/>
                <w:sz w:val="18"/>
                <w:szCs w:val="18"/>
              </w:rPr>
              <w:t>蒋利琴 </w:t>
            </w:r>
            <w:r>
              <w:rPr>
                <w:rFonts w:ascii="宋体" w:hAnsi="宋体" w:cs="宋体" w:eastAsia="宋体" w:hint="default"/>
                <w:spacing w:val="-18"/>
                <w:sz w:val="18"/>
                <w:szCs w:val="18"/>
              </w:rPr>
              <w:t>刘泉、朱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瑶</w:t>
            </w:r>
          </w:p>
        </w:tc>
        <w:tc>
          <w:tcPr>
            <w:tcW w:w="851"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148"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p>
            <w:pPr>
              <w:pStyle w:val="TableParagraph"/>
              <w:spacing w:line="15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及补偿安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排</w:t>
            </w: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316" w:lineRule="auto" w:before="107"/>
              <w:ind w:left="22" w:right="22" w:firstLine="360"/>
              <w:jc w:val="left"/>
              <w:rPr>
                <w:rFonts w:ascii="宋体" w:hAnsi="宋体" w:cs="宋体" w:eastAsia="宋体" w:hint="default"/>
                <w:sz w:val="18"/>
                <w:szCs w:val="18"/>
              </w:rPr>
            </w:pPr>
            <w:r>
              <w:rPr>
                <w:rFonts w:ascii="宋体" w:hAnsi="宋体" w:cs="宋体" w:eastAsia="宋体" w:hint="default"/>
                <w:sz w:val="18"/>
                <w:szCs w:val="18"/>
              </w:rPr>
              <w:t>如果承诺年限内唐人数码的截至当期期末实际净利 </w:t>
            </w:r>
            <w:r>
              <w:rPr>
                <w:rFonts w:ascii="宋体" w:hAnsi="宋体" w:cs="宋体" w:eastAsia="宋体" w:hint="default"/>
                <w:spacing w:val="-1"/>
                <w:sz w:val="18"/>
                <w:szCs w:val="18"/>
              </w:rPr>
              <w:t>润数额未达到截至当期期末承诺净利润数额，则补偿义务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人应以连带责任方式向任子行补偿。若唐人数码在承诺年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限的截至当期期末实际净利润数大于或等于截至当期期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末承诺净利润数额，则补偿义务人无需向任子行进行补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（三）实际净利润的确定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0"/>
              <w:ind w:right="22"/>
              <w:jc w:val="right"/>
              <w:rPr>
                <w:rFonts w:ascii="宋体" w:hAnsi="宋体" w:cs="宋体" w:eastAsia="宋体" w:hint="default"/>
                <w:sz w:val="18"/>
                <w:szCs w:val="18"/>
              </w:rPr>
            </w:pPr>
            <w:r>
              <w:rPr>
                <w:rFonts w:ascii="宋体" w:hAnsi="宋体" w:cs="宋体" w:eastAsia="宋体" w:hint="default"/>
                <w:spacing w:val="-1"/>
                <w:sz w:val="18"/>
                <w:szCs w:val="18"/>
              </w:rPr>
              <w:t>标的资产交割完毕后，任子行将于利润补偿期间每个</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会计年度结束后，聘请具有从事证券期货业务资格的会计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师事务所对标的公司净利润实现情况进行专项审核，出具</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《专项审核报告</w:t>
            </w:r>
            <w:r>
              <w:rPr>
                <w:rFonts w:ascii="宋体" w:hAnsi="宋体" w:cs="宋体" w:eastAsia="宋体" w:hint="default"/>
                <w:spacing w:val="-90"/>
                <w:sz w:val="18"/>
                <w:szCs w:val="18"/>
              </w:rPr>
              <w:t>》</w:t>
            </w:r>
            <w:r>
              <w:rPr>
                <w:rFonts w:ascii="宋体" w:hAnsi="宋体" w:cs="宋体" w:eastAsia="宋体" w:hint="default"/>
                <w:sz w:val="18"/>
                <w:szCs w:val="18"/>
              </w:rPr>
              <w:t>。标的公司在利润补偿期内的实现的净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利润，以《专项审核报告》确定的扣除非经常性损益后的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净利润数值为准。</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51" w:hRule="exact"/>
        </w:trPr>
        <w:tc>
          <w:tcPr>
            <w:tcW w:w="993"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C7E7CC"/>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（四）补偿的实施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7E7CC"/>
          </w:tcPr>
          <w:p>
            <w:pPr/>
          </w:p>
        </w:tc>
        <w:tc>
          <w:tcPr>
            <w:tcW w:w="850" w:type="dxa"/>
            <w:tcBorders>
              <w:top w:val="nil" w:sz="6" w:space="0" w:color="auto"/>
              <w:left w:val="single" w:sz="4" w:space="0" w:color="000000"/>
              <w:bottom w:val="nil" w:sz="6" w:space="0" w:color="auto"/>
              <w:right w:val="single" w:sz="4" w:space="0" w:color="000000"/>
            </w:tcBorders>
            <w:shd w:val="clear" w:color="auto" w:fill="C7E7CC"/>
          </w:tcPr>
          <w:p>
            <w:pPr/>
          </w:p>
        </w:tc>
      </w:tr>
      <w:tr>
        <w:trPr>
          <w:trHeight w:val="33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C7E7CC"/>
          </w:tcPr>
          <w:p>
            <w:pPr/>
          </w:p>
        </w:tc>
        <w:tc>
          <w:tcPr>
            <w:tcW w:w="851" w:type="dxa"/>
            <w:tcBorders>
              <w:top w:val="nil" w:sz="6" w:space="0" w:color="auto"/>
              <w:left w:val="single" w:sz="4" w:space="0" w:color="000000"/>
              <w:bottom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single" w:sz="4" w:space="0" w:color="000000"/>
              <w:right w:val="single" w:sz="4" w:space="0" w:color="000000"/>
            </w:tcBorders>
            <w:shd w:val="clear" w:color="auto" w:fill="C7E7CC"/>
          </w:tcPr>
          <w:p>
            <w:pPr>
              <w:pStyle w:val="TableParagraph"/>
              <w:spacing w:line="240" w:lineRule="auto" w:before="29"/>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、承担利润补偿义务的主体为丁伟国、蒋利琴、刘</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7E7CC"/>
          </w:tcPr>
          <w:p>
            <w:pPr/>
          </w:p>
        </w:tc>
        <w:tc>
          <w:tcPr>
            <w:tcW w:w="850" w:type="dxa"/>
            <w:tcBorders>
              <w:top w:val="nil" w:sz="6" w:space="0" w:color="auto"/>
              <w:left w:val="single" w:sz="4" w:space="0" w:color="000000"/>
              <w:bottom w:val="single" w:sz="4" w:space="0" w:color="000000"/>
              <w:right w:val="single" w:sz="4" w:space="0" w:color="000000"/>
            </w:tcBorders>
            <w:shd w:val="clear" w:color="auto" w:fill="C7E7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7.279999pt;margin-top:72.47998pt;width:66.150pt;height:694.5pt;mso-position-horizontal-relative:page;mso-position-vertical-relative:page;z-index:-96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before="0"/>
                    <w:ind w:left="0" w:right="0"/>
                    <w:jc w:val="left"/>
                  </w:pPr>
                  <w:r>
                    <w:rPr/>
                    <w:t>万元。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C7E7CC"/>
          </w:tcPr>
          <w:p>
            <w:pP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泉和朱瑶，由补偿义务人按照其持有标的公司的股权比例</w:t>
            </w:r>
          </w:p>
        </w:tc>
        <w:tc>
          <w:tcPr>
            <w:tcW w:w="850" w:type="dxa"/>
            <w:vMerge w:val="restart"/>
            <w:tcBorders>
              <w:top w:val="single" w:sz="4" w:space="0" w:color="000000"/>
              <w:left w:val="single" w:sz="4" w:space="0" w:color="000000"/>
              <w:right w:val="single" w:sz="4" w:space="0" w:color="000000"/>
            </w:tcBorders>
          </w:tcPr>
          <w:p>
            <w:pPr>
              <w:pStyle w:val="TableParagraph"/>
              <w:spacing w:line="1389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7"/>
                <w:sz w:val="20"/>
                <w:szCs w:val="20"/>
              </w:rPr>
              <w:pict>
                <v:group style="width:42pt;height:694.5pt;mso-position-horizontal-relative:char;mso-position-vertical-relative:line" coordorigin="0,0" coordsize="840,13890">
                  <v:group style="position:absolute;left:0;top:0;width:840;height:13890" coordorigin="0,0" coordsize="840,13890">
                    <v:shape style="position:absolute;left:0;top:0;width:840;height:13890" coordorigin="0,0" coordsize="840,13890" path="m0,13890l840,13890,840,0,0,0,0,13890xe" filled="true" fillcolor="#ffffff" stroked="false">
                      <v:path arrowok="t"/>
                      <v:fill type="solid"/>
                    </v:shape>
                  </v:group>
                </v:group>
              </w:pict>
            </w:r>
            <w:r>
              <w:rPr>
                <w:rFonts w:ascii="Times New Roman" w:hAnsi="Times New Roman" w:cs="Times New Roman" w:eastAsia="Times New Roman" w:hint="default"/>
                <w:position w:val="-277"/>
                <w:sz w:val="20"/>
                <w:szCs w:val="20"/>
              </w:rPr>
            </w: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850" w:type="dxa"/>
            <w:vMerge w:val="restart"/>
            <w:tcBorders>
              <w:top w:val="single" w:sz="4" w:space="0" w:color="000000"/>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承担补偿义务，但补偿义务人应就其他各方的补偿义务承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担连带责任。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0"/>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、在利润补偿期间，如唐人数码截至当期期末累计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承诺净利润未能实现，应由补偿义务人先以现金方式向任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子行进行补偿，任子行有权从尚未支付的现金价款中扣除</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补偿义务人需以现金补偿的部分。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9"/>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、若补偿义务人尚未获取的现金不足以补偿的，不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足部分由补偿义务人以其本次交易所获得的股份进行补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偿，补偿股份数量的上限为本次发行补偿义务人认购的股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份数，补偿股份总数不超过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43,189,366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股。无论补偿义务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人本次交易所获得的股份是否解除限售，均应优先用于股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份补偿，股份补偿实施完毕后，剩余的股份按照协议各方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签署的《现金及发行股份购买资产协议》关于股份限售期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的约定处置。股份补偿仍不足以补偿的，由补偿义务人另</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行以自筹或自有现金予以补足。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6"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9"/>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、补偿义务人承担现金补偿和股份补偿的上限为补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偿义务人所获得的本次交易对价之和，即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60,256.00</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、若唐人数码截至当期期末累积实际净利润少于唐人数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码截至当期期末累积承诺净利润数的，补偿义务人向任子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行进行利润补偿，当期补偿金额的计算公式为：当期应补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末累积实现净利润数）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补偿期限内各年的承诺净利润数</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已补偿股份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股份发行价格已补偿金额。</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5"/>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、现金补偿及股份补偿的计算。补偿义务人应按照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下列顺序对上市公司进行补偿</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补</w:t>
            </w:r>
            <w:r>
              <w:rPr>
                <w:rFonts w:ascii="宋体" w:hAnsi="宋体" w:cs="宋体" w:eastAsia="宋体" w:hint="default"/>
                <w:spacing w:val="-2"/>
                <w:sz w:val="18"/>
                <w:szCs w:val="18"/>
              </w:rPr>
              <w:t>偿</w:t>
            </w:r>
            <w:r>
              <w:rPr>
                <w:rFonts w:ascii="宋体" w:hAnsi="宋体" w:cs="宋体" w:eastAsia="宋体" w:hint="default"/>
                <w:sz w:val="18"/>
                <w:szCs w:val="18"/>
              </w:rPr>
              <w:t>义务人首先以尚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未获取的现金进行补偿</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若补偿义务人以尚未获取的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现金不足补偿的，不足部分由补偿义务人以本次交易所获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得的股份进行补偿，股份补偿金额按以下公式计算确定：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已扣减的股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权转让价款中的应付现金对价）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发行股份价格。若当期期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末计算的应补偿现金金额小于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时，按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取值，即已经补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偿的股份及现金不冲回。每个交易对方应补偿股份数按照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其在标的公司的出资比例进行分配</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
                <w:sz w:val="18"/>
                <w:szCs w:val="18"/>
              </w:rPr>
              <w:t>）</w:t>
            </w:r>
            <w:r>
              <w:rPr>
                <w:rFonts w:ascii="宋体" w:hAnsi="宋体" w:cs="宋体" w:eastAsia="宋体" w:hint="default"/>
                <w:sz w:val="18"/>
                <w:szCs w:val="18"/>
              </w:rPr>
              <w:t>如果任子行在利</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润补偿期间内实施公积金或未分配利润转增股本或者分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配股票股利的，则上述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本次发行股份购买资产的每股发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应进行相应调整，同时应补偿的股份数也应相应</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调整，调整后的当期应补偿股份数量＝当期应补偿的股份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数</w:t>
            </w:r>
            <w:r>
              <w:rPr>
                <w:rFonts w:ascii="Times New Roman" w:hAnsi="Times New Roman" w:cs="Times New Roman" w:eastAsia="Times New Roman" w:hint="default"/>
                <w:spacing w:val="-2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转增</w:t>
            </w:r>
            <w:r>
              <w:rPr>
                <w:rFonts w:ascii="宋体" w:hAnsi="宋体" w:cs="宋体" w:eastAsia="宋体" w:hint="default"/>
                <w:spacing w:val="-2"/>
                <w:sz w:val="18"/>
                <w:szCs w:val="18"/>
              </w:rPr>
              <w:t>或</w:t>
            </w:r>
            <w:r>
              <w:rPr>
                <w:rFonts w:ascii="宋体" w:hAnsi="宋体" w:cs="宋体" w:eastAsia="宋体" w:hint="default"/>
                <w:sz w:val="18"/>
                <w:szCs w:val="18"/>
              </w:rPr>
              <w:t>送股比例</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如果任子行在利润补偿期间内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有现金分红的，按照上述公式计算的应补偿股份在利润补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偿期间内累计获得的现金分红收益，应随补偿赠送给任子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行。返还金额的计算公式为：返还金额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返还前每股获得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C7E7CC"/>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single" w:sz="4" w:space="0" w:color="000000"/>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的现金股</w:t>
            </w:r>
            <w:r>
              <w:rPr>
                <w:rFonts w:ascii="宋体" w:hAnsi="宋体" w:cs="宋体" w:eastAsia="宋体" w:hint="default"/>
                <w:spacing w:val="2"/>
                <w:sz w:val="18"/>
                <w:szCs w:val="18"/>
              </w:rPr>
              <w:t>利</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当期应补偿的股份数量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）当期按照上述</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850" w:type="dxa"/>
            <w:vMerge/>
            <w:tcBorders>
              <w:left w:val="single" w:sz="4" w:space="0" w:color="000000"/>
              <w:bottom w:val="single" w:sz="4" w:space="0" w:color="000000"/>
              <w:right w:val="single" w:sz="4" w:space="0" w:color="000000"/>
            </w:tcBorders>
            <w:shd w:val="clear" w:color="auto" w:fill="C7E7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31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C7E7CC"/>
          </w:tcPr>
          <w:p>
            <w:pP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公式算出的补偿金额仍不足以补偿的，补偿义务人以自筹</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shd w:val="clear" w:color="auto" w:fill="C7E7CC"/>
          </w:tcPr>
          <w:p>
            <w:pPr/>
          </w:p>
        </w:tc>
        <w:tc>
          <w:tcPr>
            <w:tcW w:w="850" w:type="dxa"/>
            <w:vMerge w:val="restart"/>
            <w:tcBorders>
              <w:top w:val="single" w:sz="4" w:space="0" w:color="000000"/>
              <w:left w:val="single" w:sz="4" w:space="0" w:color="000000"/>
              <w:right w:val="single" w:sz="4" w:space="0" w:color="000000"/>
            </w:tcBorders>
            <w:shd w:val="clear" w:color="auto" w:fill="C7E7CC"/>
          </w:tcPr>
          <w:p>
            <w:pPr/>
          </w:p>
        </w:tc>
      </w:tr>
      <w:tr>
        <w:trPr>
          <w:trHeight w:val="33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资金或自有资金进行补偿的。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、减值测试后的补偿事宜。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1"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4"/>
              <w:ind w:right="9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）在利润补偿期间前三年任何一年实现净利润未</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达到当年承诺净利润的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，以及在承诺年度届满时，任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子行将聘请具有证券从业资格的审计机构对标的资产进</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行减值测试并出具减值测试报告。在承诺年度届满时，若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标的资产对价为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万元，标的资产减值测试的作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价基础为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60,256.00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若标的资产对价调整为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80,258.00</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万元，标的资产减值测试的作价基础为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80,258.00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除非另有法律规定，否则，减值测试报告采取的估值方法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应与评估报告采用的估值方法一致</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6"/>
                <w:sz w:val="18"/>
                <w:szCs w:val="18"/>
              </w:rPr>
              <w:t>）</w:t>
            </w:r>
            <w:r>
              <w:rPr>
                <w:rFonts w:ascii="宋体" w:hAnsi="宋体" w:cs="宋体" w:eastAsia="宋体" w:hint="default"/>
                <w:sz w:val="18"/>
                <w:szCs w:val="18"/>
              </w:rPr>
              <w:t>如果</w:t>
            </w:r>
            <w:r>
              <w:rPr>
                <w:rFonts w:ascii="宋体" w:hAnsi="宋体" w:cs="宋体" w:eastAsia="宋体" w:hint="default"/>
                <w:spacing w:val="-8"/>
                <w:sz w:val="18"/>
                <w:szCs w:val="18"/>
              </w:rPr>
              <w:t>：</w:t>
            </w:r>
            <w:r>
              <w:rPr>
                <w:rFonts w:ascii="宋体" w:hAnsi="宋体" w:cs="宋体" w:eastAsia="宋体" w:hint="default"/>
                <w:sz w:val="18"/>
                <w:szCs w:val="18"/>
              </w:rPr>
              <w:t>期末减值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额＞补偿期内已补偿股份总数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本次发行股份购买资产的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补偿期内已补偿的现金总额，则补偿义务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人应另行补偿，另行补偿首先以任子行尚未支付的现金进</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行补偿，任子行尚未支付的现金不足以补偿的，以补偿义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务人本次交易所获得的股份进行补偿，仍不足以补偿的，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由补偿义务人自筹资金予以补偿</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0"/>
                <w:sz w:val="18"/>
                <w:szCs w:val="18"/>
              </w:rPr>
              <w:t>）</w:t>
            </w:r>
            <w:r>
              <w:rPr>
                <w:rFonts w:ascii="宋体" w:hAnsi="宋体" w:cs="宋体" w:eastAsia="宋体" w:hint="default"/>
                <w:spacing w:val="-2"/>
                <w:sz w:val="18"/>
                <w:szCs w:val="18"/>
              </w:rPr>
              <w:t>现</w:t>
            </w:r>
            <w:r>
              <w:rPr>
                <w:rFonts w:ascii="宋体" w:hAnsi="宋体" w:cs="宋体" w:eastAsia="宋体" w:hint="default"/>
                <w:sz w:val="18"/>
                <w:szCs w:val="18"/>
              </w:rPr>
              <w:t>金补偿的计算公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式为：另行补偿的金额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（补偿期内已补偿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本次发行股份购买资产的每股发行价格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期内已补偿的现金总额</w:t>
            </w:r>
            <w:r>
              <w:rPr>
                <w:rFonts w:ascii="宋体" w:hAnsi="宋体" w:cs="宋体" w:eastAsia="宋体" w:hint="default"/>
                <w:spacing w:val="-90"/>
                <w:sz w:val="18"/>
                <w:szCs w:val="18"/>
              </w:rPr>
              <w:t>）</w:t>
            </w:r>
            <w:r>
              <w:rPr>
                <w:rFonts w:ascii="宋体" w:hAnsi="宋体" w:cs="宋体" w:eastAsia="宋体" w:hint="default"/>
                <w:sz w:val="18"/>
                <w:szCs w:val="18"/>
              </w:rPr>
              <w:t>。如果以任子行尚未支付的现金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不足以补偿的，不足部分由补偿义务人以本次交易所获得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的股份进行补偿。另行补偿的股份数量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（标的资产减值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应支付的另行补偿金额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本次减值已支付的另行补偿金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本次发行股份购买资产的每股发行价格。</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、现金补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偿的实施。如标的公司在利润补偿期间内未能实现承诺净</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利润，则任子行应在利润补偿期间内各年度《专项审核报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告》披露后向补偿义务人发出书面通知（书面通知应包含</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当年的补偿金额</w:t>
            </w:r>
            <w:r>
              <w:rPr>
                <w:rFonts w:ascii="宋体" w:hAnsi="宋体" w:cs="宋体" w:eastAsia="宋体" w:hint="default"/>
                <w:spacing w:val="-90"/>
                <w:sz w:val="18"/>
                <w:szCs w:val="18"/>
              </w:rPr>
              <w:t>）</w:t>
            </w:r>
            <w:r>
              <w:rPr>
                <w:rFonts w:ascii="宋体" w:hAnsi="宋体" w:cs="宋体" w:eastAsia="宋体" w:hint="default"/>
                <w:sz w:val="18"/>
                <w:szCs w:val="18"/>
              </w:rPr>
              <w:t>，补偿义务人在收到任子行的书面通知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个工作日内，将应补偿的现金一次性支付至任子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行指定的银行账户。若补偿义务人未按时、足额履行现金</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补偿义务的，则不足部分应以补偿义务人本次交易所获得</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的任子行股份进行补偿。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、股份补偿的实施。</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3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25"/>
              <w:ind w:right="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）补偿义务人应补偿的股份由任子行以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价回购并注销，任子行应在利润补偿期间内各年年报披露</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个交易日内发出召开审议上述股份回购及后续注</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销事宜的股东大会会议通知。如果任子行股东大会通过了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上述股份回购及后续注销事宜的议案，任子行应在股东大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会结束后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个月内实施回购方案；如任子行股东大会未通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过上述股份回购及后续注销事宜的议案，则任子行应在股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个交易日内书面通知补偿义务人，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C7E7CC"/>
          </w:tcPr>
          <w:p>
            <w:pPr/>
          </w:p>
        </w:tc>
        <w:tc>
          <w:tcPr>
            <w:tcW w:w="851" w:type="dxa"/>
            <w:vMerge/>
            <w:tcBorders>
              <w:left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任子行将在股东大会决议公告之日起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日内公告股权登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7E7CC"/>
          </w:tcPr>
          <w:p>
            <w:pPr/>
          </w:p>
        </w:tc>
        <w:tc>
          <w:tcPr>
            <w:tcW w:w="850" w:type="dxa"/>
            <w:vMerge/>
            <w:tcBorders>
              <w:left w:val="single" w:sz="4" w:space="0" w:color="000000"/>
              <w:right w:val="single" w:sz="4" w:space="0" w:color="000000"/>
            </w:tcBorders>
            <w:shd w:val="clear" w:color="auto" w:fill="C7E7CC"/>
          </w:tcPr>
          <w:p>
            <w:pPr/>
          </w:p>
        </w:tc>
      </w:tr>
      <w:tr>
        <w:trPr>
          <w:trHeight w:val="31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C7E7CC"/>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4537" w:type="dxa"/>
            <w:tcBorders>
              <w:top w:val="nil" w:sz="6" w:space="0" w:color="auto"/>
              <w:left w:val="single" w:sz="4" w:space="0" w:color="000000"/>
              <w:bottom w:val="single" w:sz="4" w:space="0" w:color="000000"/>
              <w:right w:val="single" w:sz="4" w:space="0" w:color="000000"/>
            </w:tcBorders>
            <w:shd w:val="clear" w:color="auto" w:fill="C7E7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记日并由补偿义务人将等同于上述应回购数量的股份无</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7E7CC"/>
          </w:tcPr>
          <w:p>
            <w:pPr/>
          </w:p>
        </w:tc>
        <w:tc>
          <w:tcPr>
            <w:tcW w:w="850" w:type="dxa"/>
            <w:vMerge/>
            <w:tcBorders>
              <w:left w:val="single" w:sz="4" w:space="0" w:color="000000"/>
              <w:bottom w:val="single" w:sz="4" w:space="0" w:color="000000"/>
              <w:right w:val="single" w:sz="4" w:space="0" w:color="000000"/>
            </w:tcBorders>
            <w:shd w:val="clear" w:color="auto" w:fill="C7E7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223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偿赠送给该股权登记日登记在册的除交易对方之外的任 </w:t>
            </w:r>
            <w:r>
              <w:rPr>
                <w:rFonts w:ascii="宋体" w:hAnsi="宋体" w:cs="宋体" w:eastAsia="宋体" w:hint="default"/>
                <w:spacing w:val="-1"/>
                <w:sz w:val="18"/>
                <w:szCs w:val="18"/>
              </w:rPr>
              <w:t>子行其他股东。任子行其他股东按其所持股份数量占股权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登记日扣除交易对方持有的股份数后任子行股份数量的 </w:t>
            </w:r>
            <w:r>
              <w:rPr>
                <w:rFonts w:ascii="宋体" w:hAnsi="宋体" w:cs="宋体" w:eastAsia="宋体" w:hint="default"/>
                <w:spacing w:val="-11"/>
                <w:sz w:val="18"/>
                <w:szCs w:val="18"/>
              </w:rPr>
              <w:t>比例享有获赠股份。（</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）自应补偿的股份数量确定之日（指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当期年度报告披露之日）起至该等股份注销前或被赠与其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他股东前，补偿义务人就该等股份不拥有表决权且不享有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收益分配的权利。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6954"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丁伟国、 蒋利琴、 </w:t>
            </w:r>
            <w:r>
              <w:rPr>
                <w:rFonts w:ascii="宋体" w:hAnsi="宋体" w:cs="宋体" w:eastAsia="宋体" w:hint="default"/>
                <w:spacing w:val="-18"/>
                <w:sz w:val="18"/>
                <w:szCs w:val="18"/>
              </w:rPr>
              <w:t>刘泉、朱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瑶</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2"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
                <w:sz w:val="18"/>
                <w:szCs w:val="18"/>
              </w:rPr>
              <w:t>为保护任子行及其股东特别是中小股东的利益，丁伟</w:t>
            </w:r>
            <w:r>
              <w:rPr>
                <w:rFonts w:ascii="宋体" w:hAnsi="宋体" w:cs="宋体" w:eastAsia="宋体" w:hint="default"/>
                <w:sz w:val="18"/>
                <w:szCs w:val="18"/>
              </w:rPr>
              <w:t> </w:t>
            </w:r>
            <w:r>
              <w:rPr>
                <w:rFonts w:ascii="宋体" w:hAnsi="宋体" w:cs="宋体" w:eastAsia="宋体" w:hint="default"/>
                <w:spacing w:val="-1"/>
                <w:sz w:val="18"/>
                <w:szCs w:val="18"/>
              </w:rPr>
              <w:t>国、蒋利琴、刘泉、朱瑶分别对避免同业竞争做出如下承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、本人在唐人数码及其子公司的任职期间以及自唐 人数码离职之日起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年内，不投资与唐人数码业务相同或 </w:t>
            </w:r>
            <w:r>
              <w:rPr>
                <w:rFonts w:ascii="宋体" w:hAnsi="宋体" w:cs="宋体" w:eastAsia="宋体" w:hint="default"/>
                <w:spacing w:val="-1"/>
                <w:sz w:val="18"/>
                <w:szCs w:val="18"/>
              </w:rPr>
              <w:t>者相类似的其他企业，不在任子行及其子公司、唐人数码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及其子公司以外，从事与该等公司同类或存在竞争的业务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或通过直接或间接控制的其他经营主体从事该等业务；不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在其他与任子行及其子公司、唐人数码及其子公司有竞争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关系的任何企业或组织任职。</w:t>
            </w:r>
            <w:r>
              <w:rPr>
                <w:rFonts w:ascii="Times New Roman" w:hAnsi="Times New Roman" w:cs="Times New Roman" w:eastAsia="Times New Roman" w:hint="default"/>
                <w:sz w:val="18"/>
                <w:szCs w:val="18"/>
              </w:rPr>
              <w:t>2</w:t>
            </w:r>
            <w:r>
              <w:rPr>
                <w:rFonts w:ascii="宋体" w:hAnsi="宋体" w:cs="宋体" w:eastAsia="宋体" w:hint="default"/>
                <w:sz w:val="18"/>
                <w:szCs w:val="18"/>
              </w:rPr>
              <w:t>、如任子行进一步拓展其 </w:t>
            </w:r>
            <w:r>
              <w:rPr>
                <w:rFonts w:ascii="宋体" w:hAnsi="宋体" w:cs="宋体" w:eastAsia="宋体" w:hint="default"/>
                <w:spacing w:val="-1"/>
                <w:sz w:val="18"/>
                <w:szCs w:val="18"/>
              </w:rPr>
              <w:t>业务范围，本人及本人控制的其他企业将不与任子行拓展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后的业务相竞争；可能与任子行拓展后的业务产生竞争 </w:t>
            </w:r>
            <w:r>
              <w:rPr>
                <w:rFonts w:ascii="宋体" w:hAnsi="宋体" w:cs="宋体" w:eastAsia="宋体" w:hint="default"/>
                <w:spacing w:val="-1"/>
                <w:sz w:val="18"/>
                <w:szCs w:val="18"/>
              </w:rPr>
              <w:t>的，本人及本人控制的其他企业将按照如下方式退出与任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子行的竞争：</w:t>
            </w:r>
            <w:r>
              <w:rPr>
                <w:rFonts w:ascii="Times New Roman" w:hAnsi="Times New Roman" w:cs="Times New Roman" w:eastAsia="Times New Roman" w:hint="default"/>
                <w:sz w:val="18"/>
                <w:szCs w:val="18"/>
              </w:rPr>
              <w:t>A</w:t>
            </w:r>
            <w:r>
              <w:rPr>
                <w:rFonts w:ascii="宋体" w:hAnsi="宋体" w:cs="宋体" w:eastAsia="宋体" w:hint="default"/>
                <w:sz w:val="18"/>
                <w:szCs w:val="18"/>
              </w:rPr>
              <w:t>、停止与任子行构成竞争或可能构成竞争 </w:t>
            </w:r>
            <w:r>
              <w:rPr>
                <w:rFonts w:ascii="宋体" w:hAnsi="宋体" w:cs="宋体" w:eastAsia="宋体" w:hint="default"/>
                <w:spacing w:val="-5"/>
                <w:sz w:val="18"/>
                <w:szCs w:val="18"/>
              </w:rPr>
              <w:t>的业务；</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、将相竞争的业务纳入到任子行来经营；</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、将</w:t>
            </w:r>
            <w:r>
              <w:rPr>
                <w:rFonts w:ascii="宋体" w:hAnsi="宋体" w:cs="宋体" w:eastAsia="宋体" w:hint="default"/>
                <w:spacing w:val="-66"/>
                <w:sz w:val="18"/>
                <w:szCs w:val="18"/>
              </w:rPr>
              <w:t> </w:t>
            </w:r>
            <w:r>
              <w:rPr>
                <w:rFonts w:ascii="宋体" w:hAnsi="宋体" w:cs="宋体" w:eastAsia="宋体" w:hint="default"/>
                <w:sz w:val="18"/>
                <w:szCs w:val="18"/>
              </w:rPr>
              <w:t>相竞争的业务转让给无关联的第三方。</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、如本人及本人 </w:t>
            </w:r>
            <w:r>
              <w:rPr>
                <w:rFonts w:ascii="宋体" w:hAnsi="宋体" w:cs="宋体" w:eastAsia="宋体" w:hint="default"/>
                <w:spacing w:val="-1"/>
                <w:sz w:val="18"/>
                <w:szCs w:val="18"/>
              </w:rPr>
              <w:t>控制的其他企业有任何商业机会可从事、参与任何可能与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任子行的经营运作构成竞争的活动，则立即将上述商业机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会通知任子行，在通知中所指定的合理期间内，任子行作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出愿意利用该商业机会的肯定答复的，则尽力将该商业机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会给予任子行。</w:t>
            </w:r>
            <w:r>
              <w:rPr>
                <w:rFonts w:ascii="Times New Roman" w:hAnsi="Times New Roman" w:cs="Times New Roman" w:eastAsia="Times New Roman" w:hint="default"/>
                <w:sz w:val="18"/>
                <w:szCs w:val="18"/>
              </w:rPr>
              <w:t>4</w:t>
            </w:r>
            <w:r>
              <w:rPr>
                <w:rFonts w:ascii="宋体" w:hAnsi="宋体" w:cs="宋体" w:eastAsia="宋体" w:hint="default"/>
                <w:sz w:val="18"/>
                <w:szCs w:val="18"/>
              </w:rPr>
              <w:t>、如违反以上承诺，本人愿意承担由此 </w:t>
            </w:r>
            <w:r>
              <w:rPr>
                <w:rFonts w:ascii="宋体" w:hAnsi="宋体" w:cs="宋体" w:eastAsia="宋体" w:hint="default"/>
                <w:spacing w:val="-1"/>
                <w:sz w:val="18"/>
                <w:szCs w:val="18"/>
              </w:rPr>
              <w:t>产生的全部责任，充分赔偿或补偿由此给任子行造成的所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有直接或间接损失。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73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45"/>
              <w:jc w:val="left"/>
              <w:rPr>
                <w:rFonts w:ascii="宋体" w:hAnsi="宋体" w:cs="宋体" w:eastAsia="宋体" w:hint="default"/>
                <w:sz w:val="18"/>
                <w:szCs w:val="18"/>
              </w:rPr>
            </w:pPr>
            <w:r>
              <w:rPr>
                <w:rFonts w:ascii="宋体" w:hAnsi="宋体" w:cs="宋体" w:eastAsia="宋体" w:hint="default"/>
                <w:sz w:val="18"/>
                <w:szCs w:val="18"/>
              </w:rPr>
              <w:t>丁伟国、 蒋利琴、 </w:t>
            </w:r>
            <w:r>
              <w:rPr>
                <w:rFonts w:ascii="宋体" w:hAnsi="宋体" w:cs="宋体" w:eastAsia="宋体" w:hint="default"/>
                <w:spacing w:val="-18"/>
                <w:sz w:val="18"/>
                <w:szCs w:val="18"/>
              </w:rPr>
              <w:t>刘泉、朱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瑶、华信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行、龙象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之本、杨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敏、水向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东、周益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斌</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4"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为保护任子行及其股东特别是中小股东的利益，丁伟国、 蒋利琴、刘泉、朱瑶、华信行投资、龙象之本、杨敏、水 向东、周益斌分别对减少和规范关联交易做出如下承诺：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、在作为任子行关联方期间，本人确保其控制的企业等 关联方将尽量减少并避免与任子行及其控股公司发生关 联交易；对于确有必要且无法回避的关联交易，均按照公 平、公允和等价有偿的原则进行，交易价格按市场公认的 合理价格确定，并依法签订协议，且严格按相关法律、法 规以及规范性文件的规定履行关联交易审批程序及信息 披露义务，切实保护任子行及其中小股东的利益。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、在 作为任子行股东期间，本人承诺严格遵守法律、法规和规 范性文件及公司章程等的相关规定，依照合法程序，与其 他股东平等行使股东权利、履行股东义务，不利用关联关 系谋取不当的利益，不损害任子行及其他股东的合法权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、本人承诺将杜绝一切非法占用任子行资金、资产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7.131012pt;margin-top:215.419983pt;width:66.3pt;height:258.45pt;mso-position-horizontal-relative:page;mso-position-vertical-relative:page;z-index:-964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7"/>
                      <w:szCs w:val="17"/>
                    </w:rPr>
                  </w:pPr>
                </w:p>
                <w:p>
                  <w:pPr>
                    <w:pStyle w:val="BodyText"/>
                    <w:spacing w:line="240" w:lineRule="auto" w:before="0"/>
                    <w:ind w:left="0" w:right="0"/>
                    <w:jc w:val="left"/>
                  </w:pPr>
                  <w:r>
                    <w:rPr/>
                    <w:t>查封、</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before="0"/>
                    <w:ind w:left="361"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285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的行为，在任何情况下，均不要求任子行向其及其投资或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控制的其他企业提供任何形式的担保。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、本人确认本承 </w:t>
            </w:r>
            <w:r>
              <w:rPr>
                <w:rFonts w:ascii="宋体" w:hAnsi="宋体" w:cs="宋体" w:eastAsia="宋体" w:hint="default"/>
                <w:spacing w:val="-1"/>
                <w:sz w:val="18"/>
                <w:szCs w:val="18"/>
              </w:rPr>
              <w:t>诺函所载的每一项承诺均为可独立执行之承诺，任何一项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承诺若被视为无效或终止将不影响其他各项承诺的有效 性。</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、本人将忠实履行承诺并保证确认的真实性，如果 </w:t>
            </w:r>
            <w:r>
              <w:rPr>
                <w:rFonts w:ascii="宋体" w:hAnsi="宋体" w:cs="宋体" w:eastAsia="宋体" w:hint="default"/>
                <w:spacing w:val="-1"/>
                <w:sz w:val="18"/>
                <w:szCs w:val="18"/>
              </w:rPr>
              <w:t>违反上述承诺或确认不真实，本人将以连带方式承担由此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引发的一切法律责任。</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、本承诺函自本人签署之日起生 </w:t>
            </w:r>
            <w:r>
              <w:rPr>
                <w:rFonts w:ascii="宋体" w:hAnsi="宋体" w:cs="宋体" w:eastAsia="宋体" w:hint="default"/>
                <w:spacing w:val="-1"/>
                <w:sz w:val="18"/>
                <w:szCs w:val="18"/>
              </w:rPr>
              <w:t>效，本承诺函所载上述各项由本人作出之承诺分别在本人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作为任子行关联方期间持续有效。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1105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45"/>
              <w:jc w:val="left"/>
              <w:rPr>
                <w:rFonts w:ascii="宋体" w:hAnsi="宋体" w:cs="宋体" w:eastAsia="宋体" w:hint="default"/>
                <w:sz w:val="18"/>
                <w:szCs w:val="18"/>
              </w:rPr>
            </w:pPr>
            <w:r>
              <w:rPr>
                <w:rFonts w:ascii="宋体" w:hAnsi="宋体" w:cs="宋体" w:eastAsia="宋体" w:hint="default"/>
                <w:sz w:val="18"/>
                <w:szCs w:val="18"/>
              </w:rPr>
              <w:t>丁伟国、 蒋利琴、 </w:t>
            </w:r>
            <w:r>
              <w:rPr>
                <w:rFonts w:ascii="宋体" w:hAnsi="宋体" w:cs="宋体" w:eastAsia="宋体" w:hint="default"/>
                <w:spacing w:val="-18"/>
                <w:sz w:val="18"/>
                <w:szCs w:val="18"/>
              </w:rPr>
              <w:t>刘泉、朱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瑶</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38" w:lineRule="auto" w:before="51"/>
              <w:ind w:left="382" w:right="9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交易对方对其持有的标的资产权属的承诺</w:t>
            </w:r>
            <w:r>
              <w:rPr>
                <w:rFonts w:ascii="宋体" w:hAnsi="宋体" w:cs="宋体" w:eastAsia="宋体" w:hint="default"/>
                <w:w w:val="99"/>
                <w:sz w:val="18"/>
                <w:szCs w:val="18"/>
              </w:rPr>
              <w:t> </w:t>
            </w:r>
            <w:r>
              <w:rPr>
                <w:rFonts w:ascii="宋体" w:hAnsi="宋体" w:cs="宋体" w:eastAsia="宋体" w:hint="default"/>
                <w:sz w:val="18"/>
                <w:szCs w:val="18"/>
              </w:rPr>
              <w:t>丁伟国、蒋利琴、刘泉、朱瑶承诺如下：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、已经依</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法对唐人数码履行出资义务，不存在任何虚假出资、延期</w:t>
            </w:r>
          </w:p>
          <w:p>
            <w:pPr>
              <w:pStyle w:val="TableParagraph"/>
              <w:spacing w:line="312" w:lineRule="auto" w:before="76"/>
              <w:ind w:left="22" w:right="21"/>
              <w:jc w:val="left"/>
              <w:rPr>
                <w:rFonts w:ascii="宋体" w:hAnsi="宋体" w:cs="宋体" w:eastAsia="宋体" w:hint="default"/>
                <w:sz w:val="18"/>
                <w:szCs w:val="18"/>
              </w:rPr>
            </w:pPr>
            <w:r>
              <w:rPr>
                <w:rFonts w:ascii="宋体" w:hAnsi="宋体" w:cs="宋体" w:eastAsia="宋体" w:hint="default"/>
                <w:spacing w:val="-1"/>
                <w:sz w:val="18"/>
                <w:szCs w:val="18"/>
              </w:rPr>
              <w:t>出资、抽逃出资等违反其作为股东所应当承担的义务及责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、交易对方合法持有标的资产，并对标的资 </w:t>
            </w:r>
            <w:r>
              <w:rPr>
                <w:rFonts w:ascii="宋体" w:hAnsi="宋体" w:cs="宋体" w:eastAsia="宋体" w:hint="default"/>
                <w:spacing w:val="-1"/>
                <w:sz w:val="18"/>
                <w:szCs w:val="18"/>
              </w:rPr>
              <w:t>产拥有完全和排他的所有权和处分权。标的资产不存在信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托安排及股份代持，不代表其他方的利益，且未设定任何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抵押、质押等他项权利，亦未被执法部门实施扣押、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司法冻结等使其权利受到限制的任何约束。</w:t>
            </w:r>
            <w:r>
              <w:rPr>
                <w:rFonts w:ascii="Times New Roman" w:hAnsi="Times New Roman" w:cs="Times New Roman" w:eastAsia="Times New Roman" w:hint="default"/>
                <w:sz w:val="18"/>
                <w:szCs w:val="18"/>
              </w:rPr>
              <w:t>3</w:t>
            </w:r>
            <w:r>
              <w:rPr>
                <w:rFonts w:ascii="宋体" w:hAnsi="宋体" w:cs="宋体" w:eastAsia="宋体" w:hint="default"/>
                <w:sz w:val="18"/>
                <w:szCs w:val="18"/>
              </w:rPr>
              <w:t>、保证自身 及唐人数码所签署的所有协议或合同不存在阻碍交易对 方向任子行转让标的资产的限制性条款。</w:t>
            </w:r>
            <w:r>
              <w:rPr>
                <w:rFonts w:ascii="Times New Roman" w:hAnsi="Times New Roman" w:cs="Times New Roman" w:eastAsia="Times New Roman" w:hint="default"/>
                <w:sz w:val="18"/>
                <w:szCs w:val="18"/>
              </w:rPr>
              <w:t>4</w:t>
            </w:r>
            <w:r>
              <w:rPr>
                <w:rFonts w:ascii="宋体" w:hAnsi="宋体" w:cs="宋体" w:eastAsia="宋体" w:hint="default"/>
                <w:sz w:val="18"/>
                <w:szCs w:val="18"/>
              </w:rPr>
              <w:t>、唐人数码章 </w:t>
            </w:r>
            <w:r>
              <w:rPr>
                <w:rFonts w:ascii="宋体" w:hAnsi="宋体" w:cs="宋体" w:eastAsia="宋体" w:hint="default"/>
                <w:spacing w:val="-1"/>
                <w:sz w:val="18"/>
                <w:szCs w:val="18"/>
              </w:rPr>
              <w:t>程、内部管理制度文件及其签署的所有合同或协议中不存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在阻碍交易对方向任子行转让标的资产的限制性条款。</w:t>
            </w:r>
            <w:r>
              <w:rPr>
                <w:rFonts w:ascii="Times New Roman" w:hAnsi="Times New Roman" w:cs="Times New Roman" w:eastAsia="Times New Roman" w:hint="default"/>
                <w:sz w:val="18"/>
                <w:szCs w:val="18"/>
              </w:rPr>
              <w:t>5 </w:t>
            </w:r>
            <w:r>
              <w:rPr>
                <w:rFonts w:ascii="宋体" w:hAnsi="宋体" w:cs="宋体" w:eastAsia="宋体" w:hint="default"/>
                <w:sz w:val="18"/>
                <w:szCs w:val="18"/>
              </w:rPr>
              <w:t>保证放弃行使本次转让标的资产的优先购买权。 </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关于任职期限和竞业禁止承诺</w:t>
            </w:r>
          </w:p>
          <w:p>
            <w:pPr>
              <w:pStyle w:val="TableParagraph"/>
              <w:spacing w:line="314" w:lineRule="auto" w:before="41"/>
              <w:ind w:left="22" w:right="21" w:firstLine="450"/>
              <w:jc w:val="left"/>
              <w:rPr>
                <w:rFonts w:ascii="宋体" w:hAnsi="宋体" w:cs="宋体" w:eastAsia="宋体" w:hint="default"/>
                <w:sz w:val="18"/>
                <w:szCs w:val="18"/>
              </w:rPr>
            </w:pPr>
            <w:r>
              <w:rPr>
                <w:rFonts w:ascii="宋体" w:hAnsi="宋体" w:cs="宋体" w:eastAsia="宋体" w:hint="default"/>
                <w:spacing w:val="-4"/>
                <w:sz w:val="18"/>
                <w:szCs w:val="18"/>
              </w:rPr>
              <w:t>丁伟国、蒋利琴、刘泉及朱瑶承诺如下：（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）任职</w:t>
            </w:r>
            <w:r>
              <w:rPr>
                <w:rFonts w:ascii="宋体" w:hAnsi="宋体" w:cs="宋体" w:eastAsia="宋体" w:hint="default"/>
                <w:sz w:val="18"/>
                <w:szCs w:val="18"/>
              </w:rPr>
              <w:t> </w:t>
            </w:r>
            <w:r>
              <w:rPr>
                <w:rFonts w:ascii="宋体" w:hAnsi="宋体" w:cs="宋体" w:eastAsia="宋体" w:hint="default"/>
                <w:spacing w:val="-1"/>
                <w:sz w:val="18"/>
                <w:szCs w:val="18"/>
              </w:rPr>
              <w:t>期限安排。为保证唐人数码及其子公司持续发展和保持持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续竞争优势，交易对方丁伟国、蒋利琴、刘泉及朱瑶承诺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自任子行收到中国证监会核准本次交易的正式书面文件 </w:t>
            </w:r>
            <w:r>
              <w:rPr>
                <w:rFonts w:ascii="宋体" w:hAnsi="宋体" w:cs="宋体" w:eastAsia="宋体" w:hint="default"/>
                <w:spacing w:val="-1"/>
                <w:sz w:val="18"/>
                <w:szCs w:val="18"/>
              </w:rPr>
              <w:t>之日起，丁伟国、蒋利琴、刘泉及朱瑶在唐人数码的任职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期限不少于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）在职期间竞业禁止。交易对方</w:t>
            </w:r>
            <w:r>
              <w:rPr>
                <w:rFonts w:ascii="宋体" w:hAnsi="宋体" w:cs="宋体" w:eastAsia="宋体" w:hint="default"/>
                <w:spacing w:val="-88"/>
                <w:sz w:val="18"/>
                <w:szCs w:val="18"/>
              </w:rPr>
              <w:t> </w:t>
            </w:r>
            <w:r>
              <w:rPr>
                <w:rFonts w:ascii="宋体" w:hAnsi="宋体" w:cs="宋体" w:eastAsia="宋体" w:hint="default"/>
                <w:spacing w:val="-1"/>
                <w:sz w:val="18"/>
                <w:szCs w:val="18"/>
              </w:rPr>
              <w:t>丁伟国、蒋利琴、刘泉及朱瑶承诺在唐人数码及其附属公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司任职期间，不投资与唐人数码业务相同或者相类似的其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他企业，不在上市公司及其子公司、唐人数码及其子公司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以外，从事与该等公司同类或存在竞争的业务或通过直接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或间接控制的其他经营主体从事该等业务；不在其他与上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市公司及其子公司、唐人数码及其子公司有竞争关系的任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何企业或组织任职。同时为保证唐人数码持续发展和保持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持续竞争优势，唐人数码核心人员在唐人数码任职期限内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未经唐人数码同意，不得在唐人数码及其下属公司以外从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事与唐人数码及其下属公司相同或类似的业务或通过直 </w:t>
            </w:r>
            <w:r>
              <w:rPr>
                <w:rFonts w:ascii="宋体" w:hAnsi="宋体" w:cs="宋体" w:eastAsia="宋体" w:hint="default"/>
                <w:spacing w:val="-1"/>
                <w:sz w:val="18"/>
                <w:szCs w:val="18"/>
              </w:rPr>
              <w:t>接或间接控制的其他经营主题从事该等业务，不得在唐人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数码及其下属公司有竞争关系的公司任职。（</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）离职后竞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业禁止。交易对方丁伟国、蒋利琴、刘泉及朱瑶承诺自唐</w:t>
            </w:r>
            <w:r>
              <w:rPr>
                <w:rFonts w:ascii="宋体" w:hAnsi="宋体" w:cs="宋体" w:eastAsia="宋体" w:hint="default"/>
                <w:sz w:val="18"/>
                <w:szCs w:val="18"/>
              </w:rPr>
              <w:t> 人数码离职之日起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年内，不投资与唐人数码业务相同或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14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883"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7"/>
                <w:sz w:val="20"/>
                <w:szCs w:val="20"/>
              </w:rPr>
              <w:pict>
                <v:group style="width:42pt;height:294.2pt;mso-position-horizontal-relative:char;mso-position-vertical-relative:line" coordorigin="0,0" coordsize="840,5884">
                  <v:group style="position:absolute;left:0;top:0;width:840;height:5169" coordorigin="0,0" coordsize="840,5169">
                    <v:shape style="position:absolute;left:0;top:0;width:840;height:5169" coordorigin="0,0" coordsize="840,5169" path="m0,5169l840,5169,840,0,0,0,0,5169xe" filled="true" fillcolor="#ffffff" stroked="false">
                      <v:path arrowok="t"/>
                      <v:fill type="solid"/>
                    </v:shape>
                  </v:group>
                  <v:group style="position:absolute;left:11;top:5169;width:2;height:704" coordorigin="11,5169" coordsize="2,704">
                    <v:shape style="position:absolute;left:11;top:5169;width:2;height:704" coordorigin="11,5169" coordsize="0,704" path="m11,5169l11,5872e" filled="false" stroked="true" strokeweight="1.140pt" strokecolor="#ffffff">
                      <v:path arrowok="t"/>
                    </v:shape>
                  </v:group>
                  <v:group style="position:absolute;left:23;top:5169;width:795;height:352" coordorigin="23,5169" coordsize="795,352">
                    <v:shape style="position:absolute;left:23;top:5169;width:795;height:352" coordorigin="23,5169" coordsize="795,352" path="m23,5520l817,5520,817,5169,23,5169,23,5520xe" filled="true" fillcolor="#ffffff" stroked="false">
                      <v:path arrowok="t"/>
                      <v:fill type="solid"/>
                    </v:shape>
                  </v:group>
                  <v:group style="position:absolute;left:23;top:5520;width:795;height:352" coordorigin="23,5520" coordsize="795,352">
                    <v:shape style="position:absolute;left:23;top:5520;width:795;height:352" coordorigin="23,5520" coordsize="795,352" path="m23,5872l817,5872,817,5520,23,5520,23,5872xe" filled="true" fillcolor="#ffffff" stroked="false">
                      <v:path arrowok="t"/>
                      <v:fill type="solid"/>
                    </v:shape>
                  </v:group>
                </v:group>
              </w:pict>
            </w:r>
            <w:r>
              <w:rPr>
                <w:rFonts w:ascii="Times New Roman" w:hAnsi="Times New Roman" w:cs="Times New Roman" w:eastAsia="Times New Roman" w:hint="default"/>
                <w:position w:val="-11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379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10"/>
              <w:ind w:left="22" w:right="2"/>
              <w:jc w:val="left"/>
              <w:rPr>
                <w:rFonts w:ascii="宋体" w:hAnsi="宋体" w:cs="宋体" w:eastAsia="宋体" w:hint="default"/>
                <w:sz w:val="18"/>
                <w:szCs w:val="18"/>
              </w:rPr>
            </w:pPr>
            <w:r>
              <w:rPr>
                <w:rFonts w:ascii="宋体" w:hAnsi="宋体" w:cs="宋体" w:eastAsia="宋体" w:hint="default"/>
                <w:sz w:val="18"/>
                <w:szCs w:val="18"/>
              </w:rPr>
              <w:t>者相类似的其他企业，不在上市公司及其子公司、唐人数 码及其子公司以外，从事与该等公司同类或存在竞争的业 务或通过直接或间接控制的其他经营主体从事该等业务； 不在其他与上市公司及其子公司、唐人数码及其子公司有 竞争关系的任何企业或组织任职。同时，唐人数码核心人 员从唐人数码离职后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年内将不会以自营方式、直接或间 接通过其关联人开展经营与唐人数码及其下属公司相同 或类似业务；不在同唐人数码及其下属公司存在相同或类 似业务的任何经营实体中任职或者担任任何形式的顾问； 不以唐人数码及其下属公司以外的名义为唐人数码及其 下属公司现有及潜在的客户提供游戏开发、运营及维护等 服务；避免产生任何同业竞争情形。</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352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景晓军、 景晓东</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537" w:type="dxa"/>
            <w:tcBorders>
              <w:top w:val="single" w:sz="4" w:space="0" w:color="000000"/>
              <w:left w:val="single" w:sz="4" w:space="0" w:color="000000"/>
              <w:bottom w:val="single" w:sz="4" w:space="0" w:color="000000"/>
              <w:right w:val="single" w:sz="9" w:space="0" w:color="FFFFFF"/>
            </w:tcBorders>
            <w:shd w:val="clear" w:color="auto" w:fill="C7E7CC"/>
          </w:tcPr>
          <w:p>
            <w:pPr>
              <w:pStyle w:val="TableParagraph"/>
              <w:spacing w:line="312" w:lineRule="auto" w:before="51"/>
              <w:ind w:left="22" w:right="-18"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发行人董事景晓军、景晓东先生承诺：在其及其关联 方任职期间，每年转让的股份不超过其所直接和间接持有 发行人股份总数的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；在其及其关联方离职后半年内， 不转让其所直接和间接持有的发行人股份；在申报离任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7" w:lineRule="auto" w:before="3"/>
              <w:ind w:left="22" w:right="85"/>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个月内通过证券交易所挂牌交易出售发行人 股票数量占其直接和间接持有发行人股票总数的比例不 超过</w:t>
            </w:r>
            <w:r>
              <w:rPr>
                <w:rFonts w:ascii="宋体" w:hAnsi="宋体" w:cs="宋体" w:eastAsia="宋体" w:hint="default"/>
                <w:spacing w:val="-57"/>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；在发行人股票上市之日起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个月内申报离职的 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个月内不得转让其持有的发行人股</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份；在发行人股票上市之日起第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w:t>
            </w:r>
          </w:p>
          <w:p>
            <w:pPr>
              <w:pStyle w:val="TableParagraph"/>
              <w:spacing w:line="302" w:lineRule="auto" w:before="63"/>
              <w:ind w:left="22" w:right="85"/>
              <w:jc w:val="left"/>
              <w:rPr>
                <w:rFonts w:ascii="宋体" w:hAnsi="宋体" w:cs="宋体" w:eastAsia="宋体" w:hint="default"/>
                <w:sz w:val="18"/>
                <w:szCs w:val="18"/>
              </w:rPr>
            </w:pPr>
            <w:r>
              <w:rPr>
                <w:rFonts w:ascii="宋体" w:hAnsi="宋体" w:cs="宋体" w:eastAsia="宋体" w:hint="default"/>
                <w:sz w:val="18"/>
                <w:szCs w:val="18"/>
              </w:rPr>
              <w:t>申报离职的，自申报离职之日起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个月内不得转让其持 有的发行人股份。</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0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1757"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pict>
                <v:group style="width:42pt;height:87.9pt;mso-position-horizontal-relative:char;mso-position-vertical-relative:line" coordorigin="0,0" coordsize="840,1758">
                  <v:group style="position:absolute;left:0;top:353;width:840;height:1405" coordorigin="0,353" coordsize="840,1405">
                    <v:shape style="position:absolute;left:0;top:353;width:840;height:1405" coordorigin="0,353" coordsize="840,1405" path="m0,1757l840,1757,840,353,0,353,0,1757xe" filled="true" fillcolor="#ffffff" stroked="false">
                      <v:path arrowok="t"/>
                      <v:fill type="solid"/>
                    </v:shape>
                  </v:group>
                  <v:group style="position:absolute;left:23;top:0;width:795;height:353" coordorigin="23,0" coordsize="795,353">
                    <v:shape style="position:absolute;left:23;top:0;width:795;height:353" coordorigin="23,0" coordsize="795,353" path="m23,353l817,353,817,0,23,0,23,353xe" filled="true" fillcolor="#ffffff" stroked="false">
                      <v:path arrowok="t"/>
                      <v:fill type="solid"/>
                    </v:shape>
                  </v:group>
                </v:group>
              </w:pict>
            </w:r>
            <w:r>
              <w:rPr>
                <w:rFonts w:ascii="Times New Roman" w:hAnsi="Times New Roman" w:cs="Times New Roman" w:eastAsia="Times New Roman" w:hint="default"/>
                <w:position w:val="-34"/>
                <w:sz w:val="20"/>
                <w:szCs w:val="20"/>
              </w:rPr>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8"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6"/>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21" w:firstLine="360"/>
              <w:jc w:val="both"/>
              <w:rPr>
                <w:rFonts w:ascii="宋体" w:hAnsi="宋体" w:cs="宋体" w:eastAsia="宋体" w:hint="default"/>
                <w:sz w:val="18"/>
                <w:szCs w:val="18"/>
              </w:rPr>
            </w:pPr>
            <w:r>
              <w:rPr>
                <w:rFonts w:ascii="宋体" w:hAnsi="宋体" w:cs="宋体" w:eastAsia="宋体" w:hint="default"/>
                <w:spacing w:val="-1"/>
                <w:sz w:val="18"/>
                <w:szCs w:val="18"/>
              </w:rPr>
              <w:t>在募集资金使用过程中，如出现暂时性的资金闲置情</w:t>
            </w:r>
            <w:r>
              <w:rPr>
                <w:rFonts w:ascii="宋体" w:hAnsi="宋体" w:cs="宋体" w:eastAsia="宋体" w:hint="default"/>
                <w:sz w:val="18"/>
                <w:szCs w:val="18"/>
              </w:rPr>
              <w:t> </w:t>
            </w:r>
            <w:r>
              <w:rPr>
                <w:rFonts w:ascii="宋体" w:hAnsi="宋体" w:cs="宋体" w:eastAsia="宋体" w:hint="default"/>
                <w:spacing w:val="-1"/>
                <w:sz w:val="18"/>
                <w:szCs w:val="18"/>
              </w:rPr>
              <w:t>况，发行人承诺：不作为持有交易性金融资产和可供出售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的金融资产、借予他人、委托理财等财务性投资，不直接</w:t>
            </w:r>
            <w:r>
              <w:rPr>
                <w:rFonts w:ascii="宋体" w:hAnsi="宋体" w:cs="宋体" w:eastAsia="宋体" w:hint="default"/>
                <w:sz w:val="18"/>
                <w:szCs w:val="18"/>
              </w:rPr>
              <w:t> </w:t>
            </w:r>
            <w:r>
              <w:rPr>
                <w:rFonts w:ascii="宋体" w:hAnsi="宋体" w:cs="宋体" w:eastAsia="宋体" w:hint="default"/>
                <w:spacing w:val="-1"/>
                <w:sz w:val="18"/>
                <w:szCs w:val="18"/>
              </w:rPr>
              <w:t>或者间接投资于以买卖有价证券为主要业务的公司，不将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募集资金用于质押、委托贷款或其他变相改变募集资金用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途的投资。控股股东、实际控制人等关联人不占用或挪用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募集资金，不利用募投项目获得不正当利益。该部分闲置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资金将暂时存放于募集资金专户，待发行人在主营业务发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展方面存在资金需求的情况下使用。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firstLine="360"/>
              <w:jc w:val="both"/>
              <w:rPr>
                <w:rFonts w:ascii="宋体" w:hAnsi="宋体" w:cs="宋体" w:eastAsia="宋体" w:hint="default"/>
                <w:sz w:val="18"/>
                <w:szCs w:val="18"/>
              </w:rPr>
            </w:pPr>
            <w:r>
              <w:rPr>
                <w:rFonts w:ascii="宋体" w:hAnsi="宋体" w:cs="宋体" w:eastAsia="宋体" w:hint="default"/>
                <w:spacing w:val="-1"/>
                <w:sz w:val="18"/>
                <w:szCs w:val="18"/>
              </w:rPr>
              <w:t>为规范关联交易和杜绝关联方占用资金的隐患，公司</w:t>
            </w:r>
            <w:r>
              <w:rPr>
                <w:rFonts w:ascii="宋体" w:hAnsi="宋体" w:cs="宋体" w:eastAsia="宋体" w:hint="default"/>
                <w:sz w:val="18"/>
                <w:szCs w:val="18"/>
              </w:rPr>
              <w:t> </w:t>
            </w:r>
            <w:r>
              <w:rPr>
                <w:rFonts w:ascii="宋体" w:hAnsi="宋体" w:cs="宋体" w:eastAsia="宋体" w:hint="default"/>
                <w:spacing w:val="-1"/>
                <w:sz w:val="18"/>
                <w:szCs w:val="18"/>
              </w:rPr>
              <w:t>已按上市公司要求完善公司治理结构、内控制度及关联交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易批准程序，保证公司在业务、资产、人员、机构、财务</w:t>
            </w:r>
            <w:r>
              <w:rPr>
                <w:rFonts w:ascii="宋体" w:hAnsi="宋体" w:cs="宋体" w:eastAsia="宋体" w:hint="default"/>
                <w:sz w:val="18"/>
                <w:szCs w:val="18"/>
              </w:rPr>
              <w:t> </w:t>
            </w:r>
            <w:r>
              <w:rPr>
                <w:rFonts w:ascii="宋体" w:hAnsi="宋体" w:cs="宋体" w:eastAsia="宋体" w:hint="default"/>
                <w:spacing w:val="-1"/>
                <w:sz w:val="18"/>
                <w:szCs w:val="18"/>
              </w:rPr>
              <w:t>方面独立运作。公司控股股东、实际控制人景晓军亦出具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了《避免非经营性资金占用承诺》。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4" w:lineRule="auto" w:before="51"/>
              <w:ind w:left="22" w:right="21" w:firstLine="360"/>
              <w:jc w:val="left"/>
              <w:rPr>
                <w:rFonts w:ascii="宋体" w:hAnsi="宋体" w:cs="宋体" w:eastAsia="宋体" w:hint="default"/>
                <w:sz w:val="18"/>
                <w:szCs w:val="18"/>
              </w:rPr>
            </w:pPr>
            <w:r>
              <w:rPr>
                <w:rFonts w:ascii="宋体" w:hAnsi="宋体" w:cs="宋体" w:eastAsia="宋体" w:hint="default"/>
                <w:sz w:val="18"/>
                <w:szCs w:val="18"/>
              </w:rPr>
              <w:t>为进一步规范资金往来和对外担保，本公司控股股 </w:t>
            </w:r>
            <w:r>
              <w:rPr>
                <w:rFonts w:ascii="宋体" w:hAnsi="宋体" w:cs="宋体" w:eastAsia="宋体" w:hint="default"/>
                <w:spacing w:val="-1"/>
                <w:sz w:val="18"/>
                <w:szCs w:val="18"/>
              </w:rPr>
              <w:t>东、实际控制人景晓军先生就与公司对外担保和资金往来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在本人作为任子行股份有限公司的控股 </w:t>
            </w:r>
            <w:r>
              <w:rPr>
                <w:rFonts w:ascii="宋体" w:hAnsi="宋体" w:cs="宋体" w:eastAsia="宋体" w:hint="default"/>
                <w:spacing w:val="-1"/>
                <w:sz w:val="18"/>
                <w:szCs w:val="18"/>
              </w:rPr>
              <w:t>股东或主要股东、实际控制人期间，将严格执行中国证监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证监发（</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文《关于规范上市公司与关联方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93"/>
        <w:gridCol w:w="709"/>
        <w:gridCol w:w="851"/>
        <w:gridCol w:w="4537"/>
        <w:gridCol w:w="850"/>
        <w:gridCol w:w="851"/>
        <w:gridCol w:w="850"/>
      </w:tblGrid>
      <w:tr>
        <w:trPr>
          <w:trHeight w:val="674"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资金往来及上市公司对外担保若干问题的通知》的有关规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196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2" w:firstLine="360"/>
              <w:jc w:val="left"/>
              <w:rPr>
                <w:rFonts w:ascii="宋体" w:hAnsi="宋体" w:cs="宋体" w:eastAsia="宋体" w:hint="default"/>
                <w:sz w:val="18"/>
                <w:szCs w:val="18"/>
              </w:rPr>
            </w:pPr>
            <w:r>
              <w:rPr>
                <w:rFonts w:ascii="宋体" w:hAnsi="宋体" w:cs="宋体" w:eastAsia="宋体" w:hint="default"/>
                <w:sz w:val="18"/>
                <w:szCs w:val="18"/>
              </w:rPr>
              <w:t>为避免对本次发行后发行人新股东的利益造成损害， 发行人控股股东景晓军已于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日向公司出具</w:t>
            </w: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4"/>
                <w:sz w:val="18"/>
                <w:szCs w:val="18"/>
              </w:rPr>
              <w:t>《承诺函》，承诺如今后发行人因上市前执行社会保险、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住房公积金政策事宜而需要补缴社会保险费用、住房公积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金、缴纳罚款，或因此而遭受任何损失，均由其及时、足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额对发行人作出赔偿。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2"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、公司承诺持股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以上的主要股东或实际控制人及 </w:t>
            </w:r>
            <w:r>
              <w:rPr>
                <w:rFonts w:ascii="宋体" w:hAnsi="宋体" w:cs="宋体" w:eastAsia="宋体" w:hint="default"/>
                <w:spacing w:val="-1"/>
                <w:sz w:val="18"/>
                <w:szCs w:val="18"/>
              </w:rPr>
              <w:t>其配偶与直系近亲属未参与本激励计划。本次激励计划的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所有激励对象均未同时参加两个或以上上市公司的股权 激励计划。</w:t>
            </w:r>
            <w:r>
              <w:rPr>
                <w:rFonts w:ascii="Times New Roman" w:hAnsi="Times New Roman" w:cs="Times New Roman" w:eastAsia="Times New Roman" w:hint="default"/>
                <w:sz w:val="18"/>
                <w:szCs w:val="18"/>
              </w:rPr>
              <w:t>2</w:t>
            </w:r>
            <w:r>
              <w:rPr>
                <w:rFonts w:ascii="宋体" w:hAnsi="宋体" w:cs="宋体" w:eastAsia="宋体" w:hint="default"/>
                <w:sz w:val="18"/>
                <w:szCs w:val="18"/>
              </w:rPr>
              <w:t>、不为激励对象获取有关限制性股票提供贷 款以及其他任何形式的财务资助，包括为其贷款提供担 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both"/>
              <w:rPr>
                <w:rFonts w:ascii="宋体" w:hAnsi="宋体" w:cs="宋体" w:eastAsia="宋体" w:hint="default"/>
                <w:sz w:val="18"/>
                <w:szCs w:val="18"/>
              </w:rPr>
            </w:pPr>
            <w:r>
              <w:rPr>
                <w:rFonts w:ascii="宋体" w:hAnsi="宋体" w:cs="宋体" w:eastAsia="宋体" w:hint="default"/>
                <w:sz w:val="18"/>
                <w:szCs w:val="18"/>
              </w:rPr>
              <w:t>限制性股 票激励计 划存续期 间</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458"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洪志刚</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4"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个月内使用自有资金以集中竞 </w:t>
            </w:r>
            <w:r>
              <w:rPr>
                <w:rFonts w:ascii="宋体" w:hAnsi="宋体" w:cs="宋体" w:eastAsia="宋体" w:hint="default"/>
                <w:spacing w:val="-1"/>
                <w:sz w:val="18"/>
                <w:szCs w:val="18"/>
              </w:rPr>
              <w:t>价或其他法律、法规许可的方式在二级市场上购买任子行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网络技术股份有限公司股票（股票代码：</w:t>
            </w:r>
            <w:r>
              <w:rPr>
                <w:rFonts w:ascii="Times New Roman" w:hAnsi="Times New Roman" w:cs="Times New Roman" w:eastAsia="Times New Roman" w:hint="default"/>
                <w:spacing w:val="-1"/>
                <w:sz w:val="18"/>
                <w:szCs w:val="18"/>
              </w:rPr>
              <w:t>300311</w:t>
            </w:r>
            <w:r>
              <w:rPr>
                <w:rFonts w:ascii="宋体" w:hAnsi="宋体" w:cs="宋体" w:eastAsia="宋体" w:hint="default"/>
                <w:spacing w:val="-1"/>
                <w:sz w:val="18"/>
                <w:szCs w:val="18"/>
              </w:rPr>
              <w:t>）不低于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万元，该等股票必须登记在本人名下；</w:t>
            </w:r>
            <w:r>
              <w:rPr>
                <w:rFonts w:ascii="Times New Roman" w:hAnsi="Times New Roman" w:cs="Times New Roman" w:eastAsia="Times New Roman" w:hint="default"/>
                <w:sz w:val="18"/>
                <w:szCs w:val="18"/>
              </w:rPr>
              <w:t>2</w:t>
            </w:r>
            <w:r>
              <w:rPr>
                <w:rFonts w:ascii="宋体" w:hAnsi="宋体" w:cs="宋体" w:eastAsia="宋体" w:hint="default"/>
                <w:sz w:val="18"/>
                <w:szCs w:val="18"/>
              </w:rPr>
              <w:t>、自股票全</w:t>
            </w:r>
          </w:p>
          <w:p>
            <w:pPr>
              <w:pStyle w:val="TableParagraph"/>
              <w:spacing w:line="309"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部购买完成之日起至泡椒思志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年度审计报告出具日 止，在此期间内不转让或委托他人转让所持有的全部股 票；</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、本人承诺若泡椒思志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年业绩承诺未完成，本 </w:t>
            </w:r>
            <w:r>
              <w:rPr>
                <w:rFonts w:ascii="宋体" w:hAnsi="宋体" w:cs="宋体" w:eastAsia="宋体" w:hint="default"/>
                <w:spacing w:val="-1"/>
                <w:sz w:val="18"/>
                <w:szCs w:val="18"/>
              </w:rPr>
              <w:t>人按照《业绩承诺与补偿协议》约定的条款进行补偿，若</w:t>
            </w:r>
            <w:r>
              <w:rPr>
                <w:rFonts w:ascii="宋体" w:hAnsi="宋体" w:cs="宋体" w:eastAsia="宋体" w:hint="default"/>
                <w:sz w:val="18"/>
                <w:szCs w:val="18"/>
              </w:rPr>
              <w:t> </w:t>
            </w:r>
            <w:r>
              <w:rPr>
                <w:rFonts w:ascii="宋体" w:hAnsi="宋体" w:cs="宋体" w:eastAsia="宋体" w:hint="default"/>
                <w:spacing w:val="-1"/>
                <w:sz w:val="18"/>
                <w:szCs w:val="18"/>
              </w:rPr>
              <w:t>本人无法以现金补足的情形下，将以本人购买的上市公司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的股份进行补偿。</w:t>
            </w:r>
            <w:r>
              <w:rPr>
                <w:rFonts w:ascii="Times New Roman" w:hAnsi="Times New Roman" w:cs="Times New Roman" w:eastAsia="Times New Roman" w:hint="default"/>
                <w:sz w:val="18"/>
                <w:szCs w:val="18"/>
              </w:rPr>
              <w:t>4</w:t>
            </w:r>
            <w:r>
              <w:rPr>
                <w:rFonts w:ascii="宋体" w:hAnsi="宋体" w:cs="宋体" w:eastAsia="宋体" w:hint="default"/>
                <w:sz w:val="18"/>
                <w:szCs w:val="18"/>
              </w:rPr>
              <w:t>、在锁定期满，泡椒思志完成</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 度业绩承诺后，本人可解锁此次锁定的股份数的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如中国证券监督管理委员会或深圳证券交易所对本人所 </w:t>
            </w:r>
            <w:r>
              <w:rPr>
                <w:rFonts w:ascii="宋体" w:hAnsi="宋体" w:cs="宋体" w:eastAsia="宋体" w:hint="default"/>
                <w:spacing w:val="-1"/>
                <w:sz w:val="18"/>
                <w:szCs w:val="18"/>
              </w:rPr>
              <w:t>持有任子行股份的锁定期另有要求，本人将按其提出的锁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定期要求相应作出进一步承诺。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2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天津任 </w:t>
            </w:r>
            <w:r>
              <w:rPr>
                <w:rFonts w:ascii="宋体" w:hAnsi="宋体" w:cs="宋体" w:eastAsia="宋体" w:hint="default"/>
                <w:spacing w:val="-18"/>
                <w:sz w:val="18"/>
                <w:szCs w:val="18"/>
              </w:rPr>
              <w:t>鸿、天津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云鲁冀</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根据《支付现金购买资产协议》，天津云鲁冀、天津任鸿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承诺对其前述方式取得的公司股份进行锁定，自全部购买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完成之日起分三年解锁，具体如下：（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）自股票全部购买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个月，解锁购买股份数量的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40%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自股票全部购买完成之日起满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个月，解锁购买股份数 量的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）自股票全部购买完成之日起满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7"/>
                <w:sz w:val="18"/>
                <w:szCs w:val="18"/>
              </w:rPr>
              <w:t> </w:t>
            </w:r>
            <w:r>
              <w:rPr>
                <w:rFonts w:ascii="宋体" w:hAnsi="宋体" w:cs="宋体" w:eastAsia="宋体" w:hint="default"/>
                <w:sz w:val="18"/>
                <w:szCs w:val="18"/>
              </w:rPr>
              <w:t>解锁购买股份数量的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。因公司分配股票股利、资本公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积转增股本等情形所衍生取得的股份亦应遵守上述股份 锁定安排。公司董事会将按照深圳证券交易所的相关规 </w:t>
            </w:r>
            <w:r>
              <w:rPr>
                <w:rFonts w:ascii="宋体" w:hAnsi="宋体" w:cs="宋体" w:eastAsia="宋体" w:hint="default"/>
                <w:spacing w:val="-1"/>
                <w:sz w:val="18"/>
                <w:szCs w:val="18"/>
              </w:rPr>
              <w:t>定，明确披露并及时督促承诺方严格遵守承诺，如有违反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相关承诺的情况发生，公司将及时履行信息披露义务。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如承诺超期</w:t>
            </w:r>
          </w:p>
        </w:tc>
        <w:tc>
          <w:tcPr>
            <w:tcW w:w="8647" w:type="dxa"/>
            <w:gridSpan w:val="6"/>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971"/>
        <w:gridCol w:w="8658"/>
      </w:tblGrid>
      <w:tr>
        <w:trPr>
          <w:trHeight w:val="317"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未履行完毕</w:t>
            </w:r>
          </w:p>
        </w:tc>
        <w:tc>
          <w:tcPr>
            <w:tcW w:w="8658" w:type="dxa"/>
            <w:vMerge w:val="restart"/>
            <w:tcBorders>
              <w:top w:val="single" w:sz="4" w:space="0" w:color="000000"/>
              <w:left w:val="single" w:sz="13" w:space="0" w:color="D2D2D2"/>
              <w:right w:val="single" w:sz="4" w:space="0" w:color="000000"/>
            </w:tcBorders>
            <w:shd w:val="clear" w:color="auto" w:fill="C7E7CC"/>
          </w:tcPr>
          <w:p>
            <w:pPr/>
          </w:p>
        </w:tc>
      </w:tr>
      <w:tr>
        <w:trPr>
          <w:trHeight w:val="312"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的，应当详</w:t>
            </w:r>
          </w:p>
        </w:tc>
        <w:tc>
          <w:tcPr>
            <w:tcW w:w="8658" w:type="dxa"/>
            <w:vMerge/>
            <w:tcBorders>
              <w:left w:val="single" w:sz="13" w:space="0" w:color="D2D2D2"/>
              <w:right w:val="single" w:sz="4" w:space="0" w:color="000000"/>
            </w:tcBorders>
            <w:shd w:val="clear" w:color="auto" w:fill="C7E7CC"/>
          </w:tcPr>
          <w:p>
            <w:pPr/>
          </w:p>
        </w:tc>
      </w:tr>
      <w:tr>
        <w:trPr>
          <w:trHeight w:val="312"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细说明未完</w:t>
            </w:r>
          </w:p>
        </w:tc>
        <w:tc>
          <w:tcPr>
            <w:tcW w:w="8658" w:type="dxa"/>
            <w:vMerge/>
            <w:tcBorders>
              <w:left w:val="single" w:sz="13" w:space="0" w:color="D2D2D2"/>
              <w:right w:val="single" w:sz="4" w:space="0" w:color="000000"/>
            </w:tcBorders>
            <w:shd w:val="clear" w:color="auto" w:fill="C7E7CC"/>
          </w:tcPr>
          <w:p>
            <w:pPr/>
          </w:p>
        </w:tc>
      </w:tr>
      <w:tr>
        <w:trPr>
          <w:trHeight w:val="312"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成履行的具</w:t>
            </w:r>
          </w:p>
        </w:tc>
        <w:tc>
          <w:tcPr>
            <w:tcW w:w="8658" w:type="dxa"/>
            <w:vMerge/>
            <w:tcBorders>
              <w:left w:val="single" w:sz="13" w:space="0" w:color="D2D2D2"/>
              <w:right w:val="single" w:sz="4" w:space="0" w:color="000000"/>
            </w:tcBorders>
            <w:shd w:val="clear" w:color="auto" w:fill="C7E7CC"/>
          </w:tcPr>
          <w:p>
            <w:pPr/>
          </w:p>
        </w:tc>
      </w:tr>
      <w:tr>
        <w:trPr>
          <w:trHeight w:val="312"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体原因及下</w:t>
            </w:r>
          </w:p>
        </w:tc>
        <w:tc>
          <w:tcPr>
            <w:tcW w:w="8658" w:type="dxa"/>
            <w:vMerge/>
            <w:tcBorders>
              <w:left w:val="single" w:sz="13" w:space="0" w:color="D2D2D2"/>
              <w:right w:val="single" w:sz="4" w:space="0" w:color="000000"/>
            </w:tcBorders>
            <w:shd w:val="clear" w:color="auto" w:fill="C7E7CC"/>
          </w:tcPr>
          <w:p>
            <w:pPr/>
          </w:p>
        </w:tc>
      </w:tr>
      <w:tr>
        <w:trPr>
          <w:trHeight w:val="313"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一步的工作</w:t>
            </w:r>
          </w:p>
        </w:tc>
        <w:tc>
          <w:tcPr>
            <w:tcW w:w="8658" w:type="dxa"/>
            <w:vMerge/>
            <w:tcBorders>
              <w:left w:val="single" w:sz="13" w:space="0" w:color="D2D2D2"/>
              <w:right w:val="single" w:sz="4" w:space="0" w:color="000000"/>
            </w:tcBorders>
            <w:shd w:val="clear" w:color="auto" w:fill="C7E7CC"/>
          </w:tcPr>
          <w:p>
            <w:pPr/>
          </w:p>
        </w:tc>
      </w:tr>
      <w:tr>
        <w:trPr>
          <w:trHeight w:val="357"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8658" w:type="dxa"/>
            <w:vMerge/>
            <w:tcBorders>
              <w:left w:val="single" w:sz="13" w:space="0" w:color="D2D2D2"/>
              <w:bottom w:val="single" w:sz="4" w:space="0" w:color="000000"/>
              <w:right w:val="single" w:sz="4" w:space="0" w:color="000000"/>
            </w:tcBorders>
            <w:shd w:val="clear" w:color="auto" w:fill="C7E7CC"/>
          </w:tcPr>
          <w:p>
            <w:pP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5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1318"/>
        <w:gridCol w:w="1197"/>
        <w:gridCol w:w="1196"/>
        <w:gridCol w:w="1196"/>
        <w:gridCol w:w="1199"/>
        <w:gridCol w:w="1195"/>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1" w:right="3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6,780.38</w:t>
            </w:r>
          </w:p>
        </w:tc>
        <w:tc>
          <w:tcPr>
            <w:tcW w:w="11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38" w:right="37"/>
              <w:jc w:val="center"/>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pStyle w:val="BodyText"/>
        <w:spacing w:line="240" w:lineRule="auto" w:before="51"/>
        <w:ind w:left="1134" w:right="0"/>
        <w:jc w:val="left"/>
      </w:pPr>
      <w:r>
        <w:rPr/>
        <w:t>公司股东、交易对手方对公司或相关资产年度经营业绩作出的承诺情况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134" w:right="0" w:firstLine="290"/>
        <w:jc w:val="left"/>
      </w:pPr>
      <w:r>
        <w:rPr>
          <w:rFonts w:ascii="Times New Roman" w:hAnsi="Times New Roman" w:cs="Times New Roman" w:eastAsia="Times New Roman" w:hint="default"/>
        </w:rPr>
        <w:t>1</w:t>
      </w:r>
      <w:r>
        <w:rPr/>
        <w:t>、交易对手方承诺唐人数码</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2015 </w:t>
      </w:r>
      <w:r>
        <w:rPr/>
        <w:t>年度、</w:t>
      </w:r>
      <w:r>
        <w:rPr>
          <w:rFonts w:ascii="Times New Roman" w:hAnsi="Times New Roman" w:cs="Times New Roman" w:eastAsia="Times New Roman" w:hint="default"/>
        </w:rPr>
        <w:t>2016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年度经审计的归属于母公司股东的扣除非经常性 损益后的净利润分别不低于人民币</w:t>
      </w:r>
      <w:r>
        <w:rPr>
          <w:rFonts w:ascii="Times New Roman" w:hAnsi="Times New Roman" w:cs="Times New Roman" w:eastAsia="Times New Roman" w:hint="default"/>
        </w:rPr>
        <w:t>4,500.00 </w:t>
      </w:r>
      <w:r>
        <w:rPr/>
        <w:t>万元、</w:t>
      </w:r>
      <w:r>
        <w:rPr>
          <w:rFonts w:ascii="Times New Roman" w:hAnsi="Times New Roman" w:cs="Times New Roman" w:eastAsia="Times New Roman" w:hint="default"/>
        </w:rPr>
        <w:t>5,874.00 </w:t>
      </w:r>
      <w:r>
        <w:rPr/>
        <w:t>万元、</w:t>
      </w:r>
      <w:r>
        <w:rPr>
          <w:rFonts w:ascii="Times New Roman" w:hAnsi="Times New Roman" w:cs="Times New Roman" w:eastAsia="Times New Roman" w:hint="default"/>
        </w:rPr>
        <w:t>6,300.00 </w:t>
      </w:r>
      <w:r>
        <w:rPr/>
        <w:t>万元、</w:t>
      </w:r>
      <w:r>
        <w:rPr>
          <w:rFonts w:ascii="Times New Roman" w:hAnsi="Times New Roman" w:cs="Times New Roman" w:eastAsia="Times New Roman" w:hint="default"/>
        </w:rPr>
        <w:t>6,600.00  </w:t>
      </w:r>
      <w:r>
        <w:rPr>
          <w:rFonts w:ascii="Times New Roman" w:hAnsi="Times New Roman" w:cs="Times New Roman" w:eastAsia="Times New Roman" w:hint="default"/>
          <w:spacing w:val="13"/>
        </w:rPr>
        <w:t> </w:t>
      </w:r>
      <w:r>
        <w:rPr/>
        <w:t>万元。</w:t>
      </w:r>
    </w:p>
    <w:p>
      <w:pPr>
        <w:pStyle w:val="BodyText"/>
        <w:spacing w:line="300" w:lineRule="auto" w:before="13"/>
        <w:ind w:left="1134" w:right="0" w:firstLine="290"/>
        <w:jc w:val="left"/>
      </w:pPr>
      <w:r>
        <w:rPr>
          <w:rFonts w:ascii="Times New Roman" w:hAnsi="Times New Roman" w:cs="Times New Roman" w:eastAsia="Times New Roman" w:hint="default"/>
          <w:spacing w:val="-4"/>
        </w:rPr>
        <w:t>2</w:t>
      </w:r>
      <w:r>
        <w:rPr>
          <w:spacing w:val="-4"/>
        </w:rPr>
        <w:t>、交易对手方承诺泡椒思志</w:t>
      </w:r>
      <w:r>
        <w:rPr>
          <w:rFonts w:ascii="Times New Roman" w:hAnsi="Times New Roman" w:cs="Times New Roman" w:eastAsia="Times New Roman" w:hint="default"/>
          <w:spacing w:val="-4"/>
        </w:rPr>
        <w:t>2017</w:t>
      </w:r>
      <w:r>
        <w:rPr>
          <w:spacing w:val="-4"/>
        </w:rPr>
        <w:t>年度、</w:t>
      </w:r>
      <w:r>
        <w:rPr>
          <w:rFonts w:ascii="Times New Roman" w:hAnsi="Times New Roman" w:cs="Times New Roman" w:eastAsia="Times New Roman" w:hint="default"/>
          <w:spacing w:val="-4"/>
        </w:rPr>
        <w:t>2018</w:t>
      </w:r>
      <w:r>
        <w:rPr>
          <w:spacing w:val="-4"/>
        </w:rPr>
        <w:t>年度、</w:t>
      </w:r>
      <w:r>
        <w:rPr>
          <w:rFonts w:ascii="Times New Roman" w:hAnsi="Times New Roman" w:cs="Times New Roman" w:eastAsia="Times New Roman" w:hint="default"/>
          <w:spacing w:val="-4"/>
        </w:rPr>
        <w:t>2019</w:t>
      </w:r>
      <w:r>
        <w:rPr>
          <w:spacing w:val="-4"/>
        </w:rPr>
        <w:t>年度净利润分别不低于人民币</w:t>
      </w:r>
      <w:r>
        <w:rPr>
          <w:rFonts w:ascii="Times New Roman" w:hAnsi="Times New Roman" w:cs="Times New Roman" w:eastAsia="Times New Roman" w:hint="default"/>
          <w:spacing w:val="-4"/>
        </w:rPr>
        <w:t>4,000</w:t>
      </w:r>
      <w:r>
        <w:rPr>
          <w:spacing w:val="-4"/>
        </w:rPr>
        <w:t>万元、</w:t>
      </w:r>
      <w:r>
        <w:rPr>
          <w:rFonts w:ascii="Times New Roman" w:hAnsi="Times New Roman" w:cs="Times New Roman" w:eastAsia="Times New Roman" w:hint="default"/>
          <w:spacing w:val="-4"/>
        </w:rPr>
        <w:t>5,000</w:t>
      </w:r>
      <w:r>
        <w:rPr>
          <w:spacing w:val="-4"/>
        </w:rPr>
        <w:t>万元、</w:t>
      </w:r>
      <w:r>
        <w:rPr>
          <w:rFonts w:ascii="Times New Roman" w:hAnsi="Times New Roman" w:cs="Times New Roman" w:eastAsia="Times New Roman" w:hint="default"/>
          <w:spacing w:val="-4"/>
        </w:rPr>
        <w:t>6,000</w:t>
      </w:r>
      <w:r>
        <w:rPr>
          <w:spacing w:val="-4"/>
        </w:rPr>
        <w:t>万元，</w:t>
      </w:r>
      <w:r>
        <w:rPr/>
        <w:t> 合计不低于</w:t>
      </w:r>
      <w:r>
        <w:rPr>
          <w:rFonts w:ascii="Times New Roman" w:hAnsi="Times New Roman" w:cs="Times New Roman" w:eastAsia="Times New Roman" w:hint="default"/>
        </w:rPr>
        <w:t>15,000</w:t>
      </w:r>
      <w:r>
        <w:rPr/>
        <w:t>万元。</w:t>
      </w:r>
    </w:p>
    <w:p>
      <w:pPr>
        <w:pStyle w:val="BodyText"/>
        <w:spacing w:line="300" w:lineRule="auto" w:before="13"/>
        <w:ind w:left="1134" w:right="0" w:firstLine="290"/>
        <w:jc w:val="left"/>
      </w:pPr>
      <w:r>
        <w:rPr>
          <w:rFonts w:ascii="Times New Roman" w:hAnsi="Times New Roman" w:cs="Times New Roman" w:eastAsia="Times New Roman" w:hint="default"/>
          <w:spacing w:val="-4"/>
        </w:rPr>
        <w:t>3</w:t>
      </w:r>
      <w:r>
        <w:rPr>
          <w:spacing w:val="-4"/>
        </w:rPr>
        <w:t>、交易对手方承诺北京亚鸿</w:t>
      </w:r>
      <w:r>
        <w:rPr>
          <w:rFonts w:ascii="Times New Roman" w:hAnsi="Times New Roman" w:cs="Times New Roman" w:eastAsia="Times New Roman" w:hint="default"/>
          <w:spacing w:val="-4"/>
        </w:rPr>
        <w:t>2017</w:t>
      </w:r>
      <w:r>
        <w:rPr>
          <w:spacing w:val="-4"/>
        </w:rPr>
        <w:t>年度、</w:t>
      </w:r>
      <w:r>
        <w:rPr>
          <w:rFonts w:ascii="Times New Roman" w:hAnsi="Times New Roman" w:cs="Times New Roman" w:eastAsia="Times New Roman" w:hint="default"/>
          <w:spacing w:val="-4"/>
        </w:rPr>
        <w:t>2018</w:t>
      </w:r>
      <w:r>
        <w:rPr>
          <w:spacing w:val="-4"/>
        </w:rPr>
        <w:t>年度、</w:t>
      </w:r>
      <w:r>
        <w:rPr>
          <w:rFonts w:ascii="Times New Roman" w:hAnsi="Times New Roman" w:cs="Times New Roman" w:eastAsia="Times New Roman" w:hint="default"/>
          <w:spacing w:val="-4"/>
        </w:rPr>
        <w:t>2019</w:t>
      </w:r>
      <w:r>
        <w:rPr>
          <w:spacing w:val="-4"/>
        </w:rPr>
        <w:t>年度净利润分别不低于人民币</w:t>
      </w:r>
      <w:r>
        <w:rPr>
          <w:rFonts w:ascii="Times New Roman" w:hAnsi="Times New Roman" w:cs="Times New Roman" w:eastAsia="Times New Roman" w:hint="default"/>
          <w:spacing w:val="-4"/>
        </w:rPr>
        <w:t>3,500</w:t>
      </w:r>
      <w:r>
        <w:rPr>
          <w:spacing w:val="-4"/>
        </w:rPr>
        <w:t>万元、</w:t>
      </w:r>
      <w:r>
        <w:rPr>
          <w:rFonts w:ascii="Times New Roman" w:hAnsi="Times New Roman" w:cs="Times New Roman" w:eastAsia="Times New Roman" w:hint="default"/>
          <w:spacing w:val="-4"/>
        </w:rPr>
        <w:t>4,550</w:t>
      </w:r>
      <w:r>
        <w:rPr>
          <w:spacing w:val="-4"/>
        </w:rPr>
        <w:t>万元、</w:t>
      </w:r>
      <w:r>
        <w:rPr>
          <w:rFonts w:ascii="Times New Roman" w:hAnsi="Times New Roman" w:cs="Times New Roman" w:eastAsia="Times New Roman" w:hint="default"/>
          <w:spacing w:val="-4"/>
        </w:rPr>
        <w:t>5,460</w:t>
      </w:r>
      <w:r>
        <w:rPr>
          <w:spacing w:val="-4"/>
        </w:rPr>
        <w:t>万元，</w:t>
      </w:r>
      <w:r>
        <w:rPr/>
        <w:t> 合计不低于</w:t>
      </w:r>
      <w:r>
        <w:rPr>
          <w:rFonts w:ascii="Times New Roman" w:hAnsi="Times New Roman" w:cs="Times New Roman" w:eastAsia="Times New Roman" w:hint="default"/>
        </w:rPr>
        <w:t>13,510</w:t>
      </w:r>
      <w:r>
        <w:rPr/>
        <w:t>万元。</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29" w:firstLine="360"/>
        <w:jc w:val="both"/>
      </w:pP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日，为了适应社会主义市场经济发展需要，规范政府补助的会计处理，提高会计信息质量，根据《企业</w:t>
      </w:r>
      <w:r>
        <w:rPr/>
        <w:t> </w:t>
      </w:r>
      <w:r>
        <w:rPr>
          <w:spacing w:val="-2"/>
        </w:rPr>
        <w:t>会计准则</w:t>
      </w:r>
      <w:r>
        <w:rPr>
          <w:rFonts w:ascii="宋体" w:hAnsi="宋体" w:cs="宋体" w:eastAsia="宋体" w:hint="default"/>
          <w:spacing w:val="-2"/>
        </w:rPr>
        <w:t>--</w:t>
      </w:r>
      <w:r>
        <w:rPr>
          <w:spacing w:val="-2"/>
        </w:rPr>
        <w:t>基本准则》，财政部对《企业会计准则第</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政府补助》进行了修订，并下达了“关于印发修订《企业会计准</w:t>
      </w:r>
      <w:r>
        <w:rPr>
          <w:spacing w:val="-63"/>
        </w:rPr>
        <w:t> </w:t>
      </w:r>
      <w:r>
        <w:rPr>
          <w:spacing w:val="-63"/>
        </w:rPr>
      </w:r>
      <w:r>
        <w:rPr/>
        <w:t>则第</w:t>
      </w:r>
      <w:r>
        <w:rPr>
          <w:rFonts w:ascii="宋体" w:hAnsi="宋体" w:cs="宋体" w:eastAsia="宋体" w:hint="default"/>
        </w:rPr>
        <w:t>16</w:t>
      </w:r>
      <w:r>
        <w:rPr/>
        <w:t>号</w:t>
      </w:r>
      <w:r>
        <w:rPr>
          <w:rFonts w:ascii="宋体" w:hAnsi="宋体" w:cs="宋体" w:eastAsia="宋体" w:hint="default"/>
        </w:rPr>
        <w:t>--</w:t>
      </w:r>
      <w:r>
        <w:rPr/>
        <w:t>政府补助》的通知”（财会（</w:t>
      </w:r>
      <w:r>
        <w:rPr>
          <w:rFonts w:ascii="宋体" w:hAnsi="宋体" w:cs="宋体" w:eastAsia="宋体" w:hint="default"/>
        </w:rPr>
        <w:t>2017</w:t>
      </w:r>
      <w:r>
        <w:rPr/>
        <w:t>）</w:t>
      </w:r>
      <w:r>
        <w:rPr>
          <w:rFonts w:ascii="宋体" w:hAnsi="宋体" w:cs="宋体" w:eastAsia="宋体" w:hint="default"/>
        </w:rPr>
        <w:t>15</w:t>
      </w:r>
      <w:r>
        <w:rPr/>
        <w:t>号）。</w:t>
      </w:r>
    </w:p>
    <w:p>
      <w:pPr>
        <w:pStyle w:val="BodyText"/>
        <w:spacing w:line="319" w:lineRule="auto"/>
        <w:ind w:right="1229" w:firstLine="360"/>
        <w:jc w:val="both"/>
      </w:pPr>
      <w:r>
        <w:rPr/>
        <w:t>修订后的准则自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 </w:t>
      </w:r>
      <w:r>
        <w:rPr/>
        <w:t>月</w:t>
      </w:r>
      <w:r>
        <w:rPr>
          <w:rFonts w:ascii="宋体" w:hAnsi="宋体" w:cs="宋体" w:eastAsia="宋体" w:hint="default"/>
        </w:rPr>
        <w:t>1</w:t>
      </w:r>
      <w:r>
        <w:rPr/>
        <w:t>日至施行日新增的政府补助，也要求按照修订后的准则进行调整。</w:t>
      </w:r>
    </w:p>
    <w:p>
      <w:pPr>
        <w:pStyle w:val="BodyText"/>
        <w:spacing w:line="300" w:lineRule="auto" w:before="17"/>
        <w:ind w:right="1132" w:firstLine="360"/>
        <w:jc w:val="righ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28</w:t>
      </w:r>
      <w:r>
        <w:rPr>
          <w:spacing w:val="-7"/>
        </w:rPr>
        <w:t>日，财政部发布了《企业会计准则第</w:t>
      </w:r>
      <w:r>
        <w:rPr>
          <w:rFonts w:ascii="Times New Roman" w:hAnsi="Times New Roman" w:cs="Times New Roman" w:eastAsia="Times New Roman" w:hint="default"/>
          <w:spacing w:val="-7"/>
        </w:rPr>
        <w:t>42</w:t>
      </w:r>
      <w:r>
        <w:rPr>
          <w:spacing w:val="-7"/>
        </w:rPr>
        <w:t>号</w:t>
      </w:r>
      <w:r>
        <w:rPr>
          <w:rFonts w:ascii="Times New Roman" w:hAnsi="Times New Roman" w:cs="Times New Roman" w:eastAsia="Times New Roman" w:hint="default"/>
          <w:spacing w:val="-7"/>
        </w:rPr>
        <w:t>——</w:t>
      </w:r>
      <w:r>
        <w:rPr>
          <w:spacing w:val="-7"/>
        </w:rPr>
        <w:t>持有待售的非流动资产、处置组和终止经营》（财会</w:t>
      </w:r>
      <w:r>
        <w:rPr>
          <w:rFonts w:ascii="Times New Roman" w:hAnsi="Times New Roman" w:cs="Times New Roman" w:eastAsia="Times New Roman" w:hint="default"/>
          <w:spacing w:val="-7"/>
        </w:rPr>
        <w:t>[2017]13</w:t>
      </w:r>
      <w:r>
        <w:rPr>
          <w:rFonts w:ascii="Times New Roman" w:hAnsi="Times New Roman" w:cs="Times New Roman" w:eastAsia="Times New Roman" w:hint="default"/>
        </w:rPr>
        <w:t> </w:t>
      </w:r>
      <w:r>
        <w:rPr>
          <w:spacing w:val="-3"/>
        </w:rPr>
        <w:t>号），自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日起施行，对于施行日存在的持有待售的非流动资产、处置组和终止经营，应当采用未来适用法处理。</w:t>
      </w:r>
      <w:r>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日，财政部发布了《关于修订印发一般企业财务报表格式的通知》（财会</w:t>
      </w:r>
      <w:r>
        <w:rPr>
          <w:rFonts w:ascii="Times New Roman" w:hAnsi="Times New Roman" w:cs="Times New Roman" w:eastAsia="Times New Roman" w:hint="default"/>
          <w:spacing w:val="-1"/>
        </w:rPr>
        <w:t>[2017]30</w:t>
      </w:r>
      <w:r>
        <w:rPr>
          <w:spacing w:val="-1"/>
        </w:rPr>
        <w:t>号），要求执行企业会</w:t>
      </w:r>
    </w:p>
    <w:p>
      <w:pPr>
        <w:pStyle w:val="BodyText"/>
        <w:spacing w:line="240" w:lineRule="auto" w:before="13"/>
        <w:ind w:left="1134" w:right="0"/>
        <w:jc w:val="left"/>
      </w:pPr>
      <w:r>
        <w:rPr/>
        <w:t>计准则的非金融企业应当按照企业会计准则和通知要求编制</w:t>
      </w:r>
      <w:r>
        <w:rPr>
          <w:rFonts w:ascii="Times New Roman" w:hAnsi="Times New Roman" w:cs="Times New Roman" w:eastAsia="Times New Roman" w:hint="default"/>
        </w:rPr>
        <w:t>2017</w:t>
      </w:r>
      <w:r>
        <w:rPr/>
        <w:t>年度及以后期间的财务报表。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left="1493" w:right="72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、本期新纳入合并范围的子公司包括： 出资设立子公司：任网安、广州数沃。</w:t>
      </w:r>
    </w:p>
    <w:p>
      <w:pPr>
        <w:pStyle w:val="BodyText"/>
        <w:spacing w:line="316" w:lineRule="auto" w:before="10"/>
        <w:ind w:right="1131" w:firstLine="360"/>
        <w:jc w:val="both"/>
      </w:pPr>
      <w:r>
        <w:rPr>
          <w:spacing w:val="-2"/>
        </w:rPr>
        <w:t>非同一控制下企业合并取得的子公司：泡椒思志及其全资子公司银狐游戏、上海穆冠，以及银狐游戏的全资子公司海南</w:t>
      </w:r>
      <w:r>
        <w:rPr/>
        <w:t> 银狐思志网络科技有限公司</w:t>
      </w:r>
    </w:p>
    <w:p>
      <w:pPr>
        <w:pStyle w:val="BodyText"/>
        <w:spacing w:line="240" w:lineRule="auto"/>
        <w:ind w:left="1493" w:right="0"/>
        <w:jc w:val="left"/>
      </w:pPr>
      <w:r>
        <w:rPr>
          <w:rFonts w:ascii="宋体" w:hAnsi="宋体" w:cs="宋体" w:eastAsia="宋体" w:hint="default"/>
        </w:rPr>
        <w:t>2</w:t>
      </w:r>
      <w:r>
        <w:rPr/>
        <w:t>、本期因失去控制权，不再合并的子公司包括：子公司泡椒思志的子公司上海魔情信息技术有限公司。</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51"/>
        <w:gridCol w:w="1134"/>
        <w:gridCol w:w="1559"/>
        <w:gridCol w:w="1560"/>
        <w:gridCol w:w="1842"/>
        <w:gridCol w:w="1572"/>
        <w:gridCol w:w="1042"/>
      </w:tblGrid>
      <w:tr>
        <w:trPr>
          <w:trHeight w:val="39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1"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任子行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信息披露违法违规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45" w:right="53" w:hanging="90"/>
              <w:jc w:val="left"/>
              <w:rPr>
                <w:rFonts w:ascii="宋体" w:hAnsi="宋体" w:cs="宋体" w:eastAsia="宋体" w:hint="default"/>
                <w:sz w:val="18"/>
                <w:szCs w:val="18"/>
              </w:rPr>
            </w:pPr>
            <w:r>
              <w:rPr>
                <w:rFonts w:ascii="宋体" w:hAnsi="宋体" w:cs="宋体" w:eastAsia="宋体" w:hint="default"/>
                <w:sz w:val="18"/>
                <w:szCs w:val="18"/>
              </w:rPr>
              <w:t>被中国证监会立案 调查或行政处罚</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05" w:right="20" w:hanging="83"/>
              <w:jc w:val="left"/>
              <w:rPr>
                <w:rFonts w:ascii="宋体" w:hAnsi="宋体" w:cs="宋体" w:eastAsia="宋体" w:hint="default"/>
                <w:sz w:val="18"/>
                <w:szCs w:val="18"/>
              </w:rPr>
            </w:pPr>
            <w:r>
              <w:rPr>
                <w:rFonts w:ascii="宋体" w:hAnsi="宋体" w:cs="宋体" w:eastAsia="宋体" w:hint="default"/>
                <w:spacing w:val="-2"/>
                <w:sz w:val="18"/>
                <w:szCs w:val="18"/>
              </w:rPr>
              <w:t>对任子行给予警告，并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处以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万元的罚款</w:t>
            </w:r>
          </w:p>
        </w:tc>
        <w:tc>
          <w:tcPr>
            <w:tcW w:w="157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7"/>
              <w:ind w:left="6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95" w:right="27" w:hanging="6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1027" w:hRule="exact"/>
        </w:trPr>
        <w:tc>
          <w:tcPr>
            <w:tcW w:w="8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景晓军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控股股东（或 第一大股东）</w:t>
            </w:r>
          </w:p>
        </w:tc>
        <w:tc>
          <w:tcPr>
            <w:tcW w:w="155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信息披露违法违规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5" w:right="53" w:hanging="90"/>
              <w:jc w:val="left"/>
              <w:rPr>
                <w:rFonts w:ascii="宋体" w:hAnsi="宋体" w:cs="宋体" w:eastAsia="宋体" w:hint="default"/>
                <w:sz w:val="18"/>
                <w:szCs w:val="18"/>
              </w:rPr>
            </w:pPr>
            <w:r>
              <w:rPr>
                <w:rFonts w:ascii="宋体" w:hAnsi="宋体" w:cs="宋体" w:eastAsia="宋体" w:hint="default"/>
                <w:sz w:val="18"/>
                <w:szCs w:val="18"/>
              </w:rPr>
              <w:t>被中国证监会立案 调查或行政处罚</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
              <w:jc w:val="left"/>
              <w:rPr>
                <w:rFonts w:ascii="宋体" w:hAnsi="宋体" w:cs="宋体" w:eastAsia="宋体" w:hint="default"/>
                <w:sz w:val="18"/>
                <w:szCs w:val="18"/>
              </w:rPr>
            </w:pPr>
            <w:r>
              <w:rPr>
                <w:rFonts w:ascii="宋体" w:hAnsi="宋体" w:cs="宋体" w:eastAsia="宋体" w:hint="default"/>
                <w:sz w:val="18"/>
                <w:szCs w:val="18"/>
              </w:rPr>
              <w:t>对景晓军给予警告，并 处以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万元的罚款。</w:t>
            </w:r>
          </w:p>
        </w:tc>
        <w:tc>
          <w:tcPr>
            <w:tcW w:w="1572"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6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95" w:right="27" w:hanging="6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bl>
    <w:p>
      <w:pPr>
        <w:pStyle w:val="BodyText"/>
        <w:spacing w:line="240" w:lineRule="auto" w:before="51"/>
        <w:ind w:left="1134" w:right="0"/>
        <w:jc w:val="both"/>
      </w:pPr>
      <w:r>
        <w:rPr/>
        <w:t>董事、监事、高级管理人员、持股</w:t>
      </w:r>
      <w:r>
        <w:rPr>
          <w:spacing w:val="-46"/>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3"/>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02"/>
        <w:ind w:right="0"/>
        <w:jc w:val="both"/>
        <w:rPr>
          <w:b w:val="0"/>
          <w:bCs w:val="0"/>
        </w:rPr>
      </w:pPr>
      <w:r>
        <w:rPr>
          <w:rFonts w:ascii="Times New Roman" w:hAnsi="Times New Roman" w:cs="Times New Roman" w:eastAsia="Times New Roman" w:hint="default"/>
        </w:rPr>
        <w:t>1</w:t>
      </w:r>
      <w:r>
        <w:rPr/>
        <w:t>、股权激励计划</w:t>
      </w:r>
      <w:r>
        <w:rPr>
          <w:b w:val="0"/>
          <w:bCs w:val="0"/>
        </w:rPr>
      </w:r>
    </w:p>
    <w:p>
      <w:pPr>
        <w:pStyle w:val="BodyText"/>
        <w:spacing w:line="240" w:lineRule="auto" w:before="63"/>
        <w:ind w:left="149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日，公司第二届董事会第八次会议审议通过了《关于</w:t>
      </w:r>
      <w:r>
        <w:rPr>
          <w:rFonts w:ascii="Times New Roman" w:hAnsi="Times New Roman" w:cs="Times New Roman" w:eastAsia="Times New Roman" w:hint="default"/>
        </w:rPr>
        <w:t>&lt;</w:t>
      </w:r>
      <w:r>
        <w:rPr/>
        <w:t>任子行网络技术股份有限公司限制性股票激励计划</w:t>
      </w:r>
    </w:p>
    <w:p>
      <w:pPr>
        <w:pStyle w:val="BodyText"/>
        <w:spacing w:line="309" w:lineRule="auto" w:before="63"/>
        <w:ind w:left="1134" w:right="1131"/>
        <w:jc w:val="both"/>
      </w:pPr>
      <w:r>
        <w:rPr>
          <w:spacing w:val="-1"/>
        </w:rPr>
        <w:t>（草案）及其摘要</w:t>
      </w:r>
      <w:r>
        <w:rPr>
          <w:rFonts w:ascii="Times New Roman" w:hAnsi="Times New Roman" w:cs="Times New Roman" w:eastAsia="Times New Roman" w:hint="default"/>
          <w:spacing w:val="-1"/>
        </w:rPr>
        <w:t>&gt;</w:t>
      </w:r>
      <w:r>
        <w:rPr>
          <w:spacing w:val="-1"/>
        </w:rPr>
        <w:t>的议案》，公司监事会对本次股权激励计划的激励对象名单进行核实，公司独立董事就本次股权激励计</w:t>
      </w:r>
      <w:r>
        <w:rPr>
          <w:spacing w:val="-44"/>
        </w:rPr>
        <w:t> </w:t>
      </w:r>
      <w:r>
        <w:rPr>
          <w:spacing w:val="-44"/>
        </w:rPr>
      </w:r>
      <w:r>
        <w:rPr>
          <w:spacing w:val="-2"/>
        </w:rPr>
        <w:t>划是否有利于公司的持续发展及是否存在损害公司及全体股东利益的情形发表独立意见。随后向中国证监会上报了申请备案</w:t>
      </w:r>
      <w:r>
        <w:rPr>
          <w:spacing w:val="-64"/>
        </w:rPr>
        <w:t> </w:t>
      </w:r>
      <w:r>
        <w:rPr>
          <w:spacing w:val="-64"/>
        </w:rPr>
      </w:r>
      <w:r>
        <w:rPr/>
        <w:t>材料。</w:t>
      </w:r>
    </w:p>
    <w:p>
      <w:pPr>
        <w:pStyle w:val="BodyText"/>
        <w:spacing w:line="240" w:lineRule="auto" w:before="24"/>
        <w:ind w:left="149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月，公司获悉报送的《限制性股票激励计划（草案）》经中国证监会备案无异议。</w:t>
      </w:r>
    </w:p>
    <w:p>
      <w:pPr>
        <w:pStyle w:val="BodyText"/>
        <w:spacing w:line="300" w:lineRule="auto" w:before="63"/>
        <w:ind w:left="1134"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日，公司第二届董事会第十次会议和第二届监事会第七次会议审议通过了《关于</w:t>
      </w:r>
      <w:r>
        <w:rPr>
          <w:rFonts w:ascii="Times New Roman" w:hAnsi="Times New Roman" w:cs="Times New Roman" w:eastAsia="Times New Roman" w:hint="default"/>
        </w:rPr>
        <w:t>&lt;</w:t>
      </w:r>
      <w:r>
        <w:rPr/>
        <w:t>任子行网络技术股份有 限公司限制性股票激励计划（草案修订稿）及其摘要</w:t>
      </w:r>
      <w:r>
        <w:rPr>
          <w:rFonts w:ascii="Times New Roman" w:hAnsi="Times New Roman" w:cs="Times New Roman" w:eastAsia="Times New Roman" w:hint="default"/>
        </w:rPr>
        <w:t>&gt;</w:t>
      </w:r>
      <w:r>
        <w:rPr/>
        <w:t>的议案》。公司独立董事对此发表了独立意见。</w:t>
      </w:r>
    </w:p>
    <w:p>
      <w:pPr>
        <w:pStyle w:val="BodyText"/>
        <w:spacing w:line="307" w:lineRule="auto" w:before="13"/>
        <w:ind w:left="1134"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2014</w:t>
      </w:r>
      <w:r>
        <w:rPr/>
        <w:t>年第一次临时股东大会审议并通过了《关于</w:t>
      </w:r>
      <w:r>
        <w:rPr>
          <w:rFonts w:ascii="Times New Roman" w:hAnsi="Times New Roman" w:cs="Times New Roman" w:eastAsia="Times New Roman" w:hint="default"/>
        </w:rPr>
        <w:t>&lt;</w:t>
      </w:r>
      <w:r>
        <w:rPr/>
        <w:t>任子行网络技术股份有限公司限制性股票激励 </w:t>
      </w:r>
      <w:r>
        <w:rPr>
          <w:spacing w:val="-4"/>
        </w:rPr>
        <w:t>计划（草案修订稿）及其摘要</w:t>
      </w:r>
      <w:r>
        <w:rPr>
          <w:rFonts w:ascii="Times New Roman" w:hAnsi="Times New Roman" w:cs="Times New Roman" w:eastAsia="Times New Roman" w:hint="default"/>
          <w:spacing w:val="-4"/>
        </w:rPr>
        <w:t>&gt;</w:t>
      </w:r>
      <w:r>
        <w:rPr>
          <w:spacing w:val="-4"/>
        </w:rPr>
        <w:t>的议案》、《关于</w:t>
      </w:r>
      <w:r>
        <w:rPr>
          <w:rFonts w:ascii="Times New Roman" w:hAnsi="Times New Roman" w:cs="Times New Roman" w:eastAsia="Times New Roman" w:hint="default"/>
          <w:spacing w:val="-4"/>
        </w:rPr>
        <w:t>&lt;</w:t>
      </w:r>
      <w:r>
        <w:rPr>
          <w:spacing w:val="-4"/>
        </w:rPr>
        <w:t>任子行网络技术股份有限公司限制性股票激励计划实施考核管理办法</w:t>
      </w:r>
      <w:r>
        <w:rPr>
          <w:rFonts w:ascii="Times New Roman" w:hAnsi="Times New Roman" w:cs="Times New Roman" w:eastAsia="Times New Roman" w:hint="default"/>
          <w:spacing w:val="-4"/>
        </w:rPr>
        <w:t>&gt;</w:t>
      </w:r>
      <w:r>
        <w:rPr>
          <w:spacing w:val="-4"/>
        </w:rPr>
        <w:t>（修</w:t>
      </w:r>
      <w:r>
        <w:rPr>
          <w:spacing w:val="-75"/>
        </w:rPr>
        <w:t> </w:t>
      </w:r>
      <w:r>
        <w:rPr>
          <w:spacing w:val="-2"/>
        </w:rPr>
        <w:t>订稿）的议案》、《关于提请任子行网络技术股份有限公司股东大会授权董事会办理公司限制性股票激励计划相关事宜的议</w:t>
      </w:r>
      <w:r>
        <w:rPr>
          <w:spacing w:val="-65"/>
        </w:rPr>
        <w:t> </w:t>
      </w:r>
      <w:r>
        <w:rPr>
          <w:spacing w:val="-65"/>
        </w:rPr>
      </w:r>
      <w:r>
        <w:rPr/>
        <w:t>案》。</w:t>
      </w:r>
    </w:p>
    <w:p>
      <w:pPr>
        <w:pStyle w:val="BodyText"/>
        <w:spacing w:line="240" w:lineRule="auto" w:before="26"/>
        <w:ind w:left="1494" w:right="0"/>
        <w:jc w:val="left"/>
        <w:rPr>
          <w:rFonts w:ascii="Times New Roman" w:hAnsi="Times New Roman" w:cs="Times New Roman" w:eastAsia="Times New Roman" w:hint="default"/>
        </w:rPr>
      </w:pPr>
      <w:r>
        <w:rPr/>
        <w:t>确定公司的限制性股票激励计划相关事项如下：拟授予限制性股票总量</w:t>
      </w:r>
      <w:r>
        <w:rPr>
          <w:rFonts w:ascii="Times New Roman" w:hAnsi="Times New Roman" w:cs="Times New Roman" w:eastAsia="Times New Roman" w:hint="default"/>
        </w:rPr>
        <w:t>272</w:t>
      </w:r>
      <w:r>
        <w:rPr/>
        <w:t>万股，其中首次授予</w:t>
      </w:r>
      <w:r>
        <w:rPr>
          <w:rFonts w:ascii="Times New Roman" w:hAnsi="Times New Roman" w:cs="Times New Roman" w:eastAsia="Times New Roman" w:hint="default"/>
        </w:rPr>
        <w:t>244.84</w:t>
      </w:r>
      <w:r>
        <w:rPr/>
        <w:t>万股，预留</w:t>
      </w:r>
      <w:r>
        <w:rPr>
          <w:rFonts w:ascii="Times New Roman" w:hAnsi="Times New Roman" w:cs="Times New Roman" w:eastAsia="Times New Roman" w:hint="default"/>
        </w:rPr>
        <w:t>27.16</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30"/>
        <w:jc w:val="both"/>
      </w:pPr>
      <w:r>
        <w:rPr>
          <w:spacing w:val="-2"/>
        </w:rPr>
        <w:t>万股；首次授予的激励对象总人数为</w:t>
      </w:r>
      <w:r>
        <w:rPr>
          <w:rFonts w:ascii="Times New Roman" w:hAnsi="Times New Roman" w:cs="Times New Roman" w:eastAsia="Times New Roman" w:hint="default"/>
          <w:spacing w:val="-2"/>
        </w:rPr>
        <w:t>79</w:t>
      </w:r>
      <w:r>
        <w:rPr>
          <w:spacing w:val="-2"/>
        </w:rPr>
        <w:t>人，激励对象包括公司实施本计划时在公司任职高级管理人员及核心业务、技术、管</w:t>
      </w:r>
      <w:r>
        <w:rPr>
          <w:spacing w:val="-64"/>
        </w:rPr>
        <w:t> </w:t>
      </w:r>
      <w:r>
        <w:rPr>
          <w:spacing w:val="-64"/>
        </w:rPr>
      </w:r>
      <w:r>
        <w:rPr>
          <w:spacing w:val="-3"/>
        </w:rPr>
        <w:t>理骨干；授予价格依据本计划公告前</w:t>
      </w:r>
      <w:r>
        <w:rPr>
          <w:rFonts w:ascii="Times New Roman" w:hAnsi="Times New Roman" w:cs="Times New Roman" w:eastAsia="Times New Roman" w:hint="default"/>
          <w:spacing w:val="-3"/>
        </w:rPr>
        <w:t>20</w:t>
      </w:r>
      <w:r>
        <w:rPr>
          <w:spacing w:val="-3"/>
        </w:rPr>
        <w:t>个交易日本公司股票均价（前</w:t>
      </w:r>
      <w:r>
        <w:rPr>
          <w:rFonts w:ascii="Times New Roman" w:hAnsi="Times New Roman" w:cs="Times New Roman" w:eastAsia="Times New Roman" w:hint="default"/>
          <w:spacing w:val="-3"/>
        </w:rPr>
        <w:t>20</w:t>
      </w:r>
      <w:r>
        <w:rPr>
          <w:spacing w:val="-3"/>
        </w:rPr>
        <w:t>个交易日股票交易总额</w:t>
      </w:r>
      <w:r>
        <w:rPr>
          <w:rFonts w:ascii="Times New Roman" w:hAnsi="Times New Roman" w:cs="Times New Roman" w:eastAsia="Times New Roman" w:hint="default"/>
          <w:spacing w:val="-3"/>
        </w:rPr>
        <w:t>/</w:t>
      </w:r>
      <w:r>
        <w:rPr>
          <w:spacing w:val="-3"/>
        </w:rPr>
        <w:t>前</w:t>
      </w:r>
      <w:r>
        <w:rPr>
          <w:rFonts w:ascii="Times New Roman" w:hAnsi="Times New Roman" w:cs="Times New Roman" w:eastAsia="Times New Roman" w:hint="default"/>
          <w:spacing w:val="-3"/>
        </w:rPr>
        <w:t>20</w:t>
      </w:r>
      <w:r>
        <w:rPr>
          <w:spacing w:val="-3"/>
        </w:rPr>
        <w:t>个交易日股票交易总量）</w:t>
      </w:r>
      <w:r>
        <w:rPr>
          <w:spacing w:val="-50"/>
        </w:rPr>
        <w:t> </w:t>
      </w:r>
      <w:r>
        <w:rPr/>
        <w:t>的</w:t>
      </w:r>
      <w:r>
        <w:rPr>
          <w:rFonts w:ascii="Times New Roman" w:hAnsi="Times New Roman" w:cs="Times New Roman" w:eastAsia="Times New Roman" w:hint="default"/>
        </w:rPr>
        <w:t>50%</w:t>
      </w:r>
      <w:r>
        <w:rPr/>
        <w:t>确定。</w:t>
      </w:r>
    </w:p>
    <w:p>
      <w:pPr>
        <w:pStyle w:val="BodyText"/>
        <w:spacing w:line="300" w:lineRule="auto" w:before="13"/>
        <w:ind w:right="113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日，公司第二届董事会第十三次会议和第二届监事会第十次会议审议通过了《关于调整限制性股票激励计划</w:t>
      </w:r>
      <w:r>
        <w:rPr/>
        <w:t> 相关事项的议案》、《关于向激励对象授予限制性股票的议案》。</w:t>
      </w:r>
    </w:p>
    <w:p>
      <w:pPr>
        <w:pStyle w:val="BodyText"/>
        <w:spacing w:line="300" w:lineRule="auto" w:before="31"/>
        <w:ind w:left="1134" w:right="1130" w:firstLine="360"/>
        <w:jc w:val="both"/>
      </w:pPr>
      <w:r>
        <w:rPr>
          <w:spacing w:val="-2"/>
        </w:rPr>
        <w:t>由于部分激励对象自愿放弃认购及公司实施了</w:t>
      </w:r>
      <w:r>
        <w:rPr>
          <w:rFonts w:ascii="Times New Roman" w:hAnsi="Times New Roman" w:cs="Times New Roman" w:eastAsia="Times New Roman" w:hint="default"/>
          <w:spacing w:val="-2"/>
        </w:rPr>
        <w:t>2013</w:t>
      </w:r>
      <w:r>
        <w:rPr>
          <w:spacing w:val="-2"/>
        </w:rPr>
        <w:t>年年度权益分派方案等原因，公司根据限制性股票激励计划及相关规</w:t>
      </w:r>
      <w:r>
        <w:rPr/>
        <w:t> </w:t>
      </w:r>
      <w:r>
        <w:rPr>
          <w:spacing w:val="-2"/>
        </w:rPr>
        <w:t>定，对限制性股票的授予数量、授予人数及授予价格调整如下：调整后的限制性股票拟授予总量为</w:t>
      </w:r>
      <w:r>
        <w:rPr>
          <w:rFonts w:ascii="Times New Roman" w:hAnsi="Times New Roman" w:cs="Times New Roman" w:eastAsia="Times New Roman" w:hint="default"/>
          <w:spacing w:val="-2"/>
        </w:rPr>
        <w:t>3,835,671</w:t>
      </w:r>
      <w:r>
        <w:rPr>
          <w:spacing w:val="-2"/>
        </w:rPr>
        <w:t>股，其中首次授</w:t>
      </w:r>
      <w:r>
        <w:rPr>
          <w:spacing w:val="-58"/>
        </w:rPr>
        <w:t> </w:t>
      </w:r>
      <w:r>
        <w:rPr>
          <w:spacing w:val="-58"/>
        </w:rPr>
      </w:r>
      <w:r>
        <w:rPr/>
        <w:t>予的数量为</w:t>
      </w:r>
      <w:r>
        <w:rPr>
          <w:rFonts w:ascii="Times New Roman" w:hAnsi="Times New Roman" w:cs="Times New Roman" w:eastAsia="Times New Roman" w:hint="default"/>
        </w:rPr>
        <w:t>3,401,111</w:t>
      </w:r>
      <w:r>
        <w:rPr/>
        <w:t>股，预留</w:t>
      </w:r>
      <w:r>
        <w:rPr>
          <w:rFonts w:ascii="Times New Roman" w:hAnsi="Times New Roman" w:cs="Times New Roman" w:eastAsia="Times New Roman" w:hint="default"/>
        </w:rPr>
        <w:t>434,560</w:t>
      </w:r>
      <w:r>
        <w:rPr/>
        <w:t>股。确定首次授予日为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日，首次授予数量为</w:t>
      </w:r>
      <w:r>
        <w:rPr>
          <w:rFonts w:ascii="Times New Roman" w:hAnsi="Times New Roman" w:cs="Times New Roman" w:eastAsia="Times New Roman" w:hint="default"/>
        </w:rPr>
        <w:t>3,401,111</w:t>
      </w:r>
      <w:r>
        <w:rPr/>
        <w:t>股，首次授予人数为</w:t>
      </w:r>
      <w:r>
        <w:rPr>
          <w:spacing w:val="-51"/>
        </w:rPr>
        <w:t> </w:t>
      </w:r>
      <w:r>
        <w:rPr>
          <w:spacing w:val="-51"/>
        </w:rPr>
      </w:r>
      <w:r>
        <w:rPr>
          <w:rFonts w:ascii="Times New Roman" w:hAnsi="Times New Roman" w:cs="Times New Roman" w:eastAsia="Times New Roman" w:hint="default"/>
        </w:rPr>
        <w:t>66</w:t>
      </w:r>
      <w:r>
        <w:rPr/>
        <w:t>名，首次授予价格为每股</w:t>
      </w:r>
      <w:r>
        <w:rPr>
          <w:rFonts w:ascii="Times New Roman" w:hAnsi="Times New Roman" w:cs="Times New Roman" w:eastAsia="Times New Roman" w:hint="default"/>
        </w:rPr>
        <w:t>9.12</w:t>
      </w:r>
      <w:r>
        <w:rPr/>
        <w:t>元。公司独立董事对此发表了独立意见。</w:t>
      </w:r>
    </w:p>
    <w:p>
      <w:pPr>
        <w:pStyle w:val="BodyText"/>
        <w:spacing w:line="300" w:lineRule="auto" w:before="13"/>
        <w:ind w:left="1134"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日，公司第二届董事会第十四次会议和第二届监事会第十一次会议审议通过了《关于调整限制性股票激励 计划相关事项的议案》。</w:t>
      </w:r>
    </w:p>
    <w:p>
      <w:pPr>
        <w:pStyle w:val="BodyText"/>
        <w:spacing w:line="309" w:lineRule="auto" w:before="31"/>
        <w:ind w:right="1132" w:firstLine="360"/>
        <w:jc w:val="both"/>
      </w:pPr>
      <w:r>
        <w:rPr>
          <w:spacing w:val="-2"/>
        </w:rPr>
        <w:t>由于部分激励对象自愿放弃认购，公司根据本次限制性股票激励计划及相关规定，对限制性股票授予人数和授予数量进</w:t>
      </w:r>
      <w:r>
        <w:rPr/>
        <w:t> 行调整如下：调整后的限制性股票拟授予总量为</w:t>
      </w:r>
      <w:r>
        <w:rPr>
          <w:rFonts w:ascii="Times New Roman" w:hAnsi="Times New Roman" w:cs="Times New Roman" w:eastAsia="Times New Roman" w:hint="default"/>
        </w:rPr>
        <w:t>3,726,109</w:t>
      </w:r>
      <w:r>
        <w:rPr/>
        <w:t>股，其中首次授予数量为</w:t>
      </w:r>
      <w:r>
        <w:rPr>
          <w:rFonts w:ascii="Times New Roman" w:hAnsi="Times New Roman" w:cs="Times New Roman" w:eastAsia="Times New Roman" w:hint="default"/>
        </w:rPr>
        <w:t>3,291,549</w:t>
      </w:r>
      <w:r>
        <w:rPr/>
        <w:t>股，预留</w:t>
      </w:r>
      <w:r>
        <w:rPr>
          <w:rFonts w:ascii="Times New Roman" w:hAnsi="Times New Roman" w:cs="Times New Roman" w:eastAsia="Times New Roman" w:hint="default"/>
        </w:rPr>
        <w:t>434,560</w:t>
      </w:r>
      <w:r>
        <w:rPr/>
        <w:t>股。调整后的</w:t>
      </w:r>
      <w:r>
        <w:rPr>
          <w:spacing w:val="-51"/>
        </w:rPr>
        <w:t> </w:t>
      </w:r>
      <w:r>
        <w:rPr>
          <w:spacing w:val="-51"/>
        </w:rPr>
      </w:r>
      <w:r>
        <w:rPr/>
        <w:t>首次授予数量为</w:t>
      </w:r>
      <w:r>
        <w:rPr>
          <w:rFonts w:ascii="Times New Roman" w:hAnsi="Times New Roman" w:cs="Times New Roman" w:eastAsia="Times New Roman" w:hint="default"/>
        </w:rPr>
        <w:t>3,291,549</w:t>
      </w:r>
      <w:r>
        <w:rPr/>
        <w:t>股，首次授予人数为</w:t>
      </w:r>
      <w:r>
        <w:rPr>
          <w:rFonts w:ascii="Times New Roman" w:hAnsi="Times New Roman" w:cs="Times New Roman" w:eastAsia="Times New Roman" w:hint="default"/>
        </w:rPr>
        <w:t>64</w:t>
      </w:r>
      <w:r>
        <w:rPr/>
        <w:t>名。公司独立董事对此发表了独立意见。</w:t>
      </w:r>
    </w:p>
    <w:p>
      <w:pPr>
        <w:pStyle w:val="BodyText"/>
        <w:spacing w:line="240" w:lineRule="auto" w:before="5"/>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w:t>
      </w:r>
      <w:r>
        <w:rPr>
          <w:spacing w:val="-87"/>
        </w:rPr>
        <w:t>，</w:t>
      </w:r>
      <w:r>
        <w:rPr/>
        <w:t>公司在中国证券登记结算有限责任公司深圳分公司完成了限制性股票首次授予登记</w:t>
      </w:r>
      <w:r>
        <w:rPr>
          <w:spacing w:val="-87"/>
        </w:rPr>
        <w:t>，</w:t>
      </w:r>
      <w:r>
        <w:rPr/>
        <w:t>股票上市日为</w:t>
      </w:r>
      <w:r>
        <w:rPr>
          <w:rFonts w:ascii="Times New Roman" w:hAnsi="Times New Roman" w:cs="Times New Roman" w:eastAsia="Times New Roman" w:hint="default"/>
        </w:rPr>
        <w:t>2014</w:t>
      </w:r>
    </w:p>
    <w:p>
      <w:pPr>
        <w:pStyle w:val="BodyText"/>
        <w:spacing w:line="240" w:lineRule="auto" w:before="63"/>
        <w:ind w:right="0"/>
        <w:jc w:val="both"/>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p>
    <w:p>
      <w:pPr>
        <w:pStyle w:val="BodyText"/>
        <w:spacing w:line="300" w:lineRule="auto" w:before="63"/>
        <w:ind w:left="1134"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日，公司第二届董事会第二十二次会议和第二届监事会第十六次会议审议通过了《对</w:t>
      </w:r>
      <w:r>
        <w:rPr>
          <w:rFonts w:ascii="Times New Roman" w:hAnsi="Times New Roman" w:cs="Times New Roman" w:eastAsia="Times New Roman" w:hint="default"/>
        </w:rPr>
        <w:t>&lt;</w:t>
      </w:r>
      <w:r>
        <w:rPr/>
        <w:t>任子行网络技术股 份有限公司限制性股票激励计划</w:t>
      </w:r>
      <w:r>
        <w:rPr>
          <w:rFonts w:ascii="Times New Roman" w:hAnsi="Times New Roman" w:cs="Times New Roman" w:eastAsia="Times New Roman" w:hint="default"/>
        </w:rPr>
        <w:t>&gt;</w:t>
      </w:r>
      <w:r>
        <w:rPr/>
        <w:t>预留限制性股票数量进行调整的议案》、《关于向激励对象授予预留限制性股票相关事项 的议案》。</w:t>
      </w:r>
    </w:p>
    <w:p>
      <w:pPr>
        <w:pStyle w:val="BodyText"/>
        <w:spacing w:line="300" w:lineRule="auto" w:before="31"/>
        <w:ind w:right="1131" w:firstLine="360"/>
        <w:jc w:val="both"/>
      </w:pPr>
      <w:r>
        <w:rPr>
          <w:spacing w:val="-2"/>
        </w:rPr>
        <w:t>由于公司</w:t>
      </w:r>
      <w:r>
        <w:rPr>
          <w:rFonts w:ascii="Times New Roman" w:hAnsi="Times New Roman" w:cs="Times New Roman" w:eastAsia="Times New Roman" w:hint="default"/>
          <w:spacing w:val="-2"/>
        </w:rPr>
        <w:t>2014</w:t>
      </w:r>
      <w:r>
        <w:rPr>
          <w:spacing w:val="-2"/>
        </w:rPr>
        <w:t>年年度权益分派方案已实施完成，公司根据限制性股票激励计划及相关规定，对预留限制性股票数量进行</w:t>
      </w:r>
      <w:r>
        <w:rPr/>
        <w:t> </w:t>
      </w:r>
      <w:r>
        <w:rPr>
          <w:spacing w:val="-1"/>
        </w:rPr>
        <w:t>调整如下：调整后的预留限制性股票授予总量为</w:t>
      </w:r>
      <w:r>
        <w:rPr>
          <w:rFonts w:ascii="Times New Roman" w:hAnsi="Times New Roman" w:cs="Times New Roman" w:eastAsia="Times New Roman" w:hint="default"/>
          <w:spacing w:val="-1"/>
        </w:rPr>
        <w:t>869,120</w:t>
      </w:r>
      <w:r>
        <w:rPr>
          <w:spacing w:val="-1"/>
        </w:rPr>
        <w:t>股，授予数量为</w:t>
      </w:r>
      <w:r>
        <w:rPr>
          <w:rFonts w:ascii="Times New Roman" w:hAnsi="Times New Roman" w:cs="Times New Roman" w:eastAsia="Times New Roman" w:hint="default"/>
          <w:spacing w:val="-1"/>
        </w:rPr>
        <w:t>869,120</w:t>
      </w:r>
      <w:r>
        <w:rPr>
          <w:spacing w:val="-1"/>
        </w:rPr>
        <w:t>股，授予人数为</w:t>
      </w:r>
      <w:r>
        <w:rPr>
          <w:rFonts w:ascii="Times New Roman" w:hAnsi="Times New Roman" w:cs="Times New Roman" w:eastAsia="Times New Roman" w:hint="default"/>
          <w:spacing w:val="-1"/>
        </w:rPr>
        <w:t>87</w:t>
      </w:r>
      <w:r>
        <w:rPr>
          <w:spacing w:val="-1"/>
        </w:rPr>
        <w:t>名，授予价格为每股</w:t>
      </w:r>
      <w:r>
        <w:rPr>
          <w:rFonts w:ascii="Times New Roman" w:hAnsi="Times New Roman" w:cs="Times New Roman" w:eastAsia="Times New Roman" w:hint="default"/>
          <w:spacing w:val="-1"/>
        </w:rPr>
        <w:t>25.48</w:t>
      </w:r>
      <w:r>
        <w:rPr>
          <w:rFonts w:ascii="Times New Roman" w:hAnsi="Times New Roman" w:cs="Times New Roman" w:eastAsia="Times New Roman" w:hint="default"/>
          <w:spacing w:val="-21"/>
        </w:rPr>
        <w:t> </w:t>
      </w:r>
      <w:r>
        <w:rPr/>
        <w:t>元，确定授予日为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日。公司独立董事对此发表了独立意见。</w:t>
      </w:r>
    </w:p>
    <w:p>
      <w:pPr>
        <w:pStyle w:val="BodyText"/>
        <w:spacing w:line="300" w:lineRule="auto" w:before="13"/>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日，公司第二届董事会第二十四次会议和第二届监事会第十七次会议审议通过了《关于调整限制性股票激励</w:t>
      </w:r>
      <w:r>
        <w:rPr/>
        <w:t> 计划相关事项的议案》。</w:t>
      </w:r>
    </w:p>
    <w:p>
      <w:pPr>
        <w:pStyle w:val="BodyText"/>
        <w:spacing w:line="309" w:lineRule="auto" w:before="31"/>
        <w:ind w:right="1130" w:firstLine="360"/>
        <w:jc w:val="both"/>
      </w:pPr>
      <w:r>
        <w:rPr>
          <w:spacing w:val="-2"/>
        </w:rPr>
        <w:t>由于原部分激励对象自愿放弃认购部分或全部公司拟授予的限制性股票，公司根据限制性股票激励计划及相关规定，对</w:t>
      </w:r>
      <w:r>
        <w:rPr/>
        <w:t> 预留限制性股票数量进行调整如下：调整后的预留限制性股票总量为</w:t>
      </w:r>
      <w:r>
        <w:rPr>
          <w:rFonts w:ascii="Times New Roman" w:hAnsi="Times New Roman" w:cs="Times New Roman" w:eastAsia="Times New Roman" w:hint="default"/>
        </w:rPr>
        <w:t>703,785</w:t>
      </w:r>
      <w:r>
        <w:rPr/>
        <w:t>股，授予数量为</w:t>
      </w:r>
      <w:r>
        <w:rPr>
          <w:rFonts w:ascii="Times New Roman" w:hAnsi="Times New Roman" w:cs="Times New Roman" w:eastAsia="Times New Roman" w:hint="default"/>
        </w:rPr>
        <w:t>703,785</w:t>
      </w:r>
      <w:r>
        <w:rPr/>
        <w:t>股，授予人数为</w:t>
      </w:r>
      <w:r>
        <w:rPr>
          <w:rFonts w:ascii="Times New Roman" w:hAnsi="Times New Roman" w:cs="Times New Roman" w:eastAsia="Times New Roman" w:hint="default"/>
        </w:rPr>
        <w:t>82</w:t>
      </w:r>
      <w:r>
        <w:rPr/>
        <w:t>名。</w:t>
      </w:r>
      <w:r>
        <w:rPr>
          <w:spacing w:val="-84"/>
        </w:rPr>
        <w:t> </w:t>
      </w:r>
      <w:r>
        <w:rPr/>
        <w:t>公司独立董事对此发表了独立意见。</w:t>
      </w:r>
    </w:p>
    <w:p>
      <w:pPr>
        <w:pStyle w:val="BodyText"/>
        <w:spacing w:line="240" w:lineRule="auto" w:before="24"/>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w:t>
      </w:r>
      <w:r>
        <w:rPr>
          <w:spacing w:val="-87"/>
        </w:rPr>
        <w:t>，</w:t>
      </w:r>
      <w:r>
        <w:rPr/>
        <w:t>公司在中国证券登记结算有限责任公司深圳分公司完成了预留限制性股票授予登记</w:t>
      </w:r>
      <w:r>
        <w:rPr>
          <w:spacing w:val="-87"/>
        </w:rPr>
        <w:t>，</w:t>
      </w:r>
      <w:r>
        <w:rPr/>
        <w:t>股票上市日为</w:t>
      </w:r>
      <w:r>
        <w:rPr>
          <w:rFonts w:ascii="Times New Roman" w:hAnsi="Times New Roman" w:cs="Times New Roman" w:eastAsia="Times New Roman" w:hint="default"/>
        </w:rPr>
        <w:t>2015</w:t>
      </w:r>
    </w:p>
    <w:p>
      <w:pPr>
        <w:pStyle w:val="BodyText"/>
        <w:spacing w:line="240" w:lineRule="auto" w:before="63"/>
        <w:ind w:right="0"/>
        <w:jc w:val="both"/>
      </w:pP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p>
    <w:p>
      <w:pPr>
        <w:pStyle w:val="BodyText"/>
        <w:spacing w:line="309" w:lineRule="auto" w:before="63"/>
        <w:ind w:left="1134" w:right="952" w:firstLine="36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21</w:t>
      </w:r>
      <w:r>
        <w:rPr>
          <w:spacing w:val="-4"/>
        </w:rPr>
        <w:t>日，公司第二届董事会第二十七次会议审议通过了《关于调整限制性股票激励计划相关事项的议案》与《关</w:t>
      </w:r>
      <w:r>
        <w:rPr/>
        <w:t> 于公司限制性股票激励计划首次授予第一个解锁期可解锁的议案》，公司第二届监事会第十九次会议审议通过了《关于调整 </w:t>
      </w:r>
      <w:r>
        <w:rPr>
          <w:spacing w:val="-5"/>
        </w:rPr>
        <w:t>限制性股票激励计划相关事项的议案》与《关于公司限制性股票激励计划首次授予第一个解锁期可解锁激励对象名单的议案》。</w:t>
      </w:r>
    </w:p>
    <w:p>
      <w:pPr>
        <w:pStyle w:val="BodyText"/>
        <w:spacing w:line="300" w:lineRule="auto" w:before="24"/>
        <w:ind w:right="1131" w:firstLine="360"/>
        <w:jc w:val="both"/>
      </w:pPr>
      <w:r>
        <w:rPr>
          <w:spacing w:val="-2"/>
        </w:rPr>
        <w:t>由于公司</w:t>
      </w:r>
      <w:r>
        <w:rPr>
          <w:rFonts w:ascii="Times New Roman" w:hAnsi="Times New Roman" w:cs="Times New Roman" w:eastAsia="Times New Roman" w:hint="default"/>
          <w:spacing w:val="-2"/>
        </w:rPr>
        <w:t>2014</w:t>
      </w:r>
      <w:r>
        <w:rPr>
          <w:spacing w:val="-2"/>
        </w:rPr>
        <w:t>年年度权益分派方案已实施完成，公司根据限制性股票激励计划及相关规定，对首次授予的限制性股票数</w:t>
      </w:r>
      <w:r>
        <w:rPr/>
        <w:t> </w:t>
      </w:r>
      <w:r>
        <w:rPr>
          <w:spacing w:val="-1"/>
        </w:rPr>
        <w:t>量和回购价格进行调整如下：调整后的首次限制性股票授予数量为</w:t>
      </w:r>
      <w:r>
        <w:rPr>
          <w:rFonts w:ascii="Times New Roman" w:hAnsi="Times New Roman" w:cs="Times New Roman" w:eastAsia="Times New Roman" w:hint="default"/>
          <w:spacing w:val="-1"/>
        </w:rPr>
        <w:t>6,583,098</w:t>
      </w:r>
      <w:r>
        <w:rPr>
          <w:spacing w:val="-1"/>
        </w:rPr>
        <w:t>股，回购价格为</w:t>
      </w:r>
      <w:r>
        <w:rPr>
          <w:rFonts w:ascii="Times New Roman" w:hAnsi="Times New Roman" w:cs="Times New Roman" w:eastAsia="Times New Roman" w:hint="default"/>
          <w:spacing w:val="-1"/>
        </w:rPr>
        <w:t>4.56</w:t>
      </w:r>
      <w:r>
        <w:rPr>
          <w:spacing w:val="-1"/>
        </w:rPr>
        <w:t>元；并同意为符合解锁条件</w:t>
      </w:r>
      <w:r>
        <w:rPr>
          <w:spacing w:val="-73"/>
        </w:rPr>
        <w:t> </w:t>
      </w:r>
      <w:r>
        <w:rPr>
          <w:spacing w:val="-73"/>
        </w:rPr>
      </w:r>
      <w:r>
        <w:rPr>
          <w:spacing w:val="-2"/>
        </w:rPr>
        <w:t>的</w:t>
      </w:r>
      <w:r>
        <w:rPr>
          <w:rFonts w:ascii="Times New Roman" w:hAnsi="Times New Roman" w:cs="Times New Roman" w:eastAsia="Times New Roman" w:hint="default"/>
          <w:spacing w:val="-2"/>
        </w:rPr>
        <w:t>64</w:t>
      </w:r>
      <w:r>
        <w:rPr>
          <w:spacing w:val="-2"/>
        </w:rPr>
        <w:t>名激励对象办理解锁事宜，本次申请解锁并上市流通的限制性股票数量为</w:t>
      </w:r>
      <w:r>
        <w:rPr>
          <w:rFonts w:ascii="Times New Roman" w:hAnsi="Times New Roman" w:cs="Times New Roman" w:eastAsia="Times New Roman" w:hint="default"/>
          <w:spacing w:val="-2"/>
        </w:rPr>
        <w:t>1,974,929</w:t>
      </w:r>
      <w:r>
        <w:rPr>
          <w:spacing w:val="-2"/>
        </w:rPr>
        <w:t>股。公司独立董事对上述事项发表了</w:t>
      </w:r>
      <w:r>
        <w:rPr>
          <w:spacing w:val="-54"/>
        </w:rPr>
        <w:t> </w:t>
      </w:r>
      <w:r>
        <w:rPr>
          <w:spacing w:val="-54"/>
        </w:rPr>
      </w:r>
      <w:r>
        <w:rPr/>
        <w:t>独立意见。</w:t>
      </w:r>
    </w:p>
    <w:p>
      <w:pPr>
        <w:pStyle w:val="BodyText"/>
        <w:spacing w:line="240" w:lineRule="auto" w:before="3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日，公司在中国证券登记结算有限责任公司深圳分公司完成了上述股票解锁，股票流通日为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p>
    <w:p>
      <w:pPr>
        <w:pStyle w:val="BodyText"/>
        <w:spacing w:line="240" w:lineRule="auto" w:before="63"/>
        <w:ind w:right="0"/>
        <w:jc w:val="both"/>
      </w:pPr>
      <w:r>
        <w:rPr/>
        <w:t>日。</w:t>
      </w:r>
    </w:p>
    <w:p>
      <w:pPr>
        <w:pStyle w:val="BodyText"/>
        <w:spacing w:line="304" w:lineRule="auto" w:before="76"/>
        <w:ind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日，公司第二届董事会第二十九次会议审议通过了《关于回购注销部分激励对象已获授但尚未解锁限制性 </w:t>
      </w:r>
      <w:r>
        <w:rPr>
          <w:spacing w:val="-2"/>
        </w:rPr>
        <w:t>股票并修改公司章程相关条款的议案》，公司第二届监事会第二十一次会议审议通过了《关于回购注销部分激励对象已获授</w:t>
      </w:r>
      <w:r>
        <w:rPr>
          <w:spacing w:val="-65"/>
        </w:rPr>
        <w:t> </w:t>
      </w:r>
      <w:r>
        <w:rPr>
          <w:spacing w:val="-65"/>
        </w:rPr>
      </w:r>
      <w:r>
        <w:rPr/>
        <w:t>但尚未解锁限制性股票的议案》，鉴于公司激励对象谢海军等</w:t>
      </w:r>
      <w:r>
        <w:rPr>
          <w:rFonts w:ascii="Times New Roman" w:hAnsi="Times New Roman" w:cs="Times New Roman" w:eastAsia="Times New Roman" w:hint="default"/>
        </w:rPr>
        <w:t>5</w:t>
      </w:r>
      <w:r>
        <w:rPr/>
        <w:t>名激励对象已离职，涉及未解锁限制性股票合计</w:t>
      </w:r>
      <w:r>
        <w:rPr>
          <w:rFonts w:ascii="Times New Roman" w:hAnsi="Times New Roman" w:cs="Times New Roman" w:eastAsia="Times New Roman" w:hint="default"/>
        </w:rPr>
        <w:t>102,800</w:t>
      </w:r>
      <w:r>
        <w:rPr/>
        <w:t>股；</w:t>
      </w:r>
      <w:r>
        <w:rPr>
          <w:spacing w:val="-41"/>
        </w:rPr>
        <w:t> </w:t>
      </w:r>
      <w:r>
        <w:rPr>
          <w:spacing w:val="-3"/>
        </w:rPr>
        <w:t>朱洪强自愿申请放弃其获授的公司限制性股票，涉及未解锁限制性股票</w:t>
      </w:r>
      <w:r>
        <w:rPr>
          <w:rFonts w:ascii="Times New Roman" w:hAnsi="Times New Roman" w:cs="Times New Roman" w:eastAsia="Times New Roman" w:hint="default"/>
          <w:spacing w:val="-3"/>
        </w:rPr>
        <w:t>4,000</w:t>
      </w:r>
      <w:r>
        <w:rPr>
          <w:spacing w:val="-3"/>
        </w:rPr>
        <w:t>股；公司将对上述未解锁限制性股票合计</w:t>
      </w:r>
      <w:r>
        <w:rPr>
          <w:rFonts w:ascii="Times New Roman" w:hAnsi="Times New Roman" w:cs="Times New Roman" w:eastAsia="Times New Roman" w:hint="default"/>
          <w:spacing w:val="-3"/>
        </w:rPr>
        <w:t>106,800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股进行回购注销。公司独立董事对上述事项发表了独立意见。</w:t>
      </w:r>
    </w:p>
    <w:p>
      <w:pPr>
        <w:pStyle w:val="BodyText"/>
        <w:spacing w:line="240" w:lineRule="auto" w:before="28"/>
        <w:ind w:left="149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日，公司在中国证券登记结算有限责任公司深圳分公司完成了上述股票回购注销。</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left="1134"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日，公司第三届董事会第二次会议审议通过了《关于调整限制性股票激励计划相关事项的议案》与《关于 </w:t>
      </w:r>
      <w:r>
        <w:rPr>
          <w:spacing w:val="-2"/>
        </w:rPr>
        <w:t>公司限制性股票激励计划预留部分限制性股票第一个解锁期可解锁的议案》，公司第三届监事会第二次会议审议通过了《关</w:t>
      </w:r>
      <w:r>
        <w:rPr>
          <w:spacing w:val="-66"/>
        </w:rPr>
        <w:t> </w:t>
      </w:r>
      <w:r>
        <w:rPr>
          <w:spacing w:val="-66"/>
        </w:rPr>
      </w:r>
      <w:r>
        <w:rPr>
          <w:spacing w:val="-2"/>
        </w:rPr>
        <w:t>于调整限制性股票激励计划相关事项的议案》与《关于公司限制性股票激励计划预留部分限制性股票第一个解锁期可解锁激</w:t>
      </w:r>
      <w:r>
        <w:rPr>
          <w:spacing w:val="-64"/>
        </w:rPr>
        <w:t> </w:t>
      </w:r>
      <w:r>
        <w:rPr>
          <w:spacing w:val="-64"/>
        </w:rPr>
      </w:r>
      <w:r>
        <w:rPr/>
        <w:t>励对象名单的议案》。</w:t>
      </w:r>
    </w:p>
    <w:p>
      <w:pPr>
        <w:pStyle w:val="BodyText"/>
        <w:spacing w:line="300" w:lineRule="auto" w:before="23"/>
        <w:ind w:left="1134" w:right="1130" w:firstLine="360"/>
        <w:jc w:val="right"/>
        <w:rPr>
          <w:rFonts w:ascii="Times New Roman" w:hAnsi="Times New Roman" w:cs="Times New Roman" w:eastAsia="Times New Roman" w:hint="default"/>
        </w:rPr>
      </w:pPr>
      <w:r>
        <w:rPr>
          <w:spacing w:val="-2"/>
        </w:rPr>
        <w:t>由于公司</w:t>
      </w:r>
      <w:r>
        <w:rPr>
          <w:rFonts w:ascii="Times New Roman" w:hAnsi="Times New Roman" w:cs="Times New Roman" w:eastAsia="Times New Roman" w:hint="default"/>
          <w:spacing w:val="-2"/>
        </w:rPr>
        <w:t>2015</w:t>
      </w:r>
      <w:r>
        <w:rPr>
          <w:spacing w:val="-2"/>
        </w:rPr>
        <w:t>年度权益分派方案已实施完成，公司根据限制性股票激励计划及相关规定，对限制性股票授予数量和回购</w:t>
      </w:r>
      <w:r>
        <w:rPr/>
        <w:t> </w:t>
      </w:r>
      <w:r>
        <w:rPr>
          <w:spacing w:val="-2"/>
        </w:rPr>
        <w:t>价格进行调整如下：调整后首次授予的限制性股票总量为</w:t>
      </w:r>
      <w:r>
        <w:rPr>
          <w:rFonts w:ascii="Times New Roman" w:hAnsi="Times New Roman" w:cs="Times New Roman" w:eastAsia="Times New Roman" w:hint="default"/>
          <w:spacing w:val="-2"/>
        </w:rPr>
        <w:t>9,875,823</w:t>
      </w:r>
      <w:r>
        <w:rPr>
          <w:spacing w:val="-2"/>
        </w:rPr>
        <w:t>股（含已解锁和回购注销），调整后首次授予的限制性股</w:t>
      </w:r>
      <w:r>
        <w:rPr>
          <w:spacing w:val="-68"/>
        </w:rPr>
        <w:t> </w:t>
      </w:r>
      <w:r>
        <w:rPr>
          <w:spacing w:val="-68"/>
        </w:rPr>
      </w:r>
      <w:r>
        <w:rPr>
          <w:spacing w:val="-1"/>
        </w:rPr>
        <w:t>票的回购价格为</w:t>
      </w:r>
      <w:r>
        <w:rPr>
          <w:rFonts w:ascii="Times New Roman" w:hAnsi="Times New Roman" w:cs="Times New Roman" w:eastAsia="Times New Roman" w:hint="default"/>
          <w:spacing w:val="-1"/>
        </w:rPr>
        <w:t>3.02</w:t>
      </w:r>
      <w:r>
        <w:rPr>
          <w:spacing w:val="-1"/>
        </w:rPr>
        <w:t>元；调整后预留授予的限制性股票总量为</w:t>
      </w:r>
      <w:r>
        <w:rPr>
          <w:rFonts w:ascii="Times New Roman" w:hAnsi="Times New Roman" w:cs="Times New Roman" w:eastAsia="Times New Roman" w:hint="default"/>
          <w:spacing w:val="-1"/>
        </w:rPr>
        <w:t>1,055,803</w:t>
      </w:r>
      <w:r>
        <w:rPr>
          <w:spacing w:val="-1"/>
        </w:rPr>
        <w:t>股（含已解锁和回购注销），调整后预留授予的限制</w:t>
      </w:r>
      <w:r>
        <w:rPr>
          <w:spacing w:val="-82"/>
        </w:rPr>
        <w:t> </w:t>
      </w:r>
      <w:r>
        <w:rPr>
          <w:spacing w:val="-82"/>
        </w:rPr>
      </w:r>
      <w:r>
        <w:rPr/>
        <w:t>性股票的回购价格为</w:t>
      </w:r>
      <w:r>
        <w:rPr>
          <w:rFonts w:ascii="Times New Roman" w:hAnsi="Times New Roman" w:cs="Times New Roman" w:eastAsia="Times New Roman" w:hint="default"/>
        </w:rPr>
        <w:t>16.96</w:t>
      </w:r>
      <w:r>
        <w:rPr/>
        <w:t>元。并同意公司为符合解锁条件的</w:t>
      </w:r>
      <w:r>
        <w:rPr>
          <w:rFonts w:ascii="Times New Roman" w:hAnsi="Times New Roman" w:cs="Times New Roman" w:eastAsia="Times New Roman" w:hint="default"/>
        </w:rPr>
        <w:t>74</w:t>
      </w:r>
      <w:r>
        <w:rPr/>
        <w:t>名激励对象办理解锁事宜，本次解锁的限制性股票解锁数量</w:t>
      </w:r>
      <w:r>
        <w:rPr>
          <w:spacing w:val="-60"/>
        </w:rPr>
        <w:t> </w:t>
      </w:r>
      <w:r>
        <w:rPr>
          <w:spacing w:val="-60"/>
        </w:rPr>
      </w:r>
      <w:r>
        <w:rPr>
          <w:spacing w:val="-3"/>
        </w:rPr>
        <w:t>为</w:t>
      </w:r>
      <w:r>
        <w:rPr>
          <w:rFonts w:ascii="Times New Roman" w:hAnsi="Times New Roman" w:cs="Times New Roman" w:eastAsia="Times New Roman" w:hint="default"/>
          <w:spacing w:val="-3"/>
        </w:rPr>
        <w:t>462,645</w:t>
      </w:r>
      <w:r>
        <w:rPr>
          <w:spacing w:val="-3"/>
        </w:rPr>
        <w:t>股，占限制性股票总数（含预留）的</w:t>
      </w:r>
      <w:r>
        <w:rPr>
          <w:rFonts w:ascii="Times New Roman" w:hAnsi="Times New Roman" w:cs="Times New Roman" w:eastAsia="Times New Roman" w:hint="default"/>
          <w:spacing w:val="-3"/>
        </w:rPr>
        <w:t>5.92%</w:t>
      </w:r>
      <w:r>
        <w:rPr>
          <w:spacing w:val="-3"/>
        </w:rPr>
        <w:t>，占公司股本总额的</w:t>
      </w:r>
      <w:r>
        <w:rPr>
          <w:rFonts w:ascii="Times New Roman" w:hAnsi="Times New Roman" w:cs="Times New Roman" w:eastAsia="Times New Roman" w:hint="default"/>
          <w:spacing w:val="-3"/>
        </w:rPr>
        <w:t>0.10%</w:t>
      </w:r>
      <w:r>
        <w:rPr>
          <w:spacing w:val="-3"/>
        </w:rPr>
        <w:t>。公司独立董事对上述事项发表了独立意见。</w:t>
      </w:r>
      <w:r>
        <w:rPr>
          <w:spacing w:val="-82"/>
        </w:rPr>
        <w:t> </w:t>
      </w:r>
      <w:r>
        <w:rPr>
          <w:spacing w:val="-82"/>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日，公司在中国证券登记结算有限责任公司深圳分公司完成了上述股票解锁，股票流通日为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p>
    <w:p>
      <w:pPr>
        <w:pStyle w:val="BodyText"/>
        <w:spacing w:line="240" w:lineRule="auto" w:before="13"/>
        <w:ind w:right="0"/>
        <w:jc w:val="left"/>
      </w:pPr>
      <w:r>
        <w:rPr/>
        <w:t>日。</w:t>
      </w:r>
    </w:p>
    <w:p>
      <w:pPr>
        <w:pStyle w:val="BodyText"/>
        <w:spacing w:line="309" w:lineRule="auto" w:before="76"/>
        <w:ind w:right="1130"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日，公司第三届董事会第四次会议审议通过了《关于公司限制性股票激励计划首次授予限制性股票第二个解</w:t>
      </w:r>
      <w:r>
        <w:rPr/>
        <w:t> </w:t>
      </w:r>
      <w:r>
        <w:rPr>
          <w:spacing w:val="-2"/>
        </w:rPr>
        <w:t>锁期可解锁的议案》，公司第三届监事会第四次会议审议通过了《关于公司限制性股票激励计划首次授予限制性股票第二个</w:t>
      </w:r>
      <w:r>
        <w:rPr>
          <w:spacing w:val="-66"/>
        </w:rPr>
        <w:t> </w:t>
      </w:r>
      <w:r>
        <w:rPr>
          <w:spacing w:val="-66"/>
        </w:rPr>
      </w:r>
      <w:r>
        <w:rPr>
          <w:spacing w:val="-2"/>
        </w:rPr>
        <w:t>解锁期可解锁激励对象名单的议案》。同意公司按照《激励计划》及《管理办法》的相关规定办理首次授予限制性股票第二</w:t>
      </w:r>
      <w:r>
        <w:rPr>
          <w:spacing w:val="-69"/>
        </w:rPr>
        <w:t> </w:t>
      </w:r>
      <w:r>
        <w:rPr>
          <w:spacing w:val="-69"/>
        </w:rPr>
      </w:r>
      <w:r>
        <w:rPr/>
        <w:t>个解锁期解锁的相关事宜，本次符合解锁条件的激励对象共计</w:t>
      </w:r>
      <w:r>
        <w:rPr>
          <w:rFonts w:ascii="Times New Roman" w:hAnsi="Times New Roman" w:cs="Times New Roman" w:eastAsia="Times New Roman" w:hint="default"/>
        </w:rPr>
        <w:t>61</w:t>
      </w:r>
      <w:r>
        <w:rPr/>
        <w:t>人，可申请解锁并上市流通的限制性股票数量为</w:t>
      </w:r>
      <w:r>
        <w:rPr>
          <w:rFonts w:ascii="Times New Roman" w:hAnsi="Times New Roman" w:cs="Times New Roman" w:eastAsia="Times New Roman" w:hint="default"/>
        </w:rPr>
        <w:t>2,708,016</w:t>
      </w:r>
      <w:r>
        <w:rPr>
          <w:rFonts w:ascii="Times New Roman" w:hAnsi="Times New Roman" w:cs="Times New Roman" w:eastAsia="Times New Roman" w:hint="default"/>
          <w:spacing w:val="1"/>
        </w:rPr>
        <w:t> </w:t>
      </w:r>
      <w:r>
        <w:rPr/>
        <w:t>股，占目前限制性股票总数（含预留）的</w:t>
      </w:r>
      <w:r>
        <w:rPr>
          <w:rFonts w:ascii="Times New Roman" w:hAnsi="Times New Roman" w:cs="Times New Roman" w:eastAsia="Times New Roman" w:hint="default"/>
        </w:rPr>
        <w:t>36.86%</w:t>
      </w:r>
      <w:r>
        <w:rPr/>
        <w:t>，占目前公司股本总额的</w:t>
      </w:r>
      <w:r>
        <w:rPr>
          <w:rFonts w:ascii="Times New Roman" w:hAnsi="Times New Roman" w:cs="Times New Roman" w:eastAsia="Times New Roman" w:hint="default"/>
        </w:rPr>
        <w:t>0.60%</w:t>
      </w:r>
      <w:r>
        <w:rPr/>
        <w:t>。</w:t>
      </w:r>
    </w:p>
    <w:p>
      <w:pPr>
        <w:pStyle w:val="BodyText"/>
        <w:spacing w:line="300" w:lineRule="auto" w:before="5"/>
        <w:ind w:left="113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日，公司在中国证券登记结算有限责任公司深圳分公司完成了首次授予限制性股票第二个解锁期，股票流 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日。本次解锁的限制性股票解锁数量为</w:t>
      </w:r>
      <w:r>
        <w:rPr>
          <w:rFonts w:ascii="Times New Roman" w:hAnsi="Times New Roman" w:cs="Times New Roman" w:eastAsia="Times New Roman" w:hint="default"/>
        </w:rPr>
        <w:t>2,708,016</w:t>
      </w:r>
      <w:r>
        <w:rPr/>
        <w:t>股，占公司股本总额的</w:t>
      </w:r>
      <w:r>
        <w:rPr>
          <w:rFonts w:ascii="Times New Roman" w:hAnsi="Times New Roman" w:cs="Times New Roman" w:eastAsia="Times New Roman" w:hint="default"/>
        </w:rPr>
        <w:t>0.60%</w:t>
      </w:r>
      <w:r>
        <w:rPr/>
        <w:t>；本次可上市流通的限制</w:t>
      </w:r>
      <w:r>
        <w:rPr>
          <w:spacing w:val="-19"/>
        </w:rPr>
        <w:t> </w:t>
      </w:r>
      <w:r>
        <w:rPr>
          <w:spacing w:val="-19"/>
        </w:rPr>
      </w:r>
      <w:r>
        <w:rPr/>
        <w:t>性股票数量为</w:t>
      </w:r>
      <w:r>
        <w:rPr>
          <w:rFonts w:ascii="Times New Roman" w:hAnsi="Times New Roman" w:cs="Times New Roman" w:eastAsia="Times New Roman" w:hint="default"/>
        </w:rPr>
        <w:t>2,307,469</w:t>
      </w:r>
      <w:r>
        <w:rPr/>
        <w:t>股，占公司股本总额的</w:t>
      </w:r>
      <w:r>
        <w:rPr>
          <w:rFonts w:ascii="Times New Roman" w:hAnsi="Times New Roman" w:cs="Times New Roman" w:eastAsia="Times New Roman" w:hint="default"/>
        </w:rPr>
        <w:t>0.51%</w:t>
      </w:r>
      <w:r>
        <w:rPr/>
        <w:t>。</w:t>
      </w:r>
    </w:p>
    <w:p>
      <w:pPr>
        <w:pStyle w:val="BodyText"/>
        <w:spacing w:line="300" w:lineRule="auto" w:before="13"/>
        <w:ind w:right="113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日，公司第三届董事会第八次会议审议通过《关于回购注销部分激励对象已获授但尚未解锁限制性股票并</w:t>
      </w:r>
      <w:r>
        <w:rPr/>
        <w:t> </w:t>
      </w:r>
      <w:r>
        <w:rPr>
          <w:spacing w:val="-5"/>
        </w:rPr>
        <w:t>修改公司章程相关条款的议案》，鉴于韩喜龙等</w:t>
      </w:r>
      <w:r>
        <w:rPr>
          <w:rFonts w:ascii="Times New Roman" w:hAnsi="Times New Roman" w:cs="Times New Roman" w:eastAsia="Times New Roman" w:hint="default"/>
          <w:spacing w:val="-5"/>
        </w:rPr>
        <w:t>6</w:t>
      </w:r>
      <w:r>
        <w:rPr>
          <w:spacing w:val="-5"/>
        </w:rPr>
        <w:t>名激励对象已离职，侯胜利等</w:t>
      </w:r>
      <w:r>
        <w:rPr>
          <w:rFonts w:ascii="Times New Roman" w:hAnsi="Times New Roman" w:cs="Times New Roman" w:eastAsia="Times New Roman" w:hint="default"/>
          <w:spacing w:val="-5"/>
        </w:rPr>
        <w:t>3</w:t>
      </w:r>
      <w:r>
        <w:rPr>
          <w:spacing w:val="-5"/>
        </w:rPr>
        <w:t>名激励对象未能完成</w:t>
      </w:r>
      <w:r>
        <w:rPr>
          <w:rFonts w:ascii="Times New Roman" w:hAnsi="Times New Roman" w:cs="Times New Roman" w:eastAsia="Times New Roman" w:hint="default"/>
          <w:spacing w:val="-5"/>
        </w:rPr>
        <w:t>2015</w:t>
      </w:r>
      <w:r>
        <w:rPr>
          <w:spacing w:val="-5"/>
        </w:rPr>
        <w:t>年度业绩考核目标，</w:t>
      </w:r>
      <w:r>
        <w:rPr>
          <w:spacing w:val="-64"/>
        </w:rPr>
        <w:t> </w:t>
      </w:r>
      <w:r>
        <w:rPr/>
        <w:t>涉及未解锁限制性股票合计</w:t>
      </w:r>
      <w:r>
        <w:rPr>
          <w:rFonts w:ascii="Times New Roman" w:hAnsi="Times New Roman" w:cs="Times New Roman" w:eastAsia="Times New Roman" w:hint="default"/>
        </w:rPr>
        <w:t>321,939</w:t>
      </w:r>
      <w:r>
        <w:rPr/>
        <w:t>股，公司将对上述未解锁限制性股票进行回购注销。公司独立董事对上述事项发表了独</w:t>
      </w:r>
      <w:r>
        <w:rPr>
          <w:spacing w:val="-48"/>
        </w:rPr>
        <w:t> </w:t>
      </w:r>
      <w:r>
        <w:rPr>
          <w:spacing w:val="-48"/>
        </w:rPr>
      </w:r>
      <w:r>
        <w:rPr/>
        <w:t>立意见。</w:t>
      </w:r>
    </w:p>
    <w:p>
      <w:pPr>
        <w:pStyle w:val="BodyText"/>
        <w:spacing w:line="240" w:lineRule="auto" w:before="31"/>
        <w:ind w:left="149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日，公司在中国证券登记结算有限责任公司深圳分公司完成了上述股票回购注销。</w:t>
      </w:r>
    </w:p>
    <w:p>
      <w:pPr>
        <w:pStyle w:val="BodyText"/>
        <w:spacing w:line="312" w:lineRule="auto" w:before="63"/>
        <w:ind w:left="113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日，公司第三届董事会第十六次会议审议通过了《关于公司限制性股票激励计划预留部分限制性股票第二 </w:t>
      </w:r>
      <w:r>
        <w:rPr>
          <w:spacing w:val="-2"/>
        </w:rPr>
        <w:t>个解锁期可解锁的议案》，公司第三届监事会第十四次会议审议通过了《关于公司限制性股票激励计划预留部分限制性股票</w:t>
      </w:r>
      <w:r>
        <w:rPr>
          <w:spacing w:val="-66"/>
        </w:rPr>
        <w:t> </w:t>
      </w:r>
      <w:r>
        <w:rPr>
          <w:spacing w:val="-66"/>
        </w:rPr>
      </w:r>
      <w:r>
        <w:rPr>
          <w:spacing w:val="-2"/>
        </w:rPr>
        <w:t>第二个解锁期可解锁激励对象名单的议案》，同意公司按照《激励计划》及《管理办法》的相关规定办理预留授予的限制性</w:t>
      </w:r>
      <w:r>
        <w:rPr>
          <w:spacing w:val="-70"/>
        </w:rPr>
        <w:t> </w:t>
      </w:r>
      <w:r>
        <w:rPr>
          <w:spacing w:val="-70"/>
        </w:rPr>
      </w:r>
      <w:r>
        <w:rPr/>
        <w:t>股票第二个解锁期解锁的相关事宜。</w:t>
      </w:r>
    </w:p>
    <w:p>
      <w:pPr>
        <w:pStyle w:val="BodyText"/>
        <w:spacing w:line="300" w:lineRule="auto" w:before="22"/>
        <w:ind w:left="1134" w:right="1133" w:firstLine="360"/>
        <w:jc w:val="both"/>
      </w:pPr>
      <w:r>
        <w:rPr/>
        <w:t>本次符合解锁条件的激励对象共计</w:t>
      </w:r>
      <w:r>
        <w:rPr>
          <w:rFonts w:ascii="Times New Roman" w:hAnsi="Times New Roman" w:cs="Times New Roman" w:eastAsia="Times New Roman" w:hint="default"/>
        </w:rPr>
        <w:t>64</w:t>
      </w:r>
      <w:r>
        <w:rPr/>
        <w:t>人，可申请解锁并上市流通的限制性股票数量为</w:t>
      </w:r>
      <w:r>
        <w:rPr>
          <w:rFonts w:ascii="Times New Roman" w:hAnsi="Times New Roman" w:cs="Times New Roman" w:eastAsia="Times New Roman" w:hint="default"/>
        </w:rPr>
        <w:t>407,886</w:t>
      </w:r>
      <w:r>
        <w:rPr/>
        <w:t>股，占目前限制性股票总 数（含预留）的</w:t>
      </w:r>
      <w:r>
        <w:rPr>
          <w:rFonts w:ascii="Times New Roman" w:hAnsi="Times New Roman" w:cs="Times New Roman" w:eastAsia="Times New Roman" w:hint="default"/>
        </w:rPr>
        <w:t>9.45%</w:t>
      </w:r>
      <w:r>
        <w:rPr/>
        <w:t>，占目前公司股本总额的</w:t>
      </w:r>
      <w:r>
        <w:rPr>
          <w:rFonts w:ascii="Times New Roman" w:hAnsi="Times New Roman" w:cs="Times New Roman" w:eastAsia="Times New Roman" w:hint="default"/>
        </w:rPr>
        <w:t>0.09%</w:t>
      </w:r>
      <w:r>
        <w:rPr/>
        <w:t>。</w:t>
      </w:r>
    </w:p>
    <w:p>
      <w:pPr>
        <w:pStyle w:val="BodyText"/>
        <w:spacing w:line="240" w:lineRule="auto" w:before="13"/>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日，公司在中国证券登记结算有限责任公司深圳分公司完成了上述股票解锁，股票流通日为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p>
    <w:p>
      <w:pPr>
        <w:pStyle w:val="BodyText"/>
        <w:spacing w:line="240" w:lineRule="auto" w:before="63"/>
        <w:ind w:left="1134" w:right="0"/>
        <w:jc w:val="left"/>
      </w:pPr>
      <w:r>
        <w:rPr/>
        <w:t>日。</w:t>
      </w:r>
    </w:p>
    <w:p>
      <w:pPr>
        <w:pStyle w:val="BodyText"/>
        <w:spacing w:line="312" w:lineRule="auto" w:before="76"/>
        <w:ind w:left="1134" w:right="1131"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日，公司第三届董事会第十九次会议审议通过了《关于公司限制性股票激励计划首次授予限制性股票第三 </w:t>
      </w:r>
      <w:r>
        <w:rPr>
          <w:spacing w:val="-2"/>
        </w:rPr>
        <w:t>个解锁期可解锁的议案》，公司第三届监事会第十七次会议审议通过了《关于公司限制性股票激励计划首次授予限制性股票</w:t>
      </w:r>
      <w:r>
        <w:rPr>
          <w:spacing w:val="-66"/>
        </w:rPr>
        <w:t> </w:t>
      </w:r>
      <w:r>
        <w:rPr>
          <w:spacing w:val="-66"/>
        </w:rPr>
      </w:r>
      <w:r>
        <w:rPr>
          <w:spacing w:val="-2"/>
        </w:rPr>
        <w:t>第三个解锁期可解锁的议案》，同意公司按照《激励计划》及《管理办法》的相关规定办理首次授予限制性股票第三个解锁</w:t>
      </w:r>
      <w:r>
        <w:rPr>
          <w:spacing w:val="-70"/>
        </w:rPr>
        <w:t> </w:t>
      </w:r>
      <w:r>
        <w:rPr>
          <w:spacing w:val="-70"/>
        </w:rPr>
      </w:r>
      <w:r>
        <w:rPr/>
        <w:t>期解锁的相关事宜。</w:t>
      </w:r>
    </w:p>
    <w:p>
      <w:pPr>
        <w:pStyle w:val="BodyText"/>
        <w:spacing w:line="240" w:lineRule="auto" w:before="22"/>
        <w:ind w:left="142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日，公司在中国证券登记结算有限责任公司深圳分公司完成了上述股票解锁，股票流通日为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p>
    <w:p>
      <w:pPr>
        <w:pStyle w:val="BodyText"/>
        <w:spacing w:line="300" w:lineRule="auto" w:before="63"/>
        <w:ind w:right="1131" w:firstLine="29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日，公司第三届董事会第十九次会议审议通过了《关于回购注销部分激励对象已获授但尚未解锁限制性股 </w:t>
      </w:r>
      <w:r>
        <w:rPr>
          <w:spacing w:val="-2"/>
        </w:rPr>
        <w:t>票并修改公司章程相关条款的议案》，鉴于黄小勇等</w:t>
      </w:r>
      <w:r>
        <w:rPr>
          <w:rFonts w:ascii="Times New Roman" w:hAnsi="Times New Roman" w:cs="Times New Roman" w:eastAsia="Times New Roman" w:hint="default"/>
          <w:spacing w:val="-2"/>
        </w:rPr>
        <w:t>6</w:t>
      </w:r>
      <w:r>
        <w:rPr>
          <w:spacing w:val="-2"/>
        </w:rPr>
        <w:t>名激励对象已离职，侯胜利等</w:t>
      </w:r>
      <w:r>
        <w:rPr>
          <w:rFonts w:ascii="Times New Roman" w:hAnsi="Times New Roman" w:cs="Times New Roman" w:eastAsia="Times New Roman" w:hint="default"/>
          <w:spacing w:val="-2"/>
        </w:rPr>
        <w:t>4</w:t>
      </w:r>
      <w:r>
        <w:rPr>
          <w:spacing w:val="-2"/>
        </w:rPr>
        <w:t>名激励对象未能完成年度业绩目标，涉</w:t>
      </w:r>
      <w:r>
        <w:rPr>
          <w:spacing w:val="-65"/>
        </w:rPr>
        <w:t> </w:t>
      </w:r>
      <w:r>
        <w:rPr>
          <w:spacing w:val="-65"/>
        </w:rPr>
      </w:r>
      <w:r>
        <w:rPr>
          <w:spacing w:val="-1"/>
        </w:rPr>
        <w:t>及未解锁限制性股票合计</w:t>
      </w:r>
      <w:r>
        <w:rPr>
          <w:rFonts w:ascii="Times New Roman" w:hAnsi="Times New Roman" w:cs="Times New Roman" w:eastAsia="Times New Roman" w:hint="default"/>
          <w:spacing w:val="-1"/>
        </w:rPr>
        <w:t>78,683</w:t>
      </w:r>
      <w:r>
        <w:rPr>
          <w:spacing w:val="-1"/>
        </w:rPr>
        <w:t>股，公司将对上述未解锁限制性股票进行回购注销，公司独立董事对上述事项发表了独立意</w:t>
      </w:r>
      <w:r>
        <w:rPr>
          <w:spacing w:val="-71"/>
        </w:rPr>
        <w:t> </w:t>
      </w:r>
      <w:r>
        <w:rPr>
          <w:spacing w:val="-71"/>
        </w:rPr>
      </w:r>
      <w:r>
        <w:rPr/>
        <w:t>见。</w:t>
      </w:r>
    </w:p>
    <w:p>
      <w:pPr>
        <w:pStyle w:val="BodyText"/>
        <w:spacing w:line="300" w:lineRule="auto" w:before="31"/>
        <w:ind w:right="1130"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日，公司在中国证券登记结算有限责任公司深圳分公司完成了上述股票回购注销。公司</w:t>
      </w:r>
      <w:r>
        <w:rPr>
          <w:rFonts w:ascii="Times New Roman" w:hAnsi="Times New Roman" w:cs="Times New Roman" w:eastAsia="Times New Roman" w:hint="default"/>
          <w:spacing w:val="-1"/>
        </w:rPr>
        <w:t>2014</w:t>
      </w:r>
      <w:r>
        <w:rPr>
          <w:spacing w:val="-1"/>
        </w:rPr>
        <w:t>年限制性股票</w:t>
      </w:r>
      <w:r>
        <w:rPr/>
        <w:t> 激励计划已全部实施完毕。</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、员工持股计划</w:t>
      </w:r>
      <w:r>
        <w:rPr>
          <w:b w:val="0"/>
          <w:bCs w:val="0"/>
        </w:rPr>
      </w:r>
    </w:p>
    <w:p>
      <w:pPr>
        <w:pStyle w:val="BodyText"/>
        <w:spacing w:line="240" w:lineRule="auto" w:before="101"/>
        <w:ind w:left="0" w:right="1129"/>
        <w:jc w:val="righ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日，公司第三届董事会第十次会议审计通过了《关于回购公司股份用以实施员工持股计划的议案》，</w:t>
      </w:r>
      <w:r>
        <w:rPr>
          <w:rFonts w:ascii="Times New Roman" w:hAnsi="Times New Roman" w:cs="Times New Roman" w:eastAsia="Times New Roman" w:hint="default"/>
        </w:rPr>
        <w:t>2017</w:t>
      </w:r>
    </w:p>
    <w:p>
      <w:pPr>
        <w:pStyle w:val="BodyText"/>
        <w:spacing w:line="240" w:lineRule="auto" w:before="63"/>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2017</w:t>
      </w:r>
      <w:r>
        <w:rPr/>
        <w:t>年第二次临时股东大会审议通过了上述议案。</w:t>
      </w:r>
    </w:p>
    <w:p>
      <w:pPr>
        <w:pStyle w:val="BodyText"/>
        <w:spacing w:line="300" w:lineRule="auto" w:before="63"/>
        <w:ind w:left="1134" w:right="1129" w:firstLine="360"/>
        <w:jc w:val="righ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日，公司第三届董事会第十五次会议审议通过了《关于</w:t>
      </w:r>
      <w:r>
        <w:rPr>
          <w:rFonts w:ascii="Times New Roman" w:hAnsi="Times New Roman" w:cs="Times New Roman" w:eastAsia="Times New Roman" w:hint="default"/>
        </w:rPr>
        <w:t>&lt;</w:t>
      </w:r>
      <w:r>
        <w:rPr/>
        <w:t>任子行网络技术股份有限公司员工持股计划（草 </w:t>
      </w:r>
      <w:r>
        <w:rPr>
          <w:spacing w:val="-1"/>
        </w:rPr>
        <w:t>案）</w:t>
      </w:r>
      <w:r>
        <w:rPr>
          <w:rFonts w:ascii="Times New Roman" w:hAnsi="Times New Roman" w:cs="Times New Roman" w:eastAsia="Times New Roman" w:hint="default"/>
          <w:spacing w:val="-1"/>
        </w:rPr>
        <w:t>&gt;</w:t>
      </w:r>
      <w:r>
        <w:rPr>
          <w:spacing w:val="-1"/>
        </w:rPr>
        <w:t>及其摘要的议案》、《关于</w:t>
      </w:r>
      <w:r>
        <w:rPr>
          <w:rFonts w:ascii="Times New Roman" w:hAnsi="Times New Roman" w:cs="Times New Roman" w:eastAsia="Times New Roman" w:hint="default"/>
          <w:spacing w:val="-1"/>
        </w:rPr>
        <w:t>&lt;</w:t>
      </w:r>
      <w:r>
        <w:rPr>
          <w:spacing w:val="-1"/>
        </w:rPr>
        <w:t>任子行网络技术股份有限公司员工持股计划管理办法</w:t>
      </w:r>
      <w:r>
        <w:rPr>
          <w:rFonts w:ascii="Times New Roman" w:hAnsi="Times New Roman" w:cs="Times New Roman" w:eastAsia="Times New Roman" w:hint="default"/>
          <w:spacing w:val="-1"/>
        </w:rPr>
        <w:t>&gt;</w:t>
      </w:r>
      <w:r>
        <w:rPr>
          <w:spacing w:val="-1"/>
        </w:rPr>
        <w:t>的议案》、《关于提请股东大会授</w:t>
      </w:r>
      <w:r>
        <w:rPr>
          <w:spacing w:val="-84"/>
        </w:rPr>
        <w:t> </w:t>
      </w:r>
      <w:r>
        <w:rPr>
          <w:spacing w:val="-84"/>
        </w:rPr>
      </w:r>
      <w:r>
        <w:rPr>
          <w:spacing w:val="-3"/>
        </w:rPr>
        <w:t>权董事会办理公司员工持股计划相关事宜的议案》。</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日，上述事项经公司</w:t>
      </w:r>
      <w:r>
        <w:rPr>
          <w:rFonts w:ascii="Times New Roman" w:hAnsi="Times New Roman" w:cs="Times New Roman" w:eastAsia="Times New Roman" w:hint="default"/>
          <w:spacing w:val="-3"/>
        </w:rPr>
        <w:t>2017</w:t>
      </w:r>
      <w:r>
        <w:rPr>
          <w:spacing w:val="-3"/>
        </w:rPr>
        <w:t>年第五次临时股东大会审议通过。</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日，结合员工持股计划在实施过程中的实际情况，公司第三届董事会第十六次会议审议通过了《关于</w:t>
      </w:r>
      <w:r>
        <w:rPr>
          <w:rFonts w:ascii="Times New Roman" w:hAnsi="Times New Roman" w:cs="Times New Roman" w:eastAsia="Times New Roman" w:hint="default"/>
        </w:rPr>
        <w:t>&lt;</w:t>
      </w:r>
      <w:r>
        <w:rPr/>
        <w:t>任 子行网络技术股份有限公司员工持股计划（草案修订稿）及其摘要（修订稿）的议案</w:t>
      </w:r>
      <w:r>
        <w:rPr>
          <w:rFonts w:ascii="Times New Roman" w:hAnsi="Times New Roman" w:cs="Times New Roman" w:eastAsia="Times New Roman" w:hint="default"/>
        </w:rPr>
        <w:t>&gt;</w:t>
      </w:r>
      <w:r>
        <w:rPr/>
        <w:t>》、《关于</w:t>
      </w:r>
      <w:r>
        <w:rPr>
          <w:rFonts w:ascii="Times New Roman" w:hAnsi="Times New Roman" w:cs="Times New Roman" w:eastAsia="Times New Roman" w:hint="default"/>
        </w:rPr>
        <w:t>&lt;</w:t>
      </w:r>
      <w:r>
        <w:rPr/>
        <w:t>任子行网络技术股份有</w:t>
      </w:r>
    </w:p>
    <w:p>
      <w:pPr>
        <w:pStyle w:val="BodyText"/>
        <w:spacing w:line="240" w:lineRule="auto" w:before="13"/>
        <w:ind w:left="1134" w:right="0"/>
        <w:jc w:val="left"/>
      </w:pPr>
      <w:r>
        <w:rPr/>
        <w:t>限公司员工持股计划管理办法（修订稿）</w:t>
      </w:r>
      <w:r>
        <w:rPr>
          <w:rFonts w:ascii="Times New Roman" w:hAnsi="Times New Roman" w:cs="Times New Roman" w:eastAsia="Times New Roman" w:hint="default"/>
        </w:rPr>
        <w:t>&gt;</w:t>
      </w:r>
      <w:r>
        <w:rPr/>
        <w:t>的议案》，公司董事会对员工持股计划的部分条款进行调整。</w:t>
      </w:r>
    </w:p>
    <w:p>
      <w:pPr>
        <w:pStyle w:val="BodyText"/>
        <w:spacing w:line="300" w:lineRule="auto" w:before="63"/>
        <w:ind w:left="1134"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日，公司作为委托人（代公司第一期员工持股计划）与国信证券（管理人）、中信银行股份有限公司深圳 分行（托管人）签署了《国信证券任子行员工持股</w:t>
      </w:r>
      <w:r>
        <w:rPr>
          <w:rFonts w:ascii="Times New Roman" w:hAnsi="Times New Roman" w:cs="Times New Roman" w:eastAsia="Times New Roman" w:hint="default"/>
        </w:rPr>
        <w:t>1</w:t>
      </w:r>
      <w:r>
        <w:rPr/>
        <w:t>号定向资产管理计划资产管理合同》。</w:t>
      </w:r>
    </w:p>
    <w:p>
      <w:pPr>
        <w:pStyle w:val="BodyText"/>
        <w:spacing w:line="300" w:lineRule="auto" w:before="13"/>
        <w:ind w:left="1134" w:right="1129" w:firstLine="360"/>
        <w:jc w:val="both"/>
      </w:pPr>
      <w:r>
        <w:rPr>
          <w:rFonts w:ascii="Times New Roman" w:hAnsi="Times New Roman" w:cs="Times New Roman" w:eastAsia="Times New Roman" w:hint="default"/>
          <w:spacing w:val="-2"/>
          <w:w w:val="100"/>
        </w:rPr>
        <w:t>2017</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30</w:t>
      </w:r>
      <w:r>
        <w:rPr>
          <w:spacing w:val="-2"/>
          <w:w w:val="100"/>
        </w:rPr>
        <w:t>日，公司开立的</w:t>
      </w:r>
      <w:r>
        <w:rPr>
          <w:rFonts w:ascii="Times New Roman" w:hAnsi="Times New Roman" w:cs="Times New Roman" w:eastAsia="Times New Roman" w:hint="default"/>
          <w:spacing w:val="-2"/>
          <w:w w:val="100"/>
        </w:rPr>
        <w:t>“</w:t>
      </w:r>
      <w:r>
        <w:rPr>
          <w:spacing w:val="-2"/>
          <w:w w:val="100"/>
        </w:rPr>
        <w:t>任子行网络技术股份有限公司</w:t>
      </w:r>
      <w:r>
        <w:rPr>
          <w:rFonts w:ascii="Times New Roman" w:hAnsi="Times New Roman" w:cs="Times New Roman" w:eastAsia="Times New Roman" w:hint="default"/>
          <w:spacing w:val="-2"/>
          <w:w w:val="100"/>
        </w:rPr>
        <w:t>-</w:t>
      </w:r>
      <w:r>
        <w:rPr>
          <w:spacing w:val="-2"/>
          <w:w w:val="100"/>
        </w:rPr>
        <w:t>第</w:t>
      </w:r>
      <w:r>
        <w:rPr>
          <w:rFonts w:ascii="Times New Roman" w:hAnsi="Times New Roman" w:cs="Times New Roman" w:eastAsia="Times New Roman" w:hint="default"/>
          <w:spacing w:val="-2"/>
          <w:w w:val="100"/>
        </w:rPr>
        <w:t>1</w:t>
      </w:r>
      <w:r>
        <w:rPr>
          <w:spacing w:val="-2"/>
          <w:w w:val="100"/>
        </w:rPr>
        <w:t>期员工持股计划</w:t>
      </w:r>
      <w:r>
        <w:rPr>
          <w:rFonts w:ascii="Times New Roman" w:hAnsi="Times New Roman" w:cs="Times New Roman" w:eastAsia="Times New Roman" w:hint="default"/>
          <w:spacing w:val="-2"/>
          <w:w w:val="100"/>
        </w:rPr>
        <w:t>”</w:t>
      </w:r>
      <w:r>
        <w:rPr>
          <w:spacing w:val="-2"/>
          <w:w w:val="100"/>
        </w:rPr>
        <w:t>专用证券账户以公司回购成本价</w:t>
      </w:r>
      <w:r>
        <w:rPr>
          <w:rFonts w:ascii="Times New Roman" w:hAnsi="Times New Roman" w:cs="Times New Roman" w:eastAsia="Times New Roman" w:hint="default"/>
          <w:spacing w:val="-2"/>
          <w:w w:val="100"/>
        </w:rPr>
        <w:t>17.099</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t>股受让了公司回购专用账户已回购的</w:t>
      </w:r>
      <w:r>
        <w:rPr>
          <w:rFonts w:ascii="Times New Roman" w:hAnsi="Times New Roman" w:cs="Times New Roman" w:eastAsia="Times New Roman" w:hint="default"/>
        </w:rPr>
        <w:t>5,847,069</w:t>
      </w:r>
      <w:r>
        <w:rPr/>
        <w:t>股标的股票，并通过中国证券登记结算有限责任公司深圳分公司办理完成</w:t>
      </w:r>
      <w:r>
        <w:rPr>
          <w:spacing w:val="-51"/>
        </w:rPr>
        <w:t> </w:t>
      </w:r>
      <w:r>
        <w:rPr>
          <w:spacing w:val="-51"/>
        </w:rPr>
      </w:r>
      <w:r>
        <w:rPr/>
        <w:t>了过户手续，公司员工持股计划的标的股票过户完毕。</w:t>
      </w:r>
    </w:p>
    <w:p>
      <w:pPr>
        <w:pStyle w:val="BodyText"/>
        <w:spacing w:line="240" w:lineRule="auto" w:before="31"/>
        <w:ind w:left="1494" w:right="0"/>
        <w:jc w:val="left"/>
      </w:pPr>
      <w:r>
        <w:rPr/>
        <w:t>具体内容详见公司在创业板指定信息披露网站巨潮资讯网（</w:t>
      </w:r>
      <w:hyperlink r:id="rId11">
        <w:r>
          <w:rPr>
            <w:rFonts w:ascii="Times New Roman" w:hAnsi="Times New Roman" w:cs="Times New Roman" w:eastAsia="Times New Roman" w:hint="default"/>
          </w:rPr>
          <w:t>www.cninfo.com.cn</w:t>
        </w:r>
      </w:hyperlink>
      <w:r>
        <w:rPr/>
        <w:t>）上的相关披露。</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76"/>
        <w:gridCol w:w="445"/>
        <w:gridCol w:w="947"/>
        <w:gridCol w:w="890"/>
        <w:gridCol w:w="1298"/>
        <w:gridCol w:w="1057"/>
        <w:gridCol w:w="1037"/>
        <w:gridCol w:w="1052"/>
        <w:gridCol w:w="790"/>
        <w:gridCol w:w="783"/>
      </w:tblGrid>
      <w:tr>
        <w:trPr>
          <w:trHeight w:val="40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4" w:right="45"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4" w:right="45"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5,000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9" w:hRule="exact"/>
        </w:trPr>
        <w:tc>
          <w:tcPr>
            <w:tcW w:w="26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398"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81" w:right="134"/>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vMerge/>
            <w:tcBorders>
              <w:left w:val="single" w:sz="4" w:space="0" w:color="000000"/>
              <w:right w:val="single" w:sz="4" w:space="0" w:color="000000"/>
            </w:tcBorders>
            <w:shd w:val="clear" w:color="auto" w:fill="D2D2D2"/>
          </w:tcPr>
          <w:p>
            <w:pPr/>
          </w:p>
        </w:tc>
        <w:tc>
          <w:tcPr>
            <w:tcW w:w="8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1" w:hRule="exact"/>
        </w:trPr>
        <w:tc>
          <w:tcPr>
            <w:tcW w:w="17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47" w:type="dxa"/>
            <w:vMerge/>
            <w:tcBorders>
              <w:left w:val="single" w:sz="4" w:space="0" w:color="000000"/>
              <w:bottom w:val="single" w:sz="4" w:space="0" w:color="000000"/>
              <w:right w:val="single" w:sz="4" w:space="0" w:color="000000"/>
            </w:tcBorders>
            <w:shd w:val="clear" w:color="auto" w:fill="D2D2D2"/>
          </w:tcPr>
          <w:p>
            <w:pPr/>
          </w:p>
        </w:tc>
        <w:tc>
          <w:tcPr>
            <w:tcW w:w="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709"/>
        <w:gridCol w:w="897"/>
        <w:gridCol w:w="925"/>
        <w:gridCol w:w="1319"/>
        <w:gridCol w:w="1038"/>
        <w:gridCol w:w="1048"/>
        <w:gridCol w:w="1051"/>
        <w:gridCol w:w="786"/>
        <w:gridCol w:w="79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7"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7"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1"/>
        <w:ind w:left="1134" w:right="805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9"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3,553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3,553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公司报告年度暂未开展精准扶贫工作，也暂无后续精准扶贫计划。</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、产业投资基金进展</w:t>
      </w:r>
    </w:p>
    <w:p>
      <w:pPr>
        <w:pStyle w:val="BodyText"/>
        <w:spacing w:line="300" w:lineRule="auto" w:before="63"/>
        <w:ind w:right="1130"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日召开第三届董事会第五次会议，审议通过了《关于与关联方共同设立产业投资基金暨关联交 </w:t>
      </w:r>
      <w:r>
        <w:rPr>
          <w:spacing w:val="-2"/>
        </w:rPr>
        <w:t>易的议案》，同意公司使用自有资金与其他合伙人共同发起成立信息安全产业基金、文化创意产业基金，该议案于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2016</w:t>
      </w:r>
      <w:r>
        <w:rPr/>
        <w:t>年第二次临时股东大会审议通过。截至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日，信息安全产业基金与文化创意产业基金陆续完成 工商注册登记手续。</w:t>
      </w:r>
    </w:p>
    <w:p>
      <w:pPr>
        <w:pStyle w:val="BodyText"/>
        <w:spacing w:line="300" w:lineRule="auto" w:before="31"/>
        <w:ind w:left="1134" w:right="1184" w:firstLine="360"/>
        <w:jc w:val="both"/>
      </w:pPr>
      <w:r>
        <w:rPr/>
        <w:t>报告期内，信息安全产业基金已投资</w:t>
      </w:r>
      <w:r>
        <w:rPr>
          <w:rFonts w:ascii="Times New Roman" w:hAnsi="Times New Roman" w:cs="Times New Roman" w:eastAsia="Times New Roman" w:hint="default"/>
        </w:rPr>
        <w:t>3</w:t>
      </w:r>
      <w:r>
        <w:rPr/>
        <w:t>个项目，文化创意产业基金已投资</w:t>
      </w:r>
      <w:r>
        <w:rPr>
          <w:rFonts w:ascii="Times New Roman" w:hAnsi="Times New Roman" w:cs="Times New Roman" w:eastAsia="Times New Roman" w:hint="default"/>
        </w:rPr>
        <w:t>1</w:t>
      </w:r>
      <w:r>
        <w:rPr/>
        <w:t>个项目，累计投资总额为</w:t>
      </w:r>
      <w:r>
        <w:rPr>
          <w:rFonts w:ascii="Times New Roman" w:hAnsi="Times New Roman" w:cs="Times New Roman" w:eastAsia="Times New Roman" w:hint="default"/>
        </w:rPr>
        <w:t>5,600</w:t>
      </w:r>
      <w:r>
        <w:rPr/>
        <w:t>万元人民币， 投资项目情况如下：</w:t>
      </w:r>
    </w:p>
    <w:tbl>
      <w:tblPr>
        <w:tblW w:w="0" w:type="auto"/>
        <w:jc w:val="left"/>
        <w:tblInd w:w="1126" w:type="dxa"/>
        <w:tblLayout w:type="fixed"/>
        <w:tblCellMar>
          <w:top w:w="0" w:type="dxa"/>
          <w:left w:w="0" w:type="dxa"/>
          <w:bottom w:w="0" w:type="dxa"/>
          <w:right w:w="0" w:type="dxa"/>
        </w:tblCellMar>
        <w:tblLook w:val="01E0"/>
      </w:tblPr>
      <w:tblGrid>
        <w:gridCol w:w="3525"/>
        <w:gridCol w:w="1643"/>
        <w:gridCol w:w="1664"/>
        <w:gridCol w:w="3023"/>
      </w:tblGrid>
      <w:tr>
        <w:trPr>
          <w:trHeight w:val="426" w:hRule="exact"/>
        </w:trPr>
        <w:tc>
          <w:tcPr>
            <w:tcW w:w="3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标的公司名称</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投资成本（单位：万元）</w:t>
            </w:r>
          </w:p>
        </w:tc>
      </w:tr>
      <w:tr>
        <w:trPr>
          <w:trHeight w:val="427" w:hRule="exact"/>
        </w:trPr>
        <w:tc>
          <w:tcPr>
            <w:tcW w:w="3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北京上元信安技术有限公司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防火墙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1,600</w:t>
            </w:r>
          </w:p>
        </w:tc>
      </w:tr>
      <w:tr>
        <w:trPr>
          <w:trHeight w:val="427" w:hRule="exact"/>
        </w:trPr>
        <w:tc>
          <w:tcPr>
            <w:tcW w:w="3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湖南合天智汇信息技术有限公司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安全攻防</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2,000</w:t>
            </w:r>
          </w:p>
        </w:tc>
      </w:tr>
      <w:tr>
        <w:trPr>
          <w:trHeight w:val="427" w:hRule="exact"/>
        </w:trPr>
        <w:tc>
          <w:tcPr>
            <w:tcW w:w="3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深圳前海中电慧安科技有限公司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移动网产品</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2017.9</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3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海南腾鼎科技有限公司</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游戏研发</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2017.9</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68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5,600</w:t>
            </w:r>
          </w:p>
        </w:tc>
      </w:tr>
    </w:tbl>
    <w:p>
      <w:pPr>
        <w:pStyle w:val="BodyText"/>
        <w:spacing w:line="309" w:lineRule="auto" w:before="31"/>
        <w:ind w:left="1134"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日，公司第二届董事会第二十三次会议审议通过了《关于参与投资上海创稷投资中心（有限合伙）的议 </w:t>
      </w:r>
      <w:r>
        <w:rPr>
          <w:spacing w:val="-5"/>
        </w:rPr>
        <w:t>案》，同意公司与上海昶创投资管理合伙企业（有限合伙）及其他有限合伙人共同发起设立上海创稷投资中心（有限合伙），</w:t>
      </w:r>
      <w:r>
        <w:rPr>
          <w:spacing w:val="-82"/>
        </w:rPr>
        <w:t> </w:t>
      </w:r>
      <w:r>
        <w:rPr>
          <w:spacing w:val="-82"/>
        </w:rPr>
      </w:r>
      <w:r>
        <w:rPr/>
        <w:t>公司已缴纳出资人民币</w:t>
      </w:r>
      <w:r>
        <w:rPr>
          <w:rFonts w:ascii="Times New Roman" w:hAnsi="Times New Roman" w:cs="Times New Roman" w:eastAsia="Times New Roman" w:hint="default"/>
        </w:rPr>
        <w:t>2,500</w:t>
      </w:r>
      <w:r>
        <w:rPr/>
        <w:t>万元。</w:t>
      </w:r>
    </w:p>
    <w:p>
      <w:pPr>
        <w:pStyle w:val="BodyText"/>
        <w:spacing w:line="240" w:lineRule="auto" w:before="46"/>
        <w:ind w:left="149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日，创稷投资已投资</w:t>
      </w:r>
      <w:r>
        <w:rPr>
          <w:rFonts w:ascii="Times New Roman" w:hAnsi="Times New Roman" w:cs="Times New Roman" w:eastAsia="Times New Roman" w:hint="default"/>
        </w:rPr>
        <w:t>28</w:t>
      </w:r>
      <w:r>
        <w:rPr/>
        <w:t>个项目，报告期内新增投资</w:t>
      </w:r>
      <w:r>
        <w:rPr>
          <w:rFonts w:ascii="Times New Roman" w:hAnsi="Times New Roman" w:cs="Times New Roman" w:eastAsia="Times New Roman" w:hint="default"/>
        </w:rPr>
        <w:t>7</w:t>
      </w:r>
      <w:r>
        <w:rPr/>
        <w:t>个项目，具体为：</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510"/>
        <w:gridCol w:w="1702"/>
        <w:gridCol w:w="1700"/>
        <w:gridCol w:w="2943"/>
      </w:tblGrid>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投资成本（单位：万元）</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北京蓝海讯通科技股份有限公司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7,433</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北京北森云计算股份有限公司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12,920</w:t>
            </w:r>
          </w:p>
        </w:tc>
      </w:tr>
      <w:tr>
        <w:trPr>
          <w:trHeight w:val="73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1117" w:right="56" w:hanging="1062"/>
              <w:jc w:val="left"/>
              <w:rPr>
                <w:rFonts w:ascii="宋体" w:hAnsi="宋体" w:cs="宋体" w:eastAsia="宋体" w:hint="default"/>
                <w:sz w:val="18"/>
                <w:szCs w:val="18"/>
              </w:rPr>
            </w:pPr>
            <w:r>
              <w:rPr>
                <w:rFonts w:ascii="宋体" w:hAnsi="宋体" w:cs="宋体" w:eastAsia="宋体" w:hint="default"/>
                <w:sz w:val="18"/>
                <w:szCs w:val="18"/>
              </w:rPr>
              <w:t>北京众鸣世纪科技有限公司</w:t>
            </w:r>
            <w:r>
              <w:rPr>
                <w:rFonts w:ascii="Times New Roman" w:hAnsi="Times New Roman" w:cs="Times New Roman" w:eastAsia="Times New Roman" w:hint="default"/>
                <w:sz w:val="18"/>
                <w:szCs w:val="18"/>
              </w:rPr>
              <w:t>&amp;</w:t>
            </w:r>
            <w:r>
              <w:rPr>
                <w:rFonts w:ascii="宋体" w:hAnsi="宋体" w:cs="宋体" w:eastAsia="宋体" w:hint="default"/>
                <w:sz w:val="18"/>
                <w:szCs w:val="18"/>
              </w:rPr>
              <w:t>北京宝宝树市 场顾问有限公司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万仕道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管理咨询有限公司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13,126</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广州机智云物联网科技有限公司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3,410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石家庄禾柏生物技术股份有限公司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医疗健康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3,900</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北京协力筑成金融信息服务股份有限公司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8,261</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北京微播易科技股份有限公司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美味不用等</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深圳市天方达健信科技有限公司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医疗健康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510"/>
        <w:gridCol w:w="1702"/>
        <w:gridCol w:w="1700"/>
        <w:gridCol w:w="2943"/>
      </w:tblGrid>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成都超有爱科技有限公司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0" w:right="0"/>
              <w:jc w:val="left"/>
              <w:rPr>
                <w:rFonts w:ascii="Times New Roman" w:hAnsi="Times New Roman" w:cs="Times New Roman" w:eastAsia="Times New Roman" w:hint="default"/>
                <w:sz w:val="18"/>
                <w:szCs w:val="18"/>
              </w:rPr>
            </w:pPr>
            <w:r>
              <w:rPr>
                <w:rFonts w:ascii="Times New Roman"/>
                <w:sz w:val="18"/>
              </w:rPr>
              <w:t>2015.12</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4,326</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北京宝库在线网络技术有限公司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0" w:right="0"/>
              <w:jc w:val="left"/>
              <w:rPr>
                <w:rFonts w:ascii="Times New Roman" w:hAnsi="Times New Roman" w:cs="Times New Roman" w:eastAsia="Times New Roman" w:hint="default"/>
                <w:sz w:val="18"/>
                <w:szCs w:val="18"/>
              </w:rPr>
            </w:pPr>
            <w:r>
              <w:rPr>
                <w:rFonts w:ascii="Times New Roman"/>
                <w:sz w:val="18"/>
              </w:rPr>
              <w:t>2015.12</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3,408</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北京永洪商智科技有限公司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95" w:right="0"/>
              <w:jc w:val="left"/>
              <w:rPr>
                <w:rFonts w:ascii="Times New Roman" w:hAnsi="Times New Roman" w:cs="Times New Roman" w:eastAsia="Times New Roman" w:hint="default"/>
                <w:sz w:val="18"/>
                <w:szCs w:val="18"/>
              </w:rPr>
            </w:pPr>
            <w:r>
              <w:rPr>
                <w:rFonts w:ascii="Times New Roman"/>
                <w:sz w:val="18"/>
              </w:rPr>
              <w:t>2016.1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59"/>
              <w:jc w:val="right"/>
              <w:rPr>
                <w:rFonts w:ascii="Times New Roman" w:hAnsi="Times New Roman" w:cs="Times New Roman" w:eastAsia="Times New Roman" w:hint="default"/>
                <w:sz w:val="18"/>
                <w:szCs w:val="18"/>
              </w:rPr>
            </w:pPr>
            <w:r>
              <w:rPr>
                <w:rFonts w:ascii="Times New Roman"/>
                <w:sz w:val="18"/>
              </w:rPr>
              <w:t>3,692</w:t>
            </w:r>
          </w:p>
        </w:tc>
      </w:tr>
      <w:tr>
        <w:trPr>
          <w:trHeight w:val="42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北京京东金融科技控股有限公司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2016.2</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15"/>
              <w:jc w:val="right"/>
              <w:rPr>
                <w:rFonts w:ascii="Times New Roman" w:hAnsi="Times New Roman" w:cs="Times New Roman" w:eastAsia="Times New Roman" w:hint="default"/>
                <w:sz w:val="18"/>
                <w:szCs w:val="18"/>
              </w:rPr>
            </w:pPr>
            <w:r>
              <w:rPr>
                <w:rFonts w:ascii="Times New Roman"/>
                <w:sz w:val="18"/>
              </w:rPr>
              <w:t>20,000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深圳市活力天汇科技有限公司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2016.4</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北京链家房地产经纪有限公司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2016.4</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15"/>
              <w:jc w:val="right"/>
              <w:rPr>
                <w:rFonts w:ascii="Times New Roman" w:hAnsi="Times New Roman" w:cs="Times New Roman" w:eastAsia="Times New Roman" w:hint="default"/>
                <w:sz w:val="18"/>
                <w:szCs w:val="18"/>
              </w:rPr>
            </w:pPr>
            <w:r>
              <w:rPr>
                <w:rFonts w:ascii="Times New Roman"/>
                <w:sz w:val="18"/>
              </w:rPr>
              <w:t>20,107</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北京尚德在线教育科技有限公司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2016.6</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8,000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东阳留白影视文化有限公司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2016.6</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15"/>
              <w:jc w:val="right"/>
              <w:rPr>
                <w:rFonts w:ascii="Times New Roman" w:hAnsi="Times New Roman" w:cs="Times New Roman" w:eastAsia="Times New Roman" w:hint="default"/>
                <w:sz w:val="18"/>
                <w:szCs w:val="18"/>
              </w:rPr>
            </w:pPr>
            <w:r>
              <w:rPr>
                <w:rFonts w:ascii="Times New Roman"/>
                <w:sz w:val="18"/>
              </w:rPr>
              <w:t>15,110</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厦门美柚信息科技有限公司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95" w:right="0"/>
              <w:jc w:val="left"/>
              <w:rPr>
                <w:rFonts w:ascii="Times New Roman" w:hAnsi="Times New Roman" w:cs="Times New Roman" w:eastAsia="Times New Roman" w:hint="default"/>
                <w:sz w:val="18"/>
                <w:szCs w:val="18"/>
              </w:rPr>
            </w:pPr>
            <w:r>
              <w:rPr>
                <w:rFonts w:ascii="Times New Roman"/>
                <w:sz w:val="18"/>
              </w:rPr>
              <w:t>2016.8</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15"/>
              <w:jc w:val="right"/>
              <w:rPr>
                <w:rFonts w:ascii="Times New Roman" w:hAnsi="Times New Roman" w:cs="Times New Roman" w:eastAsia="Times New Roman" w:hint="default"/>
                <w:sz w:val="18"/>
                <w:szCs w:val="18"/>
              </w:rPr>
            </w:pPr>
            <w:r>
              <w:rPr>
                <w:rFonts w:ascii="Times New Roman"/>
                <w:sz w:val="18"/>
              </w:rPr>
              <w:t>13,000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北京易掌云峰科技有限公司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2016.9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8,000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车好多旧机动车经纪（北京）有限公司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2017.4</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15"/>
              <w:jc w:val="right"/>
              <w:rPr>
                <w:rFonts w:ascii="Times New Roman" w:hAnsi="Times New Roman" w:cs="Times New Roman" w:eastAsia="Times New Roman" w:hint="default"/>
                <w:sz w:val="18"/>
                <w:szCs w:val="18"/>
              </w:rPr>
            </w:pPr>
            <w:r>
              <w:rPr>
                <w:rFonts w:ascii="Times New Roman"/>
                <w:sz w:val="18"/>
              </w:rPr>
              <w:t>13,778</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北京优帆科技有限公司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2017.7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5,957</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深圳市五谷网络科技有限公司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2017.7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4,068</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震坤行工业超市（上海）有限公司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2017.8</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5,000</w:t>
            </w:r>
          </w:p>
        </w:tc>
      </w:tr>
      <w:tr>
        <w:trPr>
          <w:trHeight w:val="426"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江苏传智播客教育科技股份有限公司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95" w:right="0"/>
              <w:jc w:val="left"/>
              <w:rPr>
                <w:rFonts w:ascii="Times New Roman" w:hAnsi="Times New Roman" w:cs="Times New Roman" w:eastAsia="Times New Roman" w:hint="default"/>
                <w:sz w:val="18"/>
                <w:szCs w:val="18"/>
              </w:rPr>
            </w:pPr>
            <w:r>
              <w:rPr>
                <w:rFonts w:ascii="Times New Roman"/>
                <w:sz w:val="18"/>
              </w:rPr>
              <w:t>2017.8</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15"/>
              <w:jc w:val="right"/>
              <w:rPr>
                <w:rFonts w:ascii="Times New Roman" w:hAnsi="Times New Roman" w:cs="Times New Roman" w:eastAsia="Times New Roman" w:hint="default"/>
                <w:sz w:val="18"/>
                <w:szCs w:val="18"/>
              </w:rPr>
            </w:pPr>
            <w:r>
              <w:rPr>
                <w:rFonts w:ascii="Times New Roman"/>
                <w:sz w:val="18"/>
              </w:rPr>
              <w:t>1,1932</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上海香蕉计划电子游戏有限公司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2017.9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6,300</w:t>
            </w:r>
          </w:p>
        </w:tc>
      </w:tr>
      <w:tr>
        <w:trPr>
          <w:trHeight w:val="42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深圳市友睦口腔股份有限公司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医疗健康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0" w:right="0"/>
              <w:jc w:val="left"/>
              <w:rPr>
                <w:rFonts w:ascii="Times New Roman" w:hAnsi="Times New Roman" w:cs="Times New Roman" w:eastAsia="Times New Roman" w:hint="default"/>
                <w:sz w:val="18"/>
                <w:szCs w:val="18"/>
              </w:rPr>
            </w:pPr>
            <w:r>
              <w:rPr>
                <w:rFonts w:ascii="Times New Roman"/>
                <w:sz w:val="18"/>
              </w:rPr>
              <w:t>2017.11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9"/>
              <w:jc w:val="right"/>
              <w:rPr>
                <w:rFonts w:ascii="Times New Roman" w:hAnsi="Times New Roman" w:cs="Times New Roman" w:eastAsia="Times New Roman" w:hint="default"/>
                <w:sz w:val="18"/>
                <w:szCs w:val="18"/>
              </w:rPr>
            </w:pPr>
            <w:r>
              <w:rPr>
                <w:rFonts w:ascii="Times New Roman"/>
                <w:sz w:val="18"/>
              </w:rPr>
              <w:t>5,500</w:t>
            </w:r>
          </w:p>
        </w:tc>
      </w:tr>
      <w:tr>
        <w:trPr>
          <w:trHeight w:val="42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北京车和家信息技术有限公司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先进制造</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0" w:right="0"/>
              <w:jc w:val="left"/>
              <w:rPr>
                <w:rFonts w:ascii="Times New Roman" w:hAnsi="Times New Roman" w:cs="Times New Roman" w:eastAsia="Times New Roman" w:hint="default"/>
                <w:sz w:val="18"/>
                <w:szCs w:val="18"/>
              </w:rPr>
            </w:pPr>
            <w:r>
              <w:rPr>
                <w:rFonts w:ascii="Times New Roman"/>
                <w:sz w:val="18"/>
              </w:rPr>
              <w:t>2017.11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15"/>
              <w:jc w:val="righ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6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169"/>
              <w:jc w:val="right"/>
              <w:rPr>
                <w:rFonts w:ascii="Times New Roman" w:hAnsi="Times New Roman" w:cs="Times New Roman" w:eastAsia="Times New Roman" w:hint="default"/>
                <w:sz w:val="18"/>
                <w:szCs w:val="18"/>
              </w:rPr>
            </w:pPr>
            <w:r>
              <w:rPr>
                <w:rFonts w:ascii="Times New Roman"/>
                <w:sz w:val="18"/>
              </w:rPr>
              <w:t>248,228</w:t>
            </w:r>
          </w:p>
        </w:tc>
      </w:tr>
    </w:tbl>
    <w:p>
      <w:pPr>
        <w:pStyle w:val="BodyText"/>
        <w:spacing w:line="302" w:lineRule="auto" w:before="51"/>
        <w:ind w:right="0" w:firstLine="360"/>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w:t>
      </w:r>
      <w:r>
        <w:rPr>
          <w:spacing w:val="-5"/>
        </w:rPr>
        <w:t>日，公司第二届董事会第十六次会议审议通过了《关于以自有资金参与投资设立有限合伙企业的议案》，</w:t>
      </w:r>
      <w:r>
        <w:rPr/>
        <w:t> 同意公司与上海富海万盛投资管理有限公司及其他有限合伙人共同发起设立富海永成，公司已缴纳出资人民币</w:t>
      </w:r>
      <w:r>
        <w:rPr>
          <w:rFonts w:ascii="Times New Roman" w:hAnsi="Times New Roman" w:cs="Times New Roman" w:eastAsia="Times New Roman" w:hint="default"/>
        </w:rPr>
        <w:t>2,500</w:t>
      </w:r>
      <w:r>
        <w:rPr/>
        <w:t>万元。</w:t>
      </w:r>
    </w:p>
    <w:p>
      <w:pPr>
        <w:pStyle w:val="BodyText"/>
        <w:spacing w:line="240" w:lineRule="auto" w:before="50"/>
        <w:ind w:left="149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日，富海永成已投资</w:t>
      </w:r>
      <w:r>
        <w:rPr>
          <w:rFonts w:ascii="Times New Roman" w:hAnsi="Times New Roman" w:cs="Times New Roman" w:eastAsia="Times New Roman" w:hint="default"/>
        </w:rPr>
        <w:t>23</w:t>
      </w:r>
      <w:r>
        <w:rPr/>
        <w:t>个项目，报告期内新增投资</w:t>
      </w:r>
      <w:r>
        <w:rPr>
          <w:rFonts w:ascii="Times New Roman" w:hAnsi="Times New Roman" w:cs="Times New Roman" w:eastAsia="Times New Roman" w:hint="default"/>
        </w:rPr>
        <w:t>2</w:t>
      </w:r>
      <w:r>
        <w:rPr/>
        <w:t>个项目，具体为：</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3370"/>
        <w:gridCol w:w="2976"/>
        <w:gridCol w:w="1418"/>
        <w:gridCol w:w="2126"/>
      </w:tblGrid>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投资成本（单位：万元）</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和创（北京）科技股份有限公司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企业移动</w:t>
            </w:r>
            <w:r>
              <w:rPr>
                <w:rFonts w:ascii="Times New Roman" w:hAnsi="Times New Roman" w:cs="Times New Roman" w:eastAsia="Times New Roman" w:hint="default"/>
                <w:sz w:val="18"/>
                <w:szCs w:val="18"/>
              </w:rPr>
              <w:t>SaaS</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2,650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上海肯耐珂萨人才服务股份有限公司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人力资源服务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深圳市中汇影视文化传播有限公司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互联网影视文化产业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900</w:t>
            </w:r>
          </w:p>
        </w:tc>
      </w:tr>
      <w:tr>
        <w:trPr>
          <w:trHeight w:val="42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上海悠络客电子科技有限公司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TMT-SaaS</w:t>
            </w:r>
            <w:r>
              <w:rPr>
                <w:rFonts w:ascii="宋体" w:hAnsi="宋体" w:cs="宋体" w:eastAsia="宋体" w:hint="default"/>
                <w:sz w:val="18"/>
                <w:szCs w:val="18"/>
              </w:rPr>
              <w:t>商业视频云服务业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1,450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天津大海云科技有限公司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BI</w:t>
            </w:r>
            <w:r>
              <w:rPr>
                <w:rFonts w:ascii="宋体" w:hAnsi="宋体" w:cs="宋体" w:eastAsia="宋体" w:hint="default"/>
                <w:sz w:val="18"/>
                <w:szCs w:val="18"/>
              </w:rPr>
              <w:t>分析</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1,940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厦门庚能新材料技术有限公司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新材料、节能环保行业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265</w:t>
            </w:r>
          </w:p>
        </w:tc>
      </w:tr>
      <w:tr>
        <w:trPr>
          <w:trHeight w:val="42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广州创大加速科技有限公司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互联网孵化器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475</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北京长为科技有限公司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钟点房预订</w:t>
            </w:r>
            <w:r>
              <w:rPr>
                <w:rFonts w:ascii="Times New Roman" w:hAnsi="Times New Roman" w:cs="Times New Roman" w:eastAsia="Times New Roman" w:hint="default"/>
                <w:sz w:val="18"/>
                <w:szCs w:val="18"/>
              </w:rPr>
              <w:t>O2O</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1,955</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和力辰光国际文化传媒（北京）有限公司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影视文化产业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北京易观智库网络科技有限公司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大数据分析服务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1,940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370"/>
        <w:gridCol w:w="2976"/>
        <w:gridCol w:w="1418"/>
        <w:gridCol w:w="2126"/>
      </w:tblGrid>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北京八斗互动网络技术有限公司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人力资源软件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6"/>
              <w:jc w:val="right"/>
              <w:rPr>
                <w:rFonts w:ascii="Times New Roman" w:hAnsi="Times New Roman" w:cs="Times New Roman" w:eastAsia="Times New Roman" w:hint="default"/>
                <w:sz w:val="18"/>
                <w:szCs w:val="18"/>
              </w:rPr>
            </w:pPr>
            <w:r>
              <w:rPr>
                <w:rFonts w:ascii="Times New Roman"/>
                <w:sz w:val="18"/>
              </w:rPr>
              <w:t>2015.12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北京永洪商智科技有限公司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大数据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1,125</w:t>
            </w:r>
          </w:p>
        </w:tc>
      </w:tr>
      <w:tr>
        <w:trPr>
          <w:trHeight w:val="42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广州智选网络科技有限公司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移动购物营销平台及服务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3" w:right="0"/>
              <w:jc w:val="left"/>
              <w:rPr>
                <w:rFonts w:ascii="Times New Roman" w:hAnsi="Times New Roman" w:cs="Times New Roman" w:eastAsia="Times New Roman" w:hint="default"/>
                <w:sz w:val="18"/>
                <w:szCs w:val="18"/>
              </w:rPr>
            </w:pPr>
            <w:r>
              <w:rPr>
                <w:rFonts w:ascii="Times New Roman"/>
                <w:sz w:val="18"/>
              </w:rPr>
              <w:t>2016.3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上海翼火蛇信息技术有限公司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数据终端安全防泄漏</w:t>
            </w:r>
            <w:r>
              <w:rPr>
                <w:rFonts w:ascii="Times New Roman" w:hAnsi="Times New Roman" w:cs="Times New Roman" w:eastAsia="Times New Roman" w:hint="default"/>
                <w:sz w:val="18"/>
                <w:szCs w:val="18"/>
              </w:rPr>
              <w:t>SaaS</w:t>
            </w:r>
            <w:r>
              <w:rPr>
                <w:rFonts w:ascii="宋体" w:hAnsi="宋体" w:cs="宋体" w:eastAsia="宋体" w:hint="default"/>
                <w:sz w:val="18"/>
                <w:szCs w:val="18"/>
              </w:rPr>
              <w:t>平台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北京宸铭影视文化传媒有限公司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影视文化产业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北京灵犀微光科技有限公司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TMT-AR</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万里播（北京）网络技术有限公司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文档分享平台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北京千阳远望信息技术有限公司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在线教育题库</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厦门笨鸟电子商务有限公司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外贸</w:t>
            </w:r>
            <w:r>
              <w:rPr>
                <w:rFonts w:ascii="Times New Roman" w:hAnsi="Times New Roman" w:cs="Times New Roman" w:eastAsia="Times New Roman" w:hint="default"/>
                <w:sz w:val="18"/>
                <w:szCs w:val="18"/>
              </w:rPr>
              <w:t>SAAS</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53" w:right="0"/>
              <w:jc w:val="left"/>
              <w:rPr>
                <w:rFonts w:ascii="Times New Roman" w:hAnsi="Times New Roman" w:cs="Times New Roman" w:eastAsia="Times New Roman" w:hint="default"/>
                <w:sz w:val="18"/>
                <w:szCs w:val="18"/>
              </w:rPr>
            </w:pPr>
            <w:r>
              <w:rPr>
                <w:rFonts w:ascii="Times New Roman"/>
                <w:sz w:val="18"/>
              </w:rPr>
              <w:t>2016.7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广州一禾企业管理有限公司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美业</w:t>
            </w:r>
            <w:r>
              <w:rPr>
                <w:rFonts w:ascii="Times New Roman" w:hAnsi="Times New Roman" w:cs="Times New Roman" w:eastAsia="Times New Roman" w:hint="default"/>
                <w:sz w:val="18"/>
                <w:szCs w:val="18"/>
              </w:rPr>
              <w:t>SAAS</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2016.8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北京走出趣科技发展有限公司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劳务派遣</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6"/>
              <w:jc w:val="right"/>
              <w:rPr>
                <w:rFonts w:ascii="Times New Roman" w:hAnsi="Times New Roman" w:cs="Times New Roman" w:eastAsia="Times New Roman" w:hint="default"/>
                <w:sz w:val="18"/>
                <w:szCs w:val="18"/>
              </w:rPr>
            </w:pPr>
            <w:r>
              <w:rPr>
                <w:rFonts w:ascii="Times New Roman"/>
                <w:sz w:val="18"/>
              </w:rPr>
              <w:t>2016.12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杭州天谷信息科技有限公司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电子签章</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8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容器技术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8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2,500</w:t>
            </w:r>
          </w:p>
        </w:tc>
      </w:tr>
      <w:tr>
        <w:trPr>
          <w:trHeight w:val="427" w:hRule="exact"/>
        </w:trPr>
        <w:tc>
          <w:tcPr>
            <w:tcW w:w="77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30,300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29"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23</w:t>
      </w:r>
      <w:r>
        <w:rPr>
          <w:spacing w:val="-4"/>
        </w:rPr>
        <w:t>日，公司第三届董事会第九次会议审议通过了《关于支付现金收购深圳泡椒思志信息技术有限公司</w:t>
      </w:r>
      <w:r>
        <w:rPr>
          <w:rFonts w:ascii="Times New Roman" w:hAnsi="Times New Roman" w:cs="Times New Roman" w:eastAsia="Times New Roman" w:hint="default"/>
          <w:spacing w:val="-4"/>
        </w:rPr>
        <w:t>100%</w:t>
      </w:r>
      <w:r>
        <w:rPr>
          <w:rFonts w:ascii="Times New Roman" w:hAnsi="Times New Roman" w:cs="Times New Roman" w:eastAsia="Times New Roman" w:hint="default"/>
        </w:rPr>
        <w:t> </w:t>
      </w:r>
      <w:r>
        <w:rPr>
          <w:spacing w:val="-2"/>
        </w:rPr>
        <w:t>股权的议案》，同意公司与泡椒思志股东翊峰基业、松禾一号、中美创投、立鼎信和签署《支付现金购买协议》，以现金收</w:t>
      </w:r>
      <w:r>
        <w:rPr>
          <w:spacing w:val="-68"/>
        </w:rPr>
        <w:t> </w:t>
      </w:r>
      <w:r>
        <w:rPr>
          <w:spacing w:val="-68"/>
        </w:rPr>
      </w:r>
      <w:r>
        <w:rPr>
          <w:spacing w:val="-1"/>
        </w:rPr>
        <w:t>购的方式购买其合计持有的泡椒思志</w:t>
      </w:r>
      <w:r>
        <w:rPr>
          <w:rFonts w:ascii="Times New Roman" w:hAnsi="Times New Roman" w:cs="Times New Roman" w:eastAsia="Times New Roman" w:hint="default"/>
          <w:spacing w:val="-1"/>
        </w:rPr>
        <w:t>100%</w:t>
      </w:r>
      <w:r>
        <w:rPr>
          <w:spacing w:val="-1"/>
        </w:rPr>
        <w:t>股权。本次交易已由双方认可的评估机构对泡椒思志以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日为基准日进</w:t>
      </w:r>
      <w:r>
        <w:rPr>
          <w:spacing w:val="-83"/>
        </w:rPr>
        <w:t> </w:t>
      </w:r>
      <w:r>
        <w:rPr>
          <w:spacing w:val="-1"/>
        </w:rPr>
        <w:t>行评估，并经协商一致确定标的资产的交易价格为</w:t>
      </w:r>
      <w:r>
        <w:rPr>
          <w:rFonts w:ascii="Times New Roman" w:hAnsi="Times New Roman" w:cs="Times New Roman" w:eastAsia="Times New Roman" w:hint="default"/>
          <w:spacing w:val="-1"/>
        </w:rPr>
        <w:t>41,000</w:t>
      </w:r>
      <w:r>
        <w:rPr>
          <w:spacing w:val="-1"/>
        </w:rPr>
        <w:t>万元。该事项已经公司</w:t>
      </w:r>
      <w:r>
        <w:rPr>
          <w:rFonts w:ascii="Times New Roman" w:hAnsi="Times New Roman" w:cs="Times New Roman" w:eastAsia="Times New Roman" w:hint="default"/>
          <w:spacing w:val="-1"/>
        </w:rPr>
        <w:t>2017</w:t>
      </w:r>
      <w:r>
        <w:rPr>
          <w:spacing w:val="-1"/>
        </w:rPr>
        <w:t>年第一次临时股东大会审议通过。</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日，泡椒思志</w:t>
      </w:r>
      <w:r>
        <w:rPr>
          <w:rFonts w:ascii="Times New Roman" w:hAnsi="Times New Roman" w:cs="Times New Roman" w:eastAsia="Times New Roman" w:hint="default"/>
        </w:rPr>
        <w:t>100%</w:t>
      </w:r>
      <w:r>
        <w:rPr/>
        <w:t>股权已变更至任子行名下。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日，泡椒思志业绩承诺连带责任人洪志刚先生，履行相 </w:t>
      </w:r>
      <w:r>
        <w:rPr>
          <w:spacing w:val="-1"/>
        </w:rPr>
        <w:t>关承诺使用其自有资金以集中竞价方式在二级市场上购买公司股票</w:t>
      </w:r>
      <w:r>
        <w:rPr>
          <w:rFonts w:ascii="Times New Roman" w:hAnsi="Times New Roman" w:cs="Times New Roman" w:eastAsia="Times New Roman" w:hint="default"/>
          <w:spacing w:val="-1"/>
        </w:rPr>
        <w:t>142.9151</w:t>
      </w:r>
      <w:r>
        <w:rPr>
          <w:spacing w:val="-1"/>
        </w:rPr>
        <w:t>万股，并承诺自股票全部购买完成之日起至泡椒</w:t>
      </w:r>
      <w:r>
        <w:rPr>
          <w:spacing w:val="-71"/>
        </w:rPr>
        <w:t> </w:t>
      </w:r>
      <w:r>
        <w:rPr>
          <w:spacing w:val="-71"/>
        </w:rPr>
      </w:r>
      <w:r>
        <w:rPr/>
        <w:t>思志</w:t>
      </w:r>
      <w:r>
        <w:rPr>
          <w:rFonts w:ascii="Times New Roman" w:hAnsi="Times New Roman" w:cs="Times New Roman" w:eastAsia="Times New Roman" w:hint="default"/>
        </w:rPr>
        <w:t>2017</w:t>
      </w:r>
      <w:r>
        <w:rPr/>
        <w:t>年度审计报告出具日止，在此期间内不转让或委托他人转让其所持有的全部股票。</w:t>
      </w:r>
    </w:p>
    <w:p>
      <w:pPr>
        <w:pStyle w:val="BodyText"/>
        <w:spacing w:line="300" w:lineRule="auto" w:before="11"/>
        <w:ind w:left="1134" w:right="113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日，公司第三届董事会第八次会议审议通过了《关于公司对外投资设立合资公司的议案》，同意公司 使用自有资金与互动派、黄晋共同出资设立合资公司，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月，合资公司广州数沃信息科技有限公司完成工商注册登记 手续。</w:t>
      </w:r>
    </w:p>
    <w:p>
      <w:pPr>
        <w:pStyle w:val="BodyText"/>
        <w:spacing w:line="240" w:lineRule="auto" w:before="3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月，公司使用自有资金</w:t>
      </w:r>
      <w:r>
        <w:rPr>
          <w:rFonts w:ascii="Times New Roman" w:hAnsi="Times New Roman" w:cs="Times New Roman" w:eastAsia="Times New Roman" w:hint="default"/>
        </w:rPr>
        <w:t>1,000</w:t>
      </w:r>
      <w:r>
        <w:rPr/>
        <w:t>万元设立全资子公司任网安，用以保证投资建设</w:t>
      </w:r>
      <w:r>
        <w:rPr>
          <w:rFonts w:ascii="Times New Roman" w:hAnsi="Times New Roman" w:cs="Times New Roman" w:eastAsia="Times New Roman" w:hint="default"/>
        </w:rPr>
        <w:t>“</w:t>
      </w:r>
      <w:r>
        <w:rPr/>
        <w:t>华南网络空间安全总部基地</w:t>
      </w:r>
      <w:r>
        <w:rPr>
          <w:rFonts w:ascii="Times New Roman" w:hAnsi="Times New Roman" w:cs="Times New Roman" w:eastAsia="Times New Roman" w:hint="default"/>
        </w:rPr>
        <w:t>”</w:t>
      </w:r>
    </w:p>
    <w:p>
      <w:pPr>
        <w:pStyle w:val="BodyText"/>
        <w:spacing w:line="240" w:lineRule="auto" w:before="63"/>
        <w:ind w:right="0"/>
        <w:jc w:val="left"/>
      </w:pPr>
      <w:r>
        <w:rPr/>
        <w:t>项目的顺利实施。</w:t>
      </w:r>
    </w:p>
    <w:p>
      <w:pPr>
        <w:pStyle w:val="BodyText"/>
        <w:spacing w:line="300" w:lineRule="auto" w:before="76"/>
        <w:ind w:right="0" w:firstLine="360"/>
        <w:jc w:val="left"/>
      </w:pPr>
      <w:r>
        <w:rPr>
          <w:rFonts w:ascii="Times New Roman" w:hAnsi="Times New Roman" w:cs="Times New Roman" w:eastAsia="Times New Roman" w:hint="default"/>
          <w:spacing w:val="-2"/>
        </w:rPr>
        <w:t>4</w:t>
      </w:r>
      <w:r>
        <w:rPr>
          <w:spacing w:val="-2"/>
        </w:rPr>
        <w:t>、为了适应业务发展和对外投资的需求，</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日，公司第三届董事会第十七次会议审议通过了《关于投资设立</w:t>
      </w:r>
      <w:r>
        <w:rPr/>
        <w:t> 全资孙公司的议案》，同意公司全资子公司泡椒思志以自有资金在上海设立全资子公司，注册资本</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spacing w:val="-43"/>
        </w:rPr>
        <w:t> </w:t>
      </w:r>
      <w:r>
        <w:rPr/>
        <w:t>上海穆冠完成工商注册登记手续。</w:t>
      </w:r>
    </w:p>
    <w:p>
      <w:pPr>
        <w:pStyle w:val="BodyText"/>
        <w:spacing w:line="300" w:lineRule="auto" w:before="31"/>
        <w:ind w:right="1130" w:firstLine="360"/>
        <w:jc w:val="right"/>
      </w:pPr>
      <w:r>
        <w:rPr>
          <w:rFonts w:ascii="Times New Roman" w:hAnsi="Times New Roman" w:cs="Times New Roman" w:eastAsia="Times New Roman" w:hint="default"/>
          <w:spacing w:val="-5"/>
        </w:rPr>
        <w:t>5</w:t>
      </w:r>
      <w:r>
        <w:rPr>
          <w:spacing w:val="-5"/>
        </w:rPr>
        <w:t>、为了更好地整合上市公司资产，促进公司长远发展，</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20</w:t>
      </w:r>
      <w:r>
        <w:rPr>
          <w:spacing w:val="-5"/>
        </w:rPr>
        <w:t>日，公司第三届董事会第十七次会议审议通过了《关</w:t>
      </w:r>
      <w:r>
        <w:rPr/>
        <w:t> </w:t>
      </w:r>
      <w:r>
        <w:rPr>
          <w:spacing w:val="-2"/>
        </w:rPr>
        <w:t>于收购控股子公司北京亚鸿世纪科技发展有限公司少数股东股权的议案》，同意公司以自有资金</w:t>
      </w:r>
      <w:r>
        <w:rPr>
          <w:rFonts w:ascii="Times New Roman" w:hAnsi="Times New Roman" w:cs="Times New Roman" w:eastAsia="Times New Roman" w:hint="default"/>
          <w:spacing w:val="-2"/>
        </w:rPr>
        <w:t>18,392.00</w:t>
      </w:r>
      <w:r>
        <w:rPr>
          <w:spacing w:val="-2"/>
        </w:rPr>
        <w:t>万元收购天津云鲁</w:t>
      </w:r>
      <w:r>
        <w:rPr>
          <w:spacing w:val="-69"/>
        </w:rPr>
        <w:t> </w:t>
      </w:r>
      <w:r>
        <w:rPr>
          <w:spacing w:val="-69"/>
        </w:rPr>
      </w:r>
      <w:r>
        <w:rPr>
          <w:spacing w:val="-4"/>
        </w:rPr>
        <w:t>冀和天津任鸿持有的北京亚鸿</w:t>
      </w:r>
      <w:r>
        <w:rPr>
          <w:rFonts w:ascii="Times New Roman" w:hAnsi="Times New Roman" w:cs="Times New Roman" w:eastAsia="Times New Roman" w:hint="default"/>
          <w:spacing w:val="-4"/>
        </w:rPr>
        <w:t>44%</w:t>
      </w:r>
      <w:r>
        <w:rPr>
          <w:spacing w:val="-4"/>
        </w:rPr>
        <w:t>的股权。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月，北京亚鸿</w:t>
      </w:r>
      <w:r>
        <w:rPr>
          <w:rFonts w:ascii="Times New Roman" w:hAnsi="Times New Roman" w:cs="Times New Roman" w:eastAsia="Times New Roman" w:hint="default"/>
          <w:spacing w:val="-4"/>
        </w:rPr>
        <w:t>44%</w:t>
      </w:r>
      <w:r>
        <w:rPr>
          <w:spacing w:val="-4"/>
        </w:rPr>
        <w:t>股权已过户至任子行名下。</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日，天津任鸿、</w:t>
      </w:r>
      <w:r>
        <w:rPr>
          <w:spacing w:val="-52"/>
        </w:rPr>
        <w:t> </w:t>
      </w:r>
      <w:r>
        <w:rPr>
          <w:spacing w:val="-52"/>
        </w:rPr>
      </w:r>
      <w:r>
        <w:rPr>
          <w:spacing w:val="-1"/>
        </w:rPr>
        <w:t>天津云鲁冀履行相关承诺，通过二级市场购买了公司股票共计</w:t>
      </w:r>
      <w:r>
        <w:rPr>
          <w:rFonts w:ascii="Times New Roman" w:hAnsi="Times New Roman" w:cs="Times New Roman" w:eastAsia="Times New Roman" w:hint="default"/>
          <w:spacing w:val="-1"/>
        </w:rPr>
        <w:t>844.3528</w:t>
      </w:r>
      <w:r>
        <w:rPr>
          <w:spacing w:val="-1"/>
        </w:rPr>
        <w:t>万股，其中天津任鸿购买了</w:t>
      </w:r>
      <w:r>
        <w:rPr>
          <w:rFonts w:ascii="Times New Roman" w:hAnsi="Times New Roman" w:cs="Times New Roman" w:eastAsia="Times New Roman" w:hint="default"/>
          <w:spacing w:val="-1"/>
        </w:rPr>
        <w:t>364.72</w:t>
      </w:r>
      <w:r>
        <w:rPr>
          <w:spacing w:val="-1"/>
        </w:rPr>
        <w:t>万股，天津云鲁冀</w:t>
      </w:r>
      <w:r>
        <w:rPr>
          <w:spacing w:val="-52"/>
        </w:rPr>
        <w:t> </w:t>
      </w:r>
      <w:r>
        <w:rPr>
          <w:spacing w:val="-52"/>
        </w:rPr>
      </w:r>
      <w:r>
        <w:rPr>
          <w:spacing w:val="-4"/>
        </w:rPr>
        <w:t>购买了</w:t>
      </w:r>
      <w:r>
        <w:rPr>
          <w:rFonts w:ascii="Times New Roman" w:hAnsi="Times New Roman" w:cs="Times New Roman" w:eastAsia="Times New Roman" w:hint="default"/>
          <w:spacing w:val="-4"/>
        </w:rPr>
        <w:t>479.63</w:t>
      </w:r>
      <w:r>
        <w:rPr>
          <w:spacing w:val="-4"/>
        </w:rPr>
        <w:t>万股。天津云鲁冀、天津任鸿承诺对其前述方式取得的公司股份进行锁定，自全部购买完成之日起分三年解锁。</w:t>
      </w:r>
    </w:p>
    <w:p>
      <w:pPr>
        <w:pStyle w:val="BodyText"/>
        <w:spacing w:line="240" w:lineRule="auto" w:before="53"/>
        <w:ind w:left="1493"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、公司参股公司中新赛克于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日在深圳证券交易所正式挂牌上市，中新赛克挂牌上市后，本公司持有其</w:t>
      </w:r>
      <w:r>
        <w:rPr>
          <w:rFonts w:ascii="Times New Roman" w:hAnsi="Times New Roman" w:cs="Times New Roman" w:eastAsia="Times New Roman" w:hint="default"/>
        </w:rPr>
        <w:t>205</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338" w:lineRule="auto" w:before="44"/>
        <w:ind w:left="1424" w:right="1617" w:hanging="291"/>
        <w:jc w:val="left"/>
      </w:pPr>
      <w:r>
        <w:rPr/>
        <w:t>万股股份，占该公司发行后总股本的</w:t>
      </w:r>
      <w:r>
        <w:rPr>
          <w:rFonts w:ascii="Times New Roman" w:hAnsi="Times New Roman" w:cs="Times New Roman" w:eastAsia="Times New Roman" w:hint="default"/>
        </w:rPr>
        <w:t>3.07%</w:t>
      </w:r>
      <w:r>
        <w:rPr/>
        <w:t>。 具体内容详见公司于中国证监会指定的创业板信息披露网站巨潮资讯网（</w:t>
      </w:r>
      <w:hyperlink r:id="rId11">
        <w:r>
          <w:rPr>
            <w:rFonts w:ascii="Times New Roman" w:hAnsi="Times New Roman" w:cs="Times New Roman" w:eastAsia="Times New Roman" w:hint="default"/>
          </w:rPr>
          <w:t>www.cninfo.com.cn</w:t>
        </w:r>
      </w:hyperlink>
      <w:r>
        <w:rPr/>
        <w:t>）披露的相关内容。</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62"/>
        <w:gridCol w:w="1004"/>
        <w:gridCol w:w="709"/>
        <w:gridCol w:w="567"/>
        <w:gridCol w:w="283"/>
        <w:gridCol w:w="709"/>
        <w:gridCol w:w="992"/>
        <w:gridCol w:w="993"/>
        <w:gridCol w:w="1276"/>
        <w:gridCol w:w="1067"/>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5" w:right="47"/>
              <w:jc w:val="left"/>
              <w:rPr>
                <w:rFonts w:ascii="宋体" w:hAnsi="宋体" w:cs="宋体" w:eastAsia="宋体" w:hint="default"/>
                <w:sz w:val="18"/>
                <w:szCs w:val="18"/>
              </w:rPr>
            </w:pPr>
            <w:r>
              <w:rPr>
                <w:rFonts w:ascii="宋体" w:hAnsi="宋体" w:cs="宋体" w:eastAsia="宋体" w:hint="default"/>
                <w:sz w:val="18"/>
                <w:szCs w:val="18"/>
              </w:rPr>
              <w:t>送 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246,441,115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54.97%</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-35,643,744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-35,643,744</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210,797,371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246,189,085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54.91%</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-35,391,714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-35,391,714</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210,797,371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27,553,113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27,553,113</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218,635,972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48.77%</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-35,391,714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-35,391,714</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183,244,258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201,890,216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45.03%</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35,243,122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35,243,122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237,133,338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201,890,216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45.03%</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35,243,122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35,243,122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237,133,338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448,331,331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-400,622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-400,622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447,930,709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5"/>
        </w:rPr>
        <w:t>1</w:t>
      </w:r>
      <w:r>
        <w:rPr>
          <w:spacing w:val="-5"/>
        </w:rPr>
        <w:t>、丁伟国、蒋利琴、朱瑶、刘泉四人持有的重大资产重组非公开发行部分股票合计</w:t>
      </w:r>
      <w:r>
        <w:rPr>
          <w:rFonts w:ascii="Times New Roman" w:hAnsi="Times New Roman" w:cs="Times New Roman" w:eastAsia="Times New Roman" w:hint="default"/>
          <w:spacing w:val="-5"/>
        </w:rPr>
        <w:t>12,958,352</w:t>
      </w:r>
      <w:r>
        <w:rPr>
          <w:spacing w:val="-5"/>
        </w:rPr>
        <w:t>股满足相关条件解除限售，</w:t>
      </w:r>
      <w:r>
        <w:rPr/>
        <w:t> 限售股份上市流通日为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p>
    <w:p>
      <w:pPr>
        <w:pStyle w:val="BodyText"/>
        <w:spacing w:line="300" w:lineRule="auto" w:before="13"/>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日，公司召开第三届董事会第四次会议审议通过了《关于公司限制性股票激励计划首次授予限制性股票 </w:t>
      </w:r>
      <w:r>
        <w:rPr>
          <w:spacing w:val="-2"/>
        </w:rPr>
        <w:t>第二个解锁期可解锁的议案》，同意将向</w:t>
      </w:r>
      <w:r>
        <w:rPr>
          <w:rFonts w:ascii="Times New Roman" w:hAnsi="Times New Roman" w:cs="Times New Roman" w:eastAsia="Times New Roman" w:hint="default"/>
          <w:spacing w:val="-2"/>
        </w:rPr>
        <w:t>61</w:t>
      </w:r>
      <w:r>
        <w:rPr>
          <w:spacing w:val="-2"/>
        </w:rPr>
        <w:t>名激励对象授予的限制性股票</w:t>
      </w:r>
      <w:r>
        <w:rPr>
          <w:rFonts w:ascii="Times New Roman" w:hAnsi="Times New Roman" w:cs="Times New Roman" w:eastAsia="Times New Roman" w:hint="default"/>
          <w:spacing w:val="-2"/>
        </w:rPr>
        <w:t>2,708,016</w:t>
      </w:r>
      <w:r>
        <w:rPr>
          <w:spacing w:val="-2"/>
        </w:rPr>
        <w:t>股解锁，其中</w:t>
      </w:r>
      <w:r>
        <w:rPr>
          <w:rFonts w:ascii="Times New Roman" w:hAnsi="Times New Roman" w:cs="Times New Roman" w:eastAsia="Times New Roman" w:hint="default"/>
          <w:spacing w:val="-2"/>
        </w:rPr>
        <w:t>2,307,469</w:t>
      </w:r>
      <w:r>
        <w:rPr>
          <w:spacing w:val="-2"/>
        </w:rPr>
        <w:t>股可上市流通，限</w:t>
      </w:r>
      <w:r>
        <w:rPr>
          <w:spacing w:val="-50"/>
        </w:rPr>
        <w:t> </w:t>
      </w:r>
      <w:r>
        <w:rPr>
          <w:spacing w:val="-50"/>
        </w:rPr>
      </w:r>
      <w:r>
        <w:rPr/>
        <w:t>制性股票的上市流通日为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p>
    <w:p>
      <w:pPr>
        <w:pStyle w:val="BodyText"/>
        <w:spacing w:line="300" w:lineRule="auto" w:before="13"/>
        <w:ind w:right="1129" w:firstLine="360"/>
        <w:jc w:val="both"/>
      </w:pPr>
      <w:r>
        <w:rPr>
          <w:rFonts w:ascii="Times New Roman" w:hAnsi="Times New Roman" w:cs="Times New Roman" w:eastAsia="Times New Roman" w:hint="default"/>
        </w:rPr>
        <w:t>3</w:t>
      </w:r>
      <w:r>
        <w:rPr/>
        <w:t>、因公司激励对象韩喜龙等</w:t>
      </w:r>
      <w:r>
        <w:rPr>
          <w:rFonts w:ascii="Times New Roman" w:hAnsi="Times New Roman" w:cs="Times New Roman" w:eastAsia="Times New Roman" w:hint="default"/>
        </w:rPr>
        <w:t>6</w:t>
      </w:r>
      <w:r>
        <w:rPr/>
        <w:t>名激励对象已离职，侯胜利等</w:t>
      </w:r>
      <w:r>
        <w:rPr>
          <w:rFonts w:ascii="Times New Roman" w:hAnsi="Times New Roman" w:cs="Times New Roman" w:eastAsia="Times New Roman" w:hint="default"/>
        </w:rPr>
        <w:t>3</w:t>
      </w:r>
      <w:r>
        <w:rPr/>
        <w:t>名激励对象未能完成</w:t>
      </w:r>
      <w:r>
        <w:rPr>
          <w:rFonts w:ascii="Times New Roman" w:hAnsi="Times New Roman" w:cs="Times New Roman" w:eastAsia="Times New Roman" w:hint="default"/>
        </w:rPr>
        <w:t>2015</w:t>
      </w:r>
      <w:r>
        <w:rPr/>
        <w:t>年度业绩考核目标，公司对上述 </w:t>
      </w:r>
      <w:r>
        <w:rPr>
          <w:spacing w:val="-1"/>
        </w:rPr>
        <w:t>未解锁限制性股票合计</w:t>
      </w:r>
      <w:r>
        <w:rPr>
          <w:rFonts w:ascii="Times New Roman" w:hAnsi="Times New Roman" w:cs="Times New Roman" w:eastAsia="Times New Roman" w:hint="default"/>
          <w:spacing w:val="-1"/>
        </w:rPr>
        <w:t>321,939</w:t>
      </w:r>
      <w:r>
        <w:rPr>
          <w:spacing w:val="-1"/>
        </w:rPr>
        <w:t>股进行回购注销，并于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日在中国证券登记结算有限责任公司深圳分公司完成回购</w:t>
      </w:r>
      <w:r>
        <w:rPr>
          <w:spacing w:val="-69"/>
        </w:rPr>
        <w:t> </w:t>
      </w:r>
      <w:r>
        <w:rPr/>
        <w:t>注销。公司总股本变更为</w:t>
      </w:r>
      <w:r>
        <w:rPr>
          <w:rFonts w:ascii="Times New Roman" w:hAnsi="Times New Roman" w:cs="Times New Roman" w:eastAsia="Times New Roman" w:hint="default"/>
        </w:rPr>
        <w:t>448,009,392</w:t>
      </w:r>
      <w:r>
        <w:rPr/>
        <w:t>股。</w:t>
      </w:r>
    </w:p>
    <w:p>
      <w:pPr>
        <w:pStyle w:val="BodyText"/>
        <w:spacing w:line="240" w:lineRule="auto" w:before="13"/>
        <w:ind w:left="149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日，公司召开第三届董事会第十六次会议审议通过了《关于公司限制性股票激励计划预留部分限制性股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票第二个解锁期可解锁的议案》，同意将向</w:t>
      </w:r>
      <w:r>
        <w:rPr>
          <w:rFonts w:ascii="Times New Roman" w:hAnsi="Times New Roman" w:cs="Times New Roman" w:eastAsia="Times New Roman" w:hint="default"/>
        </w:rPr>
        <w:t>64</w:t>
      </w:r>
      <w:r>
        <w:rPr/>
        <w:t>名激励对象授予的限制性股票</w:t>
      </w:r>
      <w:r>
        <w:rPr>
          <w:rFonts w:ascii="Times New Roman" w:hAnsi="Times New Roman" w:cs="Times New Roman" w:eastAsia="Times New Roman" w:hint="default"/>
        </w:rPr>
        <w:t>407,886</w:t>
      </w:r>
      <w:r>
        <w:rPr/>
        <w:t>股解锁并上市流通，限制性股票的上市</w:t>
      </w:r>
      <w:r>
        <w:rPr>
          <w:spacing w:val="-45"/>
        </w:rPr>
        <w:t> </w:t>
      </w:r>
      <w:r>
        <w:rPr>
          <w:spacing w:val="-45"/>
        </w:rPr>
      </w:r>
      <w:r>
        <w:rPr/>
        <w:t>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w:t>
      </w:r>
    </w:p>
    <w:p>
      <w:pPr>
        <w:pStyle w:val="BodyText"/>
        <w:spacing w:line="300" w:lineRule="auto" w:before="13"/>
        <w:ind w:right="1132" w:firstLine="360"/>
        <w:jc w:val="both"/>
      </w:pPr>
      <w:r>
        <w:rPr>
          <w:rFonts w:ascii="Times New Roman" w:hAnsi="Times New Roman" w:cs="Times New Roman" w:eastAsia="Times New Roman" w:hint="default"/>
          <w:spacing w:val="-5"/>
        </w:rPr>
        <w:t>5</w:t>
      </w:r>
      <w:r>
        <w:rPr>
          <w:spacing w:val="-5"/>
        </w:rPr>
        <w:t>、丁伟国、蒋利琴、朱瑶、刘泉四人持有的重大资产重组非公开发行部分股票合计</w:t>
      </w:r>
      <w:r>
        <w:rPr>
          <w:rFonts w:ascii="Times New Roman" w:hAnsi="Times New Roman" w:cs="Times New Roman" w:eastAsia="Times New Roman" w:hint="default"/>
          <w:spacing w:val="-5"/>
        </w:rPr>
        <w:t>12,958,352</w:t>
      </w:r>
      <w:r>
        <w:rPr>
          <w:spacing w:val="-5"/>
        </w:rPr>
        <w:t>股满足相关条件解除限售，</w:t>
      </w:r>
      <w:r>
        <w:rPr/>
        <w:t> 其中</w:t>
      </w:r>
      <w:r>
        <w:rPr>
          <w:rFonts w:ascii="Times New Roman" w:hAnsi="Times New Roman" w:cs="Times New Roman" w:eastAsia="Times New Roman" w:hint="default"/>
        </w:rPr>
        <w:t>6,312,775</w:t>
      </w:r>
      <w:r>
        <w:rPr/>
        <w:t>股可上市流通，限售股份上市流通日为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p>
    <w:p>
      <w:pPr>
        <w:pStyle w:val="BodyText"/>
        <w:spacing w:line="300" w:lineRule="auto" w:before="13"/>
        <w:ind w:right="1033" w:firstLine="360"/>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日，公司召开第三届董事会第十九次会议审议通过了《关于公司限制性股票激励计划首次授予限制性股</w:t>
      </w:r>
      <w:r>
        <w:rPr/>
        <w:t> 票第三个解锁期可解锁的议案》，同意将向</w:t>
      </w:r>
      <w:r>
        <w:rPr>
          <w:rFonts w:ascii="Times New Roman" w:hAnsi="Times New Roman" w:cs="Times New Roman" w:eastAsia="Times New Roman" w:hint="default"/>
        </w:rPr>
        <w:t>60</w:t>
      </w:r>
      <w:r>
        <w:rPr/>
        <w:t>名激励对象授予的限制性股票</w:t>
      </w:r>
      <w:r>
        <w:rPr>
          <w:rFonts w:ascii="Times New Roman" w:hAnsi="Times New Roman" w:cs="Times New Roman" w:eastAsia="Times New Roman" w:hint="default"/>
        </w:rPr>
        <w:t>3,829,492</w:t>
      </w:r>
      <w:r>
        <w:rPr/>
        <w:t>股解锁，其中</w:t>
      </w:r>
      <w:r>
        <w:rPr>
          <w:rFonts w:ascii="Times New Roman" w:hAnsi="Times New Roman" w:cs="Times New Roman" w:eastAsia="Times New Roman" w:hint="default"/>
        </w:rPr>
        <w:t>3,253,423</w:t>
      </w:r>
      <w:r>
        <w:rPr/>
        <w:t>股可上市流通， 限制性股票的上市流通日为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p>
    <w:p>
      <w:pPr>
        <w:pStyle w:val="BodyText"/>
        <w:spacing w:line="300" w:lineRule="auto" w:before="13"/>
        <w:ind w:right="1130" w:firstLine="360"/>
        <w:jc w:val="both"/>
      </w:pPr>
      <w:r>
        <w:rPr>
          <w:rFonts w:ascii="Times New Roman" w:hAnsi="Times New Roman" w:cs="Times New Roman" w:eastAsia="Times New Roman" w:hint="default"/>
        </w:rPr>
        <w:t>7</w:t>
      </w:r>
      <w:r>
        <w:rPr/>
        <w:t>、因公司激励对象黄小勇等</w:t>
      </w:r>
      <w:r>
        <w:rPr>
          <w:rFonts w:ascii="Times New Roman" w:hAnsi="Times New Roman" w:cs="Times New Roman" w:eastAsia="Times New Roman" w:hint="default"/>
        </w:rPr>
        <w:t>6</w:t>
      </w:r>
      <w:r>
        <w:rPr/>
        <w:t>名激励对象已离职，侯胜利等</w:t>
      </w:r>
      <w:r>
        <w:rPr>
          <w:rFonts w:ascii="Times New Roman" w:hAnsi="Times New Roman" w:cs="Times New Roman" w:eastAsia="Times New Roman" w:hint="default"/>
        </w:rPr>
        <w:t>4</w:t>
      </w:r>
      <w:r>
        <w:rPr/>
        <w:t>名激励对象未能完成年度业绩目标，公司对上述未解锁限 </w:t>
      </w:r>
      <w:r>
        <w:rPr>
          <w:spacing w:val="-1"/>
        </w:rPr>
        <w:t>制性股票合计</w:t>
      </w:r>
      <w:r>
        <w:rPr>
          <w:rFonts w:ascii="Times New Roman" w:hAnsi="Times New Roman" w:cs="Times New Roman" w:eastAsia="Times New Roman" w:hint="default"/>
          <w:spacing w:val="-1"/>
        </w:rPr>
        <w:t>78,683</w:t>
      </w:r>
      <w:r>
        <w:rPr>
          <w:spacing w:val="-1"/>
        </w:rPr>
        <w:t>股进行回购注销，并于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日在中国证券登记结算有限责任公司深圳分公司完成回购注销。公</w:t>
      </w:r>
      <w:r>
        <w:rPr>
          <w:spacing w:val="-67"/>
        </w:rPr>
        <w:t> </w:t>
      </w:r>
      <w:r>
        <w:rPr>
          <w:spacing w:val="-67"/>
        </w:rPr>
      </w:r>
      <w:r>
        <w:rPr/>
        <w:t>司总股本变更为</w:t>
      </w:r>
      <w:r>
        <w:rPr>
          <w:rFonts w:ascii="Times New Roman" w:hAnsi="Times New Roman" w:cs="Times New Roman" w:eastAsia="Times New Roman" w:hint="default"/>
        </w:rPr>
        <w:t>447,930,709</w:t>
      </w:r>
      <w:r>
        <w:rPr/>
        <w:t>股。</w:t>
      </w:r>
    </w:p>
    <w:p>
      <w:pPr>
        <w:pStyle w:val="BodyText"/>
        <w:spacing w:line="240" w:lineRule="auto" w:before="53"/>
        <w:ind w:left="1134" w:right="0"/>
        <w:jc w:val="left"/>
      </w:pPr>
      <w:r>
        <w:rPr/>
        <w:t>股份变动的批准情况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134"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日，公司召开第三届董事会第四次会议审议通过了《关于公司限制性股票激励计划首次授予限制性股票 第二个解锁期可解锁的议案》，同意将向</w:t>
      </w:r>
      <w:r>
        <w:rPr>
          <w:rFonts w:ascii="Times New Roman" w:hAnsi="Times New Roman" w:cs="Times New Roman" w:eastAsia="Times New Roman" w:hint="default"/>
        </w:rPr>
        <w:t>61</w:t>
      </w:r>
      <w:r>
        <w:rPr/>
        <w:t>名激励对象授予的限制性股票</w:t>
      </w:r>
      <w:r>
        <w:rPr>
          <w:rFonts w:ascii="Times New Roman" w:hAnsi="Times New Roman" w:cs="Times New Roman" w:eastAsia="Times New Roman" w:hint="default"/>
        </w:rPr>
        <w:t>2,708,016</w:t>
      </w:r>
      <w:r>
        <w:rPr/>
        <w:t>股解锁</w:t>
      </w:r>
      <w:r>
        <w:rPr>
          <w:rFonts w:ascii="Times New Roman" w:hAnsi="Times New Roman" w:cs="Times New Roman" w:eastAsia="Times New Roman" w:hint="default"/>
        </w:rPr>
        <w:t>,</w:t>
      </w:r>
      <w:r>
        <w:rPr/>
        <w:t>其中</w:t>
      </w:r>
      <w:r>
        <w:rPr>
          <w:rFonts w:ascii="Times New Roman" w:hAnsi="Times New Roman" w:cs="Times New Roman" w:eastAsia="Times New Roman" w:hint="default"/>
        </w:rPr>
        <w:t>2,307,469</w:t>
      </w:r>
      <w:r>
        <w:rPr/>
        <w:t>股可上市流通。</w:t>
      </w:r>
    </w:p>
    <w:p>
      <w:pPr>
        <w:pStyle w:val="BodyText"/>
        <w:spacing w:line="300" w:lineRule="auto" w:before="13"/>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日，公司第三届董事会第八次会议审议通过了《关于回购注销部分激励对象已获授但尚未解锁限制性 </w:t>
      </w:r>
      <w:r>
        <w:rPr>
          <w:spacing w:val="-4"/>
        </w:rPr>
        <w:t>股票并修改公司章程相关条款的议案》，同意对韩喜龙、侯胜利等</w:t>
      </w:r>
      <w:r>
        <w:rPr>
          <w:rFonts w:ascii="Times New Roman" w:hAnsi="Times New Roman" w:cs="Times New Roman" w:eastAsia="Times New Roman" w:hint="default"/>
          <w:spacing w:val="-4"/>
        </w:rPr>
        <w:t>9</w:t>
      </w:r>
      <w:r>
        <w:rPr>
          <w:spacing w:val="-4"/>
        </w:rPr>
        <w:t>名激励对象合计持有已获授但尚未解锁限制性股票</w:t>
      </w:r>
      <w:r>
        <w:rPr>
          <w:rFonts w:ascii="Times New Roman" w:hAnsi="Times New Roman" w:cs="Times New Roman" w:eastAsia="Times New Roman" w:hint="default"/>
          <w:spacing w:val="-4"/>
        </w:rPr>
        <w:t>321,939</w:t>
      </w:r>
      <w:r>
        <w:rPr>
          <w:rFonts w:ascii="Times New Roman" w:hAnsi="Times New Roman" w:cs="Times New Roman" w:eastAsia="Times New Roman" w:hint="default"/>
          <w:spacing w:val="-27"/>
        </w:rPr>
        <w:t> </w:t>
      </w:r>
      <w:r>
        <w:rPr/>
        <w:t>股进行回购注销。</w:t>
      </w:r>
    </w:p>
    <w:p>
      <w:pPr>
        <w:pStyle w:val="BodyText"/>
        <w:spacing w:line="300" w:lineRule="auto" w:before="31"/>
        <w:ind w:left="1134"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日，公司第三届董事会第十六次会议审议通过了《关于公司限制性股票激励计划预留部分限制性股票第</w:t>
      </w:r>
      <w:r>
        <w:rPr/>
        <w:t> 二个解锁期可解锁的议案》，同意将向</w:t>
      </w:r>
      <w:r>
        <w:rPr>
          <w:rFonts w:ascii="Times New Roman" w:hAnsi="Times New Roman" w:cs="Times New Roman" w:eastAsia="Times New Roman" w:hint="default"/>
        </w:rPr>
        <w:t>64</w:t>
      </w:r>
      <w:r>
        <w:rPr/>
        <w:t>名激励对象授予的限制性股票</w:t>
      </w:r>
      <w:r>
        <w:rPr>
          <w:rFonts w:ascii="Times New Roman" w:hAnsi="Times New Roman" w:cs="Times New Roman" w:eastAsia="Times New Roman" w:hint="default"/>
        </w:rPr>
        <w:t>407,886</w:t>
      </w:r>
      <w:r>
        <w:rPr/>
        <w:t>股解锁并上市流通。</w:t>
      </w:r>
    </w:p>
    <w:p>
      <w:pPr>
        <w:pStyle w:val="BodyText"/>
        <w:spacing w:line="300" w:lineRule="auto" w:before="13"/>
        <w:ind w:left="1134" w:right="1132"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日，公司第三届董事会第十九次会议审议通过了《关于公司限制性股票激励计划首次授予限制性股票第</w:t>
      </w:r>
      <w:r>
        <w:rPr/>
        <w:t> 三个解锁期可解锁的议案》，同意将向</w:t>
      </w:r>
      <w:r>
        <w:rPr>
          <w:rFonts w:ascii="Times New Roman" w:hAnsi="Times New Roman" w:cs="Times New Roman" w:eastAsia="Times New Roman" w:hint="default"/>
        </w:rPr>
        <w:t>60</w:t>
      </w:r>
      <w:r>
        <w:rPr/>
        <w:t>名激励对象授予的限制性股票</w:t>
      </w:r>
      <w:r>
        <w:rPr>
          <w:rFonts w:ascii="Times New Roman" w:hAnsi="Times New Roman" w:cs="Times New Roman" w:eastAsia="Times New Roman" w:hint="default"/>
        </w:rPr>
        <w:t>3,829,492</w:t>
      </w:r>
      <w:r>
        <w:rPr/>
        <w:t>股解锁，其中</w:t>
      </w:r>
      <w:r>
        <w:rPr>
          <w:rFonts w:ascii="Times New Roman" w:hAnsi="Times New Roman" w:cs="Times New Roman" w:eastAsia="Times New Roman" w:hint="default"/>
        </w:rPr>
        <w:t>3,253,423</w:t>
      </w:r>
      <w:r>
        <w:rPr/>
        <w:t>股可上市流通。</w:t>
      </w:r>
    </w:p>
    <w:p>
      <w:pPr>
        <w:pStyle w:val="BodyText"/>
        <w:spacing w:line="300" w:lineRule="auto" w:before="13"/>
        <w:ind w:right="113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日，公司第三届董事会第十九次会议审议通过了《关于回购注销部分激励对象已获授但尚未解锁限制性</w:t>
      </w:r>
      <w:r>
        <w:rPr/>
        <w:t> </w:t>
      </w:r>
      <w:r>
        <w:rPr>
          <w:spacing w:val="-4"/>
        </w:rPr>
        <w:t>股票并修改公司章程相关条款的议案》，同意对黄小勇、侯胜利等</w:t>
      </w:r>
      <w:r>
        <w:rPr>
          <w:rFonts w:ascii="Times New Roman" w:hAnsi="Times New Roman" w:cs="Times New Roman" w:eastAsia="Times New Roman" w:hint="default"/>
          <w:spacing w:val="-4"/>
        </w:rPr>
        <w:t>10</w:t>
      </w:r>
      <w:r>
        <w:rPr>
          <w:spacing w:val="-4"/>
        </w:rPr>
        <w:t>名激励对象合计持有已获授但尚未解锁限制性股票</w:t>
      </w:r>
      <w:r>
        <w:rPr>
          <w:rFonts w:ascii="Times New Roman" w:hAnsi="Times New Roman" w:cs="Times New Roman" w:eastAsia="Times New Roman" w:hint="default"/>
          <w:spacing w:val="-4"/>
        </w:rPr>
        <w:t>78,683</w:t>
      </w:r>
      <w:r>
        <w:rPr>
          <w:rFonts w:ascii="Times New Roman" w:hAnsi="Times New Roman" w:cs="Times New Roman" w:eastAsia="Times New Roman" w:hint="default"/>
          <w:spacing w:val="-27"/>
        </w:rPr>
        <w:t> </w:t>
      </w:r>
      <w:r>
        <w:rPr/>
        <w:t>股进行回购注销。</w:t>
      </w:r>
    </w:p>
    <w:p>
      <w:pPr>
        <w:pStyle w:val="BodyText"/>
        <w:spacing w:line="240" w:lineRule="auto" w:before="72"/>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134"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日，公司在中国证券登记结算有限责任公司深圳分公司办理完成重大资产重组非公开发行限售股份上市 流通的业务。</w:t>
      </w:r>
    </w:p>
    <w:p>
      <w:pPr>
        <w:pStyle w:val="BodyText"/>
        <w:spacing w:line="300" w:lineRule="auto" w:before="31"/>
        <w:ind w:left="1134"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日，公司在中国证券登记结算有限责任公司深圳分公司办理完成首次授予限制性股票第二个解锁期解锁</w:t>
      </w:r>
      <w:r>
        <w:rPr/>
        <w:t> 并上市流通的业务。</w:t>
      </w:r>
    </w:p>
    <w:p>
      <w:pPr>
        <w:pStyle w:val="BodyText"/>
        <w:spacing w:line="240" w:lineRule="auto" w:before="31"/>
        <w:ind w:left="149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日，公司在中国证券登记结算有限责任公司深圳分公司办理完成了股权激励限制性股票回购注销业务。</w:t>
      </w:r>
    </w:p>
    <w:p>
      <w:pPr>
        <w:pStyle w:val="BodyText"/>
        <w:spacing w:line="300" w:lineRule="auto" w:before="63"/>
        <w:ind w:left="1134" w:right="1131"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日，公司在中国证券登记结算有限责任公司深圳分公司办理完成预留部分限制性股票第二个解锁期解锁</w:t>
      </w:r>
      <w:r>
        <w:rPr/>
        <w:t> 并上市流通的业务。</w:t>
      </w:r>
    </w:p>
    <w:p>
      <w:pPr>
        <w:pStyle w:val="BodyText"/>
        <w:spacing w:line="300" w:lineRule="auto" w:before="31"/>
        <w:ind w:left="1134" w:right="113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日，公司在中国证券登记结算有限责任公司深圳分公司办理完成重大资产重组非公开发行限售股份上市</w:t>
      </w:r>
      <w:r>
        <w:rPr/>
        <w:t> 流通的业务。</w:t>
      </w:r>
    </w:p>
    <w:p>
      <w:pPr>
        <w:pStyle w:val="BodyText"/>
        <w:spacing w:line="300" w:lineRule="auto" w:before="31"/>
        <w:ind w:left="1134" w:right="1131"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日，公司在中国证券登记结算有限责任公司深圳分公司办理完成首次授予限制性股票第三个解锁期解锁</w:t>
      </w:r>
      <w:r>
        <w:rPr/>
        <w:t> 并上市流通的业务。</w:t>
      </w:r>
    </w:p>
    <w:p>
      <w:pPr>
        <w:pStyle w:val="BodyText"/>
        <w:spacing w:line="340" w:lineRule="auto" w:before="31"/>
        <w:ind w:right="1303" w:firstLine="36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日，公司在中国证券登记结算有限责任公司深圳分公司完成了股权激励限制性股票回购注销业务。 股份变动对最近一年和最近一期基本每股收益和稀释每股收益、归属于公司普通股股东的每股净资产等财务指标的影响</w:t>
      </w:r>
    </w:p>
    <w:p>
      <w:pPr>
        <w:pStyle w:val="BodyText"/>
        <w:spacing w:line="348"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公司回购注销限制性股票对公司每股收益和稀释每股收益、归属于公司普通股股东的每股净资产等财务指标影响不大。 公司认为必要或证券监管机构要求披露的其他内容</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3"/>
        <w:gridCol w:w="1275"/>
        <w:gridCol w:w="1276"/>
        <w:gridCol w:w="852"/>
        <w:gridCol w:w="1145"/>
        <w:gridCol w:w="2114"/>
        <w:gridCol w:w="1903"/>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22"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136,052,997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132,677,997</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的比例解锁</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24,230,459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24,230,459</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26,564,624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10,625,850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15,938,774</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25,268,788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10,107,514</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15,161,274</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6,479,175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1,619,794</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4,859,381</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6,479,175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2,591,670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3,887,505</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杨敏</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3,322,654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3,322,654</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龙象之本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3,322,654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3,322,654</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2,538,302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2,538,302</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的比例解锁</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水向东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1,661,326</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1,353,761</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的比例解锁</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9,167,200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7,323,916</w:t>
            </w:r>
          </w:p>
        </w:tc>
        <w:tc>
          <w:tcPr>
            <w:tcW w:w="85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1,843,284</w:t>
            </w:r>
          </w:p>
        </w:tc>
        <w:tc>
          <w:tcPr>
            <w:tcW w:w="21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宋体" w:hAnsi="宋体" w:cs="宋体" w:eastAsia="宋体" w:hint="default"/>
                <w:spacing w:val="-90"/>
                <w:sz w:val="18"/>
                <w:szCs w:val="18"/>
              </w:rPr>
              <w:t>、</w:t>
            </w:r>
            <w:r>
              <w:rPr>
                <w:rFonts w:ascii="宋体" w:hAnsi="宋体" w:cs="宋体" w:eastAsia="宋体" w:hint="default"/>
                <w:sz w:val="18"/>
                <w:szCs w:val="18"/>
              </w:rPr>
              <w:t>首发后限售股</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246,441,115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35,643,744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210,797,371</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15</w:t>
      </w:r>
      <w:r>
        <w:rPr/>
        <w:t>日，公司第三届董事会第八次会议审议通过《关于回购注销部分激励对象已获授但尚未解锁限制性股</w:t>
      </w:r>
    </w:p>
    <w:p>
      <w:pPr>
        <w:pStyle w:val="BodyText"/>
        <w:spacing w:line="316" w:lineRule="auto" w:before="2"/>
        <w:ind w:right="1122"/>
        <w:jc w:val="left"/>
      </w:pPr>
      <w:r>
        <w:rPr>
          <w:spacing w:val="-2"/>
        </w:rPr>
        <w:t>票并修改公司章程相关条款的议案》，同意对韩喜龙、侯胜利等</w:t>
      </w:r>
      <w:r>
        <w:rPr>
          <w:rFonts w:ascii="宋体" w:hAnsi="宋体" w:cs="宋体" w:eastAsia="宋体" w:hint="default"/>
          <w:spacing w:val="-2"/>
        </w:rPr>
        <w:t>9</w:t>
      </w:r>
      <w:r>
        <w:rPr>
          <w:spacing w:val="-2"/>
        </w:rPr>
        <w:t>名激励对象合计持有已获授但尚未解锁限制性股票</w:t>
      </w:r>
      <w:r>
        <w:rPr>
          <w:rFonts w:ascii="宋体" w:hAnsi="宋体" w:cs="宋体" w:eastAsia="宋体" w:hint="default"/>
          <w:spacing w:val="-2"/>
        </w:rPr>
        <w:t>321,939</w:t>
      </w:r>
      <w:r>
        <w:rPr>
          <w:rFonts w:ascii="宋体" w:hAnsi="宋体" w:cs="宋体" w:eastAsia="宋体" w:hint="default"/>
          <w:spacing w:val="-58"/>
        </w:rPr>
        <w:t> </w:t>
      </w:r>
      <w:r>
        <w:rPr/>
        <w:t>股进行回购注销，并于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22</w:t>
      </w:r>
      <w:r>
        <w:rPr/>
        <w:t>日在中国证券登记结算有限责任公司深圳分公司完成回购注销。公司总股本变更为 </w:t>
      </w:r>
      <w:r>
        <w:rPr>
          <w:rFonts w:ascii="宋体" w:hAnsi="宋体" w:cs="宋体" w:eastAsia="宋体" w:hint="default"/>
        </w:rPr>
        <w:t>448,009,392</w:t>
      </w:r>
      <w:r>
        <w:rPr/>
        <w:t>股。</w:t>
      </w:r>
    </w:p>
    <w:p>
      <w:pPr>
        <w:pStyle w:val="BodyText"/>
        <w:spacing w:line="319" w:lineRule="auto"/>
        <w:ind w:right="1122" w:firstLine="360"/>
        <w:jc w:val="left"/>
      </w:pP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14</w:t>
      </w:r>
      <w:r>
        <w:rPr>
          <w:spacing w:val="-2"/>
        </w:rPr>
        <w:t>日，公司第三届董事会第十九次会议审议通过了《关于回购注销部分激励对象已获授但尚未解锁限制性</w:t>
      </w:r>
      <w:r>
        <w:rPr/>
        <w:t> </w:t>
      </w:r>
      <w:r>
        <w:rPr>
          <w:spacing w:val="-5"/>
        </w:rPr>
        <w:t>股票并修改公司章程相关条款的议案》，同意对黄小勇、侯胜利等</w:t>
      </w:r>
      <w:r>
        <w:rPr>
          <w:rFonts w:ascii="宋体" w:hAnsi="宋体" w:cs="宋体" w:eastAsia="宋体" w:hint="default"/>
          <w:spacing w:val="-5"/>
        </w:rPr>
        <w:t>10</w:t>
      </w:r>
      <w:r>
        <w:rPr>
          <w:spacing w:val="-5"/>
        </w:rPr>
        <w:t>名激励对象合计持有已获授但尚未解锁限制性股票</w:t>
      </w:r>
      <w:r>
        <w:rPr>
          <w:rFonts w:ascii="宋体" w:hAnsi="宋体" w:cs="宋体" w:eastAsia="宋体" w:hint="default"/>
          <w:spacing w:val="-5"/>
        </w:rPr>
        <w:t>78,683</w:t>
      </w:r>
      <w:r>
        <w:rPr>
          <w:rFonts w:ascii="宋体" w:hAnsi="宋体" w:cs="宋体" w:eastAsia="宋体" w:hint="default"/>
          <w:spacing w:val="-59"/>
        </w:rPr>
        <w:t> </w:t>
      </w:r>
      <w:r>
        <w:rPr/>
        <w:t>股进行回购注销，并于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日在中国证券登记结算有限责任公司深圳分公司完成回购注销。公司总股本变更为 </w:t>
      </w:r>
      <w:r>
        <w:rPr>
          <w:rFonts w:ascii="宋体" w:hAnsi="宋体" w:cs="宋体" w:eastAsia="宋体" w:hint="default"/>
        </w:rPr>
        <w:t>447,930,709</w:t>
      </w:r>
      <w:r>
        <w:rPr/>
        <w:t>股。</w:t>
      </w:r>
    </w:p>
    <w:p>
      <w:pPr>
        <w:spacing w:after="0" w:line="31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689pt;width:85.75pt;height:31.2pt;mso-position-horizontal-relative:page;mso-position-vertical-relative:paragraph;z-index:-964648" type="#_x0000_t202" filled="false" stroked="false">
            <v:textbox inset="0,0,0,0">
              <w:txbxContent>
                <w:p>
                  <w:pPr>
                    <w:pStyle w:val="BodyText"/>
                    <w:spacing w:line="205" w:lineRule="exact" w:before="0"/>
                    <w:ind w:left="0" w:right="0"/>
                    <w:jc w:val="left"/>
                  </w:pPr>
                  <w:r>
                    <w:rPr/>
                    <w:t>（如有）</w:t>
                  </w:r>
                </w:p>
              </w:txbxContent>
            </v:textbox>
            <w10:wrap type="none"/>
          </v:shape>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624" w:lineRule="exact"/>
        <w:ind w:left="964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2.65pt;height:31.2pt;mso-position-horizontal-relative:char;mso-position-vertical-relative:line" coordorigin="0,0" coordsize="1053,624">
            <v:group style="position:absolute;left:0;top:0;width:1053;height:624" coordorigin="0,0" coordsize="1053,624">
              <v:shape style="position:absolute;left:0;top:0;width:1053;height:624" coordorigin="0,0" coordsize="1053,624" path="m0,624l1052,624,1052,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56.459999pt;margin-top:-453.868286pt;width:479.3pt;height:544.5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836"/>
                    <w:gridCol w:w="553"/>
                    <w:gridCol w:w="708"/>
                    <w:gridCol w:w="178"/>
                    <w:gridCol w:w="673"/>
                    <w:gridCol w:w="202"/>
                    <w:gridCol w:w="344"/>
                    <w:gridCol w:w="589"/>
                    <w:gridCol w:w="718"/>
                    <w:gridCol w:w="275"/>
                    <w:gridCol w:w="490"/>
                    <w:gridCol w:w="323"/>
                    <w:gridCol w:w="464"/>
                    <w:gridCol w:w="848"/>
                    <w:gridCol w:w="279"/>
                    <w:gridCol w:w="788"/>
                  </w:tblGrid>
                  <w:tr>
                    <w:trPr>
                      <w:trHeight w:val="161"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34,028</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32,328</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3"/>
                        <w:vMerge w:val="restart"/>
                        <w:tcBorders>
                          <w:top w:val="single" w:sz="4" w:space="0" w:color="000000"/>
                          <w:left w:val="single" w:sz="9" w:space="0" w:color="FFFFFF"/>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firstLine="6"/>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79" w:type="dxa"/>
                        <w:tcBorders>
                          <w:top w:val="single" w:sz="4" w:space="0" w:color="000000"/>
                          <w:left w:val="single" w:sz="13" w:space="0" w:color="D2D2D2"/>
                          <w:bottom w:val="nil" w:sz="6" w:space="0" w:color="auto"/>
                          <w:right w:val="nil" w:sz="6" w:space="0" w:color="auto"/>
                        </w:tcBorders>
                      </w:tcPr>
                      <w:p>
                        <w:pPr/>
                      </w:p>
                    </w:tc>
                    <w:tc>
                      <w:tcPr>
                        <w:tcW w:w="78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9" w:space="0" w:color="FFFFFF"/>
                        </w:tcBorders>
                        <w:shd w:val="clear" w:color="auto" w:fill="D2D2D2"/>
                      </w:tcPr>
                      <w:p>
                        <w:pPr>
                          <w:pStyle w:val="TableParagraph"/>
                          <w:spacing w:line="316" w:lineRule="auto" w:before="51"/>
                          <w:ind w:left="17" w:right="-34"/>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3"/>
                        <w:vMerge/>
                        <w:tcBorders>
                          <w:left w:val="single" w:sz="9" w:space="0" w:color="FFFFFF"/>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279" w:type="dxa"/>
                        <w:vMerge w:val="restart"/>
                        <w:tcBorders>
                          <w:top w:val="nil" w:sz="6" w:space="0" w:color="auto"/>
                          <w:left w:val="single" w:sz="13" w:space="0" w:color="D2D2D2"/>
                          <w:right w:val="nil" w:sz="6" w:space="0" w:color="auto"/>
                        </w:tcBorders>
                      </w:tcPr>
                      <w:p>
                        <w:pPr/>
                      </w:p>
                    </w:tc>
                    <w:tc>
                      <w:tcPr>
                        <w:tcW w:w="78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4" w:right="82"/>
                          <w:jc w:val="center"/>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3"/>
                        <w:vMerge/>
                        <w:tcBorders>
                          <w:left w:val="single" w:sz="9" w:space="0" w:color="D2D2D2"/>
                          <w:right w:val="single" w:sz="9" w:space="0" w:color="D2D2D2"/>
                        </w:tcBorders>
                      </w:tcPr>
                      <w:p>
                        <w:pPr/>
                      </w:p>
                    </w:tc>
                    <w:tc>
                      <w:tcPr>
                        <w:tcW w:w="1306" w:type="dxa"/>
                        <w:gridSpan w:val="2"/>
                        <w:vMerge/>
                        <w:tcBorders>
                          <w:left w:val="single" w:sz="4" w:space="0" w:color="000000"/>
                          <w:right w:val="single" w:sz="9" w:space="0" w:color="FFFFFF"/>
                        </w:tcBorders>
                        <w:shd w:val="clear" w:color="auto" w:fill="D2D2D2"/>
                      </w:tcPr>
                      <w:p>
                        <w:pPr/>
                      </w:p>
                    </w:tc>
                    <w:tc>
                      <w:tcPr>
                        <w:tcW w:w="1087" w:type="dxa"/>
                        <w:gridSpan w:val="3"/>
                        <w:vMerge/>
                        <w:tcBorders>
                          <w:left w:val="single" w:sz="9" w:space="0" w:color="FFFFFF"/>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279" w:type="dxa"/>
                        <w:vMerge/>
                        <w:tcBorders>
                          <w:left w:val="single" w:sz="13" w:space="0" w:color="D2D2D2"/>
                          <w:right w:val="nil" w:sz="6" w:space="0" w:color="auto"/>
                        </w:tcBorders>
                      </w:tcPr>
                      <w:p>
                        <w:pPr/>
                      </w:p>
                    </w:tc>
                    <w:tc>
                      <w:tcPr>
                        <w:tcW w:w="78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301" w:right="2" w:hanging="27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306" w:type="dxa"/>
                        <w:gridSpan w:val="2"/>
                        <w:vMerge/>
                        <w:tcBorders>
                          <w:left w:val="single" w:sz="4" w:space="0" w:color="000000"/>
                          <w:right w:val="single" w:sz="9" w:space="0" w:color="FFFFFF"/>
                        </w:tcBorders>
                        <w:shd w:val="clear" w:color="auto" w:fill="D2D2D2"/>
                      </w:tcPr>
                      <w:p>
                        <w:pPr/>
                      </w:p>
                    </w:tc>
                    <w:tc>
                      <w:tcPr>
                        <w:tcW w:w="1087" w:type="dxa"/>
                        <w:gridSpan w:val="3"/>
                        <w:vMerge/>
                        <w:tcBorders>
                          <w:left w:val="single" w:sz="9" w:space="0" w:color="FFFFFF"/>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279" w:type="dxa"/>
                        <w:vMerge/>
                        <w:tcBorders>
                          <w:left w:val="single" w:sz="13" w:space="0" w:color="D2D2D2"/>
                          <w:right w:val="nil" w:sz="6" w:space="0" w:color="auto"/>
                        </w:tcBorders>
                      </w:tcPr>
                      <w:p>
                        <w:pPr/>
                      </w:p>
                    </w:tc>
                    <w:tc>
                      <w:tcPr>
                        <w:tcW w:w="78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306" w:type="dxa"/>
                        <w:gridSpan w:val="2"/>
                        <w:vMerge/>
                        <w:tcBorders>
                          <w:left w:val="single" w:sz="4" w:space="0" w:color="000000"/>
                          <w:right w:val="single" w:sz="9" w:space="0" w:color="FFFFFF"/>
                        </w:tcBorders>
                        <w:shd w:val="clear" w:color="auto" w:fill="D2D2D2"/>
                      </w:tcPr>
                      <w:p>
                        <w:pPr/>
                      </w:p>
                    </w:tc>
                    <w:tc>
                      <w:tcPr>
                        <w:tcW w:w="1087" w:type="dxa"/>
                        <w:gridSpan w:val="3"/>
                        <w:vMerge/>
                        <w:tcBorders>
                          <w:left w:val="single" w:sz="9" w:space="0" w:color="FFFFFF"/>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279" w:type="dxa"/>
                        <w:vMerge/>
                        <w:tcBorders>
                          <w:left w:val="single" w:sz="13" w:space="0" w:color="D2D2D2"/>
                          <w:right w:val="nil" w:sz="6" w:space="0" w:color="auto"/>
                        </w:tcBorders>
                      </w:tcPr>
                      <w:p>
                        <w:pPr/>
                      </w:p>
                    </w:tc>
                    <w:tc>
                      <w:tcPr>
                        <w:tcW w:w="78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9" w:space="0" w:color="FFFFFF"/>
                        </w:tcBorders>
                        <w:shd w:val="clear" w:color="auto" w:fill="D2D2D2"/>
                      </w:tcPr>
                      <w:p>
                        <w:pPr/>
                      </w:p>
                    </w:tc>
                    <w:tc>
                      <w:tcPr>
                        <w:tcW w:w="1087" w:type="dxa"/>
                        <w:gridSpan w:val="3"/>
                        <w:vMerge/>
                        <w:tcBorders>
                          <w:left w:val="single" w:sz="9" w:space="0" w:color="FFFFFF"/>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279" w:type="dxa"/>
                        <w:vMerge/>
                        <w:tcBorders>
                          <w:left w:val="single" w:sz="13" w:space="0" w:color="D2D2D2"/>
                          <w:right w:val="nil" w:sz="6" w:space="0" w:color="auto"/>
                        </w:tcBorders>
                      </w:tcPr>
                      <w:p>
                        <w:pPr/>
                      </w:p>
                    </w:tc>
                    <w:tc>
                      <w:tcPr>
                        <w:tcW w:w="78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3"/>
                        <w:vMerge/>
                        <w:tcBorders>
                          <w:left w:val="single" w:sz="9" w:space="0" w:color="FFFFFF"/>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279" w:type="dxa"/>
                        <w:vMerge/>
                        <w:tcBorders>
                          <w:left w:val="single" w:sz="13" w:space="0" w:color="D2D2D2"/>
                          <w:bottom w:val="single" w:sz="4" w:space="0" w:color="000000"/>
                          <w:right w:val="nil" w:sz="6" w:space="0" w:color="auto"/>
                        </w:tcBorders>
                      </w:tcPr>
                      <w:p>
                        <w:pPr/>
                      </w:p>
                    </w:tc>
                    <w:tc>
                      <w:tcPr>
                        <w:tcW w:w="78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71"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389"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389"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5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3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5" w:type="dxa"/>
                        <w:gridSpan w:val="3"/>
                        <w:vMerge/>
                        <w:tcBorders>
                          <w:left w:val="single" w:sz="4" w:space="0" w:color="000000"/>
                          <w:right w:val="single" w:sz="4" w:space="0" w:color="000000"/>
                        </w:tcBorders>
                        <w:shd w:val="clear" w:color="auto" w:fill="D2D2D2"/>
                      </w:tcPr>
                      <w:p>
                        <w:pPr/>
                      </w:p>
                    </w:tc>
                  </w:tr>
                  <w:tr>
                    <w:trPr>
                      <w:trHeight w:val="140"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tcBorders>
                          <w:left w:val="single" w:sz="4" w:space="0" w:color="000000"/>
                          <w:right w:val="single" w:sz="4" w:space="0" w:color="000000"/>
                        </w:tcBorders>
                        <w:shd w:val="clear" w:color="auto" w:fill="D2D2D2"/>
                      </w:tcPr>
                      <w:p>
                        <w:pPr/>
                      </w:p>
                    </w:tc>
                    <w:tc>
                      <w:tcPr>
                        <w:tcW w:w="1053" w:type="dxa"/>
                        <w:gridSpan w:val="3"/>
                        <w:vMerge/>
                        <w:tcBorders>
                          <w:left w:val="single" w:sz="4" w:space="0" w:color="000000"/>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389"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053" w:type="dxa"/>
                        <w:gridSpan w:val="3"/>
                        <w:vMerge/>
                        <w:tcBorders>
                          <w:left w:val="single" w:sz="4" w:space="0" w:color="000000"/>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389"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053" w:type="dxa"/>
                        <w:gridSpan w:val="3"/>
                        <w:vMerge/>
                        <w:tcBorders>
                          <w:left w:val="single" w:sz="4" w:space="0" w:color="000000"/>
                          <w:bottom w:val="nil" w:sz="6" w:space="0" w:color="auto"/>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1389" w:type="dxa"/>
                        <w:gridSpan w:val="2"/>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
                          <w:jc w:val="right"/>
                          <w:rPr>
                            <w:rFonts w:ascii="Times New Roman" w:hAnsi="Times New Roman" w:cs="Times New Roman" w:eastAsia="Times New Roman" w:hint="default"/>
                            <w:sz w:val="18"/>
                            <w:szCs w:val="18"/>
                          </w:rPr>
                        </w:pPr>
                        <w:r>
                          <w:rPr>
                            <w:rFonts w:ascii="Times New Roman"/>
                            <w:sz w:val="18"/>
                          </w:rPr>
                          <w:t>39.49%</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176,903,996</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132,677,997</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44,225,999</w:t>
                        </w:r>
                      </w:p>
                    </w:tc>
                    <w:tc>
                      <w:tcPr>
                        <w:tcW w:w="848"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81" w:right="0"/>
                          <w:jc w:val="left"/>
                          <w:rPr>
                            <w:rFonts w:ascii="Times New Roman" w:hAnsi="Times New Roman" w:cs="Times New Roman" w:eastAsia="Times New Roman" w:hint="default"/>
                            <w:sz w:val="18"/>
                            <w:szCs w:val="18"/>
                          </w:rPr>
                        </w:pPr>
                        <w:r>
                          <w:rPr>
                            <w:rFonts w:ascii="Times New Roman"/>
                            <w:sz w:val="18"/>
                          </w:rPr>
                          <w:t>104,150,300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华信远景</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5.61%</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25,142,993</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25,142,993</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华信行投资</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5.41%</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24,230,459</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24,230,459</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蒋利琴</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4.30%</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19,245,831</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-6,022,957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15,161,274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4,084,557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14,500,000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丁伟国</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4.25%</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19,050,000</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-7,514,624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15,938,774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9" w:right="0"/>
                          <w:jc w:val="left"/>
                          <w:rPr>
                            <w:rFonts w:ascii="Times New Roman" w:hAnsi="Times New Roman" w:cs="Times New Roman" w:eastAsia="Times New Roman" w:hint="default"/>
                            <w:sz w:val="18"/>
                            <w:szCs w:val="18"/>
                          </w:rPr>
                        </w:pPr>
                        <w:r>
                          <w:rPr>
                            <w:rFonts w:ascii="Times New Roman"/>
                            <w:sz w:val="18"/>
                          </w:rPr>
                          <w:t>3,111,226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18,600,000</w:t>
                        </w:r>
                      </w:p>
                    </w:tc>
                  </w:tr>
                  <w:tr>
                    <w:trPr>
                      <w:trHeight w:val="1338"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0" w:hanging="2"/>
                          <w:jc w:val="center"/>
                          <w:rPr>
                            <w:rFonts w:ascii="宋体" w:hAnsi="宋体" w:cs="宋体" w:eastAsia="宋体" w:hint="default"/>
                            <w:sz w:val="18"/>
                            <w:szCs w:val="18"/>
                          </w:rPr>
                        </w:pPr>
                        <w:r>
                          <w:rPr>
                            <w:rFonts w:ascii="宋体" w:hAnsi="宋体" w:cs="宋体" w:eastAsia="宋体" w:hint="default"/>
                            <w:sz w:val="18"/>
                            <w:szCs w:val="18"/>
                          </w:rPr>
                          <w:t>任子行网络技 术股份有限公 司－第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期员工 持股计划</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4"/>
                          <w:jc w:val="right"/>
                          <w:rPr>
                            <w:rFonts w:ascii="Times New Roman" w:hAnsi="Times New Roman" w:cs="Times New Roman" w:eastAsia="Times New Roman" w:hint="default"/>
                            <w:sz w:val="18"/>
                            <w:szCs w:val="18"/>
                          </w:rPr>
                        </w:pPr>
                        <w:r>
                          <w:rPr>
                            <w:rFonts w:ascii="Times New Roman"/>
                            <w:sz w:val="18"/>
                          </w:rPr>
                          <w:t>1.31%</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5,847,069</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5,847,069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5,847,069</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朱瑶</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1.10%</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4,933,740</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-1,545,435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4,859,381</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5" w:right="0"/>
                          <w:jc w:val="left"/>
                          <w:rPr>
                            <w:rFonts w:ascii="Times New Roman" w:hAnsi="Times New Roman" w:cs="Times New Roman" w:eastAsia="Times New Roman" w:hint="default"/>
                            <w:sz w:val="18"/>
                            <w:szCs w:val="18"/>
                          </w:rPr>
                        </w:pPr>
                        <w:r>
                          <w:rPr>
                            <w:rFonts w:ascii="Times New Roman"/>
                            <w:sz w:val="18"/>
                          </w:rPr>
                          <w:t>74,359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3,700,000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刘泉</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1.07%</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4,798,502</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-1,680,673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3,887,505</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910,997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4,580,000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天津云鲁冀</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1.07%</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4,796,326</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4,796,326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4,796,326</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景玉林</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0.87%</w:t>
                        </w:r>
                      </w:p>
                    </w:tc>
                    <w:tc>
                      <w:tcPr>
                        <w:tcW w:w="1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3,893,800</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3,893,800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3,893,800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hanging="57"/>
                          <w:jc w:val="center"/>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8" w:type="dxa"/>
                        <w:tcBorders>
                          <w:top w:val="single" w:sz="4" w:space="0" w:color="000000"/>
                          <w:left w:val="single" w:sz="13" w:space="0" w:color="D2D2D2"/>
                          <w:bottom w:val="single" w:sz="4" w:space="0" w:color="000000"/>
                          <w:right w:val="nil" w:sz="6" w:space="0" w:color="auto"/>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8" w:type="dxa"/>
                        <w:tcBorders>
                          <w:top w:val="single" w:sz="4" w:space="0" w:color="000000"/>
                          <w:left w:val="nil" w:sz="6" w:space="0" w:color="auto"/>
                          <w:bottom w:val="single" w:sz="4" w:space="0" w:color="000000"/>
                          <w:right w:val="nil" w:sz="6" w:space="0" w:color="auto"/>
                        </w:tcBorders>
                        <w:shd w:val="clear" w:color="auto" w:fill="C7E7CC"/>
                      </w:tcPr>
                      <w:p>
                        <w:pPr/>
                      </w:p>
                    </w:tc>
                    <w:tc>
                      <w:tcPr>
                        <w:tcW w:w="673" w:type="dxa"/>
                        <w:tcBorders>
                          <w:top w:val="single" w:sz="4" w:space="0" w:color="000000"/>
                          <w:left w:val="nil" w:sz="6" w:space="0" w:color="auto"/>
                          <w:bottom w:val="single" w:sz="4" w:space="0" w:color="000000"/>
                          <w:right w:val="nil" w:sz="6" w:space="0" w:color="auto"/>
                        </w:tcBorders>
                        <w:shd w:val="clear" w:color="auto" w:fill="C7E7CC"/>
                      </w:tcPr>
                      <w:p>
                        <w:pPr/>
                      </w:p>
                    </w:tc>
                    <w:tc>
                      <w:tcPr>
                        <w:tcW w:w="202" w:type="dxa"/>
                        <w:tcBorders>
                          <w:top w:val="single" w:sz="4" w:space="0" w:color="000000"/>
                          <w:left w:val="nil" w:sz="6" w:space="0" w:color="auto"/>
                          <w:bottom w:val="single" w:sz="4" w:space="0" w:color="000000"/>
                          <w:right w:val="nil" w:sz="6" w:space="0" w:color="auto"/>
                        </w:tcBorders>
                        <w:shd w:val="clear" w:color="auto" w:fill="C7E7CC"/>
                      </w:tcPr>
                      <w:p>
                        <w:pPr/>
                      </w:p>
                    </w:tc>
                    <w:tc>
                      <w:tcPr>
                        <w:tcW w:w="344" w:type="dxa"/>
                        <w:tcBorders>
                          <w:top w:val="single" w:sz="4" w:space="0" w:color="000000"/>
                          <w:left w:val="nil" w:sz="6" w:space="0" w:color="auto"/>
                          <w:bottom w:val="single" w:sz="4" w:space="0" w:color="000000"/>
                          <w:right w:val="nil" w:sz="6" w:space="0" w:color="auto"/>
                        </w:tcBorders>
                        <w:shd w:val="clear" w:color="auto" w:fill="C7E7CC"/>
                      </w:tcPr>
                      <w:p>
                        <w:pPr/>
                      </w:p>
                    </w:tc>
                    <w:tc>
                      <w:tcPr>
                        <w:tcW w:w="589" w:type="dxa"/>
                        <w:tcBorders>
                          <w:top w:val="single" w:sz="4" w:space="0" w:color="000000"/>
                          <w:left w:val="nil" w:sz="6" w:space="0" w:color="auto"/>
                          <w:bottom w:val="single" w:sz="4" w:space="0" w:color="000000"/>
                          <w:right w:val="nil" w:sz="6" w:space="0" w:color="auto"/>
                        </w:tcBorders>
                        <w:shd w:val="clear" w:color="auto" w:fill="C7E7CC"/>
                      </w:tcPr>
                      <w:p>
                        <w:pPr/>
                      </w:p>
                    </w:tc>
                    <w:tc>
                      <w:tcPr>
                        <w:tcW w:w="718" w:type="dxa"/>
                        <w:tcBorders>
                          <w:top w:val="single" w:sz="4" w:space="0" w:color="000000"/>
                          <w:left w:val="nil" w:sz="6" w:space="0" w:color="auto"/>
                          <w:bottom w:val="single" w:sz="4" w:space="0" w:color="000000"/>
                          <w:right w:val="nil" w:sz="6" w:space="0" w:color="auto"/>
                        </w:tcBorders>
                        <w:shd w:val="clear" w:color="auto" w:fill="C7E7CC"/>
                      </w:tcPr>
                      <w:p>
                        <w:pPr/>
                      </w:p>
                    </w:tc>
                    <w:tc>
                      <w:tcPr>
                        <w:tcW w:w="275" w:type="dxa"/>
                        <w:tcBorders>
                          <w:top w:val="single" w:sz="4" w:space="0" w:color="000000"/>
                          <w:left w:val="nil" w:sz="6" w:space="0" w:color="auto"/>
                          <w:bottom w:val="single" w:sz="4" w:space="0" w:color="000000"/>
                          <w:right w:val="nil" w:sz="6" w:space="0" w:color="auto"/>
                        </w:tcBorders>
                        <w:shd w:val="clear" w:color="auto" w:fill="C7E7CC"/>
                      </w:tcPr>
                      <w:p>
                        <w:pPr/>
                      </w:p>
                    </w:tc>
                    <w:tc>
                      <w:tcPr>
                        <w:tcW w:w="490" w:type="dxa"/>
                        <w:tcBorders>
                          <w:top w:val="single" w:sz="4" w:space="0" w:color="000000"/>
                          <w:left w:val="nil" w:sz="6" w:space="0" w:color="auto"/>
                          <w:bottom w:val="single" w:sz="4" w:space="0" w:color="000000"/>
                          <w:right w:val="nil" w:sz="6" w:space="0" w:color="auto"/>
                        </w:tcBorders>
                        <w:shd w:val="clear" w:color="auto" w:fill="C7E7CC"/>
                      </w:tcPr>
                      <w:p>
                        <w:pPr/>
                      </w:p>
                    </w:tc>
                    <w:tc>
                      <w:tcPr>
                        <w:tcW w:w="323" w:type="dxa"/>
                        <w:tcBorders>
                          <w:top w:val="single" w:sz="4" w:space="0" w:color="000000"/>
                          <w:left w:val="nil" w:sz="6" w:space="0" w:color="auto"/>
                          <w:bottom w:val="single" w:sz="4" w:space="0" w:color="000000"/>
                          <w:right w:val="nil" w:sz="6" w:space="0" w:color="auto"/>
                        </w:tcBorders>
                        <w:shd w:val="clear" w:color="auto" w:fill="C7E7CC"/>
                      </w:tcPr>
                      <w:p>
                        <w:pPr/>
                      </w:p>
                    </w:tc>
                    <w:tc>
                      <w:tcPr>
                        <w:tcW w:w="464" w:type="dxa"/>
                        <w:tcBorders>
                          <w:top w:val="single" w:sz="4" w:space="0" w:color="000000"/>
                          <w:left w:val="nil" w:sz="6" w:space="0" w:color="auto"/>
                          <w:bottom w:val="single" w:sz="4" w:space="0" w:color="000000"/>
                          <w:right w:val="nil" w:sz="6" w:space="0" w:color="auto"/>
                        </w:tcBorders>
                        <w:shd w:val="clear" w:color="auto" w:fill="C7E7CC"/>
                      </w:tcPr>
                      <w:p>
                        <w:pPr/>
                      </w:p>
                    </w:tc>
                    <w:tc>
                      <w:tcPr>
                        <w:tcW w:w="848" w:type="dxa"/>
                        <w:tcBorders>
                          <w:top w:val="single" w:sz="4" w:space="0" w:color="000000"/>
                          <w:left w:val="nil" w:sz="6" w:space="0" w:color="auto"/>
                          <w:bottom w:val="single" w:sz="4" w:space="0" w:color="000000"/>
                          <w:right w:val="nil" w:sz="6" w:space="0" w:color="auto"/>
                        </w:tcBorders>
                        <w:shd w:val="clear" w:color="auto" w:fill="C7E7CC"/>
                      </w:tcPr>
                      <w:p>
                        <w:pPr/>
                      </w:p>
                    </w:tc>
                    <w:tc>
                      <w:tcPr>
                        <w:tcW w:w="279" w:type="dxa"/>
                        <w:tcBorders>
                          <w:top w:val="single" w:sz="4" w:space="0" w:color="000000"/>
                          <w:left w:val="nil" w:sz="6" w:space="0" w:color="auto"/>
                          <w:bottom w:val="single" w:sz="4" w:space="0" w:color="000000"/>
                          <w:right w:val="nil" w:sz="6" w:space="0" w:color="auto"/>
                        </w:tcBorders>
                        <w:shd w:val="clear" w:color="auto" w:fill="C7E7CC"/>
                      </w:tcPr>
                      <w:p>
                        <w:pPr/>
                      </w:p>
                    </w:tc>
                    <w:tc>
                      <w:tcPr>
                        <w:tcW w:w="788" w:type="dxa"/>
                        <w:tcBorders>
                          <w:top w:val="single" w:sz="4" w:space="0" w:color="000000"/>
                          <w:left w:val="nil" w:sz="6" w:space="0" w:color="auto"/>
                          <w:bottom w:val="single" w:sz="4" w:space="0" w:color="000000"/>
                          <w:right w:val="single" w:sz="4" w:space="0" w:color="000000"/>
                        </w:tcBorders>
                        <w:shd w:val="clear" w:color="auto" w:fill="C7E7CC"/>
                      </w:tcPr>
                      <w:p>
                        <w:pPr/>
                      </w:p>
                    </w:tc>
                  </w:tr>
                  <w:tr>
                    <w:trPr>
                      <w:trHeight w:val="161" w:hRule="exact"/>
                    </w:trPr>
                    <w:tc>
                      <w:tcPr>
                        <w:tcW w:w="269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877" w:type="dxa"/>
                        <w:gridSpan w:val="14"/>
                        <w:vMerge w:val="restart"/>
                        <w:tcBorders>
                          <w:top w:val="single" w:sz="4" w:space="0" w:color="000000"/>
                          <w:left w:val="single" w:sz="9" w:space="0" w:color="D2D2D2"/>
                          <w:right w:val="single" w:sz="4" w:space="0" w:color="000000"/>
                        </w:tcBorders>
                        <w:shd w:val="clear" w:color="auto" w:fill="C7E7CC"/>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3"/>
                            <w:sz w:val="18"/>
                            <w:szCs w:val="18"/>
                          </w:rPr>
                          <w:t>上述股东中，景晓军为华信远景控股股东、实际控制人，为华信行的合伙人；除此之外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其余股东不存在或未知是否存在关联关系或属于《上市公司股东持股变动信息披露管理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办法》规定的一致行动人。</w:t>
                        </w:r>
                      </w:p>
                    </w:tc>
                  </w:tr>
                  <w:tr>
                    <w:trPr>
                      <w:trHeight w:val="704" w:hRule="exact"/>
                    </w:trPr>
                    <w:tc>
                      <w:tcPr>
                        <w:tcW w:w="269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62" w:right="81" w:hanging="108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7" w:type="dxa"/>
                        <w:gridSpan w:val="14"/>
                        <w:vMerge/>
                        <w:tcBorders>
                          <w:left w:val="single" w:sz="9" w:space="0" w:color="D2D2D2"/>
                          <w:right w:val="single" w:sz="4" w:space="0" w:color="000000"/>
                        </w:tcBorders>
                        <w:shd w:val="clear" w:color="auto" w:fill="C7E7CC"/>
                      </w:tcPr>
                      <w:p>
                        <w:pPr/>
                      </w:p>
                    </w:tc>
                  </w:tr>
                  <w:tr>
                    <w:trPr>
                      <w:trHeight w:val="161" w:hRule="exact"/>
                    </w:trPr>
                    <w:tc>
                      <w:tcPr>
                        <w:tcW w:w="269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877" w:type="dxa"/>
                        <w:gridSpan w:val="14"/>
                        <w:vMerge/>
                        <w:tcBorders>
                          <w:left w:val="single" w:sz="9" w:space="0" w:color="D2D2D2"/>
                          <w:bottom w:val="single" w:sz="4" w:space="0" w:color="000000"/>
                          <w:right w:val="single" w:sz="4" w:space="0" w:color="000000"/>
                        </w:tcBorders>
                        <w:shd w:val="clear" w:color="auto" w:fill="C7E7CC"/>
                      </w:tcPr>
                      <w:p>
                        <w:pPr/>
                      </w:p>
                    </w:tc>
                  </w:tr>
                  <w:tr>
                    <w:trPr>
                      <w:trHeight w:val="397" w:hRule="exact"/>
                    </w:trPr>
                    <w:tc>
                      <w:tcPr>
                        <w:tcW w:w="9571"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98" w:hRule="exact"/>
                    </w:trPr>
                    <w:tc>
                      <w:tcPr>
                        <w:tcW w:w="425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w:t>
                        </w:r>
                      </w:p>
                    </w:tc>
                    <w:tc>
                      <w:tcPr>
                        <w:tcW w:w="27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254"/>
        <w:gridCol w:w="2616"/>
        <w:gridCol w:w="1349"/>
        <w:gridCol w:w="1352"/>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44,225,999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44,225,999</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华信远景</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25,142,993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25,142,993</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任子行网络技术股份有限公司－第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5,847,069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5,847,069</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天津云鲁冀</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4,796,326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4,796,326</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蒋利琴</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4,084,557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4,084,557</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景玉林</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3,893,800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3,893,800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3,852,609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3,852,609</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天津任鸿</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3,647,202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3,647,202</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丁伟国</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3,111,226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3,111,226</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国信证券股份有限公司约定购回专用账户</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1,429,151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1,429,151</w:t>
            </w:r>
          </w:p>
        </w:tc>
      </w:tr>
      <w:tr>
        <w:trPr>
          <w:trHeight w:val="1026"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2" w:lineRule="auto" w:before="63"/>
              <w:ind w:left="1942" w:right="22" w:hanging="1920"/>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名股东之间关联关系或一致行动的 说明</w:t>
            </w:r>
          </w:p>
        </w:tc>
        <w:tc>
          <w:tcPr>
            <w:tcW w:w="5318" w:type="dxa"/>
            <w:gridSpan w:val="3"/>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上述股东中，景晓军为华信远景控股股东、实际控制人；其他股东 之间，未知是否存在关联关系或属于《上市公司股东持股变动信息 披露管理办法》规定的一致行动人。</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318" w:type="dxa"/>
            <w:gridSpan w:val="3"/>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0" w:firstLine="290"/>
        <w:jc w:val="left"/>
      </w:pPr>
      <w:r>
        <w:rPr/>
        <w:t>公司第十名无限售条件普通股股东洪志刚在报告期内进行约定购回交易，账户名称为</w:t>
      </w:r>
      <w:r>
        <w:rPr>
          <w:rFonts w:ascii="Times New Roman" w:hAnsi="Times New Roman" w:cs="Times New Roman" w:eastAsia="Times New Roman" w:hint="default"/>
        </w:rPr>
        <w:t>“</w:t>
      </w:r>
      <w:r>
        <w:rPr/>
        <w:t>国信证券股份有限公司约定购回 </w:t>
      </w:r>
      <w:r>
        <w:rPr>
          <w:spacing w:val="-2"/>
        </w:rPr>
        <w:t>专用账户</w:t>
      </w:r>
      <w:r>
        <w:rPr>
          <w:rFonts w:ascii="Times New Roman" w:hAnsi="Times New Roman" w:cs="Times New Roman" w:eastAsia="Times New Roman" w:hint="default"/>
          <w:spacing w:val="-2"/>
        </w:rPr>
        <w:t>”</w:t>
      </w:r>
      <w:r>
        <w:rPr>
          <w:spacing w:val="-2"/>
        </w:rPr>
        <w:t>，约定购回初始交易所涉及的股份数量为</w:t>
      </w:r>
      <w:r>
        <w:rPr>
          <w:rFonts w:ascii="Times New Roman" w:hAnsi="Times New Roman" w:cs="Times New Roman" w:eastAsia="Times New Roman" w:hint="default"/>
          <w:spacing w:val="-2"/>
        </w:rPr>
        <w:t>1,429,151</w:t>
      </w:r>
      <w:r>
        <w:rPr>
          <w:spacing w:val="-2"/>
        </w:rPr>
        <w:t>股，占公司股份总数的</w:t>
      </w:r>
      <w:r>
        <w:rPr>
          <w:rFonts w:ascii="Times New Roman" w:hAnsi="Times New Roman" w:cs="Times New Roman" w:eastAsia="Times New Roman" w:hint="default"/>
          <w:spacing w:val="-2"/>
        </w:rPr>
        <w:t>0.32%</w:t>
      </w:r>
      <w:r>
        <w:rPr>
          <w:spacing w:val="-2"/>
        </w:rPr>
        <w:t>。报告期内未进行股份购回，截止</w:t>
      </w:r>
      <w:r>
        <w:rPr>
          <w:spacing w:val="-59"/>
        </w:rPr>
        <w:t> </w:t>
      </w:r>
      <w:r>
        <w:rPr>
          <w:spacing w:val="-59"/>
        </w:rPr>
      </w:r>
      <w:r>
        <w:rPr/>
        <w:t>报告期末，</w:t>
      </w:r>
      <w:r>
        <w:rPr>
          <w:rFonts w:ascii="Times New Roman" w:hAnsi="Times New Roman" w:cs="Times New Roman" w:eastAsia="Times New Roman" w:hint="default"/>
        </w:rPr>
        <w:t>“</w:t>
      </w:r>
      <w:r>
        <w:rPr/>
        <w:t>国信证券股份有限公司约定购回专用账户</w:t>
      </w:r>
      <w:r>
        <w:rPr>
          <w:rFonts w:ascii="Times New Roman" w:hAnsi="Times New Roman" w:cs="Times New Roman" w:eastAsia="Times New Roman" w:hint="default"/>
        </w:rPr>
        <w:t>”</w:t>
      </w:r>
      <w:r>
        <w:rPr/>
        <w:t>持股数为</w:t>
      </w:r>
      <w:r>
        <w:rPr>
          <w:rFonts w:ascii="Times New Roman" w:hAnsi="Times New Roman" w:cs="Times New Roman" w:eastAsia="Times New Roman" w:hint="default"/>
        </w:rPr>
        <w:t>1,429,151</w:t>
      </w:r>
      <w:r>
        <w:rPr/>
        <w:t>股，占公司股份总数的</w:t>
      </w:r>
      <w:r>
        <w:rPr>
          <w:rFonts w:ascii="Times New Roman" w:hAnsi="Times New Roman" w:cs="Times New Roman" w:eastAsia="Times New Roman" w:hint="default"/>
        </w:rPr>
        <w:t>0.32%</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4690"/>
        <w:gridCol w:w="2256"/>
        <w:gridCol w:w="2622"/>
      </w:tblGrid>
      <w:tr>
        <w:trPr>
          <w:trHeight w:val="397"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国籍</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46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25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2"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690"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现任公司董事长</w:t>
            </w:r>
          </w:p>
        </w:tc>
      </w:tr>
      <w:tr>
        <w:trPr>
          <w:trHeight w:val="402" w:hRule="exact"/>
        </w:trPr>
        <w:tc>
          <w:tcPr>
            <w:tcW w:w="4690"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4678"/>
        <w:gridCol w:w="2268"/>
        <w:gridCol w:w="262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690"/>
        <w:gridCol w:w="2245"/>
        <w:gridCol w:w="2622"/>
      </w:tblGrid>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24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2"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690"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867" w:type="dxa"/>
            <w:gridSpan w:val="2"/>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现任公司董事长</w:t>
            </w:r>
          </w:p>
        </w:tc>
      </w:tr>
      <w:tr>
        <w:trPr>
          <w:trHeight w:val="402" w:hRule="exact"/>
        </w:trPr>
        <w:tc>
          <w:tcPr>
            <w:tcW w:w="4690"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4867" w:type="dxa"/>
            <w:gridSpan w:val="2"/>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自公司上市至今，景晓军为公司控股股东、实际控制人</w:t>
            </w:r>
          </w:p>
        </w:tc>
      </w:tr>
    </w:tbl>
    <w:p>
      <w:pPr>
        <w:pStyle w:val="BodyText"/>
        <w:spacing w:line="240" w:lineRule="auto" w:before="51"/>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9"/>
          <w:szCs w:val="19"/>
        </w:rPr>
      </w:pPr>
    </w:p>
    <w:p>
      <w:pPr>
        <w:spacing w:line="3600" w:lineRule="exact"/>
        <w:ind w:left="2338"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591050" cy="22860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050"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665"/>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10"/>
        <w:gridCol w:w="992"/>
        <w:gridCol w:w="427"/>
        <w:gridCol w:w="282"/>
        <w:gridCol w:w="284"/>
        <w:gridCol w:w="850"/>
        <w:gridCol w:w="852"/>
        <w:gridCol w:w="991"/>
        <w:gridCol w:w="1134"/>
        <w:gridCol w:w="1134"/>
        <w:gridCol w:w="851"/>
        <w:gridCol w:w="1067"/>
      </w:tblGrid>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1" w:right="59"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 w:firstLine="88"/>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7" w:val="left" w:leader="none"/>
              </w:tabs>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董事长、董 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176,903,996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176,903,996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3,384,403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3,384,403</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1,805,015</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6,479,175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1,545,435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4,933,740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1,350,161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1,236,561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张晓辉</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钟海川</w:t>
            </w:r>
          </w:p>
        </w:tc>
        <w:tc>
          <w:tcPr>
            <w:tcW w:w="9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189,922,750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1,659,035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188,263,715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29"/>
        <w:gridCol w:w="1330"/>
        <w:gridCol w:w="1330"/>
        <w:gridCol w:w="1681"/>
        <w:gridCol w:w="389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钟海川</w:t>
            </w:r>
          </w:p>
        </w:tc>
        <w:tc>
          <w:tcPr>
            <w:tcW w:w="133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12" w:lineRule="auto" w:before="115"/>
        <w:ind w:right="1033"/>
        <w:jc w:val="left"/>
      </w:pPr>
      <w:r>
        <w:rPr/>
        <w:t>（一）董事： </w:t>
      </w:r>
      <w:r>
        <w:rPr>
          <w:rFonts w:ascii="Times New Roman" w:hAnsi="Times New Roman" w:cs="Times New Roman" w:eastAsia="Times New Roman" w:hint="default"/>
          <w:spacing w:val="-5"/>
        </w:rPr>
        <w:t>1</w:t>
      </w:r>
      <w:r>
        <w:rPr>
          <w:spacing w:val="-5"/>
        </w:rPr>
        <w:t>、景晓军先生：博士研究生学历，高级工程师。</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5</w:t>
      </w:r>
      <w:r>
        <w:rPr>
          <w:spacing w:val="-5"/>
        </w:rPr>
        <w:t>月至今任职于任子行，现任公司董事长。主要职责：主持股东大会，</w:t>
      </w:r>
      <w:r>
        <w:rPr>
          <w:spacing w:val="-65"/>
        </w:rPr>
        <w:t> </w:t>
      </w:r>
      <w:r>
        <w:rPr>
          <w:spacing w:val="-65"/>
        </w:rPr>
      </w:r>
      <w:r>
        <w:rPr/>
        <w:t>召集、主持董事会会议；督促、检查董事会会议决议的执行；行使法定代表人的职权；在权限范围内决定公司的对外投资、</w:t>
      </w:r>
      <w:r>
        <w:rPr>
          <w:spacing w:val="-85"/>
        </w:rPr>
        <w:t> </w:t>
      </w:r>
      <w:r>
        <w:rPr>
          <w:spacing w:val="-85"/>
        </w:rPr>
      </w:r>
      <w:r>
        <w:rPr/>
        <w:t>购买出售资产、关联交易等事项。 </w:t>
      </w:r>
      <w:r>
        <w:rPr>
          <w:rFonts w:ascii="Times New Roman" w:hAnsi="Times New Roman" w:cs="Times New Roman" w:eastAsia="Times New Roman" w:hint="default"/>
          <w:spacing w:val="-2"/>
        </w:rPr>
        <w:t>2</w:t>
      </w:r>
      <w:r>
        <w:rPr>
          <w:spacing w:val="-2"/>
        </w:rPr>
        <w:t>、景晓东先生：硕士研究生学历。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月至今任任网游执行董事兼总经理，现任公司董事。主要职责：出席公司董事会</w:t>
      </w:r>
      <w:r>
        <w:rPr>
          <w:spacing w:val="-61"/>
        </w:rPr>
        <w:t> </w:t>
      </w:r>
      <w:r>
        <w:rPr>
          <w:spacing w:val="-61"/>
        </w:rPr>
      </w:r>
      <w:r>
        <w:rPr>
          <w:spacing w:val="-5"/>
        </w:rPr>
        <w:t>会议并对董事会会议审议事项进行表决；审议公司的定期报告并签署书面确认意见，保证公司信息披露的真实、准确、完整。</w:t>
      </w:r>
      <w:r>
        <w:rPr>
          <w:spacing w:val="-82"/>
        </w:rPr>
        <w:t> </w:t>
      </w:r>
      <w:r>
        <w:rPr>
          <w:spacing w:val="-82"/>
        </w:rPr>
      </w:r>
      <w:r>
        <w:rPr>
          <w:rFonts w:ascii="Times New Roman" w:hAnsi="Times New Roman" w:cs="Times New Roman" w:eastAsia="Times New Roman" w:hint="default"/>
        </w:rPr>
        <w:t>3</w:t>
      </w:r>
      <w:r>
        <w:rPr/>
        <w:t>、沈智杰先生：硕士研究生学历。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月任公司研发副总裁；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月至今任公司总经理，主要职责： </w:t>
      </w:r>
      <w:r>
        <w:rPr>
          <w:spacing w:val="-2"/>
        </w:rPr>
        <w:t>负责公司整体的运营管理工作；现任公司董事，主要职责：出席公司董事会会议并对董事会会议审议事项进行表决；审议公</w:t>
      </w:r>
      <w:r>
        <w:rPr>
          <w:spacing w:val="-66"/>
        </w:rPr>
        <w:t> </w:t>
      </w:r>
      <w:r>
        <w:rPr>
          <w:spacing w:val="-66"/>
        </w:rPr>
      </w:r>
      <w:r>
        <w:rPr/>
        <w:t>司的定期报告并签署书面确认意见，保证公司信息披露的真实、准确、完整。 </w:t>
      </w:r>
      <w:r>
        <w:rPr>
          <w:rFonts w:ascii="Times New Roman" w:hAnsi="Times New Roman" w:cs="Times New Roman" w:eastAsia="Times New Roman" w:hint="default"/>
        </w:rPr>
        <w:t>4</w:t>
      </w:r>
      <w:r>
        <w:rPr/>
        <w:t>、朱瑶女士：工民建专业，助理工程师。江苏大学，计算机专业。</w:t>
      </w:r>
      <w:r>
        <w:rPr>
          <w:rFonts w:ascii="Times New Roman" w:hAnsi="Times New Roman" w:cs="Times New Roman" w:eastAsia="Times New Roman" w:hint="default"/>
        </w:rPr>
        <w:t>2008</w:t>
      </w:r>
      <w:r>
        <w:rPr/>
        <w:t>年至今在苏州鼎立物产有限公司任职，现任公司董 </w:t>
      </w:r>
      <w:r>
        <w:rPr>
          <w:spacing w:val="-2"/>
        </w:rPr>
        <w:t>事。主要职责：出席公司董事会会议并对董事会会议审议事项进行表决；审议公司的定期报告并签署书面确认意见，保证公</w:t>
      </w:r>
      <w:r>
        <w:rPr>
          <w:spacing w:val="-66"/>
        </w:rPr>
        <w:t> </w:t>
      </w:r>
      <w:r>
        <w:rPr>
          <w:spacing w:val="-66"/>
        </w:rPr>
      </w:r>
      <w:r>
        <w:rPr/>
        <w:t>司信息披露的真实、准确、完整。 </w:t>
      </w:r>
      <w:r>
        <w:rPr>
          <w:rFonts w:ascii="Times New Roman" w:hAnsi="Times New Roman" w:cs="Times New Roman" w:eastAsia="Times New Roman" w:hint="default"/>
          <w:spacing w:val="-2"/>
        </w:rPr>
        <w:t>5</w:t>
      </w:r>
      <w:r>
        <w:rPr>
          <w:spacing w:val="-2"/>
        </w:rPr>
        <w:t>、杨玉芬女士：本科学历，注册会计师、注册税务师。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月至今在深圳腾越税务师事务所（普通合伙）任职，现任公</w:t>
      </w:r>
      <w:r>
        <w:rPr>
          <w:spacing w:val="-61"/>
        </w:rPr>
        <w:t> </w:t>
      </w:r>
      <w:r>
        <w:rPr>
          <w:spacing w:val="-61"/>
        </w:rPr>
      </w:r>
      <w:r>
        <w:rPr>
          <w:spacing w:val="-2"/>
        </w:rPr>
        <w:t>司独立董事。主要职责：出席公司董事会会议、股东大会，对董事会会议审议事项进行表决，在权限范围内对相关事项发表</w:t>
      </w:r>
      <w:r>
        <w:rPr>
          <w:spacing w:val="-66"/>
        </w:rPr>
        <w:t> </w:t>
      </w:r>
      <w:r>
        <w:rPr>
          <w:spacing w:val="-66"/>
        </w:rPr>
      </w:r>
      <w:r>
        <w:rPr/>
        <w:t>独立意见。 </w:t>
      </w:r>
      <w:r>
        <w:rPr>
          <w:rFonts w:ascii="Times New Roman" w:hAnsi="Times New Roman" w:cs="Times New Roman" w:eastAsia="Times New Roman" w:hint="default"/>
          <w:spacing w:val="-2"/>
        </w:rPr>
        <w:t>6</w:t>
      </w:r>
      <w:r>
        <w:rPr>
          <w:spacing w:val="-2"/>
        </w:rPr>
        <w:t>、张斌先生：法学博士研究生学历，高级经济师。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月至今在广东卓建律师事务所任主任、首席合伙人、律师。现任</w:t>
      </w:r>
      <w:r>
        <w:rPr>
          <w:spacing w:val="-65"/>
        </w:rPr>
        <w:t> </w:t>
      </w:r>
      <w:r>
        <w:rPr>
          <w:spacing w:val="-65"/>
        </w:rPr>
      </w:r>
      <w:r>
        <w:rPr>
          <w:spacing w:val="-2"/>
        </w:rPr>
        <w:t>公司独立董事。主要职责：出席公司董事会会议、股东大会，对董事会会议审议事项进行表决，在权限范围内对相关事项发</w:t>
      </w:r>
      <w:r>
        <w:rPr>
          <w:spacing w:val="-66"/>
        </w:rPr>
        <w:t> </w:t>
      </w:r>
      <w:r>
        <w:rPr>
          <w:spacing w:val="-66"/>
        </w:rPr>
      </w:r>
      <w:r>
        <w:rPr/>
        <w:t>表独立意见。 </w:t>
      </w:r>
      <w:r>
        <w:rPr>
          <w:rFonts w:ascii="Times New Roman" w:hAnsi="Times New Roman" w:cs="Times New Roman" w:eastAsia="Times New Roman" w:hint="default"/>
        </w:rPr>
        <w:t>7</w:t>
      </w:r>
      <w:r>
        <w:rPr/>
        <w:t>、李挥先生：博士学位，教授，博士生导师。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月至今，在北京大学深圳研究生院任职，现任公司独立董事。主要 职责：出席公司董事会会议、股东大会，对董事会会议审议事项进行表决，在权限范围内对相关事项发表独立意见。</w:t>
      </w:r>
    </w:p>
    <w:p>
      <w:pPr>
        <w:pStyle w:val="BodyText"/>
        <w:spacing w:line="309" w:lineRule="auto" w:before="22"/>
        <w:ind w:right="1033" w:firstLine="90"/>
        <w:jc w:val="left"/>
      </w:pPr>
      <w:r>
        <w:rPr/>
        <w:t>（二）监事： </w:t>
      </w:r>
      <w:r>
        <w:rPr>
          <w:rFonts w:ascii="Times New Roman" w:hAnsi="Times New Roman" w:cs="Times New Roman" w:eastAsia="Times New Roman" w:hint="default"/>
        </w:rPr>
        <w:t>1</w:t>
      </w:r>
      <w:r>
        <w:rPr/>
        <w:t>、金丽华女士：大学专科学历。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2012</w:t>
      </w:r>
      <w:r>
        <w:rPr/>
        <w:t>年，从事投资行业，</w:t>
      </w:r>
      <w:r>
        <w:rPr>
          <w:rFonts w:ascii="Times New Roman" w:hAnsi="Times New Roman" w:cs="Times New Roman" w:eastAsia="Times New Roman" w:hint="default"/>
        </w:rPr>
        <w:t>2012</w:t>
      </w:r>
      <w:r>
        <w:rPr/>
        <w:t>年至今，在香港卓轩投资有限公司任总经理。</w:t>
      </w:r>
      <w:r>
        <w:rPr>
          <w:rFonts w:ascii="Times New Roman" w:hAnsi="Times New Roman" w:cs="Times New Roman" w:eastAsia="Times New Roman" w:hint="default"/>
        </w:rPr>
        <w:t>2014 </w:t>
      </w:r>
      <w:r>
        <w:rPr>
          <w:spacing w:val="-5"/>
        </w:rPr>
        <w:t>年至</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10</w:t>
      </w:r>
      <w:r>
        <w:rPr>
          <w:spacing w:val="-5"/>
        </w:rPr>
        <w:t>月，曾任云安宝董事长、总经理。现任公司监事会主席。主要职责：检查公司财务，对公司定期报告发表意见；</w:t>
      </w:r>
      <w:r>
        <w:rPr>
          <w:spacing w:val="-66"/>
        </w:rPr>
        <w:t> </w:t>
      </w:r>
      <w:r>
        <w:rPr>
          <w:spacing w:val="-66"/>
        </w:rPr>
      </w:r>
      <w:r>
        <w:rPr/>
        <w:t>对董事和高级管理人员执行公司职务的行为进行监督；列席公司股东大会、董事会会议。 </w:t>
      </w:r>
      <w:r>
        <w:rPr>
          <w:rFonts w:ascii="Times New Roman" w:hAnsi="Times New Roman" w:cs="Times New Roman" w:eastAsia="Times New Roman" w:hint="default"/>
        </w:rPr>
        <w:t>2</w:t>
      </w:r>
      <w:r>
        <w:rPr/>
        <w:t>、刘力齐先生：大学本科学历，会计师。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月至今在深圳市秉尊企业管理咨询有限公司任副总经理。现任公司监事。</w:t>
      </w:r>
      <w:r>
        <w:rPr>
          <w:spacing w:val="-85"/>
        </w:rPr>
        <w:t> </w:t>
      </w:r>
      <w:r>
        <w:rPr>
          <w:spacing w:val="-85"/>
        </w:rPr>
      </w:r>
      <w:r>
        <w:rPr>
          <w:spacing w:val="-2"/>
        </w:rPr>
        <w:t>主要职责：检查公司财务，对公司定期报告发表意见；对董事和高级管理人员执行公司职务的行为进行监督；列席公司股东</w:t>
      </w:r>
      <w:r>
        <w:rPr>
          <w:spacing w:val="-66"/>
        </w:rPr>
        <w:t> </w:t>
      </w:r>
      <w:r>
        <w:rPr>
          <w:spacing w:val="-66"/>
        </w:rPr>
      </w:r>
      <w:r>
        <w:rPr/>
        <w:t>大会、董事会会议。</w:t>
      </w:r>
    </w:p>
    <w:p>
      <w:pPr>
        <w:pStyle w:val="BodyText"/>
        <w:spacing w:line="300" w:lineRule="auto" w:before="65"/>
        <w:ind w:right="0"/>
        <w:jc w:val="left"/>
      </w:pPr>
      <w:r>
        <w:rPr>
          <w:rFonts w:ascii="Times New Roman" w:hAnsi="Times New Roman" w:cs="Times New Roman" w:eastAsia="Times New Roman" w:hint="default"/>
          <w:spacing w:val="-2"/>
        </w:rPr>
        <w:t>3</w:t>
      </w:r>
      <w:r>
        <w:rPr>
          <w:spacing w:val="-2"/>
        </w:rPr>
        <w:t>、何小荣先生：本科学历。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月至今任公司研发管理部经理，现任公司监事。主要职责：检查公司财务，对公司定期</w:t>
      </w:r>
      <w:r>
        <w:rPr>
          <w:spacing w:val="-65"/>
        </w:rPr>
        <w:t> </w:t>
      </w:r>
      <w:r>
        <w:rPr>
          <w:spacing w:val="-65"/>
        </w:rPr>
      </w:r>
      <w:r>
        <w:rPr/>
        <w:t>报告发表意见；对董事和高级管理人员执行公司职务的行为进行监督；列席公司股东大会、董事会会议。</w:t>
      </w:r>
    </w:p>
    <w:p>
      <w:pPr>
        <w:pStyle w:val="BodyText"/>
        <w:spacing w:line="309" w:lineRule="auto" w:before="71"/>
        <w:ind w:right="1123"/>
        <w:jc w:val="left"/>
      </w:pPr>
      <w:r>
        <w:rPr/>
        <w:t>（三）高级管理人员： </w:t>
      </w:r>
      <w:r>
        <w:rPr>
          <w:rFonts w:ascii="Times New Roman" w:hAnsi="Times New Roman" w:cs="Times New Roman" w:eastAsia="Times New Roman" w:hint="default"/>
          <w:spacing w:val="-3"/>
        </w:rPr>
        <w:t>1</w:t>
      </w:r>
      <w:r>
        <w:rPr>
          <w:spacing w:val="-3"/>
        </w:rPr>
        <w:t>、沈智杰先生：硕士研究生学历。</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月在深圳市任子行网络技术有限公司任技术总监；</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5</w:t>
      </w:r>
      <w:r>
        <w:rPr/>
        <w:t>月任公司副总经理兼研发中心总经理。现任公司总经理。主要职责：主持公司生产经营管理工作，组织实施董事会会议 </w:t>
      </w:r>
      <w:r>
        <w:rPr>
          <w:spacing w:val="-2"/>
        </w:rPr>
        <w:t>决议，并向董事会报告；组织实施公司的年度经营计划和投资方案；提请董事会聘任和解聘公司副总经理和财务总监；决定</w:t>
      </w:r>
      <w:r>
        <w:rPr>
          <w:spacing w:val="-66"/>
        </w:rPr>
        <w:t> </w:t>
      </w:r>
      <w:r>
        <w:rPr>
          <w:spacing w:val="-66"/>
        </w:rPr>
      </w:r>
      <w:r>
        <w:rPr/>
        <w:t>公司的内部管理机构设置方案，制定公司的基本管理制度和具体规章。</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1128"/>
        <w:jc w:val="left"/>
      </w:pPr>
      <w:r>
        <w:rPr>
          <w:rFonts w:ascii="Times New Roman" w:hAnsi="Times New Roman" w:cs="Times New Roman" w:eastAsia="Times New Roman" w:hint="default"/>
          <w:spacing w:val="-2"/>
        </w:rPr>
        <w:t>2</w:t>
      </w:r>
      <w:r>
        <w:rPr>
          <w:spacing w:val="-2"/>
        </w:rPr>
        <w:t>、景晓东先生：硕士研究生学历。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月至今任任网游执行董事兼总经理，现任公司董事。主要职责：出席公司董事会</w:t>
      </w:r>
      <w:r>
        <w:rPr>
          <w:spacing w:val="-61"/>
        </w:rPr>
        <w:t> </w:t>
      </w:r>
      <w:r>
        <w:rPr>
          <w:spacing w:val="-61"/>
        </w:rPr>
      </w:r>
      <w:r>
        <w:rPr>
          <w:spacing w:val="-5"/>
        </w:rPr>
        <w:t>会议并对董事会会议审议事项进行表决；审议公司的定期报告并签署书面确认意见，保证公司信息披露的真实、准确、完整。</w:t>
      </w:r>
      <w:r>
        <w:rPr>
          <w:spacing w:val="-82"/>
        </w:rPr>
        <w:t> </w:t>
      </w:r>
      <w:r>
        <w:rPr>
          <w:spacing w:val="-82"/>
        </w:rPr>
      </w:r>
      <w:r>
        <w:rPr>
          <w:rFonts w:ascii="Times New Roman" w:hAnsi="Times New Roman" w:cs="Times New Roman" w:eastAsia="Times New Roman" w:hint="default"/>
          <w:spacing w:val="-2"/>
        </w:rPr>
        <w:t>3</w:t>
      </w:r>
      <w:r>
        <w:rPr>
          <w:spacing w:val="-2"/>
        </w:rPr>
        <w:t>、李工先生：本科学历。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月，任黑龙江斯达浩普系统工程有限公司总经理，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月加入公司，现任</w:t>
      </w:r>
      <w:r>
        <w:rPr>
          <w:spacing w:val="-49"/>
        </w:rPr>
        <w:t> </w:t>
      </w:r>
      <w:r>
        <w:rPr>
          <w:spacing w:val="-49"/>
        </w:rPr>
      </w:r>
      <w:r>
        <w:rPr/>
        <w:t>公司副总经理。主要职责：协助总经理工作，组织、监督公司各项规划和计划的实施。 </w:t>
      </w:r>
      <w:r>
        <w:rPr>
          <w:rFonts w:ascii="Times New Roman" w:hAnsi="Times New Roman" w:cs="Times New Roman" w:eastAsia="Times New Roman" w:hint="default"/>
          <w:spacing w:val="-2"/>
        </w:rPr>
        <w:t>4</w:t>
      </w:r>
      <w:r>
        <w:rPr>
          <w:spacing w:val="-2"/>
        </w:rPr>
        <w:t>、李斌辉先生：哈尔滨工业大学</w:t>
      </w:r>
      <w:r>
        <w:rPr>
          <w:rFonts w:ascii="Times New Roman" w:hAnsi="Times New Roman" w:cs="Times New Roman" w:eastAsia="Times New Roman" w:hint="default"/>
          <w:spacing w:val="-2"/>
        </w:rPr>
        <w:t>EMBA</w:t>
      </w:r>
      <w:r>
        <w:rPr>
          <w:spacing w:val="-2"/>
        </w:rPr>
        <w:t>在读。</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月至今在公司任职，现任公司副总经理兼公安事业部总经理。主要职</w:t>
      </w:r>
      <w:r>
        <w:rPr>
          <w:spacing w:val="-39"/>
        </w:rPr>
        <w:t> </w:t>
      </w:r>
      <w:r>
        <w:rPr>
          <w:spacing w:val="-39"/>
        </w:rPr>
      </w:r>
      <w:r>
        <w:rPr/>
        <w:t>责：协助总经理工作，组织、监督公司各项规划和计划的实施。</w:t>
      </w:r>
    </w:p>
    <w:p>
      <w:pPr>
        <w:pStyle w:val="BodyText"/>
        <w:spacing w:line="240" w:lineRule="auto" w:before="67"/>
        <w:ind w:left="1134" w:right="0"/>
        <w:jc w:val="left"/>
      </w:pPr>
      <w:r>
        <w:rPr>
          <w:rFonts w:ascii="Times New Roman" w:hAnsi="Times New Roman" w:cs="Times New Roman" w:eastAsia="Times New Roman" w:hint="default"/>
        </w:rPr>
        <w:t>5</w:t>
      </w:r>
      <w:r>
        <w:rPr/>
        <w:t>、周勇林先生：硕士研究生学历，正高级工程师。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月在国家计算机网络应急技术处理协调中心任职。</w:t>
      </w:r>
    </w:p>
    <w:p>
      <w:pPr>
        <w:pStyle w:val="BodyText"/>
        <w:spacing w:line="319" w:lineRule="auto" w:before="61"/>
        <w:ind w:left="1134" w:right="112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月加入公司，现任公司常务副总经理兼首席网络安全战略官。主要职责：协助总经理工作，组织、监督公司各项规 划和计划的实施</w:t>
      </w:r>
      <w:r>
        <w:rPr>
          <w:rFonts w:ascii="Times New Roman" w:hAnsi="Times New Roman" w:cs="Times New Roman" w:eastAsia="Times New Roman" w:hint="default"/>
        </w:rPr>
        <w:t>,</w:t>
      </w:r>
      <w:r>
        <w:rPr/>
        <w:t>负责网络安全技术与产品战略研究工作</w:t>
      </w:r>
      <w:r>
        <w:rPr>
          <w:rFonts w:ascii="Times New Roman" w:hAnsi="Times New Roman" w:cs="Times New Roman" w:eastAsia="Times New Roman" w:hint="default"/>
        </w:rPr>
        <w:t>,</w:t>
      </w:r>
      <w:r>
        <w:rPr/>
        <w:t>以及武汉产品研发中心管理工作。 </w:t>
      </w:r>
      <w:r>
        <w:rPr>
          <w:rFonts w:ascii="Times New Roman" w:hAnsi="Times New Roman" w:cs="Times New Roman" w:eastAsia="Times New Roman" w:hint="default"/>
          <w:spacing w:val="-3"/>
        </w:rPr>
        <w:t>6</w:t>
      </w:r>
      <w:r>
        <w:rPr>
          <w:spacing w:val="-3"/>
        </w:rPr>
        <w:t>、张晓辉先生：硕士研究生学历，中国注册会计师。</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月，在深圳市满银财务顾问有限公司任职总经理；</w:t>
      </w:r>
    </w:p>
    <w:p>
      <w:pPr>
        <w:pStyle w:val="BodyText"/>
        <w:spacing w:line="302" w:lineRule="auto" w:before="0"/>
        <w:ind w:right="112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月，在深圳市图敏智能视频股份有限公司任职董事会秘书兼财务总监；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月加入公司，现任公司 财务总监。主要职责：全面负责公司财务中心工作，定期或不定期向总经理、董事会、监事会报告工作。</w:t>
      </w:r>
    </w:p>
    <w:p>
      <w:pPr>
        <w:pStyle w:val="BodyText"/>
        <w:spacing w:line="240" w:lineRule="auto" w:before="69"/>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13"/>
        <w:gridCol w:w="3177"/>
        <w:gridCol w:w="1064"/>
        <w:gridCol w:w="1492"/>
        <w:gridCol w:w="1277"/>
        <w:gridCol w:w="1345"/>
      </w:tblGrid>
      <w:tr>
        <w:trPr>
          <w:trHeight w:val="709" w:hRule="exact"/>
        </w:trPr>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12" w:hRule="exact"/>
        </w:trPr>
        <w:tc>
          <w:tcPr>
            <w:tcW w:w="121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106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2"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213"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6" w:type="dxa"/>
            <w:gridSpan w:val="5"/>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46"/>
              <w:ind w:left="11" w:right="52"/>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除此之外，公司其他董事、监事及高级管理人员不存在在股东单位任职情况。并且，以上董事兼职情况不 影响其作为公司董事的时间投入以及对公司真实情况的了解。如上表所示，景晓军先生所在兼职单位与公 司不存在任何利益冲突。</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10"/>
        <w:gridCol w:w="3261"/>
        <w:gridCol w:w="1842"/>
        <w:gridCol w:w="1560"/>
        <w:gridCol w:w="851"/>
        <w:gridCol w:w="1345"/>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5" w:right="104"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国家计算机内容安全工程实验室深圳分 实验室</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国家通信协会网络安全组</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哈尔滨工业大学</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哈尔滨工业大学</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硕士研究生企业导师</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成都网娱互动</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银狐游戏</w:t>
            </w:r>
          </w:p>
        </w:tc>
        <w:tc>
          <w:tcPr>
            <w:tcW w:w="18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698"/>
        <w:gridCol w:w="3249"/>
        <w:gridCol w:w="1854"/>
        <w:gridCol w:w="1560"/>
        <w:gridCol w:w="851"/>
        <w:gridCol w:w="1345"/>
      </w:tblGrid>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tcBorders>
              <w:top w:val="single" w:sz="4" w:space="0" w:color="000000"/>
              <w:left w:val="single" w:sz="4" w:space="0" w:color="000000"/>
              <w:bottom w:val="nil" w:sz="6" w:space="0" w:color="auto"/>
              <w:right w:val="single" w:sz="4" w:space="0" w:color="000000"/>
            </w:tcBorders>
            <w:shd w:val="clear" w:color="auto" w:fill="C7E7CC"/>
          </w:tcPr>
          <w:p>
            <w:pP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3249"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tcBorders>
              <w:top w:val="nil" w:sz="6" w:space="0" w:color="auto"/>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苏州宁泉实业有限公司</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深圳腾越税务师事务所（普通合伙）</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vMerge w:val="restart"/>
            <w:tcBorders>
              <w:top w:val="single" w:sz="4" w:space="0" w:color="000000"/>
              <w:left w:val="single" w:sz="4" w:space="0" w:color="000000"/>
              <w:right w:val="single" w:sz="4" w:space="0" w:color="000000"/>
            </w:tcBorders>
            <w:shd w:val="clear" w:color="auto" w:fill="C7E7CC"/>
          </w:tcPr>
          <w:p>
            <w:pPr>
              <w:pStyle w:val="TableParagraph"/>
              <w:spacing w:line="319"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深圳市好生活农副产品配送服务有限公 司</w:t>
            </w: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3249" w:type="dxa"/>
            <w:vMerge/>
            <w:tcBorders>
              <w:left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vMerge/>
            <w:tcBorders>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广东卓建律师事务所</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首席合伙人、律师</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政协深圳市委员会</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政协委员</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vMerge w:val="restart"/>
            <w:tcBorders>
              <w:top w:val="single" w:sz="4" w:space="0" w:color="000000"/>
              <w:left w:val="single" w:sz="4" w:space="0" w:color="000000"/>
              <w:right w:val="single" w:sz="4" w:space="0" w:color="000000"/>
            </w:tcBorders>
            <w:shd w:val="clear" w:color="auto" w:fill="C7E7CC"/>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pacing w:val="-2"/>
                <w:sz w:val="18"/>
                <w:szCs w:val="18"/>
              </w:rPr>
              <w:t>华南国际经济贸易仲裁委员会（深圳国际</w:t>
            </w:r>
            <w:r>
              <w:rPr>
                <w:rFonts w:ascii="宋体" w:hAnsi="宋体" w:cs="宋体" w:eastAsia="宋体" w:hint="default"/>
                <w:sz w:val="18"/>
                <w:szCs w:val="18"/>
              </w:rPr>
              <w:t> 仲裁员）</w:t>
            </w: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vMerge/>
            <w:tcBorders>
              <w:left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vMerge/>
            <w:tcBorders>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深圳市民商事调解中心</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北京大学深圳研究生院</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深圳市发改委融合网络工程实验室</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vMerge w:val="restart"/>
            <w:tcBorders>
              <w:top w:val="single" w:sz="4" w:space="0" w:color="000000"/>
              <w:left w:val="single" w:sz="4" w:space="0" w:color="000000"/>
              <w:right w:val="single" w:sz="4" w:space="0" w:color="000000"/>
            </w:tcBorders>
            <w:shd w:val="clear" w:color="auto" w:fill="C7E7CC"/>
          </w:tcPr>
          <w:p>
            <w:pPr>
              <w:pStyle w:val="TableParagraph"/>
              <w:spacing w:line="319"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深圳市信息论与未来网络体系重点实验 室</w:t>
            </w: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vMerge/>
            <w:tcBorders>
              <w:left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vMerge/>
            <w:tcBorders>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vMerge w:val="restart"/>
            <w:tcBorders>
              <w:top w:val="single" w:sz="4" w:space="0" w:color="000000"/>
              <w:left w:val="single" w:sz="4" w:space="0" w:color="000000"/>
              <w:right w:val="single" w:sz="4" w:space="0" w:color="000000"/>
            </w:tcBorders>
            <w:shd w:val="clear" w:color="auto" w:fill="C7E7CC"/>
          </w:tcPr>
          <w:p>
            <w:pPr>
              <w:pStyle w:val="TableParagraph"/>
              <w:spacing w:line="319"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国家重大科技基础设施未来网络北大实 验室</w:t>
            </w: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vMerge/>
            <w:tcBorders>
              <w:left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vMerge/>
            <w:tcBorders>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深圳市优博讯科技股份有限公司</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独董</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深圳市佳创视讯技术股份有限公司</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独董</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香港卓轩投资有限公司</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深圳市秉尊企业管理咨询有限公司</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中国计算机学会计算机安全专业委员会</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中国网络空间安全协会</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24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中国网络安全产业联盟</w:t>
            </w:r>
          </w:p>
        </w:tc>
        <w:tc>
          <w:tcPr>
            <w:tcW w:w="185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60"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698" w:type="dxa"/>
            <w:tcBorders>
              <w:top w:val="single" w:sz="4" w:space="0" w:color="000000"/>
              <w:left w:val="single" w:sz="4" w:space="0" w:color="000000"/>
              <w:bottom w:val="nil" w:sz="6" w:space="0" w:color="auto"/>
              <w:right w:val="single" w:sz="4" w:space="0" w:color="000000"/>
            </w:tcBorders>
            <w:shd w:val="clear" w:color="auto" w:fill="C7E7CC"/>
          </w:tcPr>
          <w:p>
            <w:pPr/>
          </w:p>
        </w:tc>
        <w:tc>
          <w:tcPr>
            <w:tcW w:w="3249" w:type="dxa"/>
            <w:vMerge w:val="restart"/>
            <w:tcBorders>
              <w:top w:val="single" w:sz="4" w:space="0" w:color="000000"/>
              <w:left w:val="single" w:sz="4" w:space="0" w:color="000000"/>
              <w:right w:val="single" w:sz="4" w:space="0" w:color="000000"/>
            </w:tcBorders>
            <w:shd w:val="clear" w:color="auto" w:fill="C7E7CC"/>
          </w:tcPr>
          <w:p>
            <w:pPr>
              <w:pStyle w:val="TableParagraph"/>
              <w:spacing w:line="319"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中国互联网协会第四届网络与信息安全 工作委员会</w:t>
            </w:r>
          </w:p>
        </w:tc>
        <w:tc>
          <w:tcPr>
            <w:tcW w:w="1854" w:type="dxa"/>
            <w:tcBorders>
              <w:top w:val="single" w:sz="4" w:space="0" w:color="000000"/>
              <w:left w:val="single" w:sz="4" w:space="0" w:color="000000"/>
              <w:bottom w:val="nil" w:sz="6" w:space="0" w:color="auto"/>
              <w:right w:val="single" w:sz="4" w:space="0" w:color="000000"/>
            </w:tcBorders>
            <w:shd w:val="clear" w:color="auto" w:fill="C7E7CC"/>
          </w:tcPr>
          <w:p>
            <w:pPr/>
          </w:p>
        </w:tc>
        <w:tc>
          <w:tcPr>
            <w:tcW w:w="1560" w:type="dxa"/>
            <w:vMerge w:val="restart"/>
            <w:tcBorders>
              <w:top w:val="single" w:sz="4" w:space="0" w:color="000000"/>
              <w:left w:val="single" w:sz="9" w:space="0" w:color="C7E7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3249" w:type="dxa"/>
            <w:vMerge/>
            <w:tcBorders>
              <w:left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nil" w:sz="6" w:space="0" w:color="auto"/>
              <w:right w:val="single" w:sz="4" w:space="0" w:color="000000"/>
            </w:tcBorders>
            <w:shd w:val="clear" w:color="auto" w:fill="C7E7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vMerge/>
            <w:tcBorders>
              <w:left w:val="single" w:sz="9" w:space="0" w:color="C7E7CC"/>
              <w:right w:val="single" w:sz="4" w:space="0" w:color="000000"/>
            </w:tcBorders>
          </w:tcPr>
          <w:p>
            <w:pPr/>
          </w:p>
        </w:tc>
        <w:tc>
          <w:tcPr>
            <w:tcW w:w="851"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6" w:hRule="exact"/>
        </w:trPr>
        <w:tc>
          <w:tcPr>
            <w:tcW w:w="698" w:type="dxa"/>
            <w:tcBorders>
              <w:top w:val="nil" w:sz="6" w:space="0" w:color="auto"/>
              <w:left w:val="single" w:sz="4" w:space="0" w:color="000000"/>
              <w:bottom w:val="single" w:sz="4" w:space="0" w:color="000000"/>
              <w:right w:val="single" w:sz="4" w:space="0" w:color="000000"/>
            </w:tcBorders>
            <w:shd w:val="clear" w:color="auto" w:fill="C7E7CC"/>
          </w:tcPr>
          <w:p>
            <w:pPr/>
          </w:p>
        </w:tc>
        <w:tc>
          <w:tcPr>
            <w:tcW w:w="3249" w:type="dxa"/>
            <w:vMerge/>
            <w:tcBorders>
              <w:left w:val="single" w:sz="4" w:space="0" w:color="000000"/>
              <w:bottom w:val="single" w:sz="4" w:space="0" w:color="000000"/>
              <w:right w:val="single" w:sz="4" w:space="0" w:color="000000"/>
            </w:tcBorders>
            <w:shd w:val="clear" w:color="auto" w:fill="C7E7CC"/>
          </w:tcPr>
          <w:p>
            <w:pPr/>
          </w:p>
        </w:tc>
        <w:tc>
          <w:tcPr>
            <w:tcW w:w="1854" w:type="dxa"/>
            <w:tcBorders>
              <w:top w:val="nil" w:sz="6" w:space="0" w:color="auto"/>
              <w:left w:val="single" w:sz="4" w:space="0" w:color="000000"/>
              <w:bottom w:val="single" w:sz="4" w:space="0" w:color="000000"/>
              <w:right w:val="single" w:sz="4" w:space="0" w:color="000000"/>
            </w:tcBorders>
            <w:shd w:val="clear" w:color="auto" w:fill="C7E7CC"/>
          </w:tcPr>
          <w:p>
            <w:pPr/>
          </w:p>
        </w:tc>
        <w:tc>
          <w:tcPr>
            <w:tcW w:w="1560" w:type="dxa"/>
            <w:vMerge/>
            <w:tcBorders>
              <w:left w:val="single" w:sz="9" w:space="0" w:color="C7E7CC"/>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156" w:hRule="exact"/>
        </w:trPr>
        <w:tc>
          <w:tcPr>
            <w:tcW w:w="698" w:type="dxa"/>
            <w:vMerge w:val="restart"/>
            <w:tcBorders>
              <w:top w:val="single" w:sz="4" w:space="0" w:color="000000"/>
              <w:left w:val="single" w:sz="4" w:space="0" w:color="000000"/>
              <w:right w:val="single" w:sz="9" w:space="0" w:color="C7E7CC"/>
            </w:tcBorders>
            <w:shd w:val="clear" w:color="auto" w:fill="D2D2D2"/>
          </w:tcPr>
          <w:p>
            <w:pPr>
              <w:pStyle w:val="TableParagraph"/>
              <w:spacing w:line="319" w:lineRule="auto" w:before="46"/>
              <w:ind w:left="11" w:right="129"/>
              <w:jc w:val="both"/>
              <w:rPr>
                <w:rFonts w:ascii="宋体" w:hAnsi="宋体" w:cs="宋体" w:eastAsia="宋体" w:hint="default"/>
                <w:sz w:val="18"/>
                <w:szCs w:val="18"/>
              </w:rPr>
            </w:pPr>
            <w:r>
              <w:rPr>
                <w:rFonts w:ascii="宋体" w:hAnsi="宋体" w:cs="宋体" w:eastAsia="宋体" w:hint="default"/>
                <w:sz w:val="18"/>
                <w:szCs w:val="18"/>
              </w:rPr>
              <w:t>在其他 单位任 职情况 的说明</w:t>
            </w:r>
          </w:p>
        </w:tc>
        <w:tc>
          <w:tcPr>
            <w:tcW w:w="8860" w:type="dxa"/>
            <w:gridSpan w:val="5"/>
            <w:tcBorders>
              <w:top w:val="single" w:sz="4" w:space="0" w:color="000000"/>
              <w:left w:val="single" w:sz="13" w:space="0" w:color="D2D2D2"/>
              <w:bottom w:val="nil" w:sz="6" w:space="0" w:color="auto"/>
              <w:right w:val="single" w:sz="4" w:space="0" w:color="000000"/>
            </w:tcBorders>
            <w:shd w:val="clear" w:color="auto" w:fill="C7E7CC"/>
          </w:tcPr>
          <w:p>
            <w:pPr/>
          </w:p>
        </w:tc>
      </w:tr>
      <w:tr>
        <w:trPr>
          <w:trHeight w:val="1017" w:hRule="exact"/>
        </w:trPr>
        <w:tc>
          <w:tcPr>
            <w:tcW w:w="698" w:type="dxa"/>
            <w:vMerge/>
            <w:tcBorders>
              <w:left w:val="single" w:sz="4" w:space="0" w:color="000000"/>
              <w:right w:val="single" w:sz="9" w:space="0" w:color="C7E7CC"/>
            </w:tcBorders>
            <w:shd w:val="clear" w:color="auto" w:fill="D2D2D2"/>
          </w:tcPr>
          <w:p>
            <w:pPr/>
          </w:p>
        </w:tc>
        <w:tc>
          <w:tcPr>
            <w:tcW w:w="8860" w:type="dxa"/>
            <w:gridSpan w:val="5"/>
            <w:tcBorders>
              <w:top w:val="nil" w:sz="6" w:space="0" w:color="auto"/>
              <w:left w:val="single" w:sz="13" w:space="0" w:color="D2D2D2"/>
              <w:bottom w:val="nil" w:sz="6" w:space="0" w:color="auto"/>
              <w:right w:val="single" w:sz="4" w:space="0" w:color="000000"/>
            </w:tcBorders>
            <w:shd w:val="clear" w:color="auto" w:fill="C7E7CC"/>
          </w:tcPr>
          <w:p>
            <w:pPr>
              <w:pStyle w:val="TableParagraph"/>
              <w:spacing w:line="319" w:lineRule="auto" w:before="51"/>
              <w:ind w:left="11" w:right="21"/>
              <w:jc w:val="both"/>
              <w:rPr>
                <w:rFonts w:ascii="宋体" w:hAnsi="宋体" w:cs="宋体" w:eastAsia="宋体" w:hint="default"/>
                <w:sz w:val="18"/>
                <w:szCs w:val="18"/>
              </w:rPr>
            </w:pPr>
            <w:r>
              <w:rPr>
                <w:rFonts w:ascii="宋体" w:hAnsi="宋体" w:cs="宋体" w:eastAsia="宋体" w:hint="default"/>
                <w:spacing w:val="-1"/>
                <w:sz w:val="18"/>
                <w:szCs w:val="18"/>
              </w:rPr>
              <w:t>除此之外，公司其他董事、监事及高级管理人员不存在在其他单位任职情况。并且，以上董事及高管兼职情况不</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影响其作为公司董事的时间投入以及对公司真实情况的了解。如上表所示，以上董事及高管所在兼职单位与公司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不存在任何关联关系，或有关联关系的，该关系与公司不存在任何利益冲突。</w:t>
            </w:r>
          </w:p>
        </w:tc>
      </w:tr>
      <w:tr>
        <w:trPr>
          <w:trHeight w:val="161" w:hRule="exact"/>
        </w:trPr>
        <w:tc>
          <w:tcPr>
            <w:tcW w:w="698" w:type="dxa"/>
            <w:vMerge/>
            <w:tcBorders>
              <w:left w:val="single" w:sz="4" w:space="0" w:color="000000"/>
              <w:bottom w:val="single" w:sz="4" w:space="0" w:color="000000"/>
              <w:right w:val="single" w:sz="9" w:space="0" w:color="C7E7CC"/>
            </w:tcBorders>
            <w:shd w:val="clear" w:color="auto" w:fill="D2D2D2"/>
          </w:tcPr>
          <w:p>
            <w:pPr/>
          </w:p>
        </w:tc>
        <w:tc>
          <w:tcPr>
            <w:tcW w:w="8860" w:type="dxa"/>
            <w:gridSpan w:val="5"/>
            <w:tcBorders>
              <w:top w:val="nil" w:sz="6" w:space="0" w:color="auto"/>
              <w:left w:val="single" w:sz="13" w:space="0" w:color="D2D2D2"/>
              <w:bottom w:val="single" w:sz="4" w:space="0" w:color="000000"/>
              <w:right w:val="single" w:sz="4" w:space="0" w:color="000000"/>
            </w:tcBorders>
            <w:shd w:val="clear" w:color="auto" w:fill="C7E7CC"/>
          </w:tcPr>
          <w:p>
            <w:pP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w:t>
      </w:r>
      <w:r>
        <w:rPr/>
        <w:t>、公司董事长景晓军先生因涉嫌信息披露违法行为，被中国证监会给予警告，并处以</w:t>
      </w:r>
      <w:r>
        <w:rPr>
          <w:rFonts w:ascii="Times New Roman" w:hAnsi="Times New Roman" w:cs="Times New Roman" w:eastAsia="Times New Roman" w:hint="default"/>
        </w:rPr>
        <w:t>30</w:t>
      </w:r>
      <w:r>
        <w:rPr/>
        <w:t>万元的罚款。</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316" w:lineRule="auto" w:before="115"/>
        <w:ind w:left="1424" w:right="1122" w:hanging="291"/>
        <w:jc w:val="left"/>
      </w:pPr>
      <w:r>
        <w:rPr/>
        <w:t>（一）、决策程序 </w:t>
      </w:r>
      <w:r>
        <w:rPr>
          <w:spacing w:val="-1"/>
        </w:rPr>
        <w:t>公司董事（包括独立董事）、监事报酬由股东大会决定，高级管理人员报酬由董事会决定；在公司承担职务的董事、监</w:t>
      </w:r>
    </w:p>
    <w:p>
      <w:pPr>
        <w:pStyle w:val="BodyText"/>
        <w:spacing w:line="240" w:lineRule="auto"/>
        <w:ind w:right="0"/>
        <w:jc w:val="left"/>
      </w:pPr>
      <w:r>
        <w:rPr/>
        <w:t>事、高级管理人员报酬由公司支付，其担任的董事、监事职务不另外享有津贴。</w:t>
      </w:r>
    </w:p>
    <w:p>
      <w:pPr>
        <w:pStyle w:val="BodyText"/>
        <w:spacing w:line="316" w:lineRule="auto" w:before="76"/>
        <w:ind w:left="1424" w:right="1122" w:hanging="291"/>
        <w:jc w:val="left"/>
      </w:pPr>
      <w:r>
        <w:rPr/>
        <w:t>（二）、确定依据 </w:t>
      </w:r>
      <w:r>
        <w:rPr>
          <w:spacing w:val="-4"/>
        </w:rPr>
        <w:t>董事、监事和高级管理人员的报酬按照公司董事会《薪酬与考核委员会工作制度》等规定，结合其经营绩效、工作能力、</w:t>
      </w:r>
    </w:p>
    <w:p>
      <w:pPr>
        <w:pStyle w:val="BodyText"/>
        <w:spacing w:line="240" w:lineRule="auto"/>
        <w:ind w:right="0"/>
        <w:jc w:val="left"/>
      </w:pPr>
      <w:r>
        <w:rPr/>
        <w:t>岗位职责等考核确定并发放。</w:t>
      </w:r>
    </w:p>
    <w:p>
      <w:pPr>
        <w:pStyle w:val="BodyText"/>
        <w:spacing w:line="316" w:lineRule="auto" w:before="76"/>
        <w:ind w:left="1424" w:right="8662" w:hanging="291"/>
        <w:jc w:val="left"/>
      </w:pPr>
      <w:r>
        <w:rPr/>
        <w:t>（三）、实际支付情况 实际支付情况见下表。</w:t>
      </w:r>
    </w:p>
    <w:p>
      <w:pPr>
        <w:pStyle w:val="BodyText"/>
        <w:spacing w:line="240" w:lineRule="auto" w:before="59"/>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1742"/>
        <w:gridCol w:w="1367"/>
        <w:gridCol w:w="1367"/>
        <w:gridCol w:w="1368"/>
        <w:gridCol w:w="1367"/>
        <w:gridCol w:w="1367"/>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景晓军</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景晓东</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沈智杰</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朱瑶</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杨玉芬</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李挥</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李工</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李斌辉</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周勇林</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张晓辉</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金丽华</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刘力齐</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何小荣</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钟海川</w:t>
            </w:r>
          </w:p>
        </w:tc>
        <w:tc>
          <w:tcPr>
            <w:tcW w:w="174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498.67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公司董事、高级管理人员报告期内被授予的股权激励情况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134" w:right="1132" w:firstLine="360"/>
        <w:jc w:val="both"/>
      </w:pPr>
      <w:r>
        <w:rPr>
          <w:spacing w:val="-2"/>
        </w:rPr>
        <w:t>公司根据公司实际经营情况制订相应的薪酬政策，并根据有关政策及市场情况的变化及时进行调整。员工薪酬主要包括</w:t>
      </w:r>
      <w:r>
        <w:rPr/>
        <w:t> 基本工资、绩效工资、社保、住房公积金等。</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1" w:firstLine="360"/>
        <w:jc w:val="both"/>
      </w:pPr>
      <w:r>
        <w:rPr>
          <w:spacing w:val="-2"/>
        </w:rPr>
        <w:t>公司建立了完善的内部员工培训制度。针对新员工，公司定期开展新员工培训，同时不定期开展全员素质类培训；对于</w:t>
      </w:r>
      <w:r>
        <w:rPr/>
        <w:t> </w:t>
      </w:r>
      <w:r>
        <w:rPr>
          <w:spacing w:val="-2"/>
        </w:rPr>
        <w:t>专业技能岗位，公司组织了大数据岗位专业系统培训和计算机集成项目管理外派培训；为了提高公司中高层管理人员的领导</w:t>
      </w:r>
      <w:r>
        <w:rPr>
          <w:spacing w:val="-64"/>
        </w:rPr>
        <w:t> </w:t>
      </w:r>
      <w:r>
        <w:rPr>
          <w:spacing w:val="-64"/>
        </w:rPr>
      </w:r>
      <w:r>
        <w:rPr/>
        <w:t>力，公司外聘导师从战略、综合管理技能等多方面开展了不同维度的培训。</w:t>
      </w:r>
    </w:p>
    <w:p>
      <w:pPr>
        <w:pStyle w:val="BodyText"/>
        <w:spacing w:line="312" w:lineRule="auto"/>
        <w:ind w:right="1130" w:firstLine="360"/>
        <w:jc w:val="both"/>
      </w:pPr>
      <w:r>
        <w:rPr>
          <w:spacing w:val="-2"/>
        </w:rPr>
        <w:t>公司一向重视人才的引进与培养，不断持续完善和优化培训机制，促进公司与员工的共同发展。</w:t>
      </w:r>
      <w:r>
        <w:rPr>
          <w:rFonts w:ascii="Times New Roman" w:hAnsi="Times New Roman" w:cs="Times New Roman" w:eastAsia="Times New Roman" w:hint="default"/>
          <w:spacing w:val="-2"/>
        </w:rPr>
        <w:t>2018</w:t>
      </w:r>
      <w:r>
        <w:rPr>
          <w:spacing w:val="-2"/>
        </w:rPr>
        <w:t>年，公司将继续加</w:t>
      </w:r>
      <w:r>
        <w:rPr/>
        <w:t> </w:t>
      </w:r>
      <w:r>
        <w:rPr>
          <w:spacing w:val="-2"/>
        </w:rPr>
        <w:t>速公司骨干人员锻炼与培养，根据公司发展的需要和员工多样化培训需求，加强内部培训力度，完善内部培训机制，提高公</w:t>
      </w:r>
      <w:r>
        <w:rPr>
          <w:spacing w:val="-66"/>
        </w:rPr>
        <w:t> </w:t>
      </w:r>
      <w:r>
        <w:rPr>
          <w:spacing w:val="-66"/>
        </w:rPr>
      </w:r>
      <w:r>
        <w:rPr>
          <w:spacing w:val="-2"/>
        </w:rPr>
        <w:t>司员工业务技能的同时，充分调动公司员工主观能动性，为公司员工提供更多施展才华的机会和舞台，为公司未来几年的持</w:t>
      </w:r>
      <w:r>
        <w:rPr>
          <w:spacing w:val="-66"/>
        </w:rPr>
        <w:t> </w:t>
      </w:r>
      <w:r>
        <w:rPr>
          <w:spacing w:val="-66"/>
        </w:rPr>
      </w:r>
      <w:r>
        <w:rPr/>
        <w:t>续快速发展，提供人力资源保障。</w:t>
      </w:r>
    </w:p>
    <w:p>
      <w:pPr>
        <w:spacing w:after="0" w:line="312"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665"/>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0"/>
        <w:jc w:val="left"/>
      </w:pPr>
      <w:r>
        <w:rPr>
          <w:spacing w:val="-6"/>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《深圳证券交易所创业板上市公司规范运作指引》和其他有关法律法规、规范性文件的要求，不断完善公司治理结构，进一</w:t>
      </w:r>
      <w:r>
        <w:rPr>
          <w:spacing w:val="-66"/>
        </w:rPr>
        <w:t> </w:t>
      </w:r>
      <w:r>
        <w:rPr>
          <w:spacing w:val="-66"/>
        </w:rPr>
      </w:r>
      <w:r>
        <w:rPr/>
        <w:t>步提高公司治理水平。公司确立了由股东大会、董事会、监事会和经营管理层组成的公司治理结构，建立健全了股东大会、</w:t>
      </w:r>
      <w:r>
        <w:rPr>
          <w:spacing w:val="-85"/>
        </w:rPr>
        <w:t> </w:t>
      </w:r>
      <w:r>
        <w:rPr>
          <w:spacing w:val="-85"/>
        </w:rPr>
      </w:r>
      <w:r>
        <w:rPr>
          <w:spacing w:val="-2"/>
        </w:rPr>
        <w:t>董事会、监事会、独立董事、董事会秘书等相关制度，并在公司董事会下设立了审计和薪酬与考核专门委员会。公司治理的</w:t>
      </w:r>
      <w:r>
        <w:rPr>
          <w:spacing w:val="-66"/>
        </w:rPr>
        <w:t> </w:t>
      </w:r>
      <w:r>
        <w:rPr>
          <w:spacing w:val="-66"/>
        </w:rPr>
      </w:r>
      <w:r>
        <w:rPr/>
        <w:t>实际状况符合《上市公司治理准则》和《深圳证券交易所创业板上市公司规范运作指引》的要求。</w:t>
      </w:r>
    </w:p>
    <w:p>
      <w:pPr>
        <w:pStyle w:val="BodyText"/>
        <w:spacing w:line="300" w:lineRule="auto"/>
        <w:ind w:left="1494" w:right="0"/>
        <w:jc w:val="left"/>
      </w:pPr>
      <w:r>
        <w:rPr>
          <w:rFonts w:ascii="Times New Roman" w:hAnsi="Times New Roman" w:cs="Times New Roman" w:eastAsia="Times New Roman" w:hint="default"/>
        </w:rPr>
        <w:t>1</w:t>
      </w:r>
      <w:r>
        <w:rPr/>
        <w:t>、关于股东与股东大会 </w:t>
      </w:r>
      <w:r>
        <w:rPr>
          <w:spacing w:val="-2"/>
        </w:rPr>
        <w:t>公司股东大会均严格按照《上市公司股东大会规则》、《公司章程》、《股东大会议事规则》等规定召集、召开，平等</w:t>
      </w:r>
    </w:p>
    <w:p>
      <w:pPr>
        <w:pStyle w:val="BodyText"/>
        <w:spacing w:line="316" w:lineRule="auto" w:before="31"/>
        <w:ind w:left="1134" w:right="1032"/>
        <w:jc w:val="left"/>
      </w:pPr>
      <w:r>
        <w:rPr/>
        <w:t>对待所有股东，并尽可能为股东参加股东大会提供便利，使其充分行使股东权利。同时，公司聘请专业律师见证股东大会，</w:t>
      </w:r>
      <w:r>
        <w:rPr>
          <w:spacing w:val="-85"/>
        </w:rPr>
        <w:t> </w:t>
      </w:r>
      <w:r>
        <w:rPr>
          <w:spacing w:val="-85"/>
        </w:rPr>
      </w:r>
      <w:r>
        <w:rPr/>
        <w:t>确保会议召集召开以及表决程序符合相关法律规定，维护股东的合法权益。</w:t>
      </w:r>
    </w:p>
    <w:p>
      <w:pPr>
        <w:pStyle w:val="BodyText"/>
        <w:spacing w:line="300" w:lineRule="auto"/>
        <w:ind w:left="1494" w:right="0"/>
        <w:jc w:val="left"/>
      </w:pPr>
      <w:r>
        <w:rPr>
          <w:rFonts w:ascii="Times New Roman" w:hAnsi="Times New Roman" w:cs="Times New Roman" w:eastAsia="Times New Roman" w:hint="default"/>
        </w:rPr>
        <w:t>2</w:t>
      </w:r>
      <w:r>
        <w:rPr/>
        <w:t>、关于公司与控股股东、实际控制人 </w:t>
      </w:r>
      <w:r>
        <w:rPr>
          <w:spacing w:val="-2"/>
        </w:rPr>
        <w:t>公司控股股东、实际控制人严格规范自己的行为，没有超越股东大会直接或间接干预公司的决策和经营活动，未损害公</w:t>
      </w:r>
    </w:p>
    <w:p>
      <w:pPr>
        <w:pStyle w:val="BodyText"/>
        <w:spacing w:line="316" w:lineRule="auto" w:before="31"/>
        <w:ind w:left="1134" w:right="0"/>
        <w:jc w:val="left"/>
      </w:pPr>
      <w:r>
        <w:rPr>
          <w:spacing w:val="-2"/>
        </w:rPr>
        <w:t>司及其他股东的利益，不存在控股股东占用公司资金的现象，公司亦无为控股股东提供担保的情形。公司拥有独立完整的业</w:t>
      </w:r>
      <w:r>
        <w:rPr>
          <w:spacing w:val="-66"/>
        </w:rPr>
        <w:t> </w:t>
      </w:r>
      <w:r>
        <w:rPr>
          <w:spacing w:val="-66"/>
        </w:rPr>
      </w:r>
      <w:r>
        <w:rPr/>
        <w:t>务和自主经营能力，在业务、人员、资产、机构、财务上独立于控股股东，公司董事会、监事会和内部机构独立运作。</w:t>
      </w:r>
    </w:p>
    <w:p>
      <w:pPr>
        <w:pStyle w:val="BodyText"/>
        <w:spacing w:line="300" w:lineRule="auto"/>
        <w:ind w:left="1494"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1131"/>
        <w:jc w:val="both"/>
      </w:pPr>
      <w:r>
        <w:rPr>
          <w:spacing w:val="-2"/>
        </w:rPr>
        <w:t>能够依据《深圳证券交易所创业板上市公司规范运作指引》、《董事会议事规则》、《独立董事工作制度》等开展工作，出</w:t>
      </w:r>
      <w:r>
        <w:rPr>
          <w:spacing w:val="-69"/>
        </w:rPr>
        <w:t> </w:t>
      </w:r>
      <w:r>
        <w:rPr>
          <w:spacing w:val="-69"/>
        </w:rPr>
      </w:r>
      <w:r>
        <w:rPr>
          <w:spacing w:val="-2"/>
        </w:rPr>
        <w:t>席董事会和股东大会，勤勉尽责地履行职责和义务，同时积极参加相关培训，熟悉相关法律法规。公司按照《深圳证券交易</w:t>
      </w:r>
      <w:r>
        <w:rPr>
          <w:spacing w:val="-66"/>
        </w:rPr>
        <w:t> </w:t>
      </w:r>
      <w:r>
        <w:rPr>
          <w:spacing w:val="-66"/>
        </w:rPr>
      </w:r>
      <w:r>
        <w:rPr>
          <w:spacing w:val="-2"/>
        </w:rPr>
        <w:t>所创业板上市公司规范运作指引》的要求，下设审计委员会和薪酬与考核委员会两个专门委员会。专门委员会委员全部由董</w:t>
      </w:r>
      <w:r>
        <w:rPr>
          <w:spacing w:val="-66"/>
        </w:rPr>
        <w:t> </w:t>
      </w:r>
      <w:r>
        <w:rPr>
          <w:spacing w:val="-66"/>
        </w:rPr>
      </w:r>
      <w:r>
        <w:rPr>
          <w:spacing w:val="-2"/>
        </w:rPr>
        <w:t>事组成，主任委员全部由独立董事担任，且独立董事人数占其他专门委员会委员的比例均达到三分之二，为董事会的决策提</w:t>
      </w:r>
      <w:r>
        <w:rPr>
          <w:spacing w:val="-66"/>
        </w:rPr>
        <w:t> </w:t>
      </w:r>
      <w:r>
        <w:rPr>
          <w:spacing w:val="-66"/>
        </w:rPr>
      </w:r>
      <w:r>
        <w:rPr>
          <w:spacing w:val="-2"/>
        </w:rPr>
        <w:t>供了科学和专业的意见和参考。各委员会依据《公司章程》和各委员会议事规则的规定履行职权，不受公司任何其他部门和</w:t>
      </w:r>
      <w:r>
        <w:rPr>
          <w:spacing w:val="-66"/>
        </w:rPr>
        <w:t> </w:t>
      </w:r>
      <w:r>
        <w:rPr>
          <w:spacing w:val="-66"/>
        </w:rPr>
      </w:r>
      <w:r>
        <w:rPr/>
        <w:t>个人的干预。</w:t>
      </w:r>
    </w:p>
    <w:p>
      <w:pPr>
        <w:pStyle w:val="BodyText"/>
        <w:spacing w:line="300" w:lineRule="auto"/>
        <w:ind w:left="1424" w:right="0" w:firstLine="69"/>
        <w:jc w:val="left"/>
      </w:pPr>
      <w:r>
        <w:rPr>
          <w:rFonts w:ascii="Times New Roman" w:hAnsi="Times New Roman" w:cs="Times New Roman" w:eastAsia="Times New Roman" w:hint="default"/>
        </w:rPr>
        <w:t>4</w:t>
      </w:r>
      <w:r>
        <w:rPr/>
        <w:t>、关于监事和监事会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名，监事会的人数和构成符合法律、法规的要求。公司监事能够按照《深圳证券</w:t>
      </w:r>
    </w:p>
    <w:p>
      <w:pPr>
        <w:pStyle w:val="BodyText"/>
        <w:spacing w:line="316" w:lineRule="auto" w:before="13"/>
        <w:ind w:right="1033"/>
        <w:jc w:val="left"/>
      </w:pPr>
      <w:r>
        <w:rPr/>
        <w:t>交易所创业板上市公司规范运作指引》、《监事会议事规则》的要求，认真履行自己的职责，对公司重大事项、财务状况、</w:t>
      </w:r>
      <w:r>
        <w:rPr>
          <w:spacing w:val="-85"/>
        </w:rPr>
        <w:t> </w:t>
      </w:r>
      <w:r>
        <w:rPr>
          <w:spacing w:val="-85"/>
        </w:rPr>
      </w:r>
      <w:r>
        <w:rPr/>
        <w:t>董事和高级管理人员的履行职责的合法合规性进行监督，维护公司及股东的合法权益。</w:t>
      </w:r>
    </w:p>
    <w:p>
      <w:pPr>
        <w:pStyle w:val="BodyText"/>
        <w:spacing w:line="300" w:lineRule="auto"/>
        <w:ind w:left="1424" w:right="0" w:firstLine="69"/>
        <w:jc w:val="left"/>
      </w:pPr>
      <w:r>
        <w:rPr>
          <w:rFonts w:ascii="Times New Roman" w:hAnsi="Times New Roman" w:cs="Times New Roman" w:eastAsia="Times New Roman" w:hint="default"/>
        </w:rPr>
        <w:t>5</w:t>
      </w:r>
      <w:r>
        <w:rPr/>
        <w:t>、关于绩效评价与激励约束机制 </w:t>
      </w:r>
      <w:r>
        <w:rPr>
          <w:spacing w:val="-1"/>
        </w:rPr>
        <w:t>公司已建立企业绩效激励与评价体系，并不断完善。公司董事、监事和高级管理人员的绩效评价标准和激励约束机制公</w:t>
      </w:r>
    </w:p>
    <w:p>
      <w:pPr>
        <w:pStyle w:val="BodyText"/>
        <w:spacing w:line="316" w:lineRule="auto" w:before="31"/>
        <w:ind w:right="0"/>
        <w:jc w:val="left"/>
      </w:pPr>
      <w:r>
        <w:rPr>
          <w:spacing w:val="-2"/>
        </w:rPr>
        <w:t>开、透明，符合法律、法规的规定。公司董事会下设的薪酬和考核委员会负责对公司的董事、监事、高管进行绩效考核。公</w:t>
      </w:r>
      <w:r>
        <w:rPr>
          <w:spacing w:val="-71"/>
        </w:rPr>
        <w:t> </w:t>
      </w:r>
      <w:r>
        <w:rPr>
          <w:spacing w:val="-71"/>
        </w:rPr>
      </w:r>
      <w:r>
        <w:rPr/>
        <w:t>司现有的考核机制符合相关法律法规，同时符合公司的发展情况。</w:t>
      </w:r>
    </w:p>
    <w:p>
      <w:pPr>
        <w:pStyle w:val="BodyText"/>
        <w:spacing w:line="300" w:lineRule="auto"/>
        <w:ind w:left="1424" w:right="0" w:firstLine="69"/>
        <w:jc w:val="left"/>
      </w:pPr>
      <w:r>
        <w:rPr>
          <w:rFonts w:ascii="Times New Roman" w:hAnsi="Times New Roman" w:cs="Times New Roman" w:eastAsia="Times New Roman" w:hint="default"/>
        </w:rPr>
        <w:t>6</w:t>
      </w:r>
      <w:r>
        <w:rPr/>
        <w:t>、关于信息披露与透明度 </w:t>
      </w:r>
      <w:r>
        <w:rPr>
          <w:spacing w:val="-1"/>
        </w:rPr>
        <w:t>公司严格按照《上市公司信息披露管理办法》、深圳证券交易所创业板上市公司的信息披露格式指引等规定以及公司制</w:t>
      </w:r>
    </w:p>
    <w:p>
      <w:pPr>
        <w:pStyle w:val="BodyText"/>
        <w:spacing w:line="312" w:lineRule="auto" w:before="31"/>
        <w:ind w:right="1128"/>
        <w:jc w:val="left"/>
      </w:pPr>
      <w:r>
        <w:rPr>
          <w:spacing w:val="-5"/>
        </w:rPr>
        <w:t>定的《信息披露制度》等要求，真实、准确、及时、公平、完整地披露有关信息；并指定公司董事会秘书负责信息披露工作，</w:t>
      </w:r>
      <w:r>
        <w:rPr>
          <w:spacing w:val="-84"/>
        </w:rPr>
        <w:t> </w:t>
      </w:r>
      <w:r>
        <w:rPr>
          <w:spacing w:val="-84"/>
        </w:rPr>
      </w:r>
      <w:r>
        <w:rPr>
          <w:spacing w:val="-2"/>
        </w:rPr>
        <w:t>协调公司与投资者的关系，接待股东来访，回答投资者咨询；并指定《证券时报》、《证券日报》、《中国证券报》、《上</w:t>
      </w:r>
      <w:r>
        <w:rPr>
          <w:spacing w:val="-69"/>
        </w:rPr>
        <w:t> </w:t>
      </w:r>
      <w:r>
        <w:rPr>
          <w:spacing w:val="-69"/>
        </w:rPr>
      </w:r>
      <w:r>
        <w:rPr/>
        <w:t>海证券报》等法定报纸和巨潮资讯网（</w:t>
      </w:r>
      <w:hyperlink r:id="rId11">
        <w:r>
          <w:rPr>
            <w:rFonts w:ascii="Times New Roman" w:hAnsi="Times New Roman" w:cs="Times New Roman" w:eastAsia="Times New Roman" w:hint="default"/>
          </w:rPr>
          <w:t>www.cninfo.com.cn</w:t>
        </w:r>
      </w:hyperlink>
      <w:r>
        <w:rPr/>
        <w:t>）为公司信息披露的指定报纸和网站，确保公司所有股东能够以 平等的机会获得信息。</w:t>
      </w:r>
    </w:p>
    <w:p>
      <w:pPr>
        <w:pStyle w:val="BodyText"/>
        <w:spacing w:line="300" w:lineRule="auto" w:before="22"/>
        <w:ind w:left="1424" w:right="0" w:firstLine="69"/>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公司充分尊重和维护相关利益者的合法权益，实现社会、股东、公司、员工等各方面利益的协调平衡，诚信对待供应商</w:t>
      </w:r>
    </w:p>
    <w:p>
      <w:pPr>
        <w:pStyle w:val="BodyText"/>
        <w:spacing w:line="240" w:lineRule="auto" w:before="31"/>
        <w:ind w:left="1134" w:right="0"/>
        <w:jc w:val="left"/>
      </w:pPr>
      <w:r>
        <w:rPr/>
        <w:t>和客户，坚持与相关利益者互利共赢的原则，共同推动公司持续、稳健发展。</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424" w:right="1122" w:hanging="291"/>
        <w:jc w:val="left"/>
      </w:pPr>
      <w:r>
        <w:rPr/>
        <w:t>（一）业务独立 </w:t>
      </w:r>
      <w:r>
        <w:rPr>
          <w:spacing w:val="-1"/>
        </w:rPr>
        <w:t>公司拥有独立完整的业务体系和自主经营能力，公司不依赖股东及其它关联方进行生产经营活动。控股股东除投资本公</w:t>
      </w:r>
    </w:p>
    <w:p>
      <w:pPr>
        <w:pStyle w:val="BodyText"/>
        <w:spacing w:line="240" w:lineRule="auto"/>
        <w:ind w:left="1134" w:right="0"/>
        <w:jc w:val="left"/>
      </w:pPr>
      <w:r>
        <w:rPr/>
        <w:t>司外，并无其他经营性投资和参与经营的事项，其他主要股东也未从事与公司可能存在同业竞争的业务。</w:t>
      </w:r>
    </w:p>
    <w:p>
      <w:pPr>
        <w:pStyle w:val="BodyText"/>
        <w:spacing w:line="316" w:lineRule="auto" w:before="76"/>
        <w:ind w:left="1424" w:right="1122" w:hanging="291"/>
        <w:jc w:val="left"/>
      </w:pPr>
      <w:r>
        <w:rPr/>
        <w:t>（二）人员独立 </w:t>
      </w:r>
      <w:r>
        <w:rPr>
          <w:spacing w:val="-1"/>
        </w:rPr>
        <w:t>公司拥有独立的人事管理体系，公司董事、监事及高级管理人员按照《公司法》、《公司章程》等有关法律、法规和规</w:t>
      </w:r>
    </w:p>
    <w:p>
      <w:pPr>
        <w:pStyle w:val="BodyText"/>
        <w:spacing w:line="316" w:lineRule="auto"/>
        <w:ind w:left="1134" w:right="0"/>
        <w:jc w:val="left"/>
      </w:pPr>
      <w:r>
        <w:rPr>
          <w:spacing w:val="-2"/>
        </w:rPr>
        <w:t>定合法产生；公司高级管理人员不存在在股东关联单位、业务相同或相近的其他单位担任除董事、监事以外职务的情况。公</w:t>
      </w:r>
      <w:r>
        <w:rPr>
          <w:spacing w:val="-66"/>
        </w:rPr>
        <w:t> </w:t>
      </w:r>
      <w:r>
        <w:rPr>
          <w:spacing w:val="-66"/>
        </w:rPr>
      </w:r>
      <w:r>
        <w:rPr/>
        <w:t>司员工独立，薪酬、社会保障等独立管理，具有完善的管理制度和体系。</w:t>
      </w:r>
    </w:p>
    <w:p>
      <w:pPr>
        <w:pStyle w:val="BodyText"/>
        <w:spacing w:line="316" w:lineRule="auto"/>
        <w:ind w:left="1424" w:right="1122" w:hanging="291"/>
        <w:jc w:val="left"/>
      </w:pPr>
      <w:r>
        <w:rPr/>
        <w:t>（三）资产独立 </w:t>
      </w:r>
      <w:r>
        <w:rPr>
          <w:spacing w:val="-4"/>
        </w:rPr>
        <w:t>公司具备资产的独立性和完整性，截至目前，不存在以自身资产、权益或信誉为控股股东提供担保的情形，不存在资产、</w:t>
      </w:r>
    </w:p>
    <w:p>
      <w:pPr>
        <w:pStyle w:val="BodyText"/>
        <w:spacing w:line="240" w:lineRule="auto"/>
        <w:ind w:left="1134" w:right="0"/>
        <w:jc w:val="left"/>
      </w:pPr>
      <w:r>
        <w:rPr/>
        <w:t>资金被控股股东占用而损害公司利益的情况，公司对所有资产均具有完全控制支配权。</w:t>
      </w:r>
    </w:p>
    <w:p>
      <w:pPr>
        <w:pStyle w:val="BodyText"/>
        <w:spacing w:line="316" w:lineRule="auto" w:before="76"/>
        <w:ind w:left="1424" w:right="1122" w:hanging="291"/>
        <w:jc w:val="left"/>
      </w:pPr>
      <w:r>
        <w:rPr/>
        <w:t>（四）机构独立 </w:t>
      </w:r>
      <w:r>
        <w:rPr>
          <w:spacing w:val="-1"/>
        </w:rPr>
        <w:t>公司建立了股东大会、董事会、监事会等完备的治理结构，根据经营发展的需要，建立了符合公司实际情况的独立、完</w:t>
      </w:r>
    </w:p>
    <w:p>
      <w:pPr>
        <w:pStyle w:val="BodyText"/>
        <w:spacing w:line="316" w:lineRule="auto"/>
        <w:ind w:left="1134" w:right="1133"/>
        <w:jc w:val="both"/>
      </w:pPr>
      <w:r>
        <w:rPr>
          <w:spacing w:val="-2"/>
        </w:rPr>
        <w:t>整的经营管理机构。该等机构依照《公司章程》和内部管理制度体系独立行使自己的职权。公司自设立以来，生产经营和办</w:t>
      </w:r>
      <w:r>
        <w:rPr>
          <w:spacing w:val="-66"/>
        </w:rPr>
        <w:t> </w:t>
      </w:r>
      <w:r>
        <w:rPr>
          <w:spacing w:val="-66"/>
        </w:rPr>
      </w:r>
      <w:r>
        <w:rPr>
          <w:spacing w:val="-5"/>
        </w:rPr>
        <w:t>公机构完全独立，不存在与股东混合经营的情形。股东大会、董事会、监事会及董事会下属专业委员会等内部机构独立运作，</w:t>
      </w:r>
      <w:r>
        <w:rPr>
          <w:spacing w:val="-82"/>
        </w:rPr>
        <w:t> </w:t>
      </w:r>
      <w:r>
        <w:rPr>
          <w:spacing w:val="-82"/>
        </w:rPr>
      </w:r>
      <w:r>
        <w:rPr/>
        <w:t>不受其他单位或个人的干涉。</w:t>
      </w:r>
    </w:p>
    <w:p>
      <w:pPr>
        <w:pStyle w:val="BodyText"/>
        <w:spacing w:line="316" w:lineRule="auto"/>
        <w:ind w:left="1424" w:right="1122" w:hanging="291"/>
        <w:jc w:val="left"/>
      </w:pPr>
      <w:r>
        <w:rPr/>
        <w:t>（五）财务独立 </w:t>
      </w:r>
      <w:r>
        <w:rPr>
          <w:spacing w:val="-1"/>
        </w:rPr>
        <w:t>公司设有完整、独立的财务机构，配备了充足的专职财务会计人员，建立了独立的会计核算体系和财务管理制度，并独</w:t>
      </w:r>
    </w:p>
    <w:p>
      <w:pPr>
        <w:pStyle w:val="BodyText"/>
        <w:spacing w:line="316" w:lineRule="auto"/>
        <w:ind w:left="1134" w:right="0"/>
        <w:jc w:val="left"/>
      </w:pPr>
      <w:r>
        <w:rPr>
          <w:spacing w:val="-2"/>
        </w:rPr>
        <w:t>立开设银行账户、独立纳税、独立做出财务决策。公司与控股股东在业务、人员、资产、机构、财务等方面完全分开，具有</w:t>
      </w:r>
      <w:r>
        <w:rPr>
          <w:spacing w:val="-67"/>
        </w:rPr>
        <w:t> </w:t>
      </w:r>
      <w:r>
        <w:rPr>
          <w:spacing w:val="-67"/>
        </w:rPr>
      </w:r>
      <w:r>
        <w:rPr/>
        <w:t>独立完整的业务及自主经营能力。</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1419"/>
        <w:gridCol w:w="1702"/>
        <w:gridCol w:w="1559"/>
        <w:gridCol w:w="1417"/>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1419"/>
        <w:gridCol w:w="1702"/>
        <w:gridCol w:w="1559"/>
        <w:gridCol w:w="1417"/>
      </w:tblGrid>
      <w:tr>
        <w:trPr>
          <w:trHeight w:val="674"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2" w:lineRule="auto" w:before="10"/>
              <w:ind w:left="435" w:right="63" w:hanging="372"/>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50.49%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51.67%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51.28%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50.52%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50.62%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63" w:right="63"/>
              <w:jc w:val="center"/>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76"/>
        <w:gridCol w:w="1315"/>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杨玉芬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张斌</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1131" w:firstLine="360"/>
        <w:jc w:val="both"/>
      </w:pPr>
      <w:r>
        <w:rPr>
          <w:spacing w:val="-2"/>
        </w:rPr>
        <w:t>报告期内，公司独立董事严格按照《公司法》、《证券法》、《深圳证券交易所创业板股票上市规则》、《深圳证券交</w:t>
      </w:r>
      <w:r>
        <w:rPr/>
        <w:t> </w:t>
      </w:r>
      <w:r>
        <w:rPr>
          <w:spacing w:val="-2"/>
        </w:rPr>
        <w:t>易所创业板上市公司规范运作指引》、《公司章程》及《独立董事工作细则》等法律法规及规章制度的相关规定，忠实勤勉</w:t>
      </w:r>
      <w:r>
        <w:rPr>
          <w:spacing w:val="-70"/>
        </w:rPr>
        <w:t> </w:t>
      </w:r>
      <w:r>
        <w:rPr>
          <w:spacing w:val="-70"/>
        </w:rPr>
      </w:r>
      <w:r>
        <w:rPr>
          <w:spacing w:val="-2"/>
        </w:rPr>
        <w:t>地履行独立董事职责，积极出席报告期内公司召开的相关会议，认真审议董事会各项议案，对相关事项发表了独立意见，也</w:t>
      </w:r>
      <w:r>
        <w:rPr>
          <w:spacing w:val="-66"/>
        </w:rPr>
        <w:t> </w:t>
      </w:r>
      <w:r>
        <w:rPr>
          <w:spacing w:val="-66"/>
        </w:rPr>
      </w:r>
      <w:r>
        <w:rPr>
          <w:spacing w:val="-2"/>
        </w:rPr>
        <w:t>在公司的制度完善和日常经营决策等方面提出了专业性建议，并被公司予以采纳，较好的发挥了独立董事的作用，切实维护</w:t>
      </w:r>
      <w:r>
        <w:rPr>
          <w:spacing w:val="-66"/>
        </w:rPr>
        <w:t> </w:t>
      </w:r>
      <w:r>
        <w:rPr>
          <w:spacing w:val="-66"/>
        </w:rPr>
      </w:r>
      <w:r>
        <w:rPr/>
        <w:t>了公司和股东尤其是中小股东利益。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left="1134" w:right="1043" w:firstLine="360"/>
        <w:jc w:val="both"/>
      </w:pPr>
      <w:r>
        <w:rPr/>
        <w:t>公司董事会下设审计委员会和薪酬与考核委员会。</w:t>
      </w:r>
      <w:r>
        <w:rPr>
          <w:rFonts w:ascii="Times New Roman" w:hAnsi="Times New Roman" w:cs="Times New Roman" w:eastAsia="Times New Roman" w:hint="default"/>
        </w:rPr>
        <w:t>2017</w:t>
      </w:r>
      <w:r>
        <w:rPr/>
        <w:t>年度，各专门委员会就公司相关事项开展会议，履行相关职责， 为公司经营发展提出科学合理的意见与建议，对公司的内部控制与规范管理发挥了积极作用：</w:t>
      </w:r>
    </w:p>
    <w:p>
      <w:pPr>
        <w:pStyle w:val="BodyText"/>
        <w:spacing w:line="338" w:lineRule="auto" w:before="69"/>
        <w:ind w:left="1494" w:right="1032"/>
        <w:jc w:val="left"/>
      </w:pPr>
      <w:r>
        <w:rPr>
          <w:rFonts w:ascii="Times New Roman" w:hAnsi="Times New Roman" w:cs="Times New Roman" w:eastAsia="Times New Roman" w:hint="default"/>
        </w:rPr>
        <w:t>1</w:t>
      </w:r>
      <w:r>
        <w:rPr/>
        <w:t>、审计委员会履职情况 报告期内，公司审计委员会严格按照《董事会审计委员会工作制度》的相关要求，召开会议，对公司</w:t>
      </w:r>
      <w:r>
        <w:rPr>
          <w:rFonts w:ascii="Times New Roman" w:hAnsi="Times New Roman" w:cs="Times New Roman" w:eastAsia="Times New Roman" w:hint="default"/>
        </w:rPr>
        <w:t>2016</w:t>
      </w:r>
      <w:r>
        <w:rPr/>
        <w:t>年年度报告、</w:t>
      </w:r>
    </w:p>
    <w:p>
      <w:pPr>
        <w:pStyle w:val="BodyText"/>
        <w:spacing w:line="230" w:lineRule="exact" w:before="0"/>
        <w:ind w:right="0"/>
        <w:jc w:val="left"/>
      </w:pPr>
      <w:r>
        <w:rPr>
          <w:rFonts w:ascii="Times New Roman" w:hAnsi="Times New Roman" w:cs="Times New Roman" w:eastAsia="Times New Roman" w:hint="default"/>
        </w:rPr>
        <w:t>2017</w:t>
      </w:r>
      <w:r>
        <w:rPr/>
        <w:t>年第一季度报告、</w:t>
      </w:r>
      <w:r>
        <w:rPr>
          <w:rFonts w:ascii="Times New Roman" w:hAnsi="Times New Roman" w:cs="Times New Roman" w:eastAsia="Times New Roman" w:hint="default"/>
        </w:rPr>
        <w:t>2017</w:t>
      </w:r>
      <w:r>
        <w:rPr/>
        <w:t>年半年度报告、</w:t>
      </w:r>
      <w:r>
        <w:rPr>
          <w:rFonts w:ascii="Times New Roman" w:hAnsi="Times New Roman" w:cs="Times New Roman" w:eastAsia="Times New Roman" w:hint="default"/>
        </w:rPr>
        <w:t>2017</w:t>
      </w:r>
      <w:r>
        <w:rPr/>
        <w:t>年三季度报告等有关重大财务信息披露进行了内部审核、阅读，保证公司重</w:t>
      </w:r>
    </w:p>
    <w:p>
      <w:pPr>
        <w:pStyle w:val="BodyText"/>
        <w:spacing w:line="357" w:lineRule="auto" w:before="64"/>
        <w:ind w:left="1493" w:right="0" w:hanging="360"/>
        <w:jc w:val="left"/>
      </w:pPr>
      <w:r>
        <w:rPr/>
        <w:t>大财务信息的完整、真实。 </w:t>
      </w:r>
      <w:r>
        <w:rPr>
          <w:spacing w:val="-2"/>
        </w:rPr>
        <w:t>公司审计委员会还对公司审计部门的日常工作进行检查、考核、评估与指导，督促公司内部审计体制的建设与完善。委</w:t>
      </w:r>
    </w:p>
    <w:p>
      <w:pPr>
        <w:pStyle w:val="BodyText"/>
        <w:spacing w:line="348" w:lineRule="auto" w:before="0"/>
        <w:ind w:left="1493" w:right="1122" w:hanging="360"/>
        <w:jc w:val="left"/>
      </w:pPr>
      <w:r>
        <w:rPr/>
        <w:t>员会还不断加强内部审计与外部审计的沟通，确保审计工作尤其是对重大财务报告审计工作的顺利进行。 </w:t>
      </w:r>
      <w:r>
        <w:rPr>
          <w:rFonts w:ascii="Times New Roman" w:hAnsi="Times New Roman" w:cs="Times New Roman" w:eastAsia="Times New Roman" w:hint="default"/>
        </w:rPr>
        <w:t>2</w:t>
      </w:r>
      <w:r>
        <w:rPr/>
        <w:t>、薪酬与考核委员会履职情况 </w:t>
      </w:r>
      <w:r>
        <w:rPr>
          <w:spacing w:val="-2"/>
        </w:rPr>
        <w:t>报告期内，董事会薪酬与考核委员会严格按照《董事会薪酬与考核委员会工作制度》的相关要求，制定及审查公司董事</w:t>
      </w:r>
    </w:p>
    <w:p>
      <w:pPr>
        <w:pStyle w:val="BodyText"/>
        <w:spacing w:line="319" w:lineRule="auto" w:before="0"/>
        <w:ind w:left="1134" w:right="0"/>
        <w:jc w:val="left"/>
      </w:pPr>
      <w:r>
        <w:rPr>
          <w:spacing w:val="-2"/>
        </w:rPr>
        <w:t>及高级管理人员的薪酬政策与考核方案，按照绩效评价标准对董事高级管理人员的工作情况进行评估、审核，提出合理化建</w:t>
      </w:r>
      <w:r>
        <w:rPr>
          <w:spacing w:val="-66"/>
        </w:rPr>
        <w:t> </w:t>
      </w:r>
      <w:r>
        <w:rPr>
          <w:spacing w:val="-66"/>
        </w:rPr>
      </w:r>
      <w:r>
        <w:rPr/>
        <w:t>议，积极履行薪酬与考核委员会委员的职责。</w:t>
      </w:r>
    </w:p>
    <w:p>
      <w:pPr>
        <w:spacing w:line="240" w:lineRule="auto" w:before="6"/>
        <w:rPr>
          <w:rFonts w:ascii="宋体" w:hAnsi="宋体" w:cs="宋体" w:eastAsia="宋体" w:hint="default"/>
          <w:sz w:val="20"/>
          <w:szCs w:val="20"/>
        </w:rPr>
      </w:pPr>
    </w:p>
    <w:p>
      <w:pPr>
        <w:pStyle w:val="Heading2"/>
        <w:spacing w:line="240" w:lineRule="auto"/>
        <w:ind w:left="1134"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right="1131" w:firstLine="360"/>
        <w:jc w:val="both"/>
      </w:pPr>
      <w:r>
        <w:rPr>
          <w:spacing w:val="-2"/>
        </w:rPr>
        <w:t>公司按照《高级管理人员薪酬管理制度》，建立了高级管理人员的薪酬与公司业绩挂钩的绩效考核与激励约束机制，公</w:t>
      </w:r>
      <w:r>
        <w:rPr/>
        <w:t> </w:t>
      </w:r>
      <w:r>
        <w:rPr>
          <w:spacing w:val="-2"/>
        </w:rPr>
        <w:t>司高级管理人员实行基本年薪的年终绩效考核相结合的薪酬制度。规范高级管理人员薪酬决策机制。年末根据公司年度经营</w:t>
      </w:r>
      <w:r>
        <w:rPr>
          <w:spacing w:val="-64"/>
        </w:rPr>
        <w:t> </w:t>
      </w:r>
      <w:r>
        <w:rPr>
          <w:spacing w:val="-64"/>
        </w:rPr>
      </w:r>
      <w:r>
        <w:rPr>
          <w:spacing w:val="-2"/>
        </w:rPr>
        <w:t>目标完成情况以及高级管理人员的工作业绩，由董事会薪酬与考核委员会对高级管理人员进行年度绩效考核，并监督薪酬制</w:t>
      </w:r>
      <w:r>
        <w:rPr>
          <w:spacing w:val="-64"/>
        </w:rPr>
        <w:t> </w:t>
      </w:r>
      <w:r>
        <w:rPr>
          <w:spacing w:val="-64"/>
        </w:rPr>
      </w:r>
      <w:r>
        <w:rPr>
          <w:spacing w:val="-2"/>
        </w:rPr>
        <w:t>度执行情况。公司则根据绩效考核结果兑现其绩效年薪，并进行奖惩。公司董事会薪酬与考核委员会根据实际情况对高级管</w:t>
      </w:r>
      <w:r>
        <w:rPr>
          <w:spacing w:val="-66"/>
        </w:rPr>
        <w:t> </w:t>
      </w:r>
      <w:r>
        <w:rPr>
          <w:spacing w:val="-66"/>
        </w:rPr>
      </w:r>
      <w:r>
        <w:rPr>
          <w:spacing w:val="-2"/>
        </w:rPr>
        <w:t>理人员进行考核后，一致认为：</w:t>
      </w:r>
      <w:r>
        <w:rPr>
          <w:rFonts w:ascii="Times New Roman" w:hAnsi="Times New Roman" w:cs="Times New Roman" w:eastAsia="Times New Roman" w:hint="default"/>
          <w:spacing w:val="-2"/>
        </w:rPr>
        <w:t>2017</w:t>
      </w:r>
      <w:r>
        <w:rPr>
          <w:spacing w:val="-2"/>
        </w:rPr>
        <w:t>年度，公司高级管理人员薪酬方案严格执行相关考核制度，与公司经营业绩挂钩，薪酬</w:t>
      </w:r>
      <w:r>
        <w:rPr>
          <w:spacing w:val="-62"/>
        </w:rPr>
        <w:t> </w:t>
      </w:r>
      <w:r>
        <w:rPr>
          <w:spacing w:val="-62"/>
        </w:rPr>
      </w:r>
      <w:r>
        <w:rPr/>
        <w:t>方案合理，薪酬发放的程序符合有关法律法规及《公司章程》的规定。</w:t>
      </w:r>
    </w:p>
    <w:p>
      <w:pPr>
        <w:spacing w:after="0" w:line="314"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7E7CC"/>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重大缺陷认定标准：①管理层存在舞弊、 </w:t>
            </w:r>
            <w:r>
              <w:rPr>
                <w:rFonts w:ascii="宋体" w:hAnsi="宋体" w:cs="宋体" w:eastAsia="宋体" w:hint="default"/>
                <w:spacing w:val="-8"/>
                <w:sz w:val="18"/>
                <w:szCs w:val="18"/>
              </w:rPr>
              <w:t>违规；②</w:t>
            </w:r>
            <w:r>
              <w:rPr>
                <w:rFonts w:ascii="宋体" w:hAnsi="宋体" w:cs="宋体" w:eastAsia="宋体" w:hint="default"/>
                <w:spacing w:val="8"/>
                <w:sz w:val="18"/>
                <w:szCs w:val="18"/>
              </w:rPr>
              <w:t> </w:t>
            </w:r>
            <w:r>
              <w:rPr>
                <w:rFonts w:ascii="宋体" w:hAnsi="宋体" w:cs="宋体" w:eastAsia="宋体" w:hint="default"/>
                <w:spacing w:val="-3"/>
                <w:sz w:val="18"/>
                <w:szCs w:val="18"/>
              </w:rPr>
              <w:t>当期财务报告存在重大差错，而</w:t>
            </w:r>
            <w:r>
              <w:rPr>
                <w:rFonts w:ascii="宋体" w:hAnsi="宋体" w:cs="宋体" w:eastAsia="宋体" w:hint="default"/>
                <w:sz w:val="18"/>
                <w:szCs w:val="18"/>
              </w:rPr>
              <w:t> </w:t>
            </w:r>
            <w:r>
              <w:rPr>
                <w:rFonts w:ascii="宋体" w:hAnsi="宋体" w:cs="宋体" w:eastAsia="宋体" w:hint="default"/>
                <w:spacing w:val="-4"/>
                <w:sz w:val="18"/>
                <w:szCs w:val="18"/>
              </w:rPr>
              <w:t>内部控制运行过程中未发现该差错；③</w:t>
            </w:r>
            <w:r>
              <w:rPr>
                <w:rFonts w:ascii="宋体" w:hAnsi="宋体" w:cs="宋体" w:eastAsia="宋体" w:hint="default"/>
                <w:spacing w:val="4"/>
                <w:sz w:val="18"/>
                <w:szCs w:val="18"/>
              </w:rPr>
              <w:t> </w:t>
            </w:r>
            <w:r>
              <w:rPr>
                <w:rFonts w:ascii="宋体" w:hAnsi="宋体" w:cs="宋体" w:eastAsia="宋体" w:hint="default"/>
                <w:sz w:val="18"/>
                <w:szCs w:val="18"/>
              </w:rPr>
              <w:t>公</w:t>
            </w:r>
            <w:r>
              <w:rPr>
                <w:rFonts w:ascii="宋体" w:hAnsi="宋体" w:cs="宋体" w:eastAsia="宋体" w:hint="default"/>
                <w:sz w:val="18"/>
                <w:szCs w:val="18"/>
              </w:rPr>
              <w:t> 司审计委员会和审计部门对财务报告内部 控制监督无效。重要缺陷认定标准：①未 </w:t>
            </w:r>
            <w:r>
              <w:rPr>
                <w:rFonts w:ascii="宋体" w:hAnsi="宋体" w:cs="宋体" w:eastAsia="宋体" w:hint="default"/>
                <w:spacing w:val="-5"/>
                <w:sz w:val="18"/>
                <w:szCs w:val="18"/>
              </w:rPr>
              <w:t>建立反舞弊程序和控制措施；②</w:t>
            </w:r>
            <w:r>
              <w:rPr>
                <w:rFonts w:ascii="宋体" w:hAnsi="宋体" w:cs="宋体" w:eastAsia="宋体" w:hint="default"/>
                <w:spacing w:val="4"/>
                <w:sz w:val="18"/>
                <w:szCs w:val="18"/>
              </w:rPr>
              <w:t> </w:t>
            </w:r>
            <w:r>
              <w:rPr>
                <w:rFonts w:ascii="宋体" w:hAnsi="宋体" w:cs="宋体" w:eastAsia="宋体" w:hint="default"/>
                <w:sz w:val="18"/>
                <w:szCs w:val="18"/>
              </w:rPr>
              <w:t>存在一项</w:t>
            </w:r>
            <w:r>
              <w:rPr>
                <w:rFonts w:ascii="宋体" w:hAnsi="宋体" w:cs="宋体" w:eastAsia="宋体" w:hint="default"/>
                <w:sz w:val="18"/>
                <w:szCs w:val="18"/>
              </w:rPr>
              <w:t> 或多项缺陷且不能合理保证编制的财务报 表达到真实、准确的目标；③未依照公认 会计准则选择和应用会计政策。一般缺陷 认定标准：不构成重大缺陷或重要缺陷的 其他内部控制缺陷认定为一般缺陷。</w:t>
            </w:r>
          </w:p>
        </w:tc>
        <w:tc>
          <w:tcPr>
            <w:tcW w:w="3051" w:type="dxa"/>
            <w:vMerge w:val="restart"/>
            <w:tcBorders>
              <w:top w:val="single" w:sz="4" w:space="0" w:color="000000"/>
              <w:left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 </w:t>
            </w:r>
            <w:r>
              <w:rPr>
                <w:rFonts w:ascii="宋体" w:hAnsi="宋体" w:cs="宋体" w:eastAsia="宋体" w:hint="default"/>
                <w:spacing w:val="-4"/>
                <w:sz w:val="18"/>
                <w:szCs w:val="18"/>
              </w:rPr>
              <w:t>缺陷、重要缺陷和重大缺陷。①公司经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营活动违反国家法律、法规；②媒体负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面新闻频频曝光，对公司声誉造成重大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影响；③内部控制缺陷未得到整改；④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重大事项决策程序失误或违反公司决 策程序导致公司经济损失； ⑤其他可 能导致公司偏离预期控制目标的缺陷。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shd w:val="clear" w:color="auto" w:fill="C7E7CC"/>
          </w:tcPr>
          <w:p>
            <w:pPr/>
          </w:p>
        </w:tc>
        <w:tc>
          <w:tcPr>
            <w:tcW w:w="3051" w:type="dxa"/>
            <w:vMerge/>
            <w:tcBorders>
              <w:left w:val="single" w:sz="4" w:space="0" w:color="000000"/>
              <w:right w:val="single" w:sz="4" w:space="0" w:color="000000"/>
            </w:tcBorders>
            <w:shd w:val="clear" w:color="auto" w:fill="C7E7CC"/>
          </w:tcPr>
          <w:p>
            <w:pPr/>
          </w:p>
        </w:tc>
      </w:tr>
      <w:tr>
        <w:trPr>
          <w:trHeight w:val="156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7E7CC"/>
          </w:tcPr>
          <w:p>
            <w:pPr/>
          </w:p>
        </w:tc>
        <w:tc>
          <w:tcPr>
            <w:tcW w:w="3051" w:type="dxa"/>
            <w:vMerge/>
            <w:tcBorders>
              <w:left w:val="single" w:sz="4" w:space="0" w:color="000000"/>
              <w:bottom w:val="single" w:sz="4" w:space="0" w:color="000000"/>
              <w:right w:val="single" w:sz="4" w:space="0" w:color="000000"/>
            </w:tcBorders>
            <w:shd w:val="clear" w:color="auto" w:fill="C7E7CC"/>
          </w:tcPr>
          <w:p>
            <w:pPr/>
          </w:p>
        </w:tc>
      </w:tr>
      <w:tr>
        <w:trPr>
          <w:trHeight w:val="1097"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重大缺陷认定标准：错报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营业收入总额的</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错报＜营业收 入总额的的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 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。一般缺陷认定标准：错报</w:t>
            </w:r>
          </w:p>
          <w:p>
            <w:pPr>
              <w:pStyle w:val="TableParagraph"/>
              <w:spacing w:line="302"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，错报＜资产总额的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shd w:val="clear" w:color="auto" w:fill="C7E7CC"/>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 </w:t>
            </w:r>
            <w:r>
              <w:rPr>
                <w:rFonts w:ascii="宋体" w:hAnsi="宋体" w:cs="宋体" w:eastAsia="宋体" w:hint="default"/>
                <w:spacing w:val="-4"/>
                <w:sz w:val="18"/>
                <w:szCs w:val="18"/>
              </w:rPr>
              <w:t>缺陷、重要缺陷和重大缺陷。①公司经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营活动违反国家法律、法规；②媒体负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面新闻频频曝光，对公司声誉造成重大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影响；③内部控制缺陷未得到整改；④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重大事项决策程序失误或违反公司决 </w:t>
            </w:r>
            <w:r>
              <w:rPr>
                <w:rFonts w:ascii="宋体" w:hAnsi="宋体" w:cs="宋体" w:eastAsia="宋体" w:hint="default"/>
                <w:spacing w:val="-4"/>
                <w:sz w:val="18"/>
                <w:szCs w:val="18"/>
              </w:rPr>
              <w:t>策程序导致公司经济损失；⑤其他可能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导致公司偏离预期控制目标的缺陷。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shd w:val="clear" w:color="auto" w:fill="C7E7CC"/>
          </w:tcPr>
          <w:p>
            <w:pPr/>
          </w:p>
        </w:tc>
        <w:tc>
          <w:tcPr>
            <w:tcW w:w="3051" w:type="dxa"/>
            <w:vMerge/>
            <w:tcBorders>
              <w:left w:val="single" w:sz="4" w:space="0" w:color="000000"/>
              <w:right w:val="single" w:sz="4" w:space="0" w:color="000000"/>
            </w:tcBorders>
            <w:shd w:val="clear" w:color="auto" w:fill="C7E7CC"/>
          </w:tcPr>
          <w:p>
            <w:pPr/>
          </w:p>
        </w:tc>
      </w:tr>
      <w:tr>
        <w:trPr>
          <w:trHeight w:val="109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7E7CC"/>
          </w:tcPr>
          <w:p>
            <w:pPr/>
          </w:p>
        </w:tc>
        <w:tc>
          <w:tcPr>
            <w:tcW w:w="3051" w:type="dxa"/>
            <w:vMerge/>
            <w:tcBorders>
              <w:left w:val="single" w:sz="4" w:space="0" w:color="000000"/>
              <w:bottom w:val="single" w:sz="4" w:space="0" w:color="000000"/>
              <w:right w:val="single" w:sz="4" w:space="0" w:color="000000"/>
            </w:tcBorders>
            <w:shd w:val="clear" w:color="auto" w:fill="C7E7CC"/>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665"/>
        <w:jc w:val="center"/>
        <w:rPr>
          <w:b w:val="0"/>
          <w:bCs w:val="0"/>
        </w:rPr>
      </w:pPr>
      <w:bookmarkStart w:name="第十节 公司债券相关情况" w:id="146"/>
      <w:bookmarkEnd w:id="146"/>
      <w:r>
        <w:rPr>
          <w:b w:val="0"/>
          <w:bCs w:val="0"/>
        </w:rPr>
      </w:r>
      <w:bookmarkStart w:name="_bookmark9" w:id="147"/>
      <w:bookmarkEnd w:id="14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665"/>
        <w:jc w:val="center"/>
        <w:rPr>
          <w:b w:val="0"/>
          <w:bCs w:val="0"/>
        </w:rPr>
      </w:pPr>
      <w:bookmarkStart w:name="第十一节 财务报告" w:id="148"/>
      <w:bookmarkEnd w:id="148"/>
      <w:r>
        <w:rPr>
          <w:b w:val="0"/>
          <w:bCs w:val="0"/>
        </w:rPr>
      </w:r>
      <w:bookmarkStart w:name="_bookmark10" w:id="149"/>
      <w:bookmarkEnd w:id="14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京永审字（</w:t>
            </w:r>
            <w:r>
              <w:rPr>
                <w:rFonts w:ascii="宋体" w:hAnsi="宋体" w:cs="宋体" w:eastAsia="宋体"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110014</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吕润波 黄冠伟</w:t>
            </w:r>
          </w:p>
        </w:tc>
      </w:tr>
    </w:tbl>
    <w:p>
      <w:pPr>
        <w:pStyle w:val="BodyText"/>
        <w:spacing w:line="357" w:lineRule="auto" w:before="51"/>
        <w:ind w:left="5414" w:right="5410"/>
        <w:jc w:val="center"/>
      </w:pPr>
      <w:r>
        <w:rPr/>
        <w:t>审计报告正文 审计报告</w:t>
      </w:r>
    </w:p>
    <w:p>
      <w:pPr>
        <w:spacing w:line="240" w:lineRule="auto" w:before="7"/>
        <w:rPr>
          <w:rFonts w:ascii="宋体" w:hAnsi="宋体" w:cs="宋体" w:eastAsia="宋体" w:hint="default"/>
          <w:sz w:val="19"/>
          <w:szCs w:val="19"/>
        </w:rPr>
      </w:pPr>
    </w:p>
    <w:p>
      <w:pPr>
        <w:pStyle w:val="BodyText"/>
        <w:spacing w:line="240" w:lineRule="auto" w:before="44"/>
        <w:ind w:left="0" w:right="1130"/>
        <w:jc w:val="right"/>
      </w:pPr>
      <w:r>
        <w:rPr/>
        <w:t>京永审字（</w:t>
      </w:r>
      <w:r>
        <w:rPr>
          <w:rFonts w:ascii="宋体" w:hAnsi="宋体" w:cs="宋体" w:eastAsia="宋体" w:hint="default"/>
        </w:rPr>
        <w:t>2018</w:t>
      </w:r>
      <w:r>
        <w:rPr/>
        <w:t>）第</w:t>
      </w:r>
      <w:r>
        <w:rPr>
          <w:rFonts w:ascii="宋体" w:hAnsi="宋体" w:cs="宋体" w:eastAsia="宋体" w:hint="default"/>
        </w:rPr>
        <w:t>110014</w:t>
      </w:r>
      <w:r>
        <w:rPr/>
        <w:t>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439" w:lineRule="auto"/>
        <w:ind w:left="1616" w:right="7017"/>
        <w:jc w:val="left"/>
        <w:rPr>
          <w:b w:val="0"/>
          <w:bCs w:val="0"/>
        </w:rPr>
      </w:pPr>
      <w:r>
        <w:rPr/>
        <w:t>任子行网络技术股份有限公司全体股东：</w:t>
      </w:r>
      <w:r>
        <w:rPr>
          <w:w w:val="99"/>
        </w:rPr>
        <w:t> </w:t>
      </w:r>
      <w:r>
        <w:rPr/>
        <w:t>一、审计意见</w:t>
      </w:r>
      <w:r>
        <w:rPr>
          <w:b w:val="0"/>
          <w:bCs w:val="0"/>
        </w:rPr>
      </w:r>
    </w:p>
    <w:p>
      <w:pPr>
        <w:pStyle w:val="BodyText"/>
        <w:spacing w:line="319" w:lineRule="auto" w:before="47"/>
        <w:ind w:right="1130" w:firstLine="480"/>
        <w:jc w:val="both"/>
      </w:pPr>
      <w:r>
        <w:rPr>
          <w:spacing w:val="-1"/>
        </w:rPr>
        <w:t>我们审计了后附的任子行网络技术股份有限公司（以下简称“贵公司”）财务报表，包括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日的合并资产</w:t>
      </w:r>
      <w:r>
        <w:rPr/>
        <w:t> </w:t>
      </w:r>
      <w:r>
        <w:rPr>
          <w:spacing w:val="-2"/>
        </w:rPr>
        <w:t>负债表和母公司资产负债表，</w:t>
      </w:r>
      <w:r>
        <w:rPr>
          <w:rFonts w:ascii="宋体" w:hAnsi="宋体" w:cs="宋体" w:eastAsia="宋体" w:hint="default"/>
          <w:spacing w:val="-2"/>
        </w:rPr>
        <w:t>2017</w:t>
      </w:r>
      <w:r>
        <w:rPr>
          <w:spacing w:val="-2"/>
        </w:rPr>
        <w:t>年度的合并利润表和母公司利润表、合并现金流量表和母公司现金流量表、合并股东权益</w:t>
      </w:r>
      <w:r>
        <w:rPr>
          <w:spacing w:val="-62"/>
        </w:rPr>
        <w:t> </w:t>
      </w:r>
      <w:r>
        <w:rPr>
          <w:spacing w:val="-62"/>
        </w:rPr>
      </w:r>
      <w:r>
        <w:rPr/>
        <w:t>变动表和母公司股东权益变动表以及相关财务报表附注。</w:t>
      </w:r>
    </w:p>
    <w:p>
      <w:pPr>
        <w:pStyle w:val="BodyText"/>
        <w:spacing w:line="316" w:lineRule="auto" w:before="137"/>
        <w:ind w:right="1130" w:firstLine="480"/>
        <w:jc w:val="both"/>
      </w:pPr>
      <w:r>
        <w:rPr>
          <w:spacing w:val="-1"/>
        </w:rPr>
        <w:t>我们认为，后附的财务报表在所有重大方面按照企业会计准则的规定编制，公允反映了贵公司</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w:t>
      </w:r>
      <w:r>
        <w:rPr/>
        <w:t> 及母公司财务状况以及</w:t>
      </w:r>
      <w:r>
        <w:rPr>
          <w:rFonts w:ascii="宋体" w:hAnsi="宋体" w:cs="宋体" w:eastAsia="宋体" w:hint="default"/>
        </w:rPr>
        <w:t>2017</w:t>
      </w:r>
      <w:r>
        <w:rPr/>
        <w:t>年度的合并及母公司经营成果和现金流量。</w:t>
      </w:r>
    </w:p>
    <w:p>
      <w:pPr>
        <w:pStyle w:val="BodyText"/>
        <w:spacing w:line="432" w:lineRule="exact" w:before="3"/>
        <w:ind w:left="1614"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5"/>
        <w:ind w:right="0"/>
        <w:jc w:val="left"/>
      </w:pPr>
      <w:r>
        <w:rPr>
          <w:spacing w:val="-2"/>
        </w:rPr>
        <w:t>一步阐述了我们在这些准则下的责任。按照中国注册会计师职业道德守则，我们独立于贵公司，并履行了职业道德方面的其</w:t>
      </w:r>
      <w:r>
        <w:rPr>
          <w:spacing w:val="-66"/>
        </w:rPr>
        <w:t> </w:t>
      </w:r>
      <w:r>
        <w:rPr>
          <w:spacing w:val="-66"/>
        </w:rPr>
      </w:r>
      <w:r>
        <w:rPr/>
        <w:t>他责任。我们相信，我们获取的审计证据是充分、适当的，为发表审计意见提供了基础。</w:t>
      </w:r>
    </w:p>
    <w:p>
      <w:pPr>
        <w:pStyle w:val="BodyText"/>
        <w:spacing w:line="432" w:lineRule="exact" w:before="3"/>
        <w:ind w:left="161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5"/>
        <w:ind w:right="0"/>
        <w:jc w:val="left"/>
      </w:pPr>
      <w:r>
        <w:rPr/>
        <w:t>行审计并形成审计意见为背景，我们不对这些事项单独发表意见。</w:t>
      </w:r>
    </w:p>
    <w:p>
      <w:pPr>
        <w:spacing w:line="240" w:lineRule="auto" w:before="3"/>
        <w:rPr>
          <w:rFonts w:ascii="宋体" w:hAnsi="宋体" w:cs="宋体" w:eastAsia="宋体" w:hint="default"/>
          <w:sz w:val="14"/>
          <w:szCs w:val="14"/>
        </w:rPr>
      </w:pPr>
    </w:p>
    <w:tbl>
      <w:tblPr>
        <w:tblW w:w="0" w:type="auto"/>
        <w:jc w:val="left"/>
        <w:tblInd w:w="1126" w:type="dxa"/>
        <w:tblLayout w:type="fixed"/>
        <w:tblCellMar>
          <w:top w:w="0" w:type="dxa"/>
          <w:left w:w="0" w:type="dxa"/>
          <w:bottom w:w="0" w:type="dxa"/>
          <w:right w:w="0" w:type="dxa"/>
        </w:tblCellMar>
        <w:tblLook w:val="01E0"/>
      </w:tblPr>
      <w:tblGrid>
        <w:gridCol w:w="4254"/>
        <w:gridCol w:w="5246"/>
      </w:tblGrid>
      <w:tr>
        <w:trPr>
          <w:trHeight w:val="347" w:hRule="exact"/>
        </w:trPr>
        <w:tc>
          <w:tcPr>
            <w:tcW w:w="9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r>
      <w:tr>
        <w:trPr>
          <w:trHeight w:val="348" w:hRule="exact"/>
        </w:trPr>
        <w:tc>
          <w:tcPr>
            <w:tcW w:w="9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（一）商誉减值（参见财务报表附注三、</w:t>
            </w:r>
            <w:r>
              <w:rPr>
                <w:rFonts w:ascii="宋体" w:hAnsi="宋体" w:cs="宋体" w:eastAsia="宋体" w:hint="default"/>
                <w:sz w:val="18"/>
                <w:szCs w:val="18"/>
              </w:rPr>
              <w:t>28</w:t>
            </w:r>
            <w:r>
              <w:rPr>
                <w:rFonts w:ascii="宋体" w:hAnsi="宋体" w:cs="宋体" w:eastAsia="宋体" w:hint="default"/>
                <w:sz w:val="18"/>
                <w:szCs w:val="18"/>
              </w:rPr>
              <w:t>资产减值与财务报表附注五、</w:t>
            </w:r>
            <w:r>
              <w:rPr>
                <w:rFonts w:ascii="宋体" w:hAnsi="宋体" w:cs="宋体" w:eastAsia="宋体" w:hint="default"/>
                <w:sz w:val="18"/>
                <w:szCs w:val="18"/>
              </w:rPr>
              <w:t>13</w:t>
            </w:r>
            <w:r>
              <w:rPr>
                <w:rFonts w:ascii="宋体" w:hAnsi="宋体" w:cs="宋体" w:eastAsia="宋体" w:hint="default"/>
                <w:sz w:val="18"/>
                <w:szCs w:val="18"/>
              </w:rPr>
              <w:t>商誉）</w:t>
            </w:r>
          </w:p>
        </w:tc>
      </w:tr>
      <w:tr>
        <w:trPr>
          <w:trHeight w:val="347" w:hRule="exact"/>
        </w:trPr>
        <w:tc>
          <w:tcPr>
            <w:tcW w:w="9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（二）网络游戏收入确认（参见财务报表附注三、</w:t>
            </w:r>
            <w:r>
              <w:rPr>
                <w:rFonts w:ascii="宋体" w:hAnsi="宋体" w:cs="宋体" w:eastAsia="宋体" w:hint="default"/>
                <w:sz w:val="18"/>
                <w:szCs w:val="18"/>
              </w:rPr>
              <w:t>23</w:t>
            </w:r>
            <w:r>
              <w:rPr>
                <w:rFonts w:ascii="宋体" w:hAnsi="宋体" w:cs="宋体" w:eastAsia="宋体" w:hint="default"/>
                <w:sz w:val="18"/>
                <w:szCs w:val="18"/>
              </w:rPr>
              <w:t>收入与财务报表附注五、</w:t>
            </w:r>
            <w:r>
              <w:rPr>
                <w:rFonts w:ascii="宋体" w:hAnsi="宋体" w:cs="宋体" w:eastAsia="宋体" w:hint="default"/>
                <w:sz w:val="18"/>
                <w:szCs w:val="18"/>
              </w:rPr>
              <w:t>34</w:t>
            </w:r>
            <w:r>
              <w:rPr>
                <w:rFonts w:ascii="宋体" w:hAnsi="宋体" w:cs="宋体" w:eastAsia="宋体" w:hint="default"/>
                <w:sz w:val="18"/>
                <w:szCs w:val="18"/>
              </w:rPr>
              <w:t>营业收入与营业成本）</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审计应对</w:t>
            </w:r>
          </w:p>
        </w:tc>
      </w:tr>
      <w:tr>
        <w:trPr>
          <w:trHeight w:val="1283"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2" w:right="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一）商誉减值 </w:t>
            </w:r>
            <w:r>
              <w:rPr>
                <w:rFonts w:ascii="宋体" w:hAnsi="宋体" w:cs="宋体" w:eastAsia="宋体" w:hint="default"/>
                <w:spacing w:val="-4"/>
                <w:sz w:val="18"/>
                <w:szCs w:val="18"/>
              </w:rPr>
              <w:t>截至</w:t>
            </w:r>
            <w:r>
              <w:rPr>
                <w:rFonts w:ascii="宋体" w:hAnsi="宋体" w:cs="宋体" w:eastAsia="宋体" w:hint="default"/>
                <w:spacing w:val="-4"/>
                <w:sz w:val="18"/>
                <w:szCs w:val="18"/>
              </w:rPr>
              <w:t>2017</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4"/>
                <w:sz w:val="18"/>
                <w:szCs w:val="18"/>
              </w:rPr>
              <w:t>日，贵公司合并财务报表中商誉</w:t>
            </w:r>
          </w:p>
          <w:p>
            <w:pPr>
              <w:pStyle w:val="TableParagraph"/>
              <w:spacing w:line="316" w:lineRule="auto" w:before="19"/>
              <w:ind w:left="2" w:right="2"/>
              <w:jc w:val="left"/>
              <w:rPr>
                <w:rFonts w:ascii="宋体" w:hAnsi="宋体" w:cs="宋体" w:eastAsia="宋体" w:hint="default"/>
                <w:sz w:val="18"/>
                <w:szCs w:val="18"/>
              </w:rPr>
            </w:pPr>
            <w:r>
              <w:rPr>
                <w:rFonts w:ascii="宋体" w:hAnsi="宋体" w:cs="宋体" w:eastAsia="宋体" w:hint="default"/>
                <w:spacing w:val="28"/>
                <w:sz w:val="18"/>
                <w:szCs w:val="18"/>
              </w:rPr>
              <w:t>原值为</w:t>
            </w:r>
            <w:r>
              <w:rPr>
                <w:rFonts w:ascii="宋体" w:hAnsi="宋体" w:cs="宋体" w:eastAsia="宋体" w:hint="default"/>
                <w:spacing w:val="83"/>
                <w:sz w:val="18"/>
                <w:szCs w:val="18"/>
              </w:rPr>
              <w:t> </w:t>
            </w:r>
            <w:r>
              <w:rPr>
                <w:rFonts w:ascii="宋体" w:hAnsi="宋体" w:cs="宋体" w:eastAsia="宋体" w:hint="default"/>
                <w:sz w:val="18"/>
                <w:szCs w:val="18"/>
              </w:rPr>
              <w:t>1,048,783,184.87</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商</w:t>
            </w:r>
            <w:r>
              <w:rPr>
                <w:rFonts w:ascii="宋体" w:hAnsi="宋体" w:cs="宋体" w:eastAsia="宋体" w:hint="default"/>
                <w:spacing w:val="-50"/>
                <w:sz w:val="18"/>
                <w:szCs w:val="18"/>
              </w:rPr>
              <w:t> </w:t>
            </w:r>
            <w:r>
              <w:rPr>
                <w:rFonts w:ascii="宋体" w:hAnsi="宋体" w:cs="宋体" w:eastAsia="宋体" w:hint="default"/>
                <w:sz w:val="18"/>
                <w:szCs w:val="18"/>
              </w:rPr>
              <w:t>誉</w:t>
            </w:r>
            <w:r>
              <w:rPr>
                <w:rFonts w:ascii="宋体" w:hAnsi="宋体" w:cs="宋体" w:eastAsia="宋体" w:hint="default"/>
                <w:spacing w:val="-50"/>
                <w:sz w:val="18"/>
                <w:szCs w:val="18"/>
              </w:rPr>
              <w:t> </w:t>
            </w:r>
            <w:r>
              <w:rPr>
                <w:rFonts w:ascii="宋体" w:hAnsi="宋体" w:cs="宋体" w:eastAsia="宋体" w:hint="default"/>
                <w:sz w:val="18"/>
                <w:szCs w:val="18"/>
              </w:rPr>
              <w:t>减</w:t>
            </w:r>
            <w:r>
              <w:rPr>
                <w:rFonts w:ascii="宋体" w:hAnsi="宋体" w:cs="宋体" w:eastAsia="宋体" w:hint="default"/>
                <w:spacing w:val="-51"/>
                <w:sz w:val="18"/>
                <w:szCs w:val="18"/>
              </w:rPr>
              <w:t> </w:t>
            </w:r>
            <w:r>
              <w:rPr>
                <w:rFonts w:ascii="宋体" w:hAnsi="宋体" w:cs="宋体" w:eastAsia="宋体" w:hint="default"/>
                <w:sz w:val="18"/>
                <w:szCs w:val="18"/>
              </w:rPr>
              <w:t>值</w:t>
            </w:r>
            <w:r>
              <w:rPr>
                <w:rFonts w:ascii="宋体" w:hAnsi="宋体" w:cs="宋体" w:eastAsia="宋体" w:hint="default"/>
                <w:spacing w:val="-50"/>
                <w:sz w:val="18"/>
                <w:szCs w:val="18"/>
              </w:rPr>
              <w:t> </w:t>
            </w:r>
            <w:r>
              <w:rPr>
                <w:rFonts w:ascii="宋体" w:hAnsi="宋体" w:cs="宋体" w:eastAsia="宋体" w:hint="default"/>
                <w:sz w:val="18"/>
                <w:szCs w:val="18"/>
              </w:rPr>
              <w:t>准</w:t>
            </w:r>
            <w:r>
              <w:rPr>
                <w:rFonts w:ascii="宋体" w:hAnsi="宋体" w:cs="宋体" w:eastAsia="宋体" w:hint="default"/>
                <w:spacing w:val="-50"/>
                <w:sz w:val="18"/>
                <w:szCs w:val="18"/>
              </w:rPr>
              <w:t> </w:t>
            </w:r>
            <w:r>
              <w:rPr>
                <w:rFonts w:ascii="宋体" w:hAnsi="宋体" w:cs="宋体" w:eastAsia="宋体" w:hint="default"/>
                <w:sz w:val="18"/>
                <w:szCs w:val="18"/>
              </w:rPr>
              <w:t>备</w:t>
            </w:r>
            <w:r>
              <w:rPr>
                <w:rFonts w:ascii="宋体" w:hAnsi="宋体" w:cs="宋体" w:eastAsia="宋体" w:hint="default"/>
                <w:spacing w:val="-50"/>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200,020,000.00</w:t>
            </w:r>
            <w:r>
              <w:rPr>
                <w:rFonts w:ascii="宋体" w:hAnsi="宋体" w:cs="宋体" w:eastAsia="宋体" w:hint="default"/>
                <w:sz w:val="18"/>
                <w:szCs w:val="18"/>
              </w:rPr>
              <w:t>元。</w:t>
            </w:r>
          </w:p>
        </w:tc>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firstLine="360"/>
              <w:jc w:val="left"/>
              <w:rPr>
                <w:rFonts w:ascii="宋体" w:hAnsi="宋体" w:cs="宋体" w:eastAsia="宋体" w:hint="default"/>
                <w:sz w:val="18"/>
                <w:szCs w:val="18"/>
              </w:rPr>
            </w:pPr>
            <w:r>
              <w:rPr>
                <w:rFonts w:ascii="宋体" w:hAnsi="宋体" w:cs="宋体" w:eastAsia="宋体" w:hint="default"/>
                <w:sz w:val="18"/>
                <w:szCs w:val="18"/>
              </w:rPr>
              <w:t>我们将相关资产组</w:t>
            </w:r>
            <w:r>
              <w:rPr>
                <w:rFonts w:ascii="宋体" w:hAnsi="宋体" w:cs="宋体" w:eastAsia="宋体" w:hint="default"/>
                <w:sz w:val="18"/>
                <w:szCs w:val="18"/>
              </w:rPr>
              <w:t>2017</w:t>
            </w:r>
            <w:r>
              <w:rPr>
                <w:rFonts w:ascii="宋体" w:hAnsi="宋体" w:cs="宋体" w:eastAsia="宋体" w:hint="default"/>
                <w:sz w:val="18"/>
                <w:szCs w:val="18"/>
              </w:rPr>
              <w:t>年度的实际结果与以前年度相应的预测 数据进行了比较，以评价管理层对现金流量的预测是否可靠。</w:t>
            </w:r>
          </w:p>
          <w:p>
            <w:pPr>
              <w:pStyle w:val="TableParagraph"/>
              <w:spacing w:line="316" w:lineRule="auto" w:before="19"/>
              <w:ind w:left="2" w:right="2" w:firstLine="360"/>
              <w:jc w:val="left"/>
              <w:rPr>
                <w:rFonts w:ascii="宋体" w:hAnsi="宋体" w:cs="宋体" w:eastAsia="宋体" w:hint="default"/>
                <w:sz w:val="18"/>
                <w:szCs w:val="18"/>
              </w:rPr>
            </w:pPr>
            <w:r>
              <w:rPr>
                <w:rFonts w:ascii="宋体" w:hAnsi="宋体" w:cs="宋体" w:eastAsia="宋体" w:hint="default"/>
                <w:sz w:val="18"/>
                <w:szCs w:val="18"/>
              </w:rPr>
              <w:t>我们评估了管理层进行商誉减值测试时使用的估值方法的适当 性。</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254"/>
        <w:gridCol w:w="5246"/>
      </w:tblGrid>
      <w:tr>
        <w:trPr>
          <w:trHeight w:val="221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firstLine="360"/>
              <w:jc w:val="both"/>
              <w:rPr>
                <w:rFonts w:ascii="宋体" w:hAnsi="宋体" w:cs="宋体" w:eastAsia="宋体" w:hint="default"/>
                <w:sz w:val="18"/>
                <w:szCs w:val="18"/>
              </w:rPr>
            </w:pPr>
            <w:r>
              <w:rPr>
                <w:rFonts w:ascii="宋体" w:hAnsi="宋体" w:cs="宋体" w:eastAsia="宋体" w:hint="default"/>
                <w:spacing w:val="-4"/>
                <w:sz w:val="18"/>
                <w:szCs w:val="18"/>
              </w:rPr>
              <w:t>公司管理层每年年末对商誉进行减值测试，减值测</w:t>
            </w:r>
            <w:r>
              <w:rPr>
                <w:rFonts w:ascii="宋体" w:hAnsi="宋体" w:cs="宋体" w:eastAsia="宋体" w:hint="default"/>
                <w:sz w:val="18"/>
                <w:szCs w:val="18"/>
              </w:rPr>
              <w:t> </w:t>
            </w:r>
            <w:r>
              <w:rPr>
                <w:rFonts w:ascii="宋体" w:hAnsi="宋体" w:cs="宋体" w:eastAsia="宋体" w:hint="default"/>
                <w:spacing w:val="3"/>
                <w:sz w:val="18"/>
                <w:szCs w:val="18"/>
              </w:rPr>
              <w:t>试要求管理层对包含商誉的相关资产组的可收回金额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进行估计，管理层在测试中采用的关键假设包括：收入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增长率、毛利率、成本费用率及折现率等参数。</w:t>
            </w:r>
          </w:p>
          <w:p>
            <w:pPr>
              <w:pStyle w:val="TableParagraph"/>
              <w:spacing w:line="316" w:lineRule="auto" w:before="19"/>
              <w:ind w:left="2" w:right="2" w:firstLine="360"/>
              <w:jc w:val="both"/>
              <w:rPr>
                <w:rFonts w:ascii="宋体" w:hAnsi="宋体" w:cs="宋体" w:eastAsia="宋体" w:hint="default"/>
                <w:sz w:val="18"/>
                <w:szCs w:val="18"/>
              </w:rPr>
            </w:pPr>
            <w:r>
              <w:rPr>
                <w:rFonts w:ascii="宋体" w:hAnsi="宋体" w:cs="宋体" w:eastAsia="宋体" w:hint="default"/>
                <w:spacing w:val="-5"/>
                <w:sz w:val="18"/>
                <w:szCs w:val="18"/>
              </w:rPr>
              <w:t>由于商誉在合并财务报表中的重要性，且管理层需</w:t>
            </w:r>
            <w:r>
              <w:rPr>
                <w:rFonts w:ascii="宋体" w:hAnsi="宋体" w:cs="宋体" w:eastAsia="宋体" w:hint="default"/>
                <w:sz w:val="18"/>
                <w:szCs w:val="18"/>
              </w:rPr>
              <w:t> </w:t>
            </w:r>
            <w:r>
              <w:rPr>
                <w:rFonts w:ascii="宋体" w:hAnsi="宋体" w:cs="宋体" w:eastAsia="宋体" w:hint="default"/>
                <w:spacing w:val="-4"/>
                <w:sz w:val="18"/>
                <w:szCs w:val="18"/>
              </w:rPr>
              <w:t>要对其作出重大判断，我们将商誉减值确定为关键审计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事项。</w:t>
            </w:r>
          </w:p>
        </w:tc>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firstLine="360"/>
              <w:jc w:val="left"/>
              <w:rPr>
                <w:rFonts w:ascii="宋体" w:hAnsi="宋体" w:cs="宋体" w:eastAsia="宋体" w:hint="default"/>
                <w:sz w:val="18"/>
                <w:szCs w:val="18"/>
              </w:rPr>
            </w:pPr>
            <w:r>
              <w:rPr>
                <w:rFonts w:ascii="宋体" w:hAnsi="宋体" w:cs="宋体" w:eastAsia="宋体" w:hint="default"/>
                <w:sz w:val="18"/>
                <w:szCs w:val="18"/>
              </w:rPr>
              <w:t>我们将现金流量预测所使用的数据与历史数据、经营预算进行 了比较。</w:t>
            </w:r>
          </w:p>
          <w:p>
            <w:pPr>
              <w:pStyle w:val="TableParagraph"/>
              <w:spacing w:line="316" w:lineRule="auto" w:before="19"/>
              <w:ind w:left="2" w:right="2" w:firstLine="360"/>
              <w:jc w:val="left"/>
              <w:rPr>
                <w:rFonts w:ascii="宋体" w:hAnsi="宋体" w:cs="宋体" w:eastAsia="宋体" w:hint="default"/>
                <w:sz w:val="18"/>
                <w:szCs w:val="18"/>
              </w:rPr>
            </w:pPr>
            <w:r>
              <w:rPr>
                <w:rFonts w:ascii="宋体" w:hAnsi="宋体" w:cs="宋体" w:eastAsia="宋体" w:hint="default"/>
                <w:sz w:val="18"/>
                <w:szCs w:val="18"/>
              </w:rPr>
              <w:t>同时，我们对管理层在测试中采用的关键假设及判断的合理性 进行了评估，并且评估了管理层利用其聘请的评估机构的工作。</w:t>
            </w:r>
          </w:p>
          <w:p>
            <w:pPr>
              <w:pStyle w:val="TableParagraph"/>
              <w:spacing w:line="316" w:lineRule="auto" w:before="19"/>
              <w:ind w:left="2" w:right="2" w:firstLine="360"/>
              <w:jc w:val="left"/>
              <w:rPr>
                <w:rFonts w:ascii="宋体" w:hAnsi="宋体" w:cs="宋体" w:eastAsia="宋体" w:hint="default"/>
                <w:sz w:val="18"/>
                <w:szCs w:val="18"/>
              </w:rPr>
            </w:pPr>
            <w:r>
              <w:rPr>
                <w:rFonts w:ascii="宋体" w:hAnsi="宋体" w:cs="宋体" w:eastAsia="宋体" w:hint="default"/>
                <w:sz w:val="18"/>
                <w:szCs w:val="18"/>
              </w:rPr>
              <w:t>我们测试了管理层对于相关资产组未来现金流量净现值的计算 是否准确。</w:t>
            </w:r>
          </w:p>
        </w:tc>
      </w:tr>
      <w:tr>
        <w:trPr>
          <w:trHeight w:val="471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（二）网络游戏收入确认</w:t>
            </w:r>
          </w:p>
          <w:p>
            <w:pPr>
              <w:pStyle w:val="TableParagraph"/>
              <w:spacing w:line="240" w:lineRule="auto" w:before="76"/>
              <w:ind w:left="3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度</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贵</w:t>
            </w:r>
            <w:r>
              <w:rPr>
                <w:rFonts w:ascii="宋体" w:hAnsi="宋体" w:cs="宋体" w:eastAsia="宋体" w:hint="default"/>
                <w:spacing w:val="-63"/>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网</w:t>
            </w:r>
            <w:r>
              <w:rPr>
                <w:rFonts w:ascii="宋体" w:hAnsi="宋体" w:cs="宋体" w:eastAsia="宋体" w:hint="default"/>
                <w:spacing w:val="-64"/>
                <w:sz w:val="18"/>
                <w:szCs w:val="18"/>
              </w:rPr>
              <w:t> </w:t>
            </w:r>
            <w:r>
              <w:rPr>
                <w:rFonts w:ascii="宋体" w:hAnsi="宋体" w:cs="宋体" w:eastAsia="宋体" w:hint="default"/>
                <w:sz w:val="18"/>
                <w:szCs w:val="18"/>
              </w:rPr>
              <w:t>络</w:t>
            </w:r>
            <w:r>
              <w:rPr>
                <w:rFonts w:ascii="宋体" w:hAnsi="宋体" w:cs="宋体" w:eastAsia="宋体" w:hint="default"/>
                <w:spacing w:val="-63"/>
                <w:sz w:val="18"/>
                <w:szCs w:val="18"/>
              </w:rPr>
              <w:t> </w:t>
            </w:r>
            <w:r>
              <w:rPr>
                <w:rFonts w:ascii="宋体" w:hAnsi="宋体" w:cs="宋体" w:eastAsia="宋体" w:hint="default"/>
                <w:sz w:val="18"/>
                <w:szCs w:val="18"/>
              </w:rPr>
              <w:t>游</w:t>
            </w:r>
            <w:r>
              <w:rPr>
                <w:rFonts w:ascii="宋体" w:hAnsi="宋体" w:cs="宋体" w:eastAsia="宋体" w:hint="default"/>
                <w:spacing w:val="-63"/>
                <w:sz w:val="18"/>
                <w:szCs w:val="18"/>
              </w:rPr>
              <w:t> </w:t>
            </w:r>
            <w:r>
              <w:rPr>
                <w:rFonts w:ascii="宋体" w:hAnsi="宋体" w:cs="宋体" w:eastAsia="宋体" w:hint="default"/>
                <w:sz w:val="18"/>
                <w:szCs w:val="18"/>
              </w:rPr>
              <w:t>戏</w:t>
            </w:r>
            <w:r>
              <w:rPr>
                <w:rFonts w:ascii="宋体" w:hAnsi="宋体" w:cs="宋体" w:eastAsia="宋体" w:hint="default"/>
                <w:spacing w:val="-64"/>
                <w:sz w:val="18"/>
                <w:szCs w:val="18"/>
              </w:rPr>
              <w:t> </w:t>
            </w:r>
            <w:r>
              <w:rPr>
                <w:rFonts w:ascii="宋体" w:hAnsi="宋体" w:cs="宋体" w:eastAsia="宋体" w:hint="default"/>
                <w:sz w:val="18"/>
                <w:szCs w:val="18"/>
              </w:rPr>
              <w:t>运</w:t>
            </w:r>
            <w:r>
              <w:rPr>
                <w:rFonts w:ascii="宋体" w:hAnsi="宋体" w:cs="宋体" w:eastAsia="宋体" w:hint="default"/>
                <w:spacing w:val="-64"/>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为</w:t>
            </w:r>
          </w:p>
          <w:p>
            <w:pPr>
              <w:pStyle w:val="TableParagraph"/>
              <w:spacing w:line="316" w:lineRule="auto" w:before="76"/>
              <w:ind w:left="2" w:right="3"/>
              <w:jc w:val="left"/>
              <w:rPr>
                <w:rFonts w:ascii="宋体" w:hAnsi="宋体" w:cs="宋体" w:eastAsia="宋体" w:hint="default"/>
                <w:sz w:val="18"/>
                <w:szCs w:val="18"/>
              </w:rPr>
            </w:pPr>
            <w:r>
              <w:rPr>
                <w:rFonts w:ascii="宋体" w:hAnsi="宋体" w:cs="宋体" w:eastAsia="宋体" w:hint="default"/>
                <w:sz w:val="18"/>
                <w:szCs w:val="18"/>
              </w:rPr>
              <w:t>39,926.25</w:t>
            </w:r>
            <w:r>
              <w:rPr>
                <w:rFonts w:ascii="宋体" w:hAnsi="宋体" w:cs="宋体" w:eastAsia="宋体" w:hint="default"/>
                <w:sz w:val="18"/>
                <w:szCs w:val="18"/>
              </w:rPr>
              <w:t>万元，占营业收入总额的</w:t>
            </w:r>
            <w:r>
              <w:rPr>
                <w:rFonts w:ascii="宋体" w:hAnsi="宋体" w:cs="宋体" w:eastAsia="宋体" w:hint="default"/>
                <w:sz w:val="18"/>
                <w:szCs w:val="18"/>
              </w:rPr>
              <w:t>37.07%</w:t>
            </w:r>
            <w:r>
              <w:rPr>
                <w:rFonts w:ascii="宋体" w:hAnsi="宋体" w:cs="宋体" w:eastAsia="宋体" w:hint="default"/>
                <w:sz w:val="18"/>
                <w:szCs w:val="18"/>
              </w:rPr>
              <w:t>，产生的净 利润占净利润总额的</w:t>
            </w:r>
            <w:r>
              <w:rPr>
                <w:rFonts w:ascii="宋体" w:hAnsi="宋体" w:cs="宋体" w:eastAsia="宋体" w:hint="default"/>
                <w:sz w:val="18"/>
                <w:szCs w:val="18"/>
              </w:rPr>
              <w:t>69.96%</w:t>
            </w:r>
            <w:r>
              <w:rPr>
                <w:rFonts w:ascii="宋体" w:hAnsi="宋体" w:cs="宋体" w:eastAsia="宋体" w:hint="default"/>
                <w:sz w:val="18"/>
                <w:szCs w:val="18"/>
              </w:rPr>
              <w:t>。</w:t>
            </w:r>
          </w:p>
          <w:p>
            <w:pPr>
              <w:pStyle w:val="TableParagraph"/>
              <w:spacing w:line="316" w:lineRule="auto" w:before="19"/>
              <w:ind w:left="2" w:right="-17" w:firstLine="360"/>
              <w:jc w:val="both"/>
              <w:rPr>
                <w:rFonts w:ascii="宋体" w:hAnsi="宋体" w:cs="宋体" w:eastAsia="宋体" w:hint="default"/>
                <w:sz w:val="18"/>
                <w:szCs w:val="18"/>
              </w:rPr>
            </w:pPr>
            <w:r>
              <w:rPr>
                <w:rFonts w:ascii="宋体" w:hAnsi="宋体" w:cs="宋体" w:eastAsia="宋体" w:hint="default"/>
                <w:spacing w:val="-4"/>
                <w:sz w:val="18"/>
                <w:szCs w:val="18"/>
              </w:rPr>
              <w:t>公司的网络游戏收入包含网络游戏的开发与运营，</w:t>
            </w:r>
            <w:r>
              <w:rPr>
                <w:rFonts w:ascii="宋体" w:hAnsi="宋体" w:cs="宋体" w:eastAsia="宋体" w:hint="default"/>
                <w:spacing w:val="-67"/>
                <w:sz w:val="18"/>
                <w:szCs w:val="18"/>
              </w:rPr>
              <w:t> </w:t>
            </w:r>
            <w:r>
              <w:rPr>
                <w:rFonts w:ascii="宋体" w:hAnsi="宋体" w:cs="宋体" w:eastAsia="宋体" w:hint="default"/>
                <w:spacing w:val="-4"/>
                <w:sz w:val="18"/>
                <w:szCs w:val="18"/>
              </w:rPr>
              <w:t>具有客户数量多、区域分散，单个游戏玩家交易金额小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等特征，且包含多种运营模式，收入的确认和计量存在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游戏行业的固有风险，为此我们将网络游戏收入的确认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与计量确定为关键审计事项。</w:t>
            </w:r>
          </w:p>
        </w:tc>
        <w:tc>
          <w:tcPr>
            <w:tcW w:w="52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firstLine="360"/>
              <w:jc w:val="both"/>
              <w:rPr>
                <w:rFonts w:ascii="宋体" w:hAnsi="宋体" w:cs="宋体" w:eastAsia="宋体" w:hint="default"/>
                <w:sz w:val="18"/>
                <w:szCs w:val="18"/>
              </w:rPr>
            </w:pPr>
            <w:r>
              <w:rPr>
                <w:rFonts w:ascii="宋体" w:hAnsi="宋体" w:cs="宋体" w:eastAsia="宋体" w:hint="default"/>
                <w:sz w:val="18"/>
                <w:szCs w:val="18"/>
              </w:rPr>
              <w:t>我们评估并测试了与营业收入确认和计量相关的内部控制制度 设计合理性和执行有效性；</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pacing w:val="6"/>
                <w:sz w:val="18"/>
                <w:szCs w:val="18"/>
              </w:rPr>
              <w:t>按游戏种类和运营模式对营业收入和营业成本实施分析性程</w:t>
            </w:r>
            <w:r>
              <w:rPr>
                <w:rFonts w:ascii="宋体" w:hAnsi="宋体" w:cs="宋体" w:eastAsia="宋体" w:hint="default"/>
                <w:sz w:val="18"/>
                <w:szCs w:val="18"/>
              </w:rPr>
              <w:t> 序，包括月度间收入异常波动、毛利率异常变动等，并复核收入的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合理性，与历史期间的营业收入指标对比分析；</w:t>
            </w:r>
          </w:p>
          <w:p>
            <w:pPr>
              <w:pStyle w:val="TableParagraph"/>
              <w:spacing w:line="316" w:lineRule="auto" w:before="19"/>
              <w:ind w:left="2" w:right="1" w:firstLine="360"/>
              <w:jc w:val="both"/>
              <w:rPr>
                <w:rFonts w:ascii="宋体" w:hAnsi="宋体" w:cs="宋体" w:eastAsia="宋体" w:hint="default"/>
                <w:sz w:val="18"/>
                <w:szCs w:val="18"/>
              </w:rPr>
            </w:pPr>
            <w:r>
              <w:rPr>
                <w:rFonts w:ascii="宋体" w:hAnsi="宋体" w:cs="宋体" w:eastAsia="宋体" w:hint="default"/>
                <w:sz w:val="18"/>
                <w:szCs w:val="18"/>
              </w:rPr>
              <w:t>我们通过对主要自营游戏的收入分析，执行了包括抽查游戏玩 家充值记录、检查游戏玩家登录的</w:t>
            </w:r>
            <w:r>
              <w:rPr>
                <w:rFonts w:ascii="宋体" w:hAnsi="宋体" w:cs="宋体" w:eastAsia="宋体" w:hint="default"/>
                <w:sz w:val="18"/>
                <w:szCs w:val="18"/>
              </w:rPr>
              <w:t>IP</w:t>
            </w:r>
            <w:r>
              <w:rPr>
                <w:rFonts w:ascii="宋体" w:hAnsi="宋体" w:cs="宋体" w:eastAsia="宋体" w:hint="default"/>
                <w:sz w:val="18"/>
                <w:szCs w:val="18"/>
              </w:rPr>
              <w:t>地址是否存在异常、检查游戏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币的消耗等程序，检查自营游戏收入确认依据的合理性、真实性和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完整性；</w:t>
            </w:r>
          </w:p>
          <w:p>
            <w:pPr>
              <w:pStyle w:val="TableParagraph"/>
              <w:spacing w:line="316" w:lineRule="auto" w:before="19"/>
              <w:ind w:left="2" w:right="2" w:firstLine="360"/>
              <w:jc w:val="both"/>
              <w:rPr>
                <w:rFonts w:ascii="宋体" w:hAnsi="宋体" w:cs="宋体" w:eastAsia="宋体" w:hint="default"/>
                <w:sz w:val="18"/>
                <w:szCs w:val="18"/>
              </w:rPr>
            </w:pPr>
            <w:r>
              <w:rPr>
                <w:rFonts w:ascii="宋体" w:hAnsi="宋体" w:cs="宋体" w:eastAsia="宋体" w:hint="default"/>
                <w:spacing w:val="6"/>
                <w:sz w:val="18"/>
                <w:szCs w:val="18"/>
              </w:rPr>
              <w:t>我们抽查了游戏联合运营模式中与客户签订的合同或框架协</w:t>
            </w:r>
            <w:r>
              <w:rPr>
                <w:rFonts w:ascii="宋体" w:hAnsi="宋体" w:cs="宋体" w:eastAsia="宋体" w:hint="default"/>
                <w:sz w:val="18"/>
                <w:szCs w:val="18"/>
              </w:rPr>
              <w:t> 议，结合有关业务流程和协议约定的分成方式、结算周期等，对主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要客户的收入和应收账款余额执行检查对账单、函证等程序，检查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联营游戏收入确认依据的合理性、真实性和完整性；</w:t>
            </w:r>
          </w:p>
          <w:p>
            <w:pPr>
              <w:pStyle w:val="TableParagraph"/>
              <w:spacing w:line="316" w:lineRule="auto" w:before="19"/>
              <w:ind w:left="2" w:right="2" w:firstLine="360"/>
              <w:jc w:val="both"/>
              <w:rPr>
                <w:rFonts w:ascii="宋体" w:hAnsi="宋体" w:cs="宋体" w:eastAsia="宋体" w:hint="default"/>
                <w:sz w:val="18"/>
                <w:szCs w:val="18"/>
              </w:rPr>
            </w:pPr>
            <w:r>
              <w:rPr>
                <w:rFonts w:ascii="宋体" w:hAnsi="宋体" w:cs="宋体" w:eastAsia="宋体" w:hint="default"/>
                <w:sz w:val="18"/>
                <w:szCs w:val="18"/>
              </w:rPr>
              <w:t>抽样测试审计截止日前后重要的营业收入会计记录，确定是否 存在提前或延后确认营业收入的情况。</w:t>
            </w:r>
          </w:p>
        </w:tc>
      </w:tr>
    </w:tbl>
    <w:p>
      <w:pPr>
        <w:spacing w:line="240" w:lineRule="auto" w:before="8"/>
        <w:rPr>
          <w:rFonts w:ascii="宋体" w:hAnsi="宋体" w:cs="宋体" w:eastAsia="宋体" w:hint="default"/>
          <w:sz w:val="6"/>
          <w:szCs w:val="6"/>
        </w:rPr>
      </w:pPr>
    </w:p>
    <w:p>
      <w:pPr>
        <w:pStyle w:val="Heading4"/>
        <w:spacing w:line="240" w:lineRule="auto"/>
        <w:ind w:left="1616" w:right="0"/>
        <w:jc w:val="left"/>
        <w:rPr>
          <w:b w:val="0"/>
          <w:bCs w:val="0"/>
        </w:rPr>
      </w:pPr>
      <w:r>
        <w:rPr/>
        <w:t>四、其他信息</w:t>
      </w:r>
      <w:r>
        <w:rPr>
          <w:b w:val="0"/>
          <w:bCs w:val="0"/>
        </w:rPr>
      </w:r>
    </w:p>
    <w:p>
      <w:pPr>
        <w:spacing w:line="240" w:lineRule="auto" w:before="0"/>
        <w:rPr>
          <w:rFonts w:ascii="宋体" w:hAnsi="宋体" w:cs="宋体" w:eastAsia="宋体" w:hint="default"/>
          <w:b/>
          <w:bCs/>
          <w:sz w:val="15"/>
          <w:szCs w:val="15"/>
        </w:rPr>
      </w:pPr>
    </w:p>
    <w:p>
      <w:pPr>
        <w:pStyle w:val="BodyText"/>
        <w:spacing w:line="316" w:lineRule="auto" w:before="0"/>
        <w:ind w:right="1131" w:firstLine="480"/>
        <w:jc w:val="both"/>
      </w:pPr>
      <w:r>
        <w:rPr>
          <w:spacing w:val="-1"/>
        </w:rPr>
        <w:t>贵公司管理层对其他信息负责。其他信息包括贵公司</w:t>
      </w:r>
      <w:r>
        <w:rPr>
          <w:rFonts w:ascii="宋体" w:hAnsi="宋体" w:cs="宋体" w:eastAsia="宋体" w:hint="default"/>
          <w:spacing w:val="-1"/>
        </w:rPr>
        <w:t>2017</w:t>
      </w:r>
      <w:r>
        <w:rPr>
          <w:spacing w:val="-1"/>
        </w:rPr>
        <w:t>年年度报告中涵盖的信息，但不包括财务报表和我们的审计</w:t>
      </w:r>
      <w:r>
        <w:rPr/>
        <w:t> 报告。</w:t>
      </w:r>
    </w:p>
    <w:p>
      <w:pPr>
        <w:pStyle w:val="BodyText"/>
        <w:spacing w:line="432" w:lineRule="exact" w:before="3"/>
        <w:ind w:left="1613"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40" w:lineRule="auto" w:before="15"/>
        <w:ind w:right="0"/>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before="0"/>
        <w:ind w:left="1134" w:right="1132" w:firstLine="480"/>
        <w:jc w:val="both"/>
      </w:pPr>
      <w:r>
        <w:rPr>
          <w:spacing w:val="-1"/>
        </w:rPr>
        <w:t>基于我们已执行的工作，如果我们确定其他信息存在重大错报，我们应当报告该事实。在这方面，我们无任何事项需</w:t>
      </w:r>
      <w:r>
        <w:rPr/>
        <w:t> 要报告。</w:t>
      </w:r>
    </w:p>
    <w:p>
      <w:pPr>
        <w:spacing w:line="432" w:lineRule="exact" w:before="3"/>
        <w:ind w:left="161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240" w:lineRule="auto" w:before="15"/>
        <w:ind w:left="1134" w:right="0"/>
        <w:jc w:val="left"/>
      </w:pPr>
      <w:r>
        <w:rPr/>
        <w:t>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before="0"/>
        <w:ind w:left="1134" w:right="1133" w:firstLine="480"/>
        <w:jc w:val="both"/>
      </w:pPr>
      <w:r>
        <w:rPr>
          <w:spacing w:val="-1"/>
        </w:rPr>
        <w:t>在编制财务报表时，管理层负责评估贵公司的持续经营能力，披露与持续经营相关的事项，并运用持续经营假设，除</w:t>
      </w:r>
      <w:r>
        <w:rPr/>
        <w:t> 非贵公司计划进行清算、终止运营或别无其他现实的选择。</w:t>
      </w:r>
    </w:p>
    <w:p>
      <w:pPr>
        <w:spacing w:line="441" w:lineRule="auto" w:before="139"/>
        <w:ind w:left="1616" w:right="7033" w:hanging="3"/>
        <w:jc w:val="left"/>
        <w:rPr>
          <w:rFonts w:ascii="宋体" w:hAnsi="宋体" w:cs="宋体" w:eastAsia="宋体" w:hint="default"/>
          <w:sz w:val="18"/>
          <w:szCs w:val="18"/>
        </w:rPr>
      </w:pPr>
      <w:r>
        <w:rPr>
          <w:rFonts w:ascii="宋体" w:hAnsi="宋体" w:cs="宋体" w:eastAsia="宋体" w:hint="default"/>
          <w:sz w:val="18"/>
          <w:szCs w:val="18"/>
        </w:rPr>
        <w:t>治理层负责监督贵公司的财务报告过程。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5"/>
        <w:ind w:left="1134" w:right="1133"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是重大的。</w:t>
      </w:r>
    </w:p>
    <w:p>
      <w:pPr>
        <w:spacing w:line="240" w:lineRule="auto" w:before="0"/>
        <w:rPr>
          <w:rFonts w:ascii="宋体" w:hAnsi="宋体" w:cs="宋体" w:eastAsia="宋体" w:hint="default"/>
          <w:sz w:val="15"/>
          <w:szCs w:val="15"/>
        </w:rPr>
      </w:pPr>
    </w:p>
    <w:p>
      <w:pPr>
        <w:pStyle w:val="BodyText"/>
        <w:spacing w:line="240" w:lineRule="auto" w:before="0"/>
        <w:ind w:left="1613"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9" w:lineRule="auto" w:before="0"/>
        <w:ind w:right="1033" w:firstLine="480"/>
        <w:jc w:val="left"/>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137"/>
        <w:ind w:left="1613"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0"/>
        <w:rPr>
          <w:rFonts w:ascii="宋体" w:hAnsi="宋体" w:cs="宋体" w:eastAsia="宋体" w:hint="default"/>
          <w:sz w:val="15"/>
          <w:szCs w:val="15"/>
        </w:rPr>
      </w:pPr>
    </w:p>
    <w:p>
      <w:pPr>
        <w:pStyle w:val="BodyText"/>
        <w:spacing w:line="240" w:lineRule="auto" w:before="0"/>
        <w:ind w:left="1613"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before="0"/>
        <w:ind w:right="1132" w:firstLine="480"/>
        <w:jc w:val="both"/>
      </w:pPr>
      <w:r>
        <w:rPr/>
        <w:t>（</w:t>
      </w:r>
      <w:r>
        <w:rPr>
          <w:rFonts w:ascii="宋体" w:hAnsi="宋体" w:cs="宋体" w:eastAsia="宋体" w:hint="default"/>
        </w:rPr>
        <w:t>4</w:t>
      </w:r>
      <w:r>
        <w:rPr/>
        <w:t>）对管理层使用持续经营假设的恰当性得出结论。同时，根据获取的审计证据，就可能导致对贵公司持续经营能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于截至审计报告日可获得的信息。然而，未来的事项或情况可能导致贵公司不能持续经营。</w:t>
      </w:r>
    </w:p>
    <w:p>
      <w:pPr>
        <w:pStyle w:val="BodyText"/>
        <w:spacing w:line="240" w:lineRule="auto" w:before="139"/>
        <w:ind w:left="1613"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before="0"/>
        <w:ind w:right="0" w:firstLine="480"/>
        <w:jc w:val="left"/>
      </w:pPr>
      <w:r>
        <w:rPr>
          <w:spacing w:val="-3"/>
        </w:rPr>
        <w:t>（</w:t>
      </w:r>
      <w:r>
        <w:rPr>
          <w:rFonts w:ascii="宋体" w:hAnsi="宋体" w:cs="宋体" w:eastAsia="宋体" w:hint="default"/>
          <w:spacing w:val="-3"/>
        </w:rPr>
        <w:t>6</w:t>
      </w:r>
      <w:r>
        <w:rPr>
          <w:spacing w:val="-3"/>
        </w:rPr>
        <w:t>）就集团中实体或业务活动的财务信息获取充分、适当的审计证据，以对财务报表发表审计意见。我们负责指导、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139"/>
        <w:ind w:left="1134" w:right="0" w:firstLine="480"/>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39"/>
        <w:ind w:left="1134" w:right="0" w:firstLine="480"/>
        <w:jc w:val="left"/>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39"/>
        <w:ind w:left="1134"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5"/>
        </w:rPr>
        <w:t> </w:t>
      </w:r>
      <w:r>
        <w:rPr>
          <w:spacing w:val="-65"/>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BodyText"/>
        <w:tabs>
          <w:tab w:pos="5754" w:val="left" w:leader="none"/>
        </w:tabs>
        <w:spacing w:line="240" w:lineRule="auto" w:before="0"/>
        <w:ind w:left="1253" w:right="0"/>
        <w:jc w:val="left"/>
      </w:pPr>
      <w:r>
        <w:rPr/>
        <w:t>北京永拓会计师事务所（特殊普通合伙）</w:t>
        <w:tab/>
        <w:t>中国注册会计师：吕润波</w:t>
      </w:r>
    </w:p>
    <w:p>
      <w:pPr>
        <w:pStyle w:val="BodyText"/>
        <w:spacing w:line="240" w:lineRule="auto" w:before="76"/>
        <w:ind w:left="2428" w:right="665"/>
        <w:jc w:val="center"/>
      </w:pPr>
      <w:r>
        <w:rPr/>
        <w:t>（项目合伙人）：</w:t>
      </w:r>
    </w:p>
    <w:p>
      <w:pPr>
        <w:spacing w:line="240" w:lineRule="auto" w:before="0"/>
        <w:rPr>
          <w:rFonts w:ascii="宋体" w:hAnsi="宋体" w:cs="宋体" w:eastAsia="宋体" w:hint="default"/>
          <w:sz w:val="18"/>
          <w:szCs w:val="18"/>
        </w:rPr>
      </w:pPr>
    </w:p>
    <w:p>
      <w:pPr>
        <w:pStyle w:val="BodyText"/>
        <w:tabs>
          <w:tab w:pos="3870" w:val="left" w:leader="none"/>
        </w:tabs>
        <w:spacing w:line="240" w:lineRule="auto" w:before="153"/>
        <w:ind w:left="0" w:right="665"/>
        <w:jc w:val="center"/>
      </w:pPr>
      <w:r>
        <w:rPr/>
        <w:t>中国•北京</w:t>
        <w:tab/>
        <w:t>中国注册会计师：黄冠伟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before="0"/>
        <w:ind w:left="6804" w:right="0"/>
        <w:jc w:val="left"/>
      </w:pPr>
      <w:r>
        <w:rPr/>
        <w:t>二〇一八年四月二十日</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编制单位：任子行网络技术股份有限公司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79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375" w:space="40"/>
            <w:col w:w="228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321,262,001.31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329,895,127.62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11,606,753.00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10,958,849.00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368,671,700.79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197,432,824.42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32,447,523.64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24,858,582.64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17,073,190.79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11,566,180.38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176,997,233.69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94,850,999.08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5,966,527.31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934,024,930.53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669,562,563.14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17,962,308.16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8,654,195.21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75,725,047.86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68,524,514.54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178,980,308.68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177,091,520.33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19,370,955.34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10,282,661.47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848,763,184.87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707,679,949.75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3,995,241.76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3,085,754.16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30,645,643.48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14,677,748.85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1,354,784,040.15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1,117,157,444.31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2,288,808,970.68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1,786,720,007.45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10,465,470.00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240,189,710.67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113,347,672.75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202,206,394.37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53,288,912.77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55,224,198.67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34,578,854.73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40,120,803.60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13,568,326.34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298,172.33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58,784,455.22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19,880,124.48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5,169,662.59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7,749,945.38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787,180,888.47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271,697,082.56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178,744,000.00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2,416,138.51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1,076,589.01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216,573,805.18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243,563,589.01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1,003,754,693.65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515,260,671.57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447,930,709.00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448,331,331.00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337,041,373.09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505,526,580.86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42,340,443.15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35,406,978.45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396,598,647.02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276,680,377.96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1,223,911,172.26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1,236,960,194.49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61,143,104.77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34,499,141.39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1,285,054,277.03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1,271,459,335.88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2,288,808,970.68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1,786,720,007.45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法定代表人：景晓军</w:t>
        <w:tab/>
        <w:t>主管会计工作负责人：张晓辉</w:t>
        <w:tab/>
        <w:t>会计机构负责人：李艺</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129,114,341.41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68,818,101.66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4,120,176.00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10,958,849.00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312,920,281.93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183,987,549.89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12,590,703.62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22,500,725.34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19,375,651.54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10,662,488.10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86,207,945.81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59,752,721.58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689,329,100.31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401,680,435.57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126,981,350.00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1,365,442,308.16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931,234,195.21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75,725,047.86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68,524,514.54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87,214,843.39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101,680,189.03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2,085,908.03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2,763,117.29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2,341,137.96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3,085,754.16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29,602,824.90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12,050,579.69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68,637,723.00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1,689,393,420.30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1,314,957,422.92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2,378,722,520.61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1,716,637,858.49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287,600,089.78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10,465,470.00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199,726,653.67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122,803,219.34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113,695,717.44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35,066,748.09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22,739,999.99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14,057,551.99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25,176,418.68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6,096,666.39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2,479,860.16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298,172.33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185,771,736.14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25,514,154.91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847,676,139.21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232,821,586.83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178,744,000.00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213,482,000.00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242,144,000.00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1,061,158,139.21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474,965,586.83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447,930,709.00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448,331,331.00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505,586,715.52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505,197,345.81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42,340,443.15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35,406,978.45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321,706,513.73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281,721,690.18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1,317,564,381.40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1,241,672,271.66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2,378,722,520.61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1,716,637,858.49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1,076,908,064.59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662,859,791.50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1,076,908,064.59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662,859,791.50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1,155,117,360.80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559,322,193.49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520,806,674.05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279,703,128.03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64600"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964576"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10,570,486.31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6,923,789.53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168,384,715.54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101,278,085.44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224,165,646.12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154,004,982.73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4,240,228.10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-2,181,618.61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226,949,610.68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19,593,826.36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1,683,744.40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7,934,292.03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82,882.31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-544,983.81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38,913,658.75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-37,529,010.75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110,926,906.23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204,826,466.57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26,478,714.75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60,514.50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284,459.25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167,236,941.32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137,121,161.73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15,279,462.96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11,947,559.48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151,957,478.36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125,173,602.25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151,957,478.36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125,173,602.25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149,268,092.48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109,549,436.73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2,689,385.88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15,624,165.52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151,957,478.36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125,173,602.25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149,268,092.48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109,549,436.73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2,689,385.88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15,624,165.52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bl>
    <w:p>
      <w:pPr>
        <w:pStyle w:val="BodyText"/>
        <w:tabs>
          <w:tab w:pos="4644" w:val="left" w:leader="none"/>
          <w:tab w:pos="8875" w:val="left" w:leader="none"/>
        </w:tabs>
        <w:spacing w:line="624" w:lineRule="auto" w:before="51"/>
        <w:ind w:right="1229"/>
        <w:jc w:val="left"/>
      </w:pPr>
      <w:r>
        <w:rPr/>
        <w:t>本期发生同一控制下企业合并的，被合并方在合并前实现的净利润为：元，上期被合并方实现的净利润为：元。 法定代表人：景晓军</w:t>
        <w:tab/>
        <w:t>主管会计工作负责人：张晓辉</w:t>
        <w:tab/>
        <w:t>会计机构负责人：李艺</w:t>
      </w:r>
    </w:p>
    <w:p>
      <w:pPr>
        <w:pStyle w:val="Heading3"/>
        <w:spacing w:line="240" w:lineRule="auto" w:before="63"/>
        <w:ind w:right="0"/>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464,645,296.93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437,283,356.03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301,289,946.99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277,003,863.54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5,115,704.76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4,508,914.30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76,369,165.96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59,438,328.49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93,982,642.45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78,690,549.99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3,114,378.37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-849,911.86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223,161,687.35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6,420,098.29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79,348,023.17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111,274,974.68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996.11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-535,955.44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24,662,659.29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-134,376,550.38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122,810,532.52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201,511,757.20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20,351,223.82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67,080,220.43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143,160,256.34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-2,254,426.53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2,922,296.54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140,237,959.80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69,334,646.96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140,237,959.80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140,237,959.80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1,205,134,027.42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649,544,554.35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27,487,758.75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17,462,697.71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56,228,635.25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38,726,078.96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1,288,850,421.42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705,733,331.02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625,759,054.04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304,359,108.02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207,919,595.98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129,798,769.81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91,692,530.58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66,757,546.24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161,856,506.81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113,116,873.85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1,087,227,687.41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614,032,297.92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201,622,734.01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91,701,033.10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128,726,200.00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2,059,608.27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2,332,969.56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229,820.00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241,015,628.27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57,340,169.56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25,320,772.56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78,848,311.49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185,701,880.96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100,230,046.21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10,123,148.84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470,942,699.73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173,471,460.33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-229,927,071.46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-116,131,290.77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7,725,017.87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29,212,499.03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11,122,106.70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167,526,570.83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1,930,488.00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296,739,069.86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20,777,612.57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17,260,930.14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4,222,387.43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-11,043,407.31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-20,207,870.24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325,015,338.62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345,223,208.86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313,971,931.31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475,075,158.40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379,211,770.36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16,485,928.74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10,599,679.78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24,278,197.82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20,099,812.59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515,839,284.96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409,911,262.73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283,855,184.05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249,352,442.43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94,179,528.20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56,715,474.08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31,944,091.76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34,750,037.72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72,544,522.67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67,778,978.64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482,523,326.68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408,596,932.87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33,315,958.28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1,314,329.86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80,039,910.22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109,906,706.91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198,039,910.22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119,913,786.91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2,382,780.23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8,706,919.63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443,463,277.00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115,637,723.00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545,846,057.23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188,844,642.63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-347,806,147.01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-68,930,855.72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427,600,089.78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121,217,691.32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548,817,781.10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29,212,499.01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10,292,106.70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2,375,343.61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171,587,842.62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12,222,594.70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377,229,938.48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-12,222,594.70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62,739,749.75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-79,839,120.56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64,658,101.66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144,497,222.22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127,397,851.41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64,658,101.66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448,33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,580.86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978.45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276,680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,377.96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34,499,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141.39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448,33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,580.86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978.45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276,680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,377.96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34,499,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141.39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119,918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,269.06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26,643,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963.38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13,594,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941.15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149,268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,092.48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2,689,3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151,957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,478.36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577.50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39,000,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67,985,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073.78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2,346,4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2,346,4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1,607.7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-15,045,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422.51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64.70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-29,349,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823.42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358.72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6,933,4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-6,933,4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64.70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64.70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358.72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358.72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337,041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443.15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396,598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,647.02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54,277.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298,95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8,771.</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644,695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,158.29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703.16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182.47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191,618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,291.60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-14,170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,717.93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298,95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8,771.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644,695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,158.29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182.47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191,618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,291.60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-14,170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,717.93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149,37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2,560.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8,577.4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-9,960,6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795.98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85,062,</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086.36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48,669,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859.32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167,920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,353.61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109,549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,436.73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15,624,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165.53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125,173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,602.26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10,310,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782.57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-9,960,6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33,045,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693.79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53,210,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305.74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-9,960,6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24,484,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129.15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34,444,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758.53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7,224,3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7,224,3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3,086,4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8,561,5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11,541,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247.21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14,023,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795.98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-24,487,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350.37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-10,463,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554.39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14,023,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795.98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-14,023,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795.98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-10,463,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554.39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-10,463,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554.39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9,360.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9,360.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448,33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505,526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,580.86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276,680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,377.96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141.39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448,331,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331.00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505,197,3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45.81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35,406,97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281,721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,690.18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1,241,672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,271.66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448,331,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331.00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505,197,3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35,406,97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281,721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,690.18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1,241,672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,271.66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389,369.7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39,984,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823.55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75,892,10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9.74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646.96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6.96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389,369.7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28,973,82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2,346,400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-1,957,03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-2,357,65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-29,349,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-22,416,3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64.70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358.71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-22,416,3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58.71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447,930,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505,586,7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42,340,44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321,706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,513.73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1,317,564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,381.40</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298,958,</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771.00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649,276,0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93.81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38,945,70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3.16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21,383,18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165,971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,080.74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1,096,643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,424.86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298,958,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649,276,0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38,945,70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21,383,18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165,971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,080.74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1,096,643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,424.86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149,372,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-144,078,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748.00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-9,960,62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14,023,79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115,750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,609.44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145,028,8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140,237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,959.80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140,237,9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-106,80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5,400,612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-9,960,62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15,254,44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-9,960,62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9,960,629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7,224,300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7,224,300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-106,80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-1,823,68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-1,930,48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14,023,79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-24,487,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350.36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-10,463,5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14,023,79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-14,023,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795.98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-10,463,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554.38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-10,463,5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54.38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149,479,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-149,479,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149,479,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-149,479,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448,331,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505,197,3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35,406,97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281,721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,690.18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1,241,672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,271.66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firstLine="384"/>
        <w:jc w:val="left"/>
      </w:pPr>
      <w:r>
        <w:rPr/>
        <w:t>本公司系由景晓军、华信远景、景晓东、吴宁莉、沈智杰、唐海林、古元、师召辉共同发起，于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8</w:t>
      </w:r>
      <w:r>
        <w:rPr/>
        <w:t>日在原深 圳市任子行网络技术有限公司基础上整体变更设立的股份有限公司。公司股票于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日在深圳交易所上市交易，股 票代码为</w:t>
      </w:r>
      <w:r>
        <w:rPr>
          <w:rFonts w:ascii="宋体" w:hAnsi="宋体" w:cs="宋体" w:eastAsia="宋体" w:hint="default"/>
        </w:rPr>
        <w:t>300311</w:t>
      </w:r>
      <w:r>
        <w:rPr/>
        <w:t>。公司现持有统一社会信用代码 </w:t>
      </w:r>
      <w:r>
        <w:rPr>
          <w:rFonts w:ascii="宋体" w:hAnsi="宋体" w:cs="宋体" w:eastAsia="宋体" w:hint="default"/>
        </w:rPr>
        <w:t>91440300723005104T</w:t>
      </w:r>
      <w:r>
        <w:rPr>
          <w:rFonts w:ascii="宋体" w:hAnsi="宋体" w:cs="宋体" w:eastAsia="宋体" w:hint="default"/>
          <w:spacing w:val="5"/>
        </w:rPr>
        <w:t> </w:t>
      </w:r>
      <w:r>
        <w:rPr>
          <w:spacing w:val="-3"/>
        </w:rPr>
        <w:t>的《企业法人营业执照》，注册资本</w:t>
      </w:r>
      <w:r>
        <w:rPr>
          <w:rFonts w:ascii="宋体" w:hAnsi="宋体" w:cs="宋体" w:eastAsia="宋体" w:hint="default"/>
          <w:spacing w:val="-3"/>
        </w:rPr>
        <w:t>447,930,709.00</w:t>
      </w:r>
      <w:r>
        <w:rPr>
          <w:rFonts w:ascii="宋体" w:hAnsi="宋体" w:cs="宋体" w:eastAsia="宋体" w:hint="default"/>
        </w:rPr>
        <w:t> </w:t>
      </w:r>
      <w:r>
        <w:rPr>
          <w:spacing w:val="-8"/>
        </w:rPr>
        <w:t>元，股份总数</w:t>
      </w:r>
      <w:r>
        <w:rPr>
          <w:rFonts w:ascii="宋体" w:hAnsi="宋体" w:cs="宋体" w:eastAsia="宋体" w:hint="default"/>
          <w:spacing w:val="-8"/>
        </w:rPr>
        <w:t>447,930,709.00</w:t>
      </w:r>
      <w:r>
        <w:rPr>
          <w:spacing w:val="-8"/>
        </w:rPr>
        <w:t>股（每股面值</w:t>
      </w:r>
      <w:r>
        <w:rPr>
          <w:rFonts w:ascii="宋体" w:hAnsi="宋体" w:cs="宋体" w:eastAsia="宋体" w:hint="default"/>
          <w:spacing w:val="-8"/>
        </w:rPr>
        <w:t>1</w:t>
      </w:r>
      <w:r>
        <w:rPr>
          <w:spacing w:val="-8"/>
        </w:rPr>
        <w:t>元），其中，有限售条件的流通股</w:t>
      </w:r>
      <w:r>
        <w:rPr>
          <w:rFonts w:ascii="宋体" w:hAnsi="宋体" w:cs="宋体" w:eastAsia="宋体" w:hint="default"/>
          <w:spacing w:val="-8"/>
        </w:rPr>
        <w:t>210,797,371</w:t>
      </w:r>
      <w:r>
        <w:rPr>
          <w:spacing w:val="-8"/>
        </w:rPr>
        <w:t>股，无限售条件的流通股</w:t>
      </w:r>
      <w:r>
        <w:rPr>
          <w:rFonts w:ascii="宋体" w:hAnsi="宋体" w:cs="宋体" w:eastAsia="宋体" w:hint="default"/>
          <w:spacing w:val="-8"/>
        </w:rPr>
        <w:t>237,133,338</w:t>
      </w:r>
      <w:r>
        <w:rPr>
          <w:rFonts w:ascii="宋体" w:hAnsi="宋体" w:cs="宋体" w:eastAsia="宋体" w:hint="default"/>
          <w:spacing w:val="-25"/>
        </w:rPr>
        <w:t> </w:t>
      </w:r>
      <w:r>
        <w:rPr/>
        <w:t>股。</w:t>
      </w:r>
    </w:p>
    <w:p>
      <w:pPr>
        <w:pStyle w:val="BodyText"/>
        <w:spacing w:line="316" w:lineRule="auto"/>
        <w:ind w:left="1493" w:right="0"/>
        <w:jc w:val="left"/>
      </w:pPr>
      <w:r>
        <w:rPr/>
        <w:t>公司注册地、总部地址：深圳市南山区高新区科技中</w:t>
      </w:r>
      <w:r>
        <w:rPr>
          <w:rFonts w:ascii="宋体" w:hAnsi="宋体" w:cs="宋体" w:eastAsia="宋体" w:hint="default"/>
        </w:rPr>
        <w:t>2</w:t>
      </w:r>
      <w:r>
        <w:rPr/>
        <w:t>路软件园</w:t>
      </w:r>
      <w:r>
        <w:rPr>
          <w:rFonts w:ascii="宋体" w:hAnsi="宋体" w:cs="宋体" w:eastAsia="宋体" w:hint="default"/>
        </w:rPr>
        <w:t>2</w:t>
      </w:r>
      <w:r>
        <w:rPr/>
        <w:t>栋</w:t>
      </w:r>
      <w:r>
        <w:rPr>
          <w:rFonts w:ascii="宋体" w:hAnsi="宋体" w:cs="宋体" w:eastAsia="宋体" w:hint="default"/>
        </w:rPr>
        <w:t>6</w:t>
      </w:r>
      <w:r>
        <w:rPr/>
        <w:t>楼。 </w:t>
      </w:r>
      <w:r>
        <w:rPr>
          <w:spacing w:val="-2"/>
        </w:rPr>
        <w:t>公司所属行业和主要产品：本公司所属行业为软件和信息技术服务业。主要产品为网络内容与行为审计系列产品、网络</w:t>
      </w:r>
    </w:p>
    <w:p>
      <w:pPr>
        <w:pStyle w:val="BodyText"/>
        <w:spacing w:line="316" w:lineRule="auto"/>
        <w:ind w:left="1493" w:right="0" w:hanging="360"/>
        <w:jc w:val="left"/>
      </w:pPr>
      <w:r>
        <w:rPr/>
        <w:t>内容与行为监管系列产品，其中网络内容与行为审计产品包括专用安全审计产品和通用安全审计产品；网络游戏软件。 </w:t>
      </w:r>
      <w:r>
        <w:rPr>
          <w:spacing w:val="-2"/>
        </w:rPr>
        <w:t>许可经营项目：第二类增值电信业务中的信息服务业务（不含固定网电话信息服务和互联网信息服务）；第二类增值电</w:t>
      </w:r>
    </w:p>
    <w:p>
      <w:pPr>
        <w:pStyle w:val="BodyText"/>
        <w:spacing w:line="316" w:lineRule="auto"/>
        <w:ind w:right="0"/>
        <w:jc w:val="left"/>
      </w:pPr>
      <w:r>
        <w:rPr>
          <w:spacing w:val="-2"/>
        </w:rPr>
        <w:t>信业务中的因特网信息服务业务（因特网信息服务不含新闻、出版、教育、医疗保健、药品和医疗器械、电子公告服务等内</w:t>
      </w:r>
      <w:r>
        <w:rPr>
          <w:spacing w:val="-67"/>
        </w:rPr>
        <w:t> </w:t>
      </w:r>
      <w:r>
        <w:rPr>
          <w:spacing w:val="-67"/>
        </w:rPr>
      </w:r>
      <w:r>
        <w:rPr/>
        <w:t>容）（按《增值电信业务经营许可证》经营）；信息服务业务（仅限互联网信息服务业务）。</w:t>
      </w:r>
    </w:p>
    <w:p>
      <w:pPr>
        <w:pStyle w:val="BodyText"/>
        <w:spacing w:line="316" w:lineRule="auto"/>
        <w:ind w:right="1133" w:firstLine="360"/>
        <w:jc w:val="both"/>
      </w:pPr>
      <w:r>
        <w:rPr/>
        <w:t>一般经营项目：计算机软硬件技术开发、销售及相关技术服务；计算机信息系统集成；电子商务</w:t>
      </w:r>
      <w:r>
        <w:rPr>
          <w:rFonts w:ascii="宋体" w:hAnsi="宋体" w:cs="宋体" w:eastAsia="宋体" w:hint="default"/>
        </w:rPr>
        <w:t>(</w:t>
      </w:r>
      <w:r>
        <w:rPr/>
        <w:t>以上各项不含国家法 </w:t>
      </w:r>
      <w:r>
        <w:rPr>
          <w:spacing w:val="-2"/>
        </w:rPr>
        <w:t>律、行政法规、国务院决定规定需报经审批的项目），经营进出口业务（法律、行政法规、国务院决定禁止的项目除外，限</w:t>
      </w:r>
      <w:r>
        <w:rPr>
          <w:spacing w:val="-67"/>
        </w:rPr>
        <w:t> </w:t>
      </w:r>
      <w:r>
        <w:rPr>
          <w:spacing w:val="-67"/>
        </w:rPr>
      </w:r>
      <w:r>
        <w:rPr/>
        <w:t>制的项目须取得许可后方可经营）。网络技术开发，计算机软硬件的技术开发，动漫设计（以上不含限制项目）。</w:t>
      </w:r>
    </w:p>
    <w:p>
      <w:pPr>
        <w:pStyle w:val="BodyText"/>
        <w:spacing w:line="316" w:lineRule="auto"/>
        <w:ind w:right="1131" w:firstLine="360"/>
        <w:jc w:val="both"/>
      </w:pPr>
      <w:r>
        <w:rPr>
          <w:spacing w:val="-2"/>
        </w:rPr>
        <w:t>公司主要经营活动为：公司系网络内容与行为审计和监管整体解决方案提供商，主要从事网络内容与行为审计和监管产</w:t>
      </w:r>
      <w:r>
        <w:rPr/>
        <w:t> </w:t>
      </w:r>
      <w:r>
        <w:rPr>
          <w:spacing w:val="-2"/>
        </w:rPr>
        <w:t>品的研发、生产和销售，并提供安全集成、安全审计相关服务，形成从计算机终端到网络在线分析等全面的网络内容与行为</w:t>
      </w:r>
      <w:r>
        <w:rPr>
          <w:spacing w:val="-66"/>
        </w:rPr>
        <w:t> </w:t>
      </w:r>
      <w:r>
        <w:rPr>
          <w:spacing w:val="-66"/>
        </w:rPr>
      </w:r>
      <w:r>
        <w:rPr/>
        <w:t>审计产品线。以及网络游戏软件的开发、销售、维护、运营。</w:t>
      </w:r>
    </w:p>
    <w:p>
      <w:pPr>
        <w:pStyle w:val="BodyText"/>
        <w:spacing w:line="240" w:lineRule="auto"/>
        <w:ind w:left="1404" w:right="0"/>
        <w:jc w:val="left"/>
      </w:pPr>
      <w:r>
        <w:rPr/>
        <w:t>本财务报表于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日经公司第三届董事会第二十一次会议批准报出。</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130" w:firstLine="480"/>
        <w:jc w:val="both"/>
      </w:pPr>
      <w:r>
        <w:rPr>
          <w:spacing w:val="-1"/>
        </w:rPr>
        <w:t>本公司财务报表以持续经营假设为基础，根据实际发生的交易和事项，按照财政部发布的《企业会计准则——基本准</w:t>
      </w:r>
      <w:r>
        <w:rPr/>
        <w:t> 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日及其后颁布和修订的具体会计准则、企业会计准则 </w:t>
      </w:r>
      <w:r>
        <w:rPr>
          <w:spacing w:val="-2"/>
        </w:rPr>
        <w:t>应用指南、企业会计准则解释及其他相关规定（以下合称“企业会计准则”），以及中国证券监督管理委员会《公开发行证</w:t>
      </w:r>
      <w:r>
        <w:rPr>
          <w:spacing w:val="-67"/>
        </w:rPr>
        <w:t> </w:t>
      </w:r>
      <w:r>
        <w:rPr>
          <w:spacing w:val="-67"/>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ind w:right="0" w:firstLine="480"/>
        <w:jc w:val="left"/>
      </w:pPr>
      <w:r>
        <w:rPr>
          <w:spacing w:val="-1"/>
        </w:rPr>
        <w:t>根据企业会计准则的相关规定，本公司会计核算以权责发生制为基础。除某些金融工具外，本财务报表均以历史成本</w:t>
      </w:r>
      <w:r>
        <w:rPr/>
        <w:t> 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613" w:right="0"/>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是</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7710"/>
        <w:jc w:val="left"/>
      </w:pPr>
      <w:r>
        <w:rPr/>
        <w:t>互联网游戏业 具体会计政策和会计估计提示：</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613" w:right="0"/>
        <w:jc w:val="left"/>
      </w:pPr>
      <w:r>
        <w:rPr/>
        <w:t>本财务报表符合企业会计准则的要求，真实、完整地反映了本公司的财务状况、经营成果和现金流量等有关信息。</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613" w:right="0"/>
        <w:jc w:val="left"/>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204" w:firstLine="384"/>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613"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4" w:right="0"/>
        <w:jc w:val="left"/>
      </w:pPr>
      <w:r>
        <w:rPr/>
        <w:t>（</w:t>
      </w:r>
      <w:r>
        <w:rPr>
          <w:rFonts w:ascii="宋体" w:hAnsi="宋体" w:cs="宋体" w:eastAsia="宋体" w:hint="default"/>
        </w:rPr>
        <w:t>1</w:t>
      </w:r>
      <w:r>
        <w:rPr/>
        <w:t>）同一控制下的企业合并 </w:t>
      </w:r>
      <w:r>
        <w:rPr>
          <w:spacing w:val="-1"/>
        </w:rPr>
        <w:t>参与合并的企业在合并前后均受同一方或相同的多方最终控制且该控制并非暂时性的，为同一控制下的企业合并。通</w:t>
      </w:r>
    </w:p>
    <w:p>
      <w:pPr>
        <w:pStyle w:val="BodyText"/>
        <w:spacing w:line="316" w:lineRule="auto"/>
        <w:ind w:left="1134" w:right="1122"/>
        <w:jc w:val="left"/>
      </w:pPr>
      <w:r>
        <w:rPr>
          <w:spacing w:val="-2"/>
        </w:rPr>
        <w:t>常情况下，同一控制下的企业合并是指发生在同一企业公司内部企业之间的合并，除此之外，一般不作为同一控制下的企业</w:t>
      </w:r>
      <w:r>
        <w:rPr>
          <w:spacing w:val="-66"/>
        </w:rPr>
        <w:t> </w:t>
      </w:r>
      <w:r>
        <w:rPr>
          <w:spacing w:val="-66"/>
        </w:rPr>
      </w:r>
      <w:r>
        <w:rPr/>
        <w:t>合并。</w:t>
      </w:r>
    </w:p>
    <w:p>
      <w:pPr>
        <w:pStyle w:val="BodyText"/>
        <w:spacing w:line="316" w:lineRule="auto"/>
        <w:ind w:left="1134" w:right="1130" w:firstLine="480"/>
        <w:jc w:val="both"/>
      </w:pPr>
      <w:r>
        <w:rPr>
          <w:spacing w:val="-1"/>
        </w:rPr>
        <w:t>本公司作为合并方在企业合并中取得的资产、负债，按照合并日被合并方在最终控制方合并财务报表中的账面价值计</w:t>
      </w:r>
      <w:r>
        <w:rPr/>
        <w:t> </w:t>
      </w:r>
      <w:r>
        <w:rPr>
          <w:spacing w:val="-2"/>
        </w:rPr>
        <w:t>量。同一控制下的控股合并形成的长期股权投资，本公司以合并日应享有被合并方账面所有者权益的份额作为形成长期股权</w:t>
      </w:r>
      <w:r>
        <w:rPr>
          <w:spacing w:val="-63"/>
        </w:rPr>
        <w:t> </w:t>
      </w:r>
      <w:r>
        <w:rPr>
          <w:spacing w:val="-63"/>
        </w:rPr>
      </w:r>
      <w:r>
        <w:rPr>
          <w:spacing w:val="-2"/>
        </w:rPr>
        <w:t>投资的初始投资成本，相关会计处理见长期股权投资；同一控制下的吸收合并取得的资产、负债，本公司按照相关资产、负</w:t>
      </w:r>
      <w:r>
        <w:rPr>
          <w:spacing w:val="-66"/>
        </w:rPr>
        <w:t> </w:t>
      </w:r>
      <w:r>
        <w:rPr>
          <w:spacing w:val="-66"/>
        </w:rPr>
      </w:r>
      <w:r>
        <w:rPr>
          <w:spacing w:val="-5"/>
        </w:rPr>
        <w:t>债在被合并方的原账面价值入账。本公司取得的净资产账面价值与支付的合并对价账面价值（或发行股份面值总额）的差额，</w:t>
      </w:r>
      <w:r>
        <w:rPr>
          <w:spacing w:val="-79"/>
        </w:rPr>
        <w:t> </w:t>
      </w:r>
      <w:r>
        <w:rPr>
          <w:spacing w:val="-79"/>
        </w:rPr>
      </w:r>
      <w:r>
        <w:rPr/>
        <w:t>调整资本公积；资本公积不足冲减的，调整留存收益。</w:t>
      </w:r>
    </w:p>
    <w:p>
      <w:pPr>
        <w:pStyle w:val="BodyText"/>
        <w:spacing w:line="316" w:lineRule="auto"/>
        <w:ind w:left="1134" w:right="1133" w:firstLine="480"/>
        <w:jc w:val="both"/>
      </w:pPr>
      <w:r>
        <w:rPr>
          <w:spacing w:val="-1"/>
        </w:rPr>
        <w:t>本公司作为合并方为进行企业合并发生的各项直接相关费用，包括支付的审计费用、评估费用、法律服务费等，于发</w:t>
      </w:r>
      <w:r>
        <w:rPr/>
        <w:t> 生时计入当期损益。</w:t>
      </w:r>
    </w:p>
    <w:p>
      <w:pPr>
        <w:pStyle w:val="BodyText"/>
        <w:spacing w:line="316" w:lineRule="auto"/>
        <w:ind w:left="1134" w:right="1130" w:firstLine="480"/>
        <w:jc w:val="both"/>
      </w:pPr>
      <w:r>
        <w:rPr>
          <w:spacing w:val="-1"/>
        </w:rPr>
        <w:t>为企业合并发行的债券或承担其他债务支付的手续费、佣金等，计入所发行债券及其他债务的初始计量金额。企业合</w:t>
      </w:r>
      <w:r>
        <w:rPr/>
        <w:t> 并中发行权益性证券发生的手续费、佣金等费用，应当抵减权益性证券溢价收入，溢价收入不足冲减的，冲减留存收益。</w:t>
      </w:r>
    </w:p>
    <w:p>
      <w:pPr>
        <w:pStyle w:val="BodyText"/>
        <w:spacing w:line="316" w:lineRule="auto"/>
        <w:ind w:right="1133" w:firstLine="480"/>
        <w:jc w:val="both"/>
      </w:pPr>
      <w:r>
        <w:rPr>
          <w:spacing w:val="-1"/>
        </w:rPr>
        <w:t>同一控制下的控股合并形成母子关系的，母公司在合并日编制合并财务报表，包括合并资产负债表、合并利润表和合</w:t>
      </w:r>
      <w:r>
        <w:rPr/>
        <w:t> 并现金流量表。</w:t>
      </w:r>
    </w:p>
    <w:p>
      <w:pPr>
        <w:pStyle w:val="BodyText"/>
        <w:spacing w:line="319" w:lineRule="auto"/>
        <w:ind w:right="1131" w:firstLine="480"/>
        <w:jc w:val="both"/>
      </w:pPr>
      <w:r>
        <w:rPr>
          <w:spacing w:val="-1"/>
        </w:rPr>
        <w:t>合并资产负债表，以被合并方在最终控制方合并财务报表中的的账面价值并入合并财务报表，合并方与被合并方在合</w:t>
      </w:r>
      <w:r>
        <w:rPr/>
        <w:t> </w:t>
      </w:r>
      <w:r>
        <w:rPr>
          <w:spacing w:val="-2"/>
        </w:rPr>
        <w:t>并日及以前期间发生的交易，作为内部交易，按照“合并财务报表”有关原则进行抵消；合并利润表和现金流量表，包含合</w:t>
      </w:r>
      <w:r>
        <w:rPr>
          <w:spacing w:val="-67"/>
        </w:rPr>
        <w:t> </w:t>
      </w:r>
      <w:r>
        <w:rPr>
          <w:spacing w:val="-67"/>
        </w:rPr>
      </w:r>
      <w:r>
        <w:rPr>
          <w:spacing w:val="-2"/>
        </w:rPr>
        <w:t>并方及被合并方自合并当期期初至合并日实现的净利润和产生的现金流量，涉及双方在当期发生的交易及内部交易产生的现</w:t>
      </w:r>
      <w:r>
        <w:rPr>
          <w:spacing w:val="-64"/>
        </w:rPr>
        <w:t> </w:t>
      </w:r>
      <w:r>
        <w:rPr>
          <w:spacing w:val="-64"/>
        </w:rPr>
      </w:r>
      <w:r>
        <w:rPr/>
        <w:t>金流量，按照合并财务报表的有关原则进行抵消。</w:t>
      </w:r>
    </w:p>
    <w:p>
      <w:pPr>
        <w:pStyle w:val="BodyText"/>
        <w:spacing w:line="316" w:lineRule="auto" w:before="17"/>
        <w:ind w:left="1613" w:right="1122"/>
        <w:jc w:val="left"/>
      </w:pPr>
      <w:r>
        <w:rPr/>
        <w:t>（</w:t>
      </w:r>
      <w:r>
        <w:rPr>
          <w:rFonts w:ascii="宋体" w:hAnsi="宋体" w:cs="宋体" w:eastAsia="宋体" w:hint="default"/>
        </w:rPr>
        <w:t>2</w:t>
      </w:r>
      <w:r>
        <w:rPr/>
        <w:t>）非同一控制下的企业合并 参与合并的各方在合并前后不受同一方或相同的多方最终控制的，为非同一控制下的企业合并。 </w:t>
      </w:r>
      <w:r>
        <w:rPr>
          <w:spacing w:val="-1"/>
        </w:rPr>
        <w:t>确定企业合并成本：企业合并成本包括购买方为进行企业合并支付的现金或非现金资产、发行或承担的债务、发行的</w:t>
      </w:r>
    </w:p>
    <w:p>
      <w:pPr>
        <w:pStyle w:val="BodyText"/>
        <w:spacing w:line="240" w:lineRule="auto"/>
        <w:ind w:right="0"/>
        <w:jc w:val="left"/>
      </w:pPr>
      <w:r>
        <w:rPr/>
        <w:t>权益性证券等在购买日的公允价值。</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80"/>
        <w:jc w:val="both"/>
      </w:pPr>
      <w:r>
        <w:rPr>
          <w:spacing w:val="-4"/>
        </w:rPr>
        <w:t>非同一控制下的企业合并中，购买方为企业合并发生的审计、法律服务、评估咨询等中介费用以及其他相关管理费用，</w:t>
      </w:r>
      <w:r>
        <w:rPr/>
        <w:t> </w:t>
      </w:r>
      <w:r>
        <w:rPr>
          <w:spacing w:val="-2"/>
        </w:rPr>
        <w:t>于发生时计入当期损益；购买方作为合并对价发行的权益性证券或债务性证券的交易费用，计入权益性证券或债务性证券的</w:t>
      </w:r>
      <w:r>
        <w:rPr>
          <w:spacing w:val="-64"/>
        </w:rPr>
        <w:t> </w:t>
      </w:r>
      <w:r>
        <w:rPr>
          <w:spacing w:val="-64"/>
        </w:rPr>
      </w:r>
      <w:r>
        <w:rPr/>
        <w:t>初始确认金额。</w:t>
      </w:r>
    </w:p>
    <w:p>
      <w:pPr>
        <w:pStyle w:val="BodyText"/>
        <w:spacing w:line="319" w:lineRule="auto"/>
        <w:ind w:right="1131" w:firstLine="480"/>
        <w:jc w:val="both"/>
      </w:pPr>
      <w:r>
        <w:rPr>
          <w:spacing w:val="-1"/>
        </w:rPr>
        <w:t>非同一控制下的控股合并取得的长期股权投资，本公司以购买日确定的企业合并成本（不包括应自被投资单位收取的</w:t>
      </w:r>
      <w:r>
        <w:rPr/>
        <w:t> </w:t>
      </w:r>
      <w:r>
        <w:rPr>
          <w:spacing w:val="-2"/>
        </w:rPr>
        <w:t>现金股利和利润），作为对被购买方长期股权投资的初始投资成本；非同一控制下的吸收合并取得的符合确认条件的各项可</w:t>
      </w:r>
      <w:r>
        <w:rPr>
          <w:spacing w:val="-66"/>
        </w:rPr>
        <w:t> </w:t>
      </w:r>
      <w:r>
        <w:rPr>
          <w:spacing w:val="-66"/>
        </w:rPr>
      </w:r>
      <w:r>
        <w:rPr>
          <w:spacing w:val="-2"/>
        </w:rPr>
        <w:t>辨认资产、负债，本公司在购买日按照公允价值确认为本企业的资产和负债。本公司以非货币资产为对价取得被购买方的控</w:t>
      </w:r>
      <w:r>
        <w:rPr>
          <w:spacing w:val="-66"/>
        </w:rPr>
        <w:t> </w:t>
      </w:r>
      <w:r>
        <w:rPr>
          <w:spacing w:val="-66"/>
        </w:rPr>
      </w:r>
      <w:r>
        <w:rPr>
          <w:spacing w:val="-2"/>
        </w:rPr>
        <w:t>制权或各项可辨认资产、负债的，有关非货币资产在购买日的公允价值与其账面价值的差额，作为资产的处置损益，计入合</w:t>
      </w:r>
      <w:r>
        <w:rPr>
          <w:spacing w:val="-66"/>
        </w:rPr>
        <w:t> </w:t>
      </w:r>
      <w:r>
        <w:rPr>
          <w:spacing w:val="-66"/>
        </w:rPr>
      </w:r>
      <w:r>
        <w:rPr/>
        <w:t>并当期的利润表。</w:t>
      </w:r>
    </w:p>
    <w:p>
      <w:pPr>
        <w:pStyle w:val="BodyText"/>
        <w:spacing w:line="316" w:lineRule="auto" w:before="17"/>
        <w:ind w:right="1131" w:firstLine="480"/>
        <w:jc w:val="both"/>
      </w:pPr>
      <w:r>
        <w:rPr>
          <w:spacing w:val="-1"/>
        </w:rPr>
        <w:t>非同一控制下的企业合并中，企业合并成本大于合并中取得的被购买方可辨认净资产公允价值份额的差额，确认为商</w:t>
      </w:r>
      <w:r>
        <w:rPr/>
        <w:t> </w:t>
      </w:r>
      <w:r>
        <w:rPr>
          <w:spacing w:val="-2"/>
        </w:rPr>
        <w:t>誉；在吸收合并情况下，该差额在母公司个别财务报表中确认为商誉；在控股合并情况下，该差额在合并财务报表中列示为</w:t>
      </w:r>
      <w:r>
        <w:rPr>
          <w:spacing w:val="-66"/>
        </w:rPr>
        <w:t> </w:t>
      </w:r>
      <w:r>
        <w:rPr>
          <w:spacing w:val="-66"/>
        </w:rPr>
      </w:r>
      <w:r>
        <w:rPr/>
        <w:t>商誉。</w:t>
      </w:r>
    </w:p>
    <w:p>
      <w:pPr>
        <w:pStyle w:val="BodyText"/>
        <w:spacing w:line="316" w:lineRule="auto"/>
        <w:ind w:right="1133" w:firstLine="480"/>
        <w:jc w:val="both"/>
      </w:pPr>
      <w:r>
        <w:rPr>
          <w:spacing w:val="-1"/>
        </w:rPr>
        <w:t>企业合并成本小于合并中取得的被购买方可辨认净资产公允价值份额的差额，本公司经复核后计入合并当期损益（营</w:t>
      </w:r>
      <w:r>
        <w:rPr/>
        <w:t> </w:t>
      </w:r>
      <w:r>
        <w:rPr>
          <w:spacing w:val="-2"/>
        </w:rPr>
        <w:t>业外收入）。在吸收合并情况下，该差额计入合并当期母公司个别利润表；在控股合并情况下，该差额计入合并当期的合并</w:t>
      </w:r>
      <w:r>
        <w:rPr>
          <w:spacing w:val="-66"/>
        </w:rPr>
        <w:t> </w:t>
      </w:r>
      <w:r>
        <w:rPr>
          <w:spacing w:val="-66"/>
        </w:rPr>
      </w:r>
      <w:r>
        <w:rPr/>
        <w:t>利润表。</w:t>
      </w:r>
    </w:p>
    <w:p>
      <w:pPr>
        <w:pStyle w:val="BodyText"/>
        <w:spacing w:line="316" w:lineRule="auto"/>
        <w:ind w:right="1131" w:firstLine="480"/>
        <w:jc w:val="both"/>
      </w:pPr>
      <w:r>
        <w:rPr>
          <w:spacing w:val="-1"/>
        </w:rPr>
        <w:t>通过多次交换交易分步实现的非同一控制下企业合并，属于一揽子交易的，将各项交易作为一项取得控制权的交易进</w:t>
      </w:r>
      <w:r>
        <w:rPr/>
        <w:t> </w:t>
      </w:r>
      <w:r>
        <w:rPr>
          <w:spacing w:val="-2"/>
        </w:rPr>
        <w:t>行会计处理；不属于一揽子交易的，对于购买日之前持有的被购买方的股权，应当按照该股权在购买日的公允价值进行重新</w:t>
      </w:r>
      <w:r>
        <w:rPr>
          <w:spacing w:val="-66"/>
        </w:rPr>
        <w:t> </w:t>
      </w:r>
      <w:r>
        <w:rPr>
          <w:spacing w:val="-66"/>
        </w:rPr>
      </w:r>
      <w:r>
        <w:rPr>
          <w:spacing w:val="-2"/>
        </w:rPr>
        <w:t>计量，公允价值与其账面价值的差额计入当期投资收益；购买日之前持有的被购买方的股权涉及其他综合收益的，与其相关</w:t>
      </w:r>
      <w:r>
        <w:rPr>
          <w:spacing w:val="-66"/>
        </w:rPr>
        <w:t> </w:t>
      </w:r>
      <w:r>
        <w:rPr>
          <w:spacing w:val="-66"/>
        </w:rPr>
      </w:r>
      <w:r>
        <w:rPr>
          <w:spacing w:val="-2"/>
        </w:rPr>
        <w:t>的其他综合收益应当转为购买日所属当期投资收益，由于被投资方重新计量设定受益计划净负债或净资产变动而产生的其他</w:t>
      </w:r>
      <w:r>
        <w:rPr>
          <w:spacing w:val="-64"/>
        </w:rPr>
        <w:t> </w:t>
      </w:r>
      <w:r>
        <w:rPr>
          <w:spacing w:val="-64"/>
        </w:rPr>
      </w:r>
      <w:r>
        <w:rPr/>
        <w:t>综合收益除外。</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1122"/>
        <w:jc w:val="left"/>
      </w:pPr>
      <w:r>
        <w:rPr/>
        <w:t>（</w:t>
      </w:r>
      <w:r>
        <w:rPr>
          <w:rFonts w:ascii="宋体" w:hAnsi="宋体" w:cs="宋体" w:eastAsia="宋体" w:hint="default"/>
        </w:rPr>
        <w:t>1</w:t>
      </w:r>
      <w:r>
        <w:rPr/>
        <w:t>）合并范围 </w:t>
      </w:r>
      <w:r>
        <w:rPr>
          <w:spacing w:val="-1"/>
        </w:rPr>
        <w:t>合并财务报表的合并范围以控制为基础予以确定。控制，是指本公司拥有对被投资单位的权力，通过参与被投资单位</w:t>
      </w:r>
    </w:p>
    <w:p>
      <w:pPr>
        <w:pStyle w:val="BodyText"/>
        <w:spacing w:line="316" w:lineRule="auto"/>
        <w:ind w:right="0"/>
        <w:jc w:val="left"/>
      </w:pPr>
      <w:r>
        <w:rPr>
          <w:spacing w:val="-2"/>
        </w:rPr>
        <w:t>的相关活动而享有可变回报，并且有能力运用对被投资单位的权力影响其回报金额。子公司，是指被本公司控制的主体（含</w:t>
      </w:r>
      <w:r>
        <w:rPr>
          <w:spacing w:val="-66"/>
        </w:rPr>
        <w:t> </w:t>
      </w:r>
      <w:r>
        <w:rPr>
          <w:spacing w:val="-66"/>
        </w:rPr>
      </w:r>
      <w:r>
        <w:rPr/>
        <w:t>企业、被投资单位中可分割的部分、结构化主体等）。</w:t>
      </w:r>
    </w:p>
    <w:p>
      <w:pPr>
        <w:pStyle w:val="BodyText"/>
        <w:spacing w:line="316" w:lineRule="auto"/>
        <w:ind w:left="1614" w:right="0"/>
        <w:jc w:val="left"/>
      </w:pPr>
      <w:r>
        <w:rPr/>
        <w:t>（</w:t>
      </w:r>
      <w:r>
        <w:rPr>
          <w:rFonts w:ascii="宋体" w:hAnsi="宋体" w:cs="宋体" w:eastAsia="宋体" w:hint="default"/>
        </w:rPr>
        <w:t>2</w:t>
      </w:r>
      <w:r>
        <w:rPr/>
        <w:t>）合并财务报表编制方法 </w:t>
      </w:r>
      <w:r>
        <w:rPr>
          <w:spacing w:val="-1"/>
        </w:rPr>
        <w:t>本公司合并财务报表以母公司和各子公司的财务报表为基础，根据其他有关资料编制。编制时将母公司与各子公司及</w:t>
      </w:r>
    </w:p>
    <w:p>
      <w:pPr>
        <w:pStyle w:val="BodyText"/>
        <w:spacing w:line="316" w:lineRule="auto"/>
        <w:ind w:left="1134" w:right="1032"/>
        <w:jc w:val="left"/>
      </w:pPr>
      <w:r>
        <w:rPr>
          <w:spacing w:val="-2"/>
        </w:rPr>
        <w:t>各子公司之间的重要投资、往来、存货购销等内部交易及其未实现利润抵销后逐项合并，并计算少数股东权益和少数股东本</w:t>
      </w:r>
      <w:r>
        <w:rPr>
          <w:spacing w:val="-66"/>
        </w:rPr>
        <w:t> </w:t>
      </w:r>
      <w:r>
        <w:rPr>
          <w:spacing w:val="-66"/>
        </w:rPr>
      </w:r>
      <w:r>
        <w:rPr/>
        <w:t>期收益。如果子公司会计政策及会计期间与母公司不一致，合并前先按母公司的会计政策及会计期间调整子公司会计报表。</w:t>
      </w:r>
    </w:p>
    <w:p>
      <w:pPr>
        <w:pStyle w:val="BodyText"/>
        <w:spacing w:line="316" w:lineRule="auto"/>
        <w:ind w:left="1614" w:right="0"/>
        <w:jc w:val="left"/>
      </w:pPr>
      <w:r>
        <w:rPr/>
        <w:t>（</w:t>
      </w:r>
      <w:r>
        <w:rPr>
          <w:rFonts w:ascii="宋体" w:hAnsi="宋体" w:cs="宋体" w:eastAsia="宋体" w:hint="default"/>
        </w:rPr>
        <w:t>3</w:t>
      </w:r>
      <w:r>
        <w:rPr/>
        <w:t>）报告期增加减少子公司的合并报表处理 </w:t>
      </w:r>
      <w:r>
        <w:rPr>
          <w:spacing w:val="-1"/>
        </w:rPr>
        <w:t>在报告期内，因同一控制下企业合并增加的子公司，编制合并资产负债表时，调整合并资产负债表的年初余额。因非</w:t>
      </w:r>
    </w:p>
    <w:p>
      <w:pPr>
        <w:pStyle w:val="BodyText"/>
        <w:spacing w:line="316" w:lineRule="auto"/>
        <w:ind w:left="1134" w:right="1032"/>
        <w:jc w:val="left"/>
      </w:pPr>
      <w:r>
        <w:rPr/>
        <w:t>同一控制下企业合并增加的子公司，编制合并资产负债表时，不调整合并资产负债表的年初余额。在报告期内处置子公司，</w:t>
      </w:r>
      <w:r>
        <w:rPr>
          <w:spacing w:val="-85"/>
        </w:rPr>
        <w:t> </w:t>
      </w:r>
      <w:r>
        <w:rPr>
          <w:spacing w:val="-85"/>
        </w:rPr>
      </w:r>
      <w:r>
        <w:rPr/>
        <w:t>编制合并资产负债表时，不调整合并资产负债表的年初余额。</w:t>
      </w:r>
    </w:p>
    <w:p>
      <w:pPr>
        <w:pStyle w:val="BodyText"/>
        <w:spacing w:line="316" w:lineRule="auto"/>
        <w:ind w:left="1134" w:right="1131" w:firstLine="480"/>
        <w:jc w:val="both"/>
      </w:pPr>
      <w:r>
        <w:rPr>
          <w:spacing w:val="-1"/>
        </w:rPr>
        <w:t>在报告期内，因同一控制下企业合并增加的子公司，将该子公司在合并当期的期初至报告期末的收入、费用、利润纳</w:t>
      </w:r>
      <w:r>
        <w:rPr/>
        <w:t> </w:t>
      </w:r>
      <w:r>
        <w:rPr>
          <w:spacing w:val="-2"/>
        </w:rPr>
        <w:t>入合并利润表，将该子公司合并当期期初至报告期末的现金流量纳入合并现金流量表。因非同一控制下企业合并增加的子公</w:t>
      </w:r>
      <w:r>
        <w:rPr>
          <w:spacing w:val="-64"/>
        </w:rPr>
        <w:t> </w:t>
      </w:r>
      <w:r>
        <w:rPr>
          <w:spacing w:val="-64"/>
        </w:rPr>
      </w:r>
      <w:r>
        <w:rPr>
          <w:spacing w:val="-2"/>
        </w:rPr>
        <w:t>司，将该子公司自购买日至报告期末的收入、费用、利润纳入合并利润表，将该子公司购买日至报告期末的现金流量纳入合</w:t>
      </w:r>
      <w:r>
        <w:rPr>
          <w:spacing w:val="-66"/>
        </w:rPr>
        <w:t> </w:t>
      </w:r>
      <w:r>
        <w:rPr>
          <w:spacing w:val="-66"/>
        </w:rPr>
      </w:r>
      <w:r>
        <w:rPr>
          <w:spacing w:val="-2"/>
        </w:rPr>
        <w:t>并现金流量表。在报告期内处置子公司，将该子公司期初至处置日的收入、费用、利润纳入合并利润表，将该子公司期初至</w:t>
      </w:r>
      <w:r>
        <w:rPr>
          <w:spacing w:val="-66"/>
        </w:rPr>
        <w:t> </w:t>
      </w:r>
      <w:r>
        <w:rPr>
          <w:spacing w:val="-66"/>
        </w:rPr>
      </w:r>
      <w:r>
        <w:rPr/>
        <w:t>处置日的现金流量纳入合并现金流量表。</w:t>
      </w:r>
    </w:p>
    <w:p>
      <w:pPr>
        <w:pStyle w:val="BodyText"/>
        <w:spacing w:line="319" w:lineRule="auto"/>
        <w:ind w:left="1134" w:right="1131" w:firstLine="480"/>
        <w:jc w:val="both"/>
      </w:pPr>
      <w:r>
        <w:rPr>
          <w:spacing w:val="-1"/>
        </w:rPr>
        <w:t>因处置部分股权投资或其他原因丧失了对原有子公司控制权时，对于处置后的剩余股权投资，按照其在丧失控制权日</w:t>
      </w:r>
      <w:r>
        <w:rPr/>
        <w:t> </w:t>
      </w:r>
      <w:r>
        <w:rPr>
          <w:spacing w:val="-2"/>
        </w:rPr>
        <w:t>的公允价值进行重新计量。处置股权取得的对价与剩余股权公允价值之和，减去按原持股比例计算应享有原有子公司自购买</w:t>
      </w:r>
      <w:r>
        <w:rPr>
          <w:spacing w:val="-64"/>
        </w:rPr>
        <w:t> </w:t>
      </w:r>
      <w:r>
        <w:rPr>
          <w:spacing w:val="-64"/>
        </w:rPr>
      </w:r>
      <w:r>
        <w:rPr>
          <w:spacing w:val="-2"/>
        </w:rPr>
        <w:t>日开始持续计算的净资产的份额与商誉之和的差额，计入丧失控制权当期的投资收益。与原有子公司股权投资相关的其他综</w:t>
      </w:r>
      <w:r>
        <w:rPr>
          <w:spacing w:val="-64"/>
        </w:rPr>
        <w:t> </w:t>
      </w:r>
      <w:r>
        <w:rPr>
          <w:spacing w:val="-64"/>
        </w:rPr>
      </w:r>
      <w:r>
        <w:rPr>
          <w:spacing w:val="-2"/>
        </w:rPr>
        <w:t>合收益，在丧失控制权时转为当期投资收益，由于被投资方重新计量设定收益计划净负债或净资产变动而产生的其他综合收</w:t>
      </w:r>
      <w:r>
        <w:rPr>
          <w:spacing w:val="-64"/>
        </w:rPr>
        <w:t> </w:t>
      </w:r>
      <w:r>
        <w:rPr>
          <w:spacing w:val="-64"/>
        </w:rPr>
      </w:r>
      <w:r>
        <w:rPr/>
        <w:t>益除外。</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因购买少数股权新取得的长期股权投资与按照新增持股比例计算应享有子公司的可辨认净资产份额之间的差额，以及</w:t>
      </w:r>
      <w:r>
        <w:rPr/>
        <w:t> 在不丧失控制权的情况下因部分处置对子公司的股权投资而取得的处置价款与处置长期股权投资相对应享有子公司净资产</w:t>
      </w:r>
      <w:r>
        <w:rPr>
          <w:spacing w:val="-9"/>
        </w:rPr>
        <w:t> </w:t>
      </w:r>
      <w:r>
        <w:rPr>
          <w:spacing w:val="-9"/>
        </w:rPr>
      </w:r>
      <w:r>
        <w:rPr/>
        <w:t>份额的差额，均调整合并资产负债表中的资本公积中的股本溢价，资本公积中的股本溢价不足冲减的，调整留存收益。</w:t>
      </w:r>
    </w:p>
    <w:p>
      <w:pPr>
        <w:pStyle w:val="BodyText"/>
        <w:spacing w:line="319" w:lineRule="auto"/>
        <w:ind w:left="1614" w:right="0"/>
        <w:jc w:val="left"/>
      </w:pPr>
      <w:r>
        <w:rPr/>
        <w:t>（</w:t>
      </w:r>
      <w:r>
        <w:rPr>
          <w:rFonts w:ascii="宋体" w:hAnsi="宋体" w:cs="宋体" w:eastAsia="宋体" w:hint="default"/>
        </w:rPr>
        <w:t>4</w:t>
      </w:r>
      <w:r>
        <w:rPr/>
        <w:t>）分步处置股权至丧失控制权的合并报表处理 </w:t>
      </w:r>
      <w:r>
        <w:rPr>
          <w:spacing w:val="-1"/>
        </w:rPr>
        <w:t>处置对子公司股权投资直至丧失控制权的各项交易属于一揽子交易的，将各项交易作为一项处置子公司并丧失控制权</w:t>
      </w:r>
    </w:p>
    <w:p>
      <w:pPr>
        <w:pStyle w:val="BodyText"/>
        <w:spacing w:line="316" w:lineRule="auto" w:before="17"/>
        <w:ind w:left="1134" w:right="1131"/>
        <w:jc w:val="both"/>
      </w:pPr>
      <w:r>
        <w:rPr>
          <w:spacing w:val="-2"/>
        </w:rPr>
        <w:t>的交易进行会计处理；但是，在丧失控制权之前每一次处置价款与处置投资对应的享有该子公司净资产份额的差额，在合并</w:t>
      </w:r>
      <w:r>
        <w:rPr>
          <w:spacing w:val="-66"/>
        </w:rPr>
        <w:t> </w:t>
      </w:r>
      <w:r>
        <w:rPr>
          <w:spacing w:val="-66"/>
        </w:rPr>
      </w:r>
      <w:r>
        <w:rPr>
          <w:spacing w:val="-2"/>
        </w:rPr>
        <w:t>财务报表中确认为其他综合收益，在丧失控制权时一并转入丧失控制权当期的损益，由于被投资方重新计量设定收益计划净</w:t>
      </w:r>
      <w:r>
        <w:rPr>
          <w:spacing w:val="-64"/>
        </w:rPr>
        <w:t> </w:t>
      </w:r>
      <w:r>
        <w:rPr>
          <w:spacing w:val="-64"/>
        </w:rPr>
      </w:r>
      <w:r>
        <w:rPr>
          <w:spacing w:val="-2"/>
        </w:rPr>
        <w:t>负债或净资产变动而产生的其他综合收益除外。不属于一揽子交易的，在丧失控制权之前，处置价款与相对应享有子公司自</w:t>
      </w:r>
      <w:r>
        <w:rPr>
          <w:spacing w:val="-66"/>
        </w:rPr>
        <w:t> </w:t>
      </w:r>
      <w:r>
        <w:rPr>
          <w:spacing w:val="-66"/>
        </w:rPr>
      </w:r>
      <w:r>
        <w:rPr>
          <w:spacing w:val="-2"/>
        </w:rPr>
        <w:t>购买日开始持续计算的净资产之间的差额调整资本公积，资本公积不足冲减的，调整留存收益；丧失控制权时，按照前述丧</w:t>
      </w:r>
      <w:r>
        <w:rPr>
          <w:spacing w:val="-66"/>
        </w:rPr>
        <w:t> </w:t>
      </w:r>
      <w:r>
        <w:rPr>
          <w:spacing w:val="-66"/>
        </w:rPr>
      </w:r>
      <w:r>
        <w:rPr/>
        <w:t>失对原有子公司控制权时的会计政策实施会计处理。</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7、合营安排分类及共同经营会计处理方法" w:id="171"/>
      <w:bookmarkEnd w:id="17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3" w:firstLine="480"/>
        <w:jc w:val="both"/>
      </w:pPr>
      <w:r>
        <w:rPr>
          <w:spacing w:val="-1"/>
        </w:rPr>
        <w:t>合营安排是一项由本公司作为一个参与方共同控制的安排。合营安排分为两类：共同经营和合营企业。共同经营是指</w:t>
      </w:r>
      <w:r>
        <w:rPr/>
        <w:t> </w:t>
      </w:r>
      <w:r>
        <w:rPr>
          <w:spacing w:val="-2"/>
        </w:rPr>
        <w:t>共同控制一项安排的参与方享有与该安排相关资产的权利，并承担与该安排相关负债的合营安排；合营企业是共同控制一项</w:t>
      </w:r>
      <w:r>
        <w:rPr>
          <w:spacing w:val="-64"/>
        </w:rPr>
        <w:t> </w:t>
      </w:r>
      <w:r>
        <w:rPr>
          <w:spacing w:val="-64"/>
        </w:rPr>
      </w:r>
      <w:r>
        <w:rPr/>
        <w:t>安排的参与方仅对该安排的净资产享有权利的合营安排。</w:t>
      </w:r>
    </w:p>
    <w:p>
      <w:pPr>
        <w:pStyle w:val="BodyText"/>
        <w:spacing w:line="316" w:lineRule="auto"/>
        <w:ind w:left="1614" w:right="0"/>
        <w:jc w:val="left"/>
      </w:pPr>
      <w:r>
        <w:rPr/>
        <w:t>（</w:t>
      </w:r>
      <w:r>
        <w:rPr>
          <w:rFonts w:ascii="宋体" w:hAnsi="宋体" w:cs="宋体" w:eastAsia="宋体" w:hint="default"/>
        </w:rPr>
        <w:t>1</w:t>
      </w:r>
      <w:r>
        <w:rPr/>
        <w:t>）合营安排的认定 </w:t>
      </w:r>
      <w:r>
        <w:rPr>
          <w:spacing w:val="-1"/>
        </w:rPr>
        <w:t>只要两个或两个以上的参与方对该安排实施共同控制，一项安排就可以被认定为合营安排，并不要求所有参与方都对</w:t>
      </w:r>
    </w:p>
    <w:p>
      <w:pPr>
        <w:pStyle w:val="BodyText"/>
        <w:spacing w:line="240" w:lineRule="auto"/>
        <w:ind w:left="1134" w:right="0"/>
        <w:jc w:val="both"/>
      </w:pPr>
      <w:r>
        <w:rPr/>
        <w:t>该安排享有共同控制。</w:t>
      </w:r>
    </w:p>
    <w:p>
      <w:pPr>
        <w:pStyle w:val="BodyText"/>
        <w:spacing w:line="316" w:lineRule="auto" w:before="76"/>
        <w:ind w:left="1613" w:right="1122"/>
        <w:jc w:val="left"/>
      </w:pPr>
      <w:r>
        <w:rPr/>
        <w:t>（</w:t>
      </w:r>
      <w:r>
        <w:rPr>
          <w:rFonts w:ascii="宋体" w:hAnsi="宋体" w:cs="宋体" w:eastAsia="宋体" w:hint="default"/>
        </w:rPr>
        <w:t>2</w:t>
      </w:r>
      <w:r>
        <w:rPr/>
        <w:t>）重新评估 </w:t>
      </w:r>
      <w:r>
        <w:rPr>
          <w:spacing w:val="-1"/>
        </w:rPr>
        <w:t>如果法律形式、合同条款等相关事实和情况发生变化，合营安排参与方应当对合营安排进行重新评估：一是评估原合</w:t>
      </w:r>
    </w:p>
    <w:p>
      <w:pPr>
        <w:pStyle w:val="BodyText"/>
        <w:spacing w:line="240" w:lineRule="auto"/>
        <w:ind w:right="0"/>
        <w:jc w:val="both"/>
      </w:pPr>
      <w:r>
        <w:rPr/>
        <w:t>营方是否仍对该安排拥有共同控制权；二是评估合营安排的类型是否发生变化。</w:t>
      </w:r>
    </w:p>
    <w:p>
      <w:pPr>
        <w:pStyle w:val="BodyText"/>
        <w:spacing w:line="240" w:lineRule="auto" w:before="77"/>
        <w:ind w:left="1613" w:right="0"/>
        <w:jc w:val="left"/>
      </w:pPr>
      <w:r>
        <w:rPr/>
        <w:t>（</w:t>
      </w:r>
      <w:r>
        <w:rPr>
          <w:rFonts w:ascii="宋体" w:hAnsi="宋体" w:cs="宋体" w:eastAsia="宋体" w:hint="default"/>
        </w:rPr>
        <w:t>3</w:t>
      </w:r>
      <w:r>
        <w:rPr/>
        <w:t>）共同经营参与方的会计处理</w:t>
      </w:r>
    </w:p>
    <w:p>
      <w:pPr>
        <w:pStyle w:val="BodyText"/>
        <w:spacing w:line="316" w:lineRule="auto" w:before="76"/>
        <w:ind w:left="1613" w:right="7483"/>
        <w:jc w:val="left"/>
      </w:pPr>
      <w:r>
        <w:rPr/>
        <w:t>① 共同经营中，合营方的会计处理 </w:t>
      </w:r>
      <w:r>
        <w:rPr>
          <w:rFonts w:ascii="宋体" w:hAnsi="宋体" w:cs="宋体" w:eastAsia="宋体" w:hint="default"/>
        </w:rPr>
        <w:t>A</w:t>
      </w:r>
      <w:r>
        <w:rPr/>
        <w:t>、一般会计处理原则</w:t>
      </w:r>
    </w:p>
    <w:p>
      <w:pPr>
        <w:pStyle w:val="BodyText"/>
        <w:spacing w:line="316" w:lineRule="auto"/>
        <w:ind w:left="1134" w:right="1032" w:firstLine="480"/>
        <w:jc w:val="left"/>
      </w:pPr>
      <w:r>
        <w:rPr/>
        <w:t>合营方应当确认其与共同经营中利益份额相关的下列项目，并按照相关企业会计准则的规定进行会计处理：一是确认 单独所持有的资产，以及按其份额确认共同持有的资产；二是确认单独所承担的负债，以及按其份额确认共同承担的负债；</w:t>
      </w:r>
      <w:r>
        <w:rPr>
          <w:spacing w:val="-85"/>
        </w:rPr>
        <w:t> </w:t>
      </w:r>
      <w:r>
        <w:rPr>
          <w:spacing w:val="-85"/>
        </w:rPr>
      </w:r>
      <w:r>
        <w:rPr>
          <w:spacing w:val="-2"/>
        </w:rPr>
        <w:t>三是确认出售其享有的共同经营产出份额所产生的收入；四是按其份额确认共同经营因出售产出所产生的收入；五是确认单</w:t>
      </w:r>
      <w:r>
        <w:rPr>
          <w:spacing w:val="-64"/>
        </w:rPr>
        <w:t> </w:t>
      </w:r>
      <w:r>
        <w:rPr>
          <w:spacing w:val="-64"/>
        </w:rPr>
      </w:r>
      <w:r>
        <w:rPr/>
        <w:t>独所发生的费用，以及按其份额确认共同经营发生的费用。</w:t>
      </w:r>
    </w:p>
    <w:p>
      <w:pPr>
        <w:pStyle w:val="BodyText"/>
        <w:spacing w:line="316" w:lineRule="auto"/>
        <w:ind w:left="1134" w:right="1133" w:firstLine="480"/>
        <w:jc w:val="both"/>
      </w:pPr>
      <w:r>
        <w:rPr>
          <w:spacing w:val="-1"/>
        </w:rPr>
        <w:t>合营方可能将其自有资产用于共同经营，如果合营方保留了对这些资产的全部所有权或控制权，则这些资产的会计处</w:t>
      </w:r>
      <w:r>
        <w:rPr/>
        <w:t> 理与合营方自有资产的会计处理并无差别。</w:t>
      </w:r>
    </w:p>
    <w:p>
      <w:pPr>
        <w:pStyle w:val="BodyText"/>
        <w:spacing w:line="316" w:lineRule="auto"/>
        <w:ind w:right="1130" w:firstLine="480"/>
        <w:jc w:val="both"/>
      </w:pPr>
      <w:r>
        <w:rPr>
          <w:spacing w:val="-1"/>
        </w:rPr>
        <w:t>合营方也可能与其他合营方共同购买资产来投入共同经营，并共同承担共同经营的负债，此时，合营方应当按照企业</w:t>
      </w:r>
      <w:r>
        <w:rPr/>
        <w:t> 会计准则相关规定确认在这些资产和负债中的利益份额。如按照《企业会计准则第</w:t>
      </w:r>
      <w:r>
        <w:rPr>
          <w:rFonts w:ascii="宋体" w:hAnsi="宋体" w:cs="宋体" w:eastAsia="宋体" w:hint="default"/>
        </w:rPr>
        <w:t>4</w:t>
      </w:r>
      <w:r>
        <w:rPr/>
        <w:t>号－固定资产》来确认在相关固定资产</w:t>
      </w:r>
      <w:r>
        <w:rPr>
          <w:spacing w:val="-82"/>
        </w:rPr>
        <w:t> </w:t>
      </w:r>
      <w:r>
        <w:rPr>
          <w:spacing w:val="-82"/>
        </w:rPr>
      </w:r>
      <w:r>
        <w:rPr/>
        <w:t>中的利益份额，按照金融工具确认和计量准则来确认在相关金融资产和金融负债中的份额。</w:t>
      </w:r>
    </w:p>
    <w:p>
      <w:pPr>
        <w:pStyle w:val="BodyText"/>
        <w:spacing w:line="316" w:lineRule="auto"/>
        <w:ind w:right="0" w:firstLine="480"/>
        <w:jc w:val="left"/>
      </w:pPr>
      <w:r>
        <w:rPr/>
        <w:t>共同经营通过单独主体达成时，合营方应确认按照上述原则单独所承担的负债，以及按本企业的份额确认共同承担的 </w:t>
      </w:r>
      <w:r>
        <w:rPr>
          <w:spacing w:val="-4"/>
        </w:rPr>
        <w:t>负债。但合营方对于因其他股东未按约定向合营安排提供资金，按照我国相关法律或相关合同约定等规定而承担连带责任的，</w:t>
      </w:r>
      <w:r>
        <w:rPr>
          <w:spacing w:val="-44"/>
        </w:rPr>
        <w:t> </w:t>
      </w:r>
      <w:r>
        <w:rPr>
          <w:spacing w:val="-44"/>
        </w:rPr>
      </w:r>
      <w:r>
        <w:rPr/>
        <w:t>从其规定，在会计处理上应遵循《企业会计准则第</w:t>
      </w:r>
      <w:r>
        <w:rPr>
          <w:rFonts w:ascii="宋体" w:hAnsi="宋体" w:cs="宋体" w:eastAsia="宋体" w:hint="default"/>
        </w:rPr>
        <w:t>13</w:t>
      </w:r>
      <w:r>
        <w:rPr/>
        <w:t>号一一或有事项》。</w:t>
      </w:r>
    </w:p>
    <w:p>
      <w:pPr>
        <w:pStyle w:val="BodyText"/>
        <w:spacing w:line="316" w:lineRule="auto"/>
        <w:ind w:left="1613" w:right="0"/>
        <w:jc w:val="left"/>
      </w:pPr>
      <w:r>
        <w:rPr>
          <w:rFonts w:ascii="宋体" w:hAnsi="宋体" w:cs="宋体" w:eastAsia="宋体" w:hint="default"/>
        </w:rPr>
        <w:t>B</w:t>
      </w:r>
      <w:r>
        <w:rPr/>
        <w:t>、合营方向共同经营投出或者出售不构成业务的资产的会计处理 </w:t>
      </w:r>
      <w:r>
        <w:rPr>
          <w:spacing w:val="-1"/>
        </w:rPr>
        <w:t>合营方向共同经营投出或出售资产等（该资产构成业务的除外），在共同经营将相关资产出售给第三方或相关资产消</w:t>
      </w:r>
    </w:p>
    <w:p>
      <w:pPr>
        <w:pStyle w:val="BodyText"/>
        <w:spacing w:line="319" w:lineRule="auto"/>
        <w:ind w:right="1129"/>
        <w:jc w:val="both"/>
      </w:pPr>
      <w:r>
        <w:rPr>
          <w:spacing w:val="-2"/>
        </w:rPr>
        <w:t>耗之前（即，未实现内部利润仍包括在共同经营持有的资产账面价值中时），应当仅确认归属于共同经营其他参与方的利得</w:t>
      </w:r>
      <w:r>
        <w:rPr>
          <w:spacing w:val="-66"/>
        </w:rPr>
        <w:t> </w:t>
      </w:r>
      <w:r>
        <w:rPr>
          <w:spacing w:val="-66"/>
        </w:rPr>
      </w:r>
      <w:r>
        <w:rPr/>
        <w:t>或损失。交易表明投出或出售的资产发生符合《企业会计准则第</w:t>
      </w:r>
      <w:r>
        <w:rPr>
          <w:rFonts w:ascii="宋体" w:hAnsi="宋体" w:cs="宋体" w:eastAsia="宋体" w:hint="default"/>
        </w:rPr>
        <w:t>8</w:t>
      </w:r>
      <w:r>
        <w:rPr/>
        <w:t>号一一资产减值》（以下简称“资产减值损失准则”）等</w:t>
      </w:r>
      <w:r>
        <w:rPr>
          <w:spacing w:val="-83"/>
        </w:rPr>
        <w:t> </w:t>
      </w:r>
      <w:r>
        <w:rPr>
          <w:spacing w:val="-83"/>
        </w:rPr>
      </w:r>
      <w:r>
        <w:rPr/>
        <w:t>规定的资产减值损失的，合营方应当全额确认该损失。</w:t>
      </w:r>
    </w:p>
    <w:p>
      <w:pPr>
        <w:pStyle w:val="BodyText"/>
        <w:spacing w:line="316" w:lineRule="auto" w:before="17"/>
        <w:ind w:left="1614" w:right="0"/>
        <w:jc w:val="left"/>
      </w:pPr>
      <w:r>
        <w:rPr>
          <w:rFonts w:ascii="宋体" w:hAnsi="宋体" w:cs="宋体" w:eastAsia="宋体" w:hint="default"/>
        </w:rPr>
        <w:t>C</w:t>
      </w:r>
      <w:r>
        <w:rPr/>
        <w:t>、合营方自共同经营购买不构成业务的资产的会计处理 </w:t>
      </w:r>
      <w:r>
        <w:rPr>
          <w:spacing w:val="-1"/>
        </w:rPr>
        <w:t>合营方自共同经营购买资产等（该资产构成业务的除外），在将该资产等出售给第三方之前（即，未实现内部利润仍</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包括在合营方持有的资产账面价值中时），不应当确认因该交易产生的损益中该合营方应享有的部分。即，此时应当仅确认</w:t>
      </w:r>
      <w:r>
        <w:rPr>
          <w:spacing w:val="-66"/>
        </w:rPr>
        <w:t> </w:t>
      </w:r>
      <w:r>
        <w:rPr>
          <w:spacing w:val="-66"/>
        </w:rPr>
      </w:r>
      <w:r>
        <w:rPr/>
        <w:t>因该交易产生的损益中归属于共同经营其他参与方的部分。</w:t>
      </w:r>
    </w:p>
    <w:p>
      <w:pPr>
        <w:pStyle w:val="BodyText"/>
        <w:spacing w:line="316" w:lineRule="auto"/>
        <w:ind w:left="1614" w:right="0"/>
        <w:jc w:val="left"/>
      </w:pPr>
      <w:r>
        <w:rPr>
          <w:rFonts w:ascii="宋体" w:hAnsi="宋体" w:cs="宋体" w:eastAsia="宋体" w:hint="default"/>
        </w:rPr>
        <w:t>D</w:t>
      </w:r>
      <w:r>
        <w:rPr/>
        <w:t>、合营方取得构成业务的共同经营的利益份额的会计处理 </w:t>
      </w:r>
      <w:r>
        <w:rPr>
          <w:spacing w:val="-1"/>
        </w:rPr>
        <w:t>合营方取得共同经营中的利益份额，且该共同经营构成业务时，应当按照企业合并准则等相关准则进行相应的会计处</w:t>
      </w:r>
    </w:p>
    <w:p>
      <w:pPr>
        <w:pStyle w:val="BodyText"/>
        <w:spacing w:line="316" w:lineRule="auto"/>
        <w:ind w:left="1134" w:right="0"/>
        <w:jc w:val="left"/>
      </w:pPr>
      <w:r>
        <w:rPr>
          <w:spacing w:val="-2"/>
        </w:rPr>
        <w:t>理，但其他相关准则的规定不能与合营安排准则的规定相冲突。企业应当按照企业合并准则的相关规定判断该共同经营是否</w:t>
      </w:r>
      <w:r>
        <w:rPr>
          <w:spacing w:val="-63"/>
        </w:rPr>
        <w:t> </w:t>
      </w:r>
      <w:r>
        <w:rPr>
          <w:spacing w:val="-63"/>
        </w:rPr>
      </w:r>
      <w:r>
        <w:rPr>
          <w:spacing w:val="-4"/>
        </w:rPr>
        <w:t>构成业务。该处理原则不仅适用于收购现有的构成业务的共同经营中的利益份额，也适用于与其他参与方一起设立共同经营，</w:t>
      </w:r>
      <w:r>
        <w:rPr>
          <w:spacing w:val="-44"/>
        </w:rPr>
        <w:t> </w:t>
      </w:r>
      <w:r>
        <w:rPr>
          <w:spacing w:val="-44"/>
        </w:rPr>
      </w:r>
      <w:r>
        <w:rPr/>
        <w:t>且由于有其他参与方注入既存业务，使共同经营设立时即构成业务。</w:t>
      </w:r>
    </w:p>
    <w:p>
      <w:pPr>
        <w:pStyle w:val="BodyText"/>
        <w:spacing w:line="316" w:lineRule="auto"/>
        <w:ind w:left="1614" w:right="0"/>
        <w:jc w:val="left"/>
      </w:pPr>
      <w:r>
        <w:rPr/>
        <w:t>② 对共同经营不享有共同控制的参与方的会计处理原则 </w:t>
      </w:r>
      <w:r>
        <w:rPr>
          <w:spacing w:val="-1"/>
        </w:rPr>
        <w:t>对共同经营不享有共同控制的参与方（非合营方），如果享有该共同经营相关资产且承担该共同经营相关负债的，比</w:t>
      </w:r>
    </w:p>
    <w:p>
      <w:pPr>
        <w:pStyle w:val="BodyText"/>
        <w:spacing w:line="316" w:lineRule="auto"/>
        <w:ind w:left="1134" w:right="1132"/>
        <w:jc w:val="both"/>
      </w:pPr>
      <w:r>
        <w:rPr>
          <w:spacing w:val="-2"/>
        </w:rPr>
        <w:t>照合营方进行会计处理。即，共同经营的参与方，不论其是否具有共同控制，只要能够享有共同经营相关资产的权利、并承</w:t>
      </w:r>
      <w:r>
        <w:rPr>
          <w:spacing w:val="-66"/>
        </w:rPr>
        <w:t> </w:t>
      </w:r>
      <w:r>
        <w:rPr>
          <w:spacing w:val="-66"/>
        </w:rPr>
      </w:r>
      <w:r>
        <w:rPr>
          <w:spacing w:val="-2"/>
        </w:rPr>
        <w:t>担共同经营相关负债的义务，对在共同经营中的利益份额采用与合营方相同的会计处理。否则，应当按照相关企业会计准则</w:t>
      </w:r>
      <w:r>
        <w:rPr>
          <w:spacing w:val="-66"/>
        </w:rPr>
        <w:t> </w:t>
      </w:r>
      <w:r>
        <w:rPr>
          <w:spacing w:val="-66"/>
        </w:rPr>
      </w:r>
      <w:r>
        <w:rPr/>
        <w:t>的规定对其利益份额进行会计处理。</w:t>
      </w:r>
    </w:p>
    <w:p>
      <w:pPr>
        <w:pStyle w:val="BodyText"/>
        <w:spacing w:line="316" w:lineRule="auto"/>
        <w:ind w:left="1613" w:right="3449"/>
        <w:jc w:val="left"/>
        <w:rPr>
          <w:rFonts w:ascii="宋体" w:hAnsi="宋体" w:cs="宋体" w:eastAsia="宋体" w:hint="default"/>
        </w:rPr>
      </w:pPr>
      <w:r>
        <w:rPr/>
        <w:t>（</w:t>
      </w:r>
      <w:r>
        <w:rPr>
          <w:rFonts w:ascii="宋体" w:hAnsi="宋体" w:cs="宋体" w:eastAsia="宋体" w:hint="default"/>
        </w:rPr>
        <w:t>4</w:t>
      </w:r>
      <w:r>
        <w:rPr/>
        <w:t>）关于合营企业参与方的会计处理 合营企业中，参与方应当按照《企业会计准则第</w:t>
      </w:r>
      <w:r>
        <w:rPr>
          <w:rFonts w:ascii="宋体" w:hAnsi="宋体" w:cs="宋体" w:eastAsia="宋体" w:hint="default"/>
        </w:rPr>
        <w:t>2</w:t>
      </w:r>
      <w:r>
        <w:rPr/>
        <w:t>号</w:t>
      </w:r>
      <w:r>
        <w:rPr>
          <w:rFonts w:ascii="宋体" w:hAnsi="宋体" w:cs="宋体" w:eastAsia="宋体" w:hint="default"/>
        </w:rPr>
        <w:t>-</w:t>
      </w:r>
      <w:r>
        <w:rPr/>
        <w:t>长</w:t>
      </w:r>
      <w:r>
        <w:rPr>
          <w:rFonts w:ascii="宋体" w:hAnsi="宋体" w:cs="宋体" w:eastAsia="宋体" w:hint="default"/>
        </w:rPr>
        <w:t>??</w:t>
      </w:r>
      <w:r>
        <w:rPr/>
        <w:t>权</w:t>
      </w:r>
      <w:r>
        <w:rPr>
          <w:rFonts w:ascii="宋体" w:hAnsi="宋体" w:cs="宋体" w:eastAsia="宋体" w:hint="default"/>
        </w:rPr>
        <w:t>?</w:t>
      </w:r>
      <w:r>
        <w:rPr/>
        <w:t>资</w:t>
      </w:r>
      <w:r>
        <w:rPr>
          <w:rFonts w:ascii="宋体" w:hAnsi="宋体" w:cs="宋体" w:eastAsia="宋体" w:hint="default"/>
        </w:rPr>
        <w:t>??</w:t>
      </w:r>
      <w:r>
        <w:rPr/>
        <w:t>规</w:t>
      </w:r>
      <w:r>
        <w:rPr>
          <w:rFonts w:ascii="宋体" w:hAnsi="宋体" w:cs="宋体" w:eastAsia="宋体" w:hint="default"/>
        </w:rPr>
        <w:t>????</w:t>
      </w:r>
      <w:r>
        <w:rPr/>
        <w:t>对</w:t>
      </w:r>
      <w:r>
        <w:rPr>
          <w:rFonts w:ascii="宋体" w:hAnsi="宋体" w:cs="宋体" w:eastAsia="宋体" w:hint="default"/>
        </w:rPr>
        <w:t>?</w:t>
      </w:r>
      <w:r>
        <w:rPr/>
        <w:t>营</w:t>
      </w:r>
      <w:r>
        <w:rPr>
          <w:rFonts w:ascii="宋体" w:hAnsi="宋体" w:cs="宋体" w:eastAsia="宋体" w:hint="default"/>
        </w:rPr>
        <w:t>?</w:t>
      </w:r>
      <w:r>
        <w:rPr/>
        <w:t>业</w:t>
      </w:r>
      <w:r>
        <w:rPr>
          <w:rFonts w:ascii="宋体" w:hAnsi="宋体" w:cs="宋体" w:eastAsia="宋体" w:hint="default"/>
        </w:rPr>
        <w:t>??</w:t>
      </w:r>
      <w:r>
        <w:rPr/>
        <w:t>资</w:t>
      </w:r>
      <w:r>
        <w:rPr>
          <w:rFonts w:ascii="宋体" w:hAnsi="宋体" w:cs="宋体" w:eastAsia="宋体" w:hint="default"/>
        </w:rPr>
        <w:t>?</w:t>
      </w:r>
    </w:p>
    <w:p>
      <w:pPr>
        <w:pStyle w:val="BodyText"/>
        <w:spacing w:line="316" w:lineRule="auto"/>
        <w:ind w:right="1133" w:firstLine="480"/>
        <w:jc w:val="both"/>
      </w:pPr>
      <w:r>
        <w:rPr>
          <w:spacing w:val="-1"/>
        </w:rPr>
        <w:t>对合营企业不享有共同控制的参与方（非合营方）应当根据其对该合营企业的影响程度进行相关会计处理：对该合营</w:t>
      </w:r>
      <w:r>
        <w:rPr/>
        <w:t> </w:t>
      </w:r>
      <w:r>
        <w:rPr>
          <w:spacing w:val="-2"/>
        </w:rPr>
        <w:t>企业具有重大影响的，应当按照长期股权投资准则的规定核算其对该合营企业的投资；对该合营企业不具有重大影响的，应</w:t>
      </w:r>
      <w:r>
        <w:rPr>
          <w:spacing w:val="-66"/>
        </w:rPr>
        <w:t> </w:t>
      </w:r>
      <w:r>
        <w:rPr>
          <w:spacing w:val="-66"/>
        </w:rPr>
      </w:r>
      <w:r>
        <w:rPr/>
        <w:t>当按照金融工具确认和计量准则的规定核算其对该合营企业的投资。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2"/>
      <w:bookmarkEnd w:id="17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480"/>
        <w:jc w:val="both"/>
      </w:pPr>
      <w:r>
        <w:rPr>
          <w:spacing w:val="-1"/>
        </w:rPr>
        <w:t>本公司现金包括库存现金、可以随时用于支付的存款；现金等价物包括本公司持有的期限短（一般指从购买日起三个</w:t>
      </w:r>
      <w:r>
        <w:rPr/>
        <w:t> 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4873"/>
        <w:jc w:val="left"/>
      </w:pPr>
      <w:r>
        <w:rPr/>
        <w:t>（</w:t>
      </w:r>
      <w:r>
        <w:rPr>
          <w:rFonts w:ascii="宋体" w:hAnsi="宋体" w:cs="宋体" w:eastAsia="宋体" w:hint="default"/>
        </w:rPr>
        <w:t>1</w:t>
      </w:r>
      <w:r>
        <w:rPr/>
        <w:t>）外币业务 本公司外币交易按照交易发生日的即期汇率折算为记账本位币金额。</w:t>
      </w:r>
    </w:p>
    <w:p>
      <w:pPr>
        <w:pStyle w:val="BodyText"/>
        <w:spacing w:line="316" w:lineRule="auto"/>
        <w:ind w:right="1131" w:firstLine="480"/>
        <w:jc w:val="both"/>
      </w:pPr>
      <w:r>
        <w:rPr>
          <w:spacing w:val="-1"/>
        </w:rPr>
        <w:t>在资产负债表日，按照下列规定对外币货币性项目和外币非货币性项目进行处理：外币货币性项目，采用资产负债表</w:t>
      </w:r>
      <w:r>
        <w:rPr/>
        <w:t> </w:t>
      </w:r>
      <w:r>
        <w:rPr>
          <w:spacing w:val="-2"/>
        </w:rPr>
        <w:t>日即期汇率折算。因资产负债表日即期汇率与初始确认时或前一资产负债表日即期汇率不同而产生的汇兑差额，计入当期损</w:t>
      </w:r>
      <w:r>
        <w:rPr>
          <w:spacing w:val="-64"/>
        </w:rPr>
        <w:t> </w:t>
      </w:r>
      <w:r>
        <w:rPr>
          <w:spacing w:val="-64"/>
        </w:rPr>
      </w:r>
      <w:r>
        <w:rPr>
          <w:spacing w:val="-2"/>
        </w:rPr>
        <w:t>益；以历史成本计量的外币非货币性项目，仍采用交易发生日的即期汇率折算，不改变其记账本位币金额；以公允价值计量</w:t>
      </w:r>
      <w:r>
        <w:rPr>
          <w:spacing w:val="-66"/>
        </w:rPr>
        <w:t> </w:t>
      </w:r>
      <w:r>
        <w:rPr>
          <w:spacing w:val="-66"/>
        </w:rPr>
      </w:r>
      <w:r>
        <w:rPr>
          <w:spacing w:val="-2"/>
        </w:rPr>
        <w:t>的外币非货币性项目，采用公允价值确定日的即期汇率折算，折算后的记账本位币金额与原记账本位币金额的差额，作为公</w:t>
      </w:r>
      <w:r>
        <w:rPr>
          <w:spacing w:val="-66"/>
        </w:rPr>
        <w:t> </w:t>
      </w:r>
      <w:r>
        <w:rPr>
          <w:spacing w:val="-66"/>
        </w:rPr>
      </w:r>
      <w:r>
        <w:rPr>
          <w:spacing w:val="-2"/>
        </w:rPr>
        <w:t>允价值变动（含汇率变动）处理，计入当期损益；在资本化期间内，外币专门借款本金及利息的汇兑差额，予以资本化，计</w:t>
      </w:r>
      <w:r>
        <w:rPr>
          <w:spacing w:val="-71"/>
        </w:rPr>
        <w:t> </w:t>
      </w:r>
      <w:r>
        <w:rPr>
          <w:spacing w:val="-71"/>
        </w:rPr>
      </w:r>
      <w:r>
        <w:rPr/>
        <w:t>入符合资本化条件的资产的成本。</w:t>
      </w:r>
    </w:p>
    <w:p>
      <w:pPr>
        <w:pStyle w:val="BodyText"/>
        <w:spacing w:line="316" w:lineRule="auto"/>
        <w:ind w:left="1614" w:right="1120"/>
        <w:jc w:val="left"/>
      </w:pPr>
      <w:r>
        <w:rPr/>
        <w:t>（</w:t>
      </w:r>
      <w:r>
        <w:rPr>
          <w:rFonts w:ascii="宋体" w:hAnsi="宋体" w:cs="宋体" w:eastAsia="宋体" w:hint="default"/>
        </w:rPr>
        <w:t>2</w:t>
      </w:r>
      <w:r>
        <w:rPr/>
        <w:t>）外币财务报表的折算 </w:t>
      </w:r>
      <w:r>
        <w:rPr>
          <w:spacing w:val="-4"/>
        </w:rPr>
        <w:t>本公司对外币财务报表折算时，遵循下列规定：资产负债表中的资产和负债项目，采用资产负债表日的即期汇率折算，</w:t>
      </w:r>
    </w:p>
    <w:p>
      <w:pPr>
        <w:pStyle w:val="BodyText"/>
        <w:spacing w:line="316" w:lineRule="auto"/>
        <w:ind w:right="1131"/>
        <w:jc w:val="both"/>
      </w:pPr>
      <w:r>
        <w:rPr>
          <w:spacing w:val="-2"/>
        </w:rPr>
        <w:t>所有者权益项目除“未分配利润”项目外，其他项目采用发生时的即期汇率折算；利润表中的收入和费用项目，采用交易发</w:t>
      </w:r>
      <w:r>
        <w:rPr>
          <w:spacing w:val="-66"/>
        </w:rPr>
        <w:t> </w:t>
      </w:r>
      <w:r>
        <w:rPr>
          <w:spacing w:val="-66"/>
        </w:rPr>
      </w:r>
      <w:r>
        <w:rPr>
          <w:spacing w:val="-2"/>
        </w:rPr>
        <w:t>生日的即期汇率（或采用按照系统合理的方法确定的、与交易发生日即期汇率近似的汇率折算）折算。按照上述折算产生的</w:t>
      </w:r>
      <w:r>
        <w:rPr>
          <w:spacing w:val="-66"/>
        </w:rPr>
        <w:t> </w:t>
      </w:r>
      <w:r>
        <w:rPr>
          <w:spacing w:val="-66"/>
        </w:rPr>
      </w:r>
      <w:r>
        <w:rPr/>
        <w:t>外币财务报表折算差额，确认为其他综合收益。比较财务报表的折算比照上述规定处理。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0"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240" w:lineRule="auto"/>
        <w:ind w:left="1614" w:right="0"/>
        <w:jc w:val="left"/>
      </w:pPr>
      <w:r>
        <w:rPr/>
        <w:t>（</w:t>
      </w:r>
      <w:r>
        <w:rPr>
          <w:rFonts w:ascii="宋体" w:hAnsi="宋体" w:cs="宋体" w:eastAsia="宋体" w:hint="default"/>
        </w:rPr>
        <w:t>1</w:t>
      </w:r>
      <w:r>
        <w:rPr/>
        <w:t>）金融资产和金融负债的公允价值确定方法</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480"/>
        <w:jc w:val="left"/>
      </w:pPr>
      <w:r>
        <w:rPr/>
        <w:t>公允价值，是指市场参与者在计量日发生的有序交易中，出售一项资产所能收到或者转移一项负债所需支付的价格。 </w:t>
      </w: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参照实质上相同的其他金融工具当前的公允价值、现金流量折现法等。</w:t>
      </w:r>
    </w:p>
    <w:p>
      <w:pPr>
        <w:pStyle w:val="BodyText"/>
        <w:spacing w:line="316" w:lineRule="auto" w:before="17"/>
        <w:ind w:left="1613"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ind w:right="0"/>
        <w:jc w:val="left"/>
      </w:pPr>
      <w:r>
        <w:rPr/>
        <w:t>动计入当期损益的金融资产、持有至到期投资、贷款和应收款项以及可供出售金融资产。</w:t>
      </w:r>
    </w:p>
    <w:p>
      <w:pPr>
        <w:pStyle w:val="BodyText"/>
        <w:spacing w:line="316" w:lineRule="auto" w:before="76"/>
        <w:ind w:left="1613" w:right="0"/>
        <w:jc w:val="left"/>
      </w:pPr>
      <w:r>
        <w:rPr/>
        <w:t>① 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取得该金融资产的目的，主要是为了近期内出售；</w:t>
      </w:r>
      <w:r>
        <w:rPr>
          <w:rFonts w:ascii="宋体" w:hAnsi="宋体" w:cs="宋体" w:eastAsia="宋体" w:hint="default"/>
          <w:spacing w:val="-1"/>
        </w:rPr>
        <w:t>B.</w:t>
      </w:r>
      <w:r>
        <w:rPr>
          <w:spacing w:val="-1"/>
        </w:rPr>
        <w:t>属于进行</w:t>
      </w:r>
    </w:p>
    <w:p>
      <w:pPr>
        <w:pStyle w:val="BodyText"/>
        <w:spacing w:line="316" w:lineRule="auto"/>
        <w:ind w:right="1130"/>
        <w:jc w:val="both"/>
      </w:pPr>
      <w:r>
        <w:rPr>
          <w:spacing w:val="-2"/>
        </w:rPr>
        <w:t>集中管理的可辨认金融工具组合的一部分，且有客观证据表明本公司近期采用短期获利方式对该组合进行管理；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w:t>
      </w:r>
      <w:r>
        <w:rPr>
          <w:spacing w:val="-62"/>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16" w:lineRule="auto"/>
        <w:ind w:right="1130" w:firstLine="480"/>
        <w:jc w:val="both"/>
      </w:pPr>
      <w:r>
        <w:rPr>
          <w:spacing w:val="-1"/>
        </w:rPr>
        <w:t>符合下述条件之一的金融资产，在初始确认时可指定为以公允价值计量且其变动计入当期损益的金融资产：</w:t>
      </w:r>
      <w:r>
        <w:rPr>
          <w:rFonts w:ascii="宋体" w:hAnsi="宋体" w:cs="宋体" w:eastAsia="宋体"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w:t>
      </w:r>
      <w:r>
        <w:rPr>
          <w:spacing w:val="-61"/>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ind w:right="1133"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9" w:lineRule="auto"/>
        <w:ind w:left="1613" w:right="1122"/>
        <w:jc w:val="left"/>
      </w:pPr>
      <w:r>
        <w:rPr/>
        <w:t>② 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7"/>
        <w:ind w:right="0"/>
        <w:jc w:val="left"/>
      </w:pPr>
      <w:r>
        <w:rPr/>
        <w:t>入当期损益。</w:t>
      </w:r>
    </w:p>
    <w:p>
      <w:pPr>
        <w:pStyle w:val="BodyText"/>
        <w:spacing w:line="316" w:lineRule="auto" w:before="76"/>
        <w:ind w:right="1131"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ind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ind w:left="1614" w:right="0"/>
        <w:jc w:val="left"/>
      </w:pPr>
      <w:r>
        <w:rPr/>
        <w:t>③ 贷款和应收款项 </w:t>
      </w:r>
      <w:r>
        <w:rPr>
          <w:spacing w:val="-1"/>
        </w:rPr>
        <w:t>是指在活跃市场中没有报价、回收金额固定或可确定的非衍生金融资产。本公司划分为贷款和应收款的金融资产包括</w:t>
      </w:r>
    </w:p>
    <w:p>
      <w:pPr>
        <w:pStyle w:val="BodyText"/>
        <w:spacing w:line="316" w:lineRule="auto"/>
        <w:ind w:left="1614"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ind w:left="1134" w:right="0"/>
        <w:jc w:val="left"/>
      </w:pPr>
      <w:r>
        <w:rPr/>
        <w:t>入当期损益。</w:t>
      </w:r>
    </w:p>
    <w:p>
      <w:pPr>
        <w:pStyle w:val="BodyText"/>
        <w:spacing w:line="316" w:lineRule="auto" w:before="76"/>
        <w:ind w:left="1614" w:right="0"/>
        <w:jc w:val="left"/>
      </w:pPr>
      <w:r>
        <w:rPr/>
        <w:t>④ 可供出售金融资产 </w:t>
      </w:r>
      <w:r>
        <w:rPr>
          <w:spacing w:val="-1"/>
        </w:rPr>
        <w:t>包括初始确认时即被指定为可供出售的非衍生金融资产，以及除了以公允价值计量且其变动计入当期损益的金融资产、</w:t>
      </w:r>
    </w:p>
    <w:p>
      <w:pPr>
        <w:pStyle w:val="BodyText"/>
        <w:spacing w:line="316" w:lineRule="auto"/>
        <w:ind w:left="1614" w:right="0" w:hanging="480"/>
        <w:jc w:val="left"/>
      </w:pPr>
      <w:r>
        <w:rPr/>
        <w:t>贷款和应收款项、持有至到期投资以外的金融资产。 </w:t>
      </w:r>
      <w:r>
        <w:rPr>
          <w:spacing w:val="-1"/>
        </w:rPr>
        <w:t>可供出售债务工具投资的期末成本按照其摊余成本确定，即初始确认金额扣除已偿还的本金，加上或减去采用实际利</w:t>
      </w:r>
    </w:p>
    <w:p>
      <w:pPr>
        <w:pStyle w:val="BodyText"/>
        <w:spacing w:line="319" w:lineRule="auto"/>
        <w:ind w:left="1134"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7"/>
        <w:ind w:right="1033"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w:t>
      </w:r>
      <w:r>
        <w:rPr>
          <w:spacing w:val="-85"/>
        </w:rPr>
        <w:t> </w:t>
      </w:r>
      <w:r>
        <w:rPr>
          <w:spacing w:val="-85"/>
        </w:rPr>
      </w:r>
      <w:r>
        <w:rPr>
          <w:spacing w:val="-2"/>
        </w:rPr>
        <w:t>在活跃市场中没有报价且其公允价值不能可靠计量的权益工具投资，以及与该权益工具挂钩并须通过交付该权益工具结算的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613" w:right="3073" w:hanging="480"/>
        <w:jc w:val="left"/>
      </w:pPr>
      <w:r>
        <w:rPr/>
        <w:t>衍生金融资产，按照成本进行后续计量。 可供出售金融资产持有期间取得的利息及被投资单位宣告发放的现金股利，计入投资收益。</w:t>
      </w:r>
    </w:p>
    <w:p>
      <w:pPr>
        <w:pStyle w:val="BodyText"/>
        <w:spacing w:line="316" w:lineRule="auto"/>
        <w:ind w:left="1614"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ind w:left="1614"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ind w:left="1134" w:right="1130"/>
        <w:jc w:val="both"/>
      </w:pPr>
      <w:r>
        <w:rPr>
          <w:spacing w:val="-2"/>
        </w:rPr>
        <w:t>有类似信用风险特征的金融资产组合中进行减值测试。单独测试未发生减值的金融资产（包括单项金额重大和不重大的金融</w:t>
      </w:r>
      <w:r>
        <w:rPr>
          <w:spacing w:val="-63"/>
        </w:rPr>
        <w:t> </w:t>
      </w:r>
      <w:r>
        <w:rPr>
          <w:spacing w:val="-63"/>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ind w:left="1614" w:right="0"/>
        <w:jc w:val="left"/>
      </w:pPr>
      <w:r>
        <w:rPr/>
        <w:t>① 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ind w:left="1134" w:right="1032"/>
        <w:jc w:val="left"/>
      </w:pPr>
      <w:r>
        <w:rPr/>
        <w:t>损益。金融资产在确认减值损失后，如有客观证据表明该金融资产价值已恢复，且客观上与确认该损失后发生的事项有关，</w:t>
      </w:r>
      <w:r>
        <w:rPr>
          <w:spacing w:val="-85"/>
        </w:rPr>
        <w:t> </w:t>
      </w:r>
      <w:r>
        <w:rPr>
          <w:spacing w:val="-85"/>
        </w:rPr>
      </w:r>
      <w:r>
        <w:rPr>
          <w:spacing w:val="-2"/>
        </w:rPr>
        <w:t>原确认的减值损失予以转回，金融资产转回减值损失后的账面价值不超过假定不计提减值准备情况下该金融资产在转回日的</w:t>
      </w:r>
      <w:r>
        <w:rPr>
          <w:spacing w:val="-63"/>
        </w:rPr>
        <w:t> </w:t>
      </w:r>
      <w:r>
        <w:rPr>
          <w:spacing w:val="-63"/>
        </w:rPr>
      </w:r>
      <w:r>
        <w:rPr/>
        <w:t>摊余成本。</w:t>
      </w:r>
    </w:p>
    <w:p>
      <w:pPr>
        <w:pStyle w:val="BodyText"/>
        <w:spacing w:line="316" w:lineRule="auto"/>
        <w:ind w:left="1614" w:right="0"/>
        <w:jc w:val="left"/>
      </w:pPr>
      <w:r>
        <w:rPr/>
        <w:t>② 可供出售金融资产减值 </w:t>
      </w:r>
      <w:r>
        <w:rPr>
          <w:spacing w:val="-1"/>
        </w:rPr>
        <w:t>当综合相关因素判断可供出售权益工具投资公允价值下跌是严重或非暂时性下跌时，表明该可供出售权益工具投资发</w:t>
      </w:r>
    </w:p>
    <w:p>
      <w:pPr>
        <w:pStyle w:val="BodyText"/>
        <w:spacing w:line="316" w:lineRule="auto"/>
        <w:ind w:left="1613" w:right="0" w:hanging="480"/>
        <w:jc w:val="left"/>
      </w:pPr>
      <w:r>
        <w:rPr>
          <w:spacing w:val="-4"/>
        </w:rPr>
        <w:t>生减值。其中“严重下跌”是指公允价值下跌幅度累计超过</w:t>
      </w:r>
      <w:r>
        <w:rPr>
          <w:rFonts w:ascii="宋体" w:hAnsi="宋体" w:cs="宋体" w:eastAsia="宋体" w:hint="default"/>
          <w:spacing w:val="-4"/>
        </w:rPr>
        <w:t>20%</w:t>
      </w:r>
      <w:r>
        <w:rPr>
          <w:spacing w:val="-4"/>
        </w:rPr>
        <w:t>；“非暂时性下跌”是指公允价值连续下跌时间超过</w:t>
      </w:r>
      <w:r>
        <w:rPr>
          <w:rFonts w:ascii="宋体" w:hAnsi="宋体" w:cs="宋体" w:eastAsia="宋体" w:hint="default"/>
          <w:spacing w:val="-4"/>
        </w:rPr>
        <w:t>12</w:t>
      </w:r>
      <w:r>
        <w:rPr>
          <w:spacing w:val="-4"/>
        </w:rPr>
        <w:t>个月。</w:t>
      </w:r>
      <w:r>
        <w:rPr>
          <w:spacing w:val="-36"/>
        </w:rPr>
        <w:t> </w:t>
      </w:r>
      <w:r>
        <w:rPr/>
        <w:t>可供出售金融资产发生减值时，将原计入其他综合收益的因公允价值下降形成的累计损失予以转出并计入当期损益，</w:t>
      </w:r>
    </w:p>
    <w:p>
      <w:pPr>
        <w:pStyle w:val="BodyText"/>
        <w:spacing w:line="316" w:lineRule="auto"/>
        <w:ind w:left="1613" w:right="0" w:hanging="480"/>
        <w:jc w:val="left"/>
      </w:pPr>
      <w:r>
        <w:rPr>
          <w:spacing w:val="-2"/>
        </w:rPr>
        <w:t>该转出的累计损失为该资产初始取得成本扣除已收回本金和已摊销金额、当前公允价值和原已计入损益的减值损失后的余额。</w:t>
      </w:r>
      <w:r>
        <w:rPr>
          <w:spacing w:val="-62"/>
        </w:rPr>
        <w:t> </w:t>
      </w:r>
      <w:r>
        <w:rPr>
          <w:spacing w:val="-62"/>
        </w:rPr>
      </w:r>
      <w:r>
        <w:rPr/>
        <w:t>在确认减值损失后，期后如有客观证据表明该金融资产价值已恢复，且客观上与确认该损失后发生的事项有关，原确</w:t>
      </w:r>
    </w:p>
    <w:p>
      <w:pPr>
        <w:pStyle w:val="BodyText"/>
        <w:spacing w:line="316" w:lineRule="auto"/>
        <w:ind w:right="1122"/>
        <w:jc w:val="left"/>
      </w:pP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ind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240" w:lineRule="auto"/>
        <w:ind w:left="1613" w:right="0"/>
        <w:jc w:val="left"/>
      </w:pPr>
      <w:r>
        <w:rPr/>
        <w:t>（</w:t>
      </w:r>
      <w:r>
        <w:rPr>
          <w:rFonts w:ascii="宋体" w:hAnsi="宋体" w:cs="宋体" w:eastAsia="宋体" w:hint="default"/>
        </w:rPr>
        <w:t>4</w:t>
      </w:r>
      <w:r>
        <w:rPr/>
        <w:t>）金融资产转移的确认依据和计量方法</w:t>
      </w:r>
    </w:p>
    <w:p>
      <w:pPr>
        <w:pStyle w:val="BodyText"/>
        <w:spacing w:line="316" w:lineRule="auto" w:before="76"/>
        <w:ind w:right="1130" w:firstLine="480"/>
        <w:jc w:val="both"/>
      </w:pPr>
      <w:r>
        <w:rPr>
          <w:spacing w:val="-7"/>
        </w:rPr>
        <w:t>满足下列条件之一的金融资产，予以终止确认：① </w:t>
      </w:r>
      <w:r>
        <w:rPr>
          <w:spacing w:val="-4"/>
        </w:rPr>
        <w:t>收取该金融资产现金流量的合同权利终止；②</w:t>
      </w:r>
      <w:r>
        <w:rPr>
          <w:spacing w:val="3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ind w:left="1134"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ind w:left="1134" w:right="1130"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ind w:left="1134"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ind w:right="1131"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6" w:lineRule="auto"/>
        <w:ind w:left="1614" w:right="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ind w:left="113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614" w:right="0"/>
        <w:jc w:val="left"/>
      </w:pPr>
      <w:r>
        <w:rPr/>
        <w:t>① 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ind w:left="1613"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ind w:right="0"/>
        <w:jc w:val="left"/>
      </w:pPr>
      <w:r>
        <w:rPr/>
        <w:t>及与该等金融负债相关的股利和利息支出计入当期损益。</w:t>
      </w:r>
    </w:p>
    <w:p>
      <w:pPr>
        <w:pStyle w:val="BodyText"/>
        <w:spacing w:line="316" w:lineRule="auto" w:before="76"/>
        <w:ind w:left="1614" w:right="0"/>
        <w:jc w:val="left"/>
      </w:pPr>
      <w:r>
        <w:rPr/>
        <w:t>② 其他金融负债 </w:t>
      </w:r>
      <w:r>
        <w:rPr>
          <w:spacing w:val="-1"/>
        </w:rPr>
        <w:t>与在活跃市场中没有报价、公允价值不能可靠计量的权益工具挂钩并须通过交付该权益工具结算的衍生金融负债，按</w:t>
      </w:r>
    </w:p>
    <w:p>
      <w:pPr>
        <w:pStyle w:val="BodyText"/>
        <w:spacing w:line="316" w:lineRule="auto"/>
        <w:ind w:left="1134" w:right="1122"/>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ind w:left="1614" w:right="0"/>
        <w:jc w:val="left"/>
      </w:pPr>
      <w:r>
        <w:rPr/>
        <w:t>（</w:t>
      </w:r>
      <w:r>
        <w:rPr>
          <w:rFonts w:ascii="宋体" w:hAnsi="宋体" w:cs="宋体" w:eastAsia="宋体"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ind w:left="1134" w:right="0"/>
        <w:jc w:val="left"/>
      </w:pPr>
      <w:r>
        <w:rPr>
          <w:spacing w:val="-2"/>
        </w:rPr>
        <w:t>签订协议，以承担新金融负债方式替换现存金融负债，且新金融负债与现存金融负债的合同条款实质上不同的，终止确认现</w:t>
      </w:r>
      <w:r>
        <w:rPr>
          <w:spacing w:val="-65"/>
        </w:rPr>
        <w:t> </w:t>
      </w:r>
      <w:r>
        <w:rPr>
          <w:spacing w:val="-65"/>
        </w:rPr>
      </w:r>
      <w:r>
        <w:rPr/>
        <w:t>存金融负债，并同时确认新金融负债。</w:t>
      </w:r>
    </w:p>
    <w:p>
      <w:pPr>
        <w:pStyle w:val="BodyText"/>
        <w:spacing w:line="316" w:lineRule="auto"/>
        <w:ind w:right="0" w:firstLine="480"/>
        <w:jc w:val="left"/>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16" w:lineRule="auto"/>
        <w:ind w:left="1613" w:right="0"/>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16" w:lineRule="auto"/>
        <w:ind w:left="1613" w:right="1122"/>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权益工具是指能证明拥有本公司在扣除所有负债后的资产中的剩余权益的合同。企业合并中合并方发行权益工具发生</w:t>
      </w:r>
    </w:p>
    <w:p>
      <w:pPr>
        <w:pStyle w:val="BodyText"/>
        <w:spacing w:line="319" w:lineRule="auto"/>
        <w:ind w:right="1122"/>
        <w:jc w:val="left"/>
      </w:pPr>
      <w:r>
        <w:rPr>
          <w:spacing w:val="-2"/>
        </w:rPr>
        <w:t>的交易费用抵减权益工具的溢价收入，不足抵减的，冲减留存收益。其余权益工具，在发行时收到的对价扣除交易费用后增</w:t>
      </w:r>
      <w:r>
        <w:rPr>
          <w:spacing w:val="-66"/>
        </w:rPr>
        <w:t> </w:t>
      </w:r>
      <w:r>
        <w:rPr>
          <w:spacing w:val="-66"/>
        </w:rPr>
      </w:r>
      <w:r>
        <w:rPr/>
        <w:t>加股东权益。</w:t>
      </w:r>
    </w:p>
    <w:p>
      <w:pPr>
        <w:pStyle w:val="BodyText"/>
        <w:spacing w:line="240" w:lineRule="auto" w:before="17"/>
        <w:ind w:left="1613"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19"/>
        <w:gridCol w:w="64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4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单项金额重大的具体标准为：金额在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338"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45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本公司对单项金额重大的应收款项单独进行减值测试，单独测试未发生减值的金融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资产，包括在具有类似信用风险特征的金融资产组合中进行减值测试。单项测试已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确认减值损失的应收款项，不再包括在具有类似信用风险特征的应收款项组合中进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373"/>
        <w:gridCol w:w="2196"/>
      </w:tblGrid>
      <w:tr>
        <w:trPr>
          <w:trHeight w:val="401" w:hRule="exact"/>
        </w:trPr>
        <w:tc>
          <w:tcPr>
            <w:tcW w:w="7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7373" w:type="dxa"/>
            <w:tcBorders>
              <w:top w:val="single" w:sz="4" w:space="0" w:color="000000"/>
              <w:left w:val="single" w:sz="4" w:space="0" w:color="000000"/>
              <w:bottom w:val="single" w:sz="4" w:space="0" w:color="000000"/>
              <w:right w:val="single" w:sz="9" w:space="0" w:color="FFFFFF"/>
            </w:tcBorders>
            <w:shd w:val="clear" w:color="auto" w:fill="C7E7CC"/>
          </w:tcPr>
          <w:p>
            <w:pPr>
              <w:pStyle w:val="TableParagraph"/>
              <w:spacing w:line="240" w:lineRule="auto" w:before="52"/>
              <w:ind w:left="22" w:right="-47"/>
              <w:jc w:val="center"/>
              <w:rPr>
                <w:rFonts w:ascii="宋体" w:hAnsi="宋体" w:cs="宋体" w:eastAsia="宋体" w:hint="default"/>
                <w:sz w:val="18"/>
                <w:szCs w:val="18"/>
              </w:rPr>
            </w:pPr>
            <w:r>
              <w:rPr>
                <w:rFonts w:ascii="宋体" w:hAnsi="宋体" w:cs="宋体" w:eastAsia="宋体" w:hint="default"/>
                <w:sz w:val="18"/>
                <w:szCs w:val="18"/>
              </w:rPr>
              <w:t>除单项金额重大并单项计提坏账和单项金额虽不重大但单项计提坏账的应收款项以外的客户。</w:t>
            </w:r>
          </w:p>
        </w:tc>
        <w:tc>
          <w:tcPr>
            <w:tcW w:w="21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2"/>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127"/>
        <w:gridCol w:w="7441"/>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44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存在明显减值迹象的其他单项金额不重大的应收款项</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44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按其未来现金流量现值低于账面价值的差额，确定减值损失，计提坏账准备。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tabs>
          <w:tab w:pos="1674" w:val="left" w:leader="none"/>
        </w:tabs>
        <w:spacing w:line="357" w:lineRule="auto" w:before="0"/>
        <w:ind w:left="1134" w:right="7710"/>
        <w:jc w:val="left"/>
      </w:pPr>
      <w:r>
        <w:rPr/>
        <w:t>公司是否需要遵守特殊行业的披露要求 是</w:t>
        <w:tab/>
        <w:t>互联网游戏业</w:t>
      </w:r>
    </w:p>
    <w:p>
      <w:pPr>
        <w:pStyle w:val="BodyText"/>
        <w:spacing w:line="316" w:lineRule="auto" w:before="28"/>
        <w:ind w:right="4453"/>
        <w:jc w:val="left"/>
      </w:pPr>
      <w:r>
        <w:rPr/>
        <w:t>（</w:t>
      </w:r>
      <w:r>
        <w:rPr>
          <w:rFonts w:ascii="宋体" w:hAnsi="宋体" w:cs="宋体" w:eastAsia="宋体" w:hint="default"/>
        </w:rPr>
        <w:t>1</w:t>
      </w:r>
      <w:r>
        <w:rPr/>
        <w:t>） 存货分类 本公司存货主要包括：原材料、在产品、库存商品、低值易耗品、发出商品等。</w:t>
      </w:r>
    </w:p>
    <w:p>
      <w:pPr>
        <w:pStyle w:val="BodyText"/>
        <w:spacing w:line="316" w:lineRule="auto"/>
        <w:ind w:left="1134" w:right="1392"/>
        <w:jc w:val="left"/>
      </w:pPr>
      <w:r>
        <w:rPr/>
        <w:t>（</w:t>
      </w:r>
      <w:r>
        <w:rPr>
          <w:rFonts w:ascii="宋体" w:hAnsi="宋体" w:cs="宋体" w:eastAsia="宋体" w:hint="default"/>
        </w:rPr>
        <w:t>2</w:t>
      </w:r>
      <w:r>
        <w:rPr/>
        <w:t>）存货取得和发出存货的计价方法 存货在取得时，按成本进行初始计量，包括采购成本、加工成本和其他成本。存货发出时按月末一次加权平均法计价。</w:t>
      </w:r>
    </w:p>
    <w:p>
      <w:pPr>
        <w:pStyle w:val="BodyText"/>
        <w:spacing w:line="316" w:lineRule="auto"/>
        <w:ind w:right="1128"/>
        <w:jc w:val="left"/>
      </w:pPr>
      <w:r>
        <w:rPr/>
        <w:t>（</w:t>
      </w:r>
      <w:r>
        <w:rPr>
          <w:rFonts w:ascii="宋体" w:hAnsi="宋体" w:cs="宋体" w:eastAsia="宋体" w:hint="default"/>
        </w:rPr>
        <w:t>3</w:t>
      </w:r>
      <w:r>
        <w:rPr/>
        <w:t>）期末存货的计量 资产负债表日，存货按成本与可变现净值孰低计量，存货成本高于其可变现净值的，计提存货跌价准备，计入当期损益。 </w:t>
      </w:r>
      <w:r>
        <w:rPr>
          <w:spacing w:val="-5"/>
        </w:rPr>
        <w:t>按单个存货项目计算的成本高于其可变现净值的差额，计提存货跌价准备，计入当期损益。可变现净值，是指在日常活动中，</w:t>
      </w:r>
      <w:r>
        <w:rPr>
          <w:spacing w:val="-82"/>
        </w:rPr>
        <w:t> </w:t>
      </w:r>
      <w:r>
        <w:rPr>
          <w:spacing w:val="-82"/>
        </w:rPr>
      </w:r>
      <w:r>
        <w:rPr/>
        <w:t>存货的估计售价减去至完工时估计将要发生的成本、估计的销售费用以及相关税费后的金额。</w:t>
      </w:r>
    </w:p>
    <w:p>
      <w:pPr>
        <w:pStyle w:val="BodyText"/>
        <w:spacing w:line="316" w:lineRule="auto"/>
        <w:ind w:left="1134" w:right="8772"/>
        <w:jc w:val="left"/>
      </w:pPr>
      <w:r>
        <w:rPr/>
        <w:t>（</w:t>
      </w:r>
      <w:r>
        <w:rPr>
          <w:rFonts w:ascii="宋体" w:hAnsi="宋体" w:cs="宋体" w:eastAsia="宋体" w:hint="default"/>
        </w:rPr>
        <w:t>4</w:t>
      </w:r>
      <w:r>
        <w:rPr/>
        <w:t>）存货的盘存制度 本公司采用永续盘存制。</w:t>
      </w:r>
    </w:p>
    <w:p>
      <w:pPr>
        <w:pStyle w:val="BodyText"/>
        <w:spacing w:line="240" w:lineRule="auto"/>
        <w:ind w:left="1134" w:right="0"/>
        <w:jc w:val="left"/>
      </w:pPr>
      <w:r>
        <w:rPr/>
        <w:t>（</w:t>
      </w:r>
      <w:r>
        <w:rPr>
          <w:rFonts w:ascii="宋体" w:hAnsi="宋体" w:cs="宋体" w:eastAsia="宋体" w:hint="default"/>
        </w:rPr>
        <w:t>5</w:t>
      </w:r>
      <w:r>
        <w:rPr/>
        <w:t>）低值易耗品和包装物的摊销办法</w:t>
      </w:r>
    </w:p>
    <w:p>
      <w:pPr>
        <w:pStyle w:val="BodyText"/>
        <w:spacing w:line="240" w:lineRule="auto" w:before="76"/>
        <w:ind w:left="1134" w:right="0"/>
        <w:jc w:val="left"/>
      </w:pPr>
      <w:r>
        <w:rPr/>
        <w:t>①低值易耗品采用一次转销法；</w:t>
      </w:r>
    </w:p>
    <w:p>
      <w:pPr>
        <w:pStyle w:val="BodyText"/>
        <w:spacing w:line="240" w:lineRule="auto" w:before="76"/>
        <w:ind w:left="1134" w:right="0"/>
        <w:jc w:val="left"/>
      </w:pPr>
      <w:r>
        <w:rPr/>
        <w:t>②包装物采用一次转销法。</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13、持有待售资产" w:id="180"/>
      <w:bookmarkEnd w:id="18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4、长期股权投资" w:id="181"/>
      <w:bookmarkEnd w:id="18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5773"/>
        <w:jc w:val="left"/>
      </w:pPr>
      <w:r>
        <w:rPr/>
        <w:t>（</w:t>
      </w:r>
      <w:r>
        <w:rPr>
          <w:rFonts w:ascii="宋体" w:hAnsi="宋体" w:cs="宋体" w:eastAsia="宋体" w:hint="default"/>
        </w:rPr>
        <w:t>1</w:t>
      </w:r>
      <w:r>
        <w:rPr/>
        <w:t>） 初始计量 本公司分别下列两种情况对长期股权投资进行初始计量：</w:t>
      </w:r>
    </w:p>
    <w:p>
      <w:pPr>
        <w:pStyle w:val="BodyText"/>
        <w:spacing w:line="316" w:lineRule="auto"/>
        <w:ind w:left="1613" w:right="0"/>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w:t>
      </w:r>
    </w:p>
    <w:p>
      <w:pPr>
        <w:pStyle w:val="BodyText"/>
        <w:spacing w:line="316" w:lineRule="auto"/>
        <w:ind w:left="1134" w:right="0"/>
        <w:jc w:val="left"/>
      </w:pPr>
      <w:r>
        <w:rPr>
          <w:spacing w:val="-2"/>
        </w:rPr>
        <w:t>被合并方所有者权益在最终控制方合并财务报表中的账面价值的份额作为长期股权投资的初始投资成本。长期股权投资初始</w:t>
      </w:r>
      <w:r>
        <w:rPr>
          <w:spacing w:val="-64"/>
        </w:rPr>
        <w:t> </w:t>
      </w:r>
      <w:r>
        <w:rPr>
          <w:spacing w:val="-64"/>
        </w:rPr>
      </w:r>
      <w:r>
        <w:rPr>
          <w:spacing w:val="-2"/>
        </w:rPr>
        <w:t>投资成本与支付的现金、转让的非现金资产以及所承担债务账面价值之间的差额，调整资本公积；资本公积不足冲减的，调</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整留存收益。为进行企业合并发生的各项直接相关费用，包括为进行企业合并而支付的审计费用、评估费用、法律服务费用</w:t>
      </w:r>
      <w:r>
        <w:rPr>
          <w:spacing w:val="-66"/>
        </w:rPr>
        <w:t> </w:t>
      </w:r>
      <w:r>
        <w:rPr>
          <w:spacing w:val="-66"/>
        </w:rPr>
      </w:r>
      <w:r>
        <w:rPr/>
        <w:t>等，于发生时计入当期损益。</w:t>
      </w:r>
    </w:p>
    <w:p>
      <w:pPr>
        <w:pStyle w:val="BodyText"/>
        <w:spacing w:line="316" w:lineRule="auto"/>
        <w:ind w:left="1613" w:right="0"/>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w:t>
      </w:r>
    </w:p>
    <w:p>
      <w:pPr>
        <w:pStyle w:val="BodyText"/>
        <w:spacing w:line="240" w:lineRule="auto"/>
        <w:ind w:right="0"/>
        <w:jc w:val="left"/>
      </w:pPr>
      <w:r>
        <w:rPr/>
        <w:t>债的公允价值；</w:t>
      </w:r>
    </w:p>
    <w:p>
      <w:pPr>
        <w:pStyle w:val="BodyText"/>
        <w:spacing w:line="316" w:lineRule="auto" w:before="76"/>
        <w:ind w:right="0" w:firstLine="480"/>
        <w:jc w:val="left"/>
      </w:pPr>
      <w:r>
        <w:rPr>
          <w:rFonts w:ascii="宋体" w:hAnsi="宋体" w:cs="宋体" w:eastAsia="宋体" w:hint="default"/>
        </w:rPr>
        <w:t>b</w:t>
      </w:r>
      <w:r>
        <w:rPr/>
        <w:t>）通过多次交换交易分步实现的企业合并，以购买日之前所持被购买方的股权投资的账面价值与购买日新增投资成 本之和，作为该项投资的初始投资成本；</w:t>
      </w:r>
    </w:p>
    <w:p>
      <w:pPr>
        <w:pStyle w:val="BodyText"/>
        <w:spacing w:line="316" w:lineRule="auto"/>
        <w:ind w:left="1613" w:right="0"/>
        <w:jc w:val="left"/>
      </w:pPr>
      <w:r>
        <w:rPr>
          <w:rFonts w:ascii="宋体" w:hAnsi="宋体" w:cs="宋体" w:eastAsia="宋体" w:hint="default"/>
        </w:rPr>
        <w:t>c</w:t>
      </w:r>
      <w:r>
        <w:rPr/>
        <w:t>）为企业合并发生的审计、法律服务、评估咨询等中介费用以及其他相关管理费用，于发生时计入当期损益； </w:t>
      </w:r>
      <w:r>
        <w:rPr>
          <w:rFonts w:ascii="宋体" w:hAnsi="宋体" w:cs="宋体" w:eastAsia="宋体" w:hint="default"/>
        </w:rPr>
        <w:t>d</w:t>
      </w:r>
      <w:r>
        <w:rPr/>
        <w:t>）在合并合同或协议中对可能影响合并成本的未来事项作出约定的，购买日如果估计未来事项很可能发生并且对合</w:t>
      </w:r>
    </w:p>
    <w:p>
      <w:pPr>
        <w:pStyle w:val="BodyText"/>
        <w:spacing w:line="240" w:lineRule="auto"/>
        <w:ind w:right="0"/>
        <w:jc w:val="left"/>
      </w:pPr>
      <w:r>
        <w:rPr/>
        <w:t>并成本的影响金额能够可靠计量的，将其计入合并成本。</w:t>
      </w:r>
    </w:p>
    <w:p>
      <w:pPr>
        <w:pStyle w:val="BodyText"/>
        <w:spacing w:line="316" w:lineRule="auto" w:before="76"/>
        <w:ind w:left="1613" w:right="0"/>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w:t>
      </w:r>
    </w:p>
    <w:p>
      <w:pPr>
        <w:pStyle w:val="BodyText"/>
        <w:spacing w:line="316" w:lineRule="auto"/>
        <w:ind w:left="1613" w:right="1130" w:hanging="480"/>
        <w:jc w:val="left"/>
      </w:pPr>
      <w:r>
        <w:rPr/>
        <w:t>权投资直接相关的费用、税金及其他必要支出。 </w:t>
      </w:r>
      <w:r>
        <w:rPr>
          <w:rFonts w:ascii="宋体" w:hAnsi="宋体" w:cs="宋体" w:eastAsia="宋体" w:hint="default"/>
        </w:rPr>
        <w:t>B</w:t>
      </w:r>
      <w:r>
        <w:rPr/>
        <w:t>、通过非货币性资产交换取得的长期股权投资，其初始投资成本按照《企业会计准则第</w:t>
      </w:r>
      <w:r>
        <w:rPr>
          <w:rFonts w:ascii="宋体" w:hAnsi="宋体" w:cs="宋体" w:eastAsia="宋体" w:hint="default"/>
        </w:rPr>
        <w:t>7</w:t>
      </w:r>
      <w:r>
        <w:rPr/>
        <w:t>号</w:t>
      </w:r>
      <w:r>
        <w:rPr>
          <w:rFonts w:ascii="宋体" w:hAnsi="宋体" w:cs="宋体" w:eastAsia="宋体" w:hint="default"/>
        </w:rPr>
        <w:t>-</w:t>
      </w:r>
      <w:r>
        <w:rPr/>
        <w:t>非货币性资产交换》确</w:t>
      </w:r>
    </w:p>
    <w:p>
      <w:pPr>
        <w:pStyle w:val="BodyText"/>
        <w:spacing w:line="240" w:lineRule="auto"/>
        <w:ind w:right="0"/>
        <w:jc w:val="left"/>
      </w:pPr>
      <w:r>
        <w:rPr/>
        <w:t>定。</w:t>
      </w:r>
    </w:p>
    <w:p>
      <w:pPr>
        <w:pStyle w:val="BodyText"/>
        <w:spacing w:line="240" w:lineRule="auto" w:before="76"/>
        <w:ind w:left="1614" w:right="0"/>
        <w:jc w:val="left"/>
      </w:pPr>
      <w:r>
        <w:rPr>
          <w:rFonts w:ascii="宋体" w:hAnsi="宋体" w:cs="宋体" w:eastAsia="宋体" w:hint="default"/>
        </w:rPr>
        <w:t>C</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240" w:lineRule="auto" w:before="76"/>
        <w:ind w:left="1613" w:right="0"/>
        <w:jc w:val="left"/>
      </w:pPr>
      <w:r>
        <w:rPr/>
        <w:t>③无论是以何种方式取得长期股权投资，取得投资时，对于支付的对价中包含的应享有被投资单位已经宣告但尚未发</w:t>
      </w:r>
    </w:p>
    <w:p>
      <w:pPr>
        <w:pStyle w:val="BodyText"/>
        <w:spacing w:line="240" w:lineRule="auto" w:before="76"/>
        <w:ind w:right="0"/>
        <w:jc w:val="left"/>
      </w:pPr>
      <w:r>
        <w:rPr/>
        <w:t>放的现金股利或利润都作为应收项目单独核算，不构成取得长期股权投资的初始投资成本。</w:t>
      </w:r>
    </w:p>
    <w:p>
      <w:pPr>
        <w:pStyle w:val="BodyText"/>
        <w:spacing w:line="316" w:lineRule="auto" w:before="76"/>
        <w:ind w:left="1613" w:right="0"/>
        <w:jc w:val="left"/>
      </w:pPr>
      <w:r>
        <w:rPr/>
        <w:t>（</w:t>
      </w:r>
      <w:r>
        <w:rPr>
          <w:rFonts w:ascii="宋体" w:hAnsi="宋体" w:cs="宋体" w:eastAsia="宋体" w:hint="default"/>
        </w:rPr>
        <w:t>2</w:t>
      </w:r>
      <w:r>
        <w:rPr/>
        <w:t>） 后续计量 </w:t>
      </w:r>
      <w:r>
        <w:rPr>
          <w:spacing w:val="-1"/>
        </w:rPr>
        <w:t>能够对被投资单位实施控制的长期股权投资，在个别财务报表中采用成本法核算。对被投资单位具有共同控制或重大</w:t>
      </w:r>
    </w:p>
    <w:p>
      <w:pPr>
        <w:pStyle w:val="BodyText"/>
        <w:spacing w:line="240" w:lineRule="auto"/>
        <w:ind w:right="0"/>
        <w:jc w:val="left"/>
      </w:pPr>
      <w:r>
        <w:rPr/>
        <w:t>影响的长期股权投资，采用权益法核算。</w:t>
      </w:r>
    </w:p>
    <w:p>
      <w:pPr>
        <w:pStyle w:val="BodyText"/>
        <w:spacing w:line="319" w:lineRule="auto" w:before="76"/>
        <w:ind w:right="1133" w:firstLine="480"/>
        <w:jc w:val="both"/>
      </w:pPr>
      <w:r>
        <w:rPr>
          <w:spacing w:val="-1"/>
        </w:rPr>
        <w:t>①采用成本法核算的长期股权投资按照初始投资成本计价。追加或收回投资调整长期股权投资的成本。被投资单位宣</w:t>
      </w:r>
      <w:r>
        <w:rPr/>
        <w:t> 告分派的现金股利或利润，确认为当期投资收益。</w:t>
      </w:r>
    </w:p>
    <w:p>
      <w:pPr>
        <w:pStyle w:val="BodyText"/>
        <w:spacing w:line="316" w:lineRule="auto" w:before="17"/>
        <w:ind w:right="1130" w:firstLine="480"/>
        <w:jc w:val="both"/>
      </w:pPr>
      <w:r>
        <w:rPr>
          <w:spacing w:val="-1"/>
        </w:rPr>
        <w:t>②采用权益法核算的长期股权投资，其初始投资成本大于投资时应享有被投资单位可辨认净资产公允价值份额的，不</w:t>
      </w:r>
      <w:r>
        <w:rPr/>
        <w:t> </w:t>
      </w:r>
      <w:r>
        <w:rPr>
          <w:spacing w:val="-2"/>
        </w:rPr>
        <w:t>调整长期股权投资的初始投资成本；长期股权投资的初始投资成本小于投资时应享有被投资单位可辨认净资产公允价值份额</w:t>
      </w:r>
      <w:r>
        <w:rPr>
          <w:spacing w:val="-64"/>
        </w:rPr>
        <w:t> </w:t>
      </w:r>
      <w:r>
        <w:rPr>
          <w:spacing w:val="-64"/>
        </w:rPr>
      </w:r>
      <w:r>
        <w:rPr/>
        <w:t>的，其差额计入当期损益，同时调整长期股权投资的成本。</w:t>
      </w:r>
    </w:p>
    <w:p>
      <w:pPr>
        <w:pStyle w:val="BodyText"/>
        <w:spacing w:line="316" w:lineRule="auto"/>
        <w:ind w:left="1134" w:right="1131" w:firstLine="480"/>
        <w:jc w:val="both"/>
      </w:pPr>
      <w:r>
        <w:rPr>
          <w:spacing w:val="-1"/>
        </w:rPr>
        <w:t>取得长期股权投资后，按照应享有或应分担的被投资单位实现的净损益和其他综合收益的份额，分别确认投资收益和</w:t>
      </w:r>
      <w:r>
        <w:rPr/>
        <w:t> </w:t>
      </w:r>
      <w:r>
        <w:rPr>
          <w:spacing w:val="-2"/>
        </w:rPr>
        <w:t>其他综合收益，同时调整长期股权投资的账面价值；按照被投资单位宣告分派的利润或现金股利计算应享有的部分，相应减</w:t>
      </w:r>
      <w:r>
        <w:rPr>
          <w:spacing w:val="-66"/>
        </w:rPr>
        <w:t> </w:t>
      </w:r>
      <w:r>
        <w:rPr>
          <w:spacing w:val="-66"/>
        </w:rPr>
      </w:r>
      <w:r>
        <w:rPr>
          <w:spacing w:val="-2"/>
        </w:rPr>
        <w:t>少长期股权投资的账面价值；对于被投资单位除净损益、其他综合收益和利润分配以外所有者权益的其他变动，调整长期股</w:t>
      </w:r>
      <w:r>
        <w:rPr>
          <w:spacing w:val="-66"/>
        </w:rPr>
        <w:t> </w:t>
      </w:r>
      <w:r>
        <w:rPr>
          <w:spacing w:val="-66"/>
        </w:rPr>
      </w:r>
      <w:r>
        <w:rPr>
          <w:spacing w:val="-2"/>
        </w:rPr>
        <w:t>权投资的账面价值并计入所有者权益。在确认应享有被投资单位净损益的份额时，以取得投资时被投资单位可辨认净资产的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5"/>
        </w:rPr>
        <w:t> </w:t>
      </w:r>
      <w:r>
        <w:rPr>
          <w:spacing w:val="-65"/>
        </w:rPr>
      </w:r>
      <w:r>
        <w:rPr>
          <w:spacing w:val="-2"/>
        </w:rPr>
        <w:t>本公司的会计政策及会计期间对被投资单位的财务报表进行调整，并据以确认投资收益和其他综合收益等。确认被投资单位</w:t>
      </w:r>
      <w:r>
        <w:rPr>
          <w:spacing w:val="-64"/>
        </w:rPr>
        <w:t> </w:t>
      </w:r>
      <w:r>
        <w:rPr>
          <w:spacing w:val="-64"/>
        </w:rPr>
      </w:r>
      <w:r>
        <w:rPr>
          <w:spacing w:val="-2"/>
        </w:rPr>
        <w:t>发生的净亏损，以长期股权投资的账面价值以及其他实质上构成对被投资单位净投资的长期权益减记至零为限，本公司负有</w:t>
      </w:r>
      <w:r>
        <w:rPr>
          <w:spacing w:val="-64"/>
        </w:rPr>
        <w:t> </w:t>
      </w:r>
      <w:r>
        <w:rPr>
          <w:spacing w:val="-64"/>
        </w:rPr>
      </w:r>
      <w:r>
        <w:rPr>
          <w:spacing w:val="-2"/>
        </w:rPr>
        <w:t>承担额外损失义务的除外。被投资单位以后实现净利润的，本公司在其收益分享额弥补未确认的亏损分担额后，恢复确认收</w:t>
      </w:r>
      <w:r>
        <w:rPr>
          <w:spacing w:val="-66"/>
        </w:rPr>
        <w:t> </w:t>
      </w:r>
      <w:r>
        <w:rPr>
          <w:spacing w:val="-66"/>
        </w:rPr>
      </w:r>
      <w:r>
        <w:rPr/>
        <w:t>益分享额。</w:t>
      </w:r>
    </w:p>
    <w:p>
      <w:pPr>
        <w:pStyle w:val="BodyText"/>
        <w:spacing w:line="316" w:lineRule="auto"/>
        <w:ind w:left="1134" w:right="1133" w:firstLine="480"/>
        <w:jc w:val="both"/>
      </w:pPr>
      <w:r>
        <w:rPr>
          <w:spacing w:val="-1"/>
        </w:rPr>
        <w:t>计算确认应享有或应分担被投资单位的净损益时，与联营企业、合营企业之间发生的未实现内部交易损益按照应享有</w:t>
      </w:r>
      <w:r>
        <w:rPr/>
        <w:t> </w:t>
      </w:r>
      <w:r>
        <w:rPr>
          <w:spacing w:val="-2"/>
        </w:rPr>
        <w:t>的比例计算归属于本公司的部分，予以抵销，在此基础上确认投资收益。本公司与被投资单位发生的未实现内部交易损失属</w:t>
      </w:r>
      <w:r>
        <w:rPr>
          <w:spacing w:val="-66"/>
        </w:rPr>
        <w:t> </w:t>
      </w:r>
      <w:r>
        <w:rPr>
          <w:spacing w:val="-66"/>
        </w:rPr>
      </w:r>
      <w:r>
        <w:rPr/>
        <w:t>于资产减值损失的，予以全额确认。</w:t>
      </w:r>
    </w:p>
    <w:p>
      <w:pPr>
        <w:pStyle w:val="BodyText"/>
        <w:spacing w:line="319" w:lineRule="auto"/>
        <w:ind w:right="1133" w:firstLine="480"/>
        <w:jc w:val="both"/>
      </w:pPr>
      <w:r>
        <w:rPr>
          <w:spacing w:val="-1"/>
        </w:rPr>
        <w:t>本公司对联营企业的权益性投资，其中一部分通过风险投资机构、共同基金、信托公司或包括投连险基金在内的类似</w:t>
      </w:r>
      <w:r>
        <w:rPr/>
        <w:t> </w:t>
      </w:r>
      <w:r>
        <w:rPr>
          <w:spacing w:val="-2"/>
        </w:rPr>
        <w:t>主体间接持有的，无论以上主体是否对这部分投资具有重大影响，本公司都按照《企业会计准则第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w:t>
      </w:r>
      <w:r>
        <w:rPr>
          <w:spacing w:val="-63"/>
        </w:rPr>
        <w:t> </w:t>
      </w:r>
      <w:r>
        <w:rPr/>
        <w:t>计量》的有关规定，对间接持有的该部分投资选择以公允价值计量且其变动计入损益，并对其余部分采用权益法核算。</w:t>
      </w:r>
    </w:p>
    <w:p>
      <w:pPr>
        <w:pStyle w:val="BodyText"/>
        <w:spacing w:line="316" w:lineRule="auto" w:before="17"/>
        <w:ind w:right="1033" w:firstLine="480"/>
        <w:jc w:val="left"/>
      </w:pPr>
      <w:r>
        <w:rPr/>
        <w:t>③本公司处置长期股权投资，其账面价值与实际取得价款的差额，计入当期损益。采用权益法核算的长期股权投资，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p>
    <w:p>
      <w:pPr>
        <w:spacing w:after="0" w:line="316" w:lineRule="auto"/>
        <w:jc w:val="left"/>
        <w:sectPr>
          <w:footerReference w:type="default" r:id="rId15"/>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614" w:right="0"/>
        <w:jc w:val="left"/>
      </w:pPr>
      <w:r>
        <w:rPr/>
        <w:t>（</w:t>
      </w:r>
      <w:r>
        <w:rPr>
          <w:rFonts w:ascii="宋体" w:hAnsi="宋体" w:cs="宋体" w:eastAsia="宋体" w:hint="default"/>
        </w:rPr>
        <w:t>3</w:t>
      </w:r>
      <w:r>
        <w:rPr/>
        <w:t>）确定对被投资单位具有共同控制、重大影响的依据 </w:t>
      </w:r>
      <w:r>
        <w:rPr>
          <w:spacing w:val="-1"/>
        </w:rPr>
        <w:t>共同控制，是指按照相关约定对某项安排所共有的控制，并且该安排的相关活动必须经过分享控制权的参与方一致同</w:t>
      </w:r>
    </w:p>
    <w:p>
      <w:pPr>
        <w:pStyle w:val="BodyText"/>
        <w:spacing w:line="319" w:lineRule="auto"/>
        <w:ind w:left="1134" w:right="1132"/>
        <w:jc w:val="both"/>
      </w:pPr>
      <w:r>
        <w:rPr>
          <w:spacing w:val="-2"/>
        </w:rPr>
        <w:t>意后才能决策。重大影响，是指投资方对被投资单位的财务和经营政策有参与决策的权力，但并不能够控制或者与其他方一</w:t>
      </w:r>
      <w:r>
        <w:rPr>
          <w:spacing w:val="-66"/>
        </w:rPr>
        <w:t> </w:t>
      </w:r>
      <w:r>
        <w:rPr>
          <w:spacing w:val="-66"/>
        </w:rPr>
      </w:r>
      <w:r>
        <w:rPr>
          <w:spacing w:val="-2"/>
        </w:rPr>
        <w:t>起共同控制这些政策的制定。在确定能否对被投资单位实施控制或施加重大影响时，同时考虑本公司和其他方持有的被投资</w:t>
      </w:r>
      <w:r>
        <w:rPr>
          <w:spacing w:val="-64"/>
        </w:rPr>
        <w:t> </w:t>
      </w:r>
      <w:r>
        <w:rPr>
          <w:spacing w:val="-64"/>
        </w:rPr>
      </w:r>
      <w:r>
        <w:rPr/>
        <w:t>单位当期可转换债券、当期可执行认股权证等潜在表决权因素。</w:t>
      </w:r>
    </w:p>
    <w:p>
      <w:pPr>
        <w:spacing w:line="240" w:lineRule="auto" w:before="5"/>
        <w:rPr>
          <w:rFonts w:ascii="宋体" w:hAnsi="宋体" w:cs="宋体" w:eastAsia="宋体" w:hint="default"/>
          <w:sz w:val="22"/>
          <w:szCs w:val="22"/>
        </w:rPr>
      </w:pPr>
    </w:p>
    <w:p>
      <w:pPr>
        <w:pStyle w:val="Heading3"/>
        <w:spacing w:line="240" w:lineRule="auto"/>
        <w:ind w:left="1134" w:right="0"/>
        <w:jc w:val="left"/>
        <w:rPr>
          <w:b w:val="0"/>
          <w:bCs w:val="0"/>
        </w:rPr>
      </w:pPr>
      <w:bookmarkStart w:name="15、投资性房地产" w:id="182"/>
      <w:bookmarkEnd w:id="18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8952"/>
        <w:jc w:val="left"/>
      </w:pPr>
      <w:r>
        <w:rPr/>
        <w:t>投资性房地产计量模式 成本法计量 折旧或摊销方法</w:t>
      </w:r>
    </w:p>
    <w:p>
      <w:pPr>
        <w:pStyle w:val="BodyText"/>
        <w:spacing w:line="316" w:lineRule="auto" w:before="25"/>
        <w:ind w:left="1613" w:right="0"/>
        <w:jc w:val="left"/>
      </w:pPr>
      <w:r>
        <w:rPr/>
        <w:t>本公司的投资性房地产是指为赚取租金或资本增值，或两者兼有而持有的房地产。主要包括：已出租的建筑物。 本公司采用成本模式对投资性房地产进行后续计量，并按照与房屋建筑物或土地使用权一致的政策进行折旧或摊销。</w:t>
      </w:r>
      <w:r>
        <w:rPr>
          <w:spacing w:val="-36"/>
        </w:rPr>
        <w:t> </w:t>
      </w:r>
      <w:r>
        <w:rPr>
          <w:spacing w:val="-36"/>
        </w:rPr>
      </w:r>
      <w:r>
        <w:rPr/>
        <w:t>投资性房地产的减值测试方法和减值准备计提方法详见</w:t>
      </w:r>
      <w:r>
        <w:rPr>
          <w:rFonts w:ascii="宋体" w:hAnsi="宋体" w:cs="宋体" w:eastAsia="宋体" w:hint="default"/>
        </w:rPr>
        <w:t>22</w:t>
      </w:r>
      <w:r>
        <w:rPr/>
        <w:t>“长期资产减值”。 自用房地产或存货转换为投资性房地产或投资性房地产转换为自用房地产时，按转换前的账面价值作为转换后的入账</w:t>
      </w:r>
    </w:p>
    <w:p>
      <w:pPr>
        <w:pStyle w:val="BodyText"/>
        <w:spacing w:line="240" w:lineRule="auto"/>
        <w:ind w:right="0"/>
        <w:jc w:val="left"/>
      </w:pPr>
      <w:r>
        <w:rPr/>
        <w:t>价值。</w:t>
      </w:r>
    </w:p>
    <w:p>
      <w:pPr>
        <w:pStyle w:val="BodyText"/>
        <w:spacing w:line="316" w:lineRule="auto" w:before="76"/>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5"/>
        </w:rPr>
        <w:t> </w:t>
      </w:r>
      <w:r>
        <w:rPr>
          <w:spacing w:val="-65"/>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ind w:right="0" w:firstLine="480"/>
        <w:jc w:val="left"/>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固定资产" w:id="183"/>
      <w:bookmarkEnd w:id="18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0" w:firstLine="360"/>
        <w:jc w:val="left"/>
      </w:pPr>
      <w:r>
        <w:rPr>
          <w:spacing w:val="-2"/>
        </w:rPr>
        <w:t>本公司固定资产是指为生产商品、提供劳务、出租或经营管理而持有的，并且使用年限超过一年，与该资产有关的经济</w:t>
      </w:r>
      <w:r>
        <w:rPr/>
        <w:t> 利益很可能流入本公司且其成本能够可靠计量的有形资产。</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26"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26" w:type="dxa"/>
            <w:tcBorders>
              <w:top w:val="single" w:sz="4" w:space="0" w:color="000000"/>
              <w:left w:val="single" w:sz="4" w:space="0" w:color="000000"/>
              <w:bottom w:val="single" w:sz="4" w:space="0" w:color="000000"/>
              <w:right w:val="single" w:sz="13" w:space="0" w:color="C7E7CC"/>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0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0" w:firstLine="360"/>
        <w:jc w:val="left"/>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p>
    <w:p>
      <w:pPr>
        <w:spacing w:after="0" w:line="316" w:lineRule="auto"/>
        <w:jc w:val="left"/>
        <w:sectPr>
          <w:footerReference w:type="default" r:id="rId16"/>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用与自有应计折旧资产相一致的折旧政策。能够合理确定租赁期届满时取得租赁资产所有权的，在租赁资产尚可使用年限内</w:t>
      </w:r>
      <w:r>
        <w:rPr>
          <w:spacing w:val="-64"/>
        </w:rPr>
        <w:t> </w:t>
      </w:r>
      <w:r>
        <w:rPr>
          <w:spacing w:val="-64"/>
        </w:rPr>
      </w:r>
      <w:r>
        <w:rPr>
          <w:spacing w:val="-2"/>
        </w:rPr>
        <w:t>计提折旧；无法合理确定租赁期届满时能够取得租赁资产所有权的，在租赁期与租赁资产尚可使用年限两者中较短的期间内</w:t>
      </w:r>
      <w:r>
        <w:rPr>
          <w:spacing w:val="-64"/>
        </w:rPr>
        <w:t> </w:t>
      </w:r>
      <w:r>
        <w:rPr>
          <w:spacing w:val="-64"/>
        </w:rPr>
      </w:r>
      <w:r>
        <w:rPr/>
        <w:t>计提折旧。</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tabs>
          <w:tab w:pos="1674" w:val="left" w:leader="none"/>
        </w:tabs>
        <w:spacing w:line="357" w:lineRule="auto" w:before="0"/>
        <w:ind w:left="1134" w:right="7710"/>
        <w:jc w:val="left"/>
      </w:pPr>
      <w:r>
        <w:rPr/>
        <w:t>公司是否需要遵守特殊行业的披露要求 是</w:t>
        <w:tab/>
        <w:t>互联网游戏业</w:t>
      </w:r>
    </w:p>
    <w:p>
      <w:pPr>
        <w:pStyle w:val="BodyText"/>
        <w:spacing w:line="316" w:lineRule="auto" w:before="28"/>
        <w:ind w:right="1131" w:firstLine="480"/>
        <w:jc w:val="both"/>
      </w:pPr>
      <w:r>
        <w:rPr>
          <w:spacing w:val="-1"/>
        </w:rPr>
        <w:t>本公司在建工程指兴建中的厂房与设备及其他固定资产，按工程项目进行明细核算，按实际成本入账，其中包括直接</w:t>
      </w:r>
      <w:r>
        <w:rPr/>
        <w:t> </w:t>
      </w:r>
      <w:r>
        <w:rPr>
          <w:spacing w:val="-2"/>
        </w:rPr>
        <w:t>建筑及安装成本，以及符合资本化条件的借款费用。在建工程达到预定可使用状态时，暂估结转为固定资产，停止利息资本</w:t>
      </w:r>
      <w:r>
        <w:rPr>
          <w:spacing w:val="-66"/>
        </w:rPr>
        <w:t> </w:t>
      </w:r>
      <w:r>
        <w:rPr>
          <w:spacing w:val="-66"/>
        </w:rPr>
      </w:r>
      <w:r>
        <w:rPr>
          <w:spacing w:val="-2"/>
        </w:rPr>
        <w:t>化，并开始按确定的固定资产折旧方法计提折旧，待工程竣工决算后，按竣工决算的金额调整原暂估金额，但不调整原已计</w:t>
      </w:r>
      <w:r>
        <w:rPr>
          <w:spacing w:val="-66"/>
        </w:rPr>
        <w:t> </w:t>
      </w:r>
      <w:r>
        <w:rPr>
          <w:spacing w:val="-66"/>
        </w:rPr>
      </w:r>
      <w:r>
        <w:rPr/>
        <w:t>提的折旧额。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4" w:right="0"/>
        <w:jc w:val="left"/>
      </w:pPr>
      <w:r>
        <w:rPr/>
        <w:t>（</w:t>
      </w:r>
      <w:r>
        <w:rPr>
          <w:rFonts w:ascii="宋体" w:hAnsi="宋体" w:cs="宋体" w:eastAsia="宋体" w:hint="default"/>
        </w:rPr>
        <w:t>1</w:t>
      </w:r>
      <w:r>
        <w:rPr/>
        <w:t>）借款费用资本化的确认原则和资本化期间 本公司发生的借款费用，可直接归属于符合资本化条件的资产的购建或生产的，在同时满足下列条件时予以资本化，</w:t>
      </w:r>
    </w:p>
    <w:p>
      <w:pPr>
        <w:pStyle w:val="BodyText"/>
        <w:spacing w:line="240" w:lineRule="auto"/>
        <w:ind w:left="1134" w:right="0"/>
        <w:jc w:val="both"/>
      </w:pPr>
      <w:r>
        <w:rPr/>
        <w:t>计入相关资产成本：</w:t>
      </w:r>
    </w:p>
    <w:p>
      <w:pPr>
        <w:pStyle w:val="BodyText"/>
        <w:spacing w:line="240" w:lineRule="auto" w:before="76"/>
        <w:ind w:left="1613" w:right="0"/>
        <w:jc w:val="left"/>
      </w:pPr>
      <w:r>
        <w:rPr/>
        <w:t>① 资产支出已经发生；</w:t>
      </w:r>
    </w:p>
    <w:p>
      <w:pPr>
        <w:pStyle w:val="BodyText"/>
        <w:spacing w:line="240" w:lineRule="auto" w:before="76"/>
        <w:ind w:left="1614" w:right="0"/>
        <w:jc w:val="left"/>
      </w:pPr>
      <w:r>
        <w:rPr/>
        <w:t>② 借款费用已经发生；</w:t>
      </w:r>
    </w:p>
    <w:p>
      <w:pPr>
        <w:pStyle w:val="BodyText"/>
        <w:spacing w:line="316" w:lineRule="auto" w:before="76"/>
        <w:ind w:left="1613" w:right="0"/>
        <w:jc w:val="left"/>
      </w:pPr>
      <w:r>
        <w:rPr/>
        <w:t>③ 为使资产达到预定可使用或者可销售状态所必要的购建或者生产活动已经开始。 符合资本化条件的资产在购建或者生产过程中发生非正常中断、且中断时间连续超过</w:t>
      </w:r>
      <w:r>
        <w:rPr>
          <w:rFonts w:ascii="宋体" w:hAnsi="宋体" w:cs="宋体" w:eastAsia="宋体" w:hint="default"/>
        </w:rPr>
        <w:t>3</w:t>
      </w:r>
      <w:r>
        <w:rPr/>
        <w:t>个月的，暂停借款费用的资本</w:t>
      </w:r>
    </w:p>
    <w:p>
      <w:pPr>
        <w:pStyle w:val="BodyText"/>
        <w:spacing w:line="316" w:lineRule="auto"/>
        <w:ind w:right="0"/>
        <w:jc w:val="left"/>
      </w:pPr>
      <w:r>
        <w:rPr>
          <w:spacing w:val="-2"/>
        </w:rPr>
        <w:t>化。在中断期间发生的借款费用确认为费用，计入当期损益，直至资产的购建或者生产活动重新开始。如果中断是所购建或</w:t>
      </w:r>
      <w:r>
        <w:rPr>
          <w:spacing w:val="-66"/>
        </w:rPr>
        <w:t> </w:t>
      </w:r>
      <w:r>
        <w:rPr>
          <w:spacing w:val="-66"/>
        </w:rPr>
      </w:r>
      <w:r>
        <w:rPr/>
        <w:t>者生产的符合资本化条件的资产达到预定可使用或者可销售状态必要的程序，借款费用的资本化继续进行。</w:t>
      </w:r>
    </w:p>
    <w:p>
      <w:pPr>
        <w:pStyle w:val="BodyText"/>
        <w:spacing w:line="316" w:lineRule="auto"/>
        <w:ind w:right="1133" w:firstLine="480"/>
        <w:jc w:val="both"/>
      </w:pPr>
      <w:r>
        <w:rPr>
          <w:spacing w:val="-1"/>
        </w:rPr>
        <w:t>购建或者生产符合资本化条件的资产达到预定可使用或者可销售状态时，借款费用停止资本化。以后发生的借款费用</w:t>
      </w:r>
      <w:r>
        <w:rPr/>
        <w:t> 于发生当期确认为费用。</w:t>
      </w:r>
    </w:p>
    <w:p>
      <w:pPr>
        <w:pStyle w:val="BodyText"/>
        <w:spacing w:line="316" w:lineRule="auto"/>
        <w:ind w:left="1613" w:right="0"/>
        <w:jc w:val="left"/>
      </w:pPr>
      <w:r>
        <w:rPr/>
        <w:t>（</w:t>
      </w:r>
      <w:r>
        <w:rPr>
          <w:rFonts w:ascii="宋体" w:hAnsi="宋体" w:cs="宋体" w:eastAsia="宋体" w:hint="default"/>
        </w:rPr>
        <w:t>2</w:t>
      </w:r>
      <w:r>
        <w:rPr/>
        <w:t>）借款费用资本化金额的计算方法 </w:t>
      </w:r>
      <w:r>
        <w:rPr>
          <w:spacing w:val="-1"/>
        </w:rPr>
        <w:t>为购建或者生产符合资本化条件的资产而借入专门借款的，以专门借款当期实际发生的利息费用，减去将尚未动用的</w:t>
      </w:r>
    </w:p>
    <w:p>
      <w:pPr>
        <w:pStyle w:val="BodyText"/>
        <w:spacing w:line="316" w:lineRule="auto"/>
        <w:ind w:left="1613" w:right="0" w:hanging="480"/>
        <w:jc w:val="left"/>
      </w:pPr>
      <w:r>
        <w:rPr/>
        <w:t>借款资金存入银行取得的利息收入或进行暂时性投资取得的投资收益后的金额确定。 </w:t>
      </w:r>
      <w:r>
        <w:rPr>
          <w:spacing w:val="-1"/>
        </w:rPr>
        <w:t>为购建或者生产符合资本化条件的资产而占用了一般借款的，根据累计资产支出超过专门借款部分的资产支出加权平</w:t>
      </w:r>
    </w:p>
    <w:p>
      <w:pPr>
        <w:pStyle w:val="BodyText"/>
        <w:spacing w:line="316" w:lineRule="auto"/>
        <w:ind w:right="1122"/>
        <w:jc w:val="left"/>
      </w:pP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19、生物资产" w:id="189"/>
      <w:bookmarkEnd w:id="18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20、油气资产" w:id="190"/>
      <w:bookmarkEnd w:id="19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21、无形资产" w:id="191"/>
      <w:bookmarkEnd w:id="19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tabs>
          <w:tab w:pos="1674" w:val="left" w:leader="none"/>
        </w:tabs>
        <w:spacing w:line="357" w:lineRule="auto" w:before="0"/>
        <w:ind w:left="1134" w:right="7710"/>
        <w:jc w:val="left"/>
      </w:pPr>
      <w:r>
        <w:rPr/>
        <w:t>公司是否需要遵守特殊行业的披露要求 是</w:t>
        <w:tab/>
        <w:t>互联网游戏业</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613" w:right="0"/>
        <w:jc w:val="left"/>
      </w:pPr>
      <w:r>
        <w:rPr/>
        <w:t>本公司的无形资产按实际支付的金额或确定的价值入账。</w:t>
      </w:r>
    </w:p>
    <w:p>
      <w:pPr>
        <w:pStyle w:val="BodyText"/>
        <w:spacing w:line="316" w:lineRule="auto" w:before="76"/>
        <w:ind w:right="1128" w:firstLine="480"/>
        <w:jc w:val="left"/>
      </w:pPr>
      <w:r>
        <w:rPr/>
        <w:t>（</w:t>
      </w:r>
      <w:r>
        <w:rPr>
          <w:rFonts w:ascii="宋体" w:hAnsi="宋体" w:cs="宋体" w:eastAsia="宋体" w:hint="default"/>
        </w:rPr>
        <w:t>1</w:t>
      </w:r>
      <w:r>
        <w:rPr/>
        <w:t>）购买无形资产的价款超过正常信用条件延期支付，实质上具有融资性质，无形资产的成本以购买价款的现值为 </w:t>
      </w:r>
      <w:r>
        <w:rPr>
          <w:spacing w:val="-5"/>
        </w:rPr>
        <w:t>基础确定。实际支付的价款与购买价款的现值之间的差额，除按照规定应予资本化的以外，应当在信用期间内计入当期损益。</w:t>
      </w:r>
    </w:p>
    <w:p>
      <w:pPr>
        <w:pStyle w:val="BodyText"/>
        <w:spacing w:line="240" w:lineRule="auto"/>
        <w:ind w:left="1613" w:right="0"/>
        <w:jc w:val="left"/>
      </w:pPr>
      <w:r>
        <w:rPr/>
        <w:t>（</w:t>
      </w:r>
      <w:r>
        <w:rPr>
          <w:rFonts w:ascii="宋体" w:hAnsi="宋体" w:cs="宋体" w:eastAsia="宋体" w:hint="default"/>
        </w:rPr>
        <w:t>2</w:t>
      </w:r>
      <w:r>
        <w:rPr/>
        <w:t>）投资者投入的无形资产，按照投资合同或协议约定的价值作为成本，但合同或协议约定价值不公允的除外。</w:t>
      </w:r>
    </w:p>
    <w:p>
      <w:pPr>
        <w:pStyle w:val="BodyText"/>
        <w:spacing w:line="316" w:lineRule="auto" w:before="77"/>
        <w:ind w:right="0" w:firstLine="480"/>
        <w:jc w:val="left"/>
      </w:pPr>
      <w:r>
        <w:rPr/>
        <w:t>（</w:t>
      </w:r>
      <w:r>
        <w:rPr>
          <w:rFonts w:ascii="宋体" w:hAnsi="宋体" w:cs="宋体" w:eastAsia="宋体" w:hint="default"/>
        </w:rPr>
        <w:t>3</w:t>
      </w:r>
      <w:r>
        <w:rPr/>
        <w:t>）本公司使用寿命有限的无形资产，自该无形资产可供使用时起在使用寿命期内平均摊销。使用寿命不确定的无 </w:t>
      </w:r>
      <w:r>
        <w:rPr>
          <w:spacing w:val="-2"/>
        </w:rPr>
        <w:t>形资产不予摊销。无形资产摊销金额为其成本扣除预计残值后的金额，已计提减值准备的无形资产，还需扣除已计提的无形</w:t>
      </w:r>
      <w:r>
        <w:rPr>
          <w:spacing w:val="-66"/>
        </w:rPr>
        <w:t> </w:t>
      </w:r>
      <w:r>
        <w:rPr>
          <w:spacing w:val="-66"/>
        </w:rPr>
      </w:r>
      <w:r>
        <w:rPr/>
        <w:t>资产减值准备累计金额。</w:t>
      </w:r>
    </w:p>
    <w:p>
      <w:pPr>
        <w:pStyle w:val="BodyText"/>
        <w:spacing w:line="240" w:lineRule="auto"/>
        <w:ind w:left="1614" w:right="0"/>
        <w:jc w:val="left"/>
      </w:pPr>
      <w:r>
        <w:rPr/>
        <w:t>对于使用寿命有限的各项无形资产的摊销年限分别为：</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262"/>
        <w:gridCol w:w="3257"/>
      </w:tblGrid>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tabs>
                <w:tab w:pos="830" w:val="left" w:leader="none"/>
              </w:tabs>
              <w:spacing w:line="240" w:lineRule="auto" w:before="21"/>
              <w:ind w:left="360"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2"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3" w:firstLine="480"/>
        <w:jc w:val="both"/>
      </w:pPr>
      <w:r>
        <w:rPr>
          <w:spacing w:val="-1"/>
        </w:rPr>
        <w:t>本公司内部研究开发项目的支出，区分研究阶段支出与开发阶段支出。研究是指为获取并理解新的科学或技术知识而</w:t>
      </w:r>
      <w:r>
        <w:rPr/>
        <w:t> </w:t>
      </w:r>
      <w:r>
        <w:rPr>
          <w:spacing w:val="-2"/>
        </w:rPr>
        <w:t>进行的独创性的有计划调查。开发是指在进行商业性生产或使用前，将研究成果或其他知识应用于某项计划或设计，以生产</w:t>
      </w:r>
      <w:r>
        <w:rPr>
          <w:spacing w:val="-66"/>
        </w:rPr>
        <w:t> </w:t>
      </w:r>
      <w:r>
        <w:rPr>
          <w:spacing w:val="-66"/>
        </w:rPr>
      </w:r>
      <w:r>
        <w:rPr/>
        <w:t>出新的或具有实质性改进的材料、装置、产品等。</w:t>
      </w:r>
    </w:p>
    <w:p>
      <w:pPr>
        <w:pStyle w:val="BodyText"/>
        <w:spacing w:line="319" w:lineRule="auto"/>
        <w:ind w:left="1134" w:right="0" w:firstLine="480"/>
        <w:jc w:val="left"/>
      </w:pPr>
      <w:r>
        <w:rPr/>
        <w:t>内部研究开发项目研究阶段的支出，于发生时计入当期损益。内部研究开发项目开发阶段的支出，同时满足下列条件 </w:t>
      </w:r>
      <w:r>
        <w:rPr>
          <w:spacing w:val="-4"/>
        </w:rPr>
        <w:t>的确认为无形资产：完成该无形资产以使其能够使用或出售在技术上具有可行性；具有完成该无形资产并使用或出售的意图；</w:t>
      </w:r>
      <w:r>
        <w:rPr>
          <w:spacing w:val="-44"/>
        </w:rPr>
        <w:t> </w:t>
      </w:r>
      <w:r>
        <w:rPr>
          <w:spacing w:val="-44"/>
        </w:rPr>
      </w:r>
      <w:r>
        <w:rPr>
          <w:spacing w:val="-2"/>
        </w:rPr>
        <w:t>无形资产产生经济利益的方式，包括能够证明运用该无形资产生产的产品存在市场或无形资产自身存在市场，无形资产将在</w:t>
      </w:r>
      <w:r>
        <w:rPr>
          <w:spacing w:val="-64"/>
        </w:rPr>
        <w:t> </w:t>
      </w:r>
      <w:r>
        <w:rPr>
          <w:spacing w:val="-64"/>
        </w:rPr>
      </w:r>
      <w:r>
        <w:rPr>
          <w:spacing w:val="-2"/>
        </w:rPr>
        <w:t>内部使用的，应当证明其有用性；有足够的技术、财务资源和其他资源支持，以完成该无形资产的开发，并有能力使用或出</w:t>
      </w:r>
      <w:r>
        <w:rPr>
          <w:spacing w:val="-66"/>
        </w:rPr>
        <w:t> </w:t>
      </w:r>
      <w:r>
        <w:rPr>
          <w:spacing w:val="-66"/>
        </w:rPr>
      </w:r>
      <w:r>
        <w:rPr/>
        <w:t>售该无形资产；归属于该无形资产开发阶段的支出能够可靠地计量。</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2、长期资产减值" w:id="194"/>
      <w:bookmarkEnd w:id="19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3、长期待摊费用" w:id="195"/>
      <w:bookmarkEnd w:id="1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134" w:right="1133" w:firstLine="480"/>
        <w:jc w:val="both"/>
      </w:pPr>
      <w:r>
        <w:rPr>
          <w:spacing w:val="-1"/>
        </w:rPr>
        <w:t>长期待摊费用按实际发生额入账，在受益期或规定的期限内分期平均摊销。如果长期待摊的费用项目不能使以后会计</w:t>
      </w:r>
      <w:r>
        <w:rPr/>
        <w:t> 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4、职工薪酬" w:id="196"/>
      <w:bookmarkEnd w:id="19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205" w:firstLine="384"/>
        <w:jc w:val="both"/>
      </w:pPr>
      <w:r>
        <w:rPr/>
        <w:t>本公司在职工为其提供服务的会计期间，将实际发生的短期薪酬确认为负债，并计入当期损益，其他会计准则要求或 允许计入资产成本的除外。</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1" w:firstLine="480"/>
        <w:jc w:val="both"/>
      </w:pPr>
      <w:r>
        <w:rPr>
          <w:spacing w:val="-1"/>
        </w:rPr>
        <w:t>本公司将离职后福利计划分类为设定提存计划和设定受益计划。离职后福利计划，是指本公司与职工就离职后福利达</w:t>
      </w:r>
      <w:r>
        <w:rPr/>
        <w:t> </w:t>
      </w:r>
      <w:r>
        <w:rPr>
          <w:spacing w:val="-2"/>
        </w:rPr>
        <w:t>成的协议，或者本公司为向职工提供离职后福利制定的规章或办法等。其中，设定提存计划，是指向独立的基金缴存固定费</w:t>
      </w:r>
      <w:r>
        <w:rPr>
          <w:spacing w:val="-66"/>
        </w:rPr>
        <w:t> </w:t>
      </w:r>
      <w:r>
        <w:rPr>
          <w:spacing w:val="-66"/>
        </w:rPr>
      </w:r>
      <w:r>
        <w:rPr/>
        <w:t>用后，本公司不再承担进一步支付义务的离职后福利计划；设定受益计划，是指除设定提存计划以外的离职后福利计划。</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1" w:firstLine="480"/>
        <w:jc w:val="both"/>
      </w:pPr>
      <w:r>
        <w:rPr>
          <w:spacing w:val="-1"/>
        </w:rPr>
        <w:t>本公司向职工提供辞退福利的，在下列两者孰早日确认辞退福利产生的职工薪酬负债，并计入当期损益：本公司不能</w:t>
      </w:r>
      <w:r>
        <w:rPr/>
        <w:t> </w:t>
      </w:r>
      <w:r>
        <w:rPr>
          <w:spacing w:val="-2"/>
        </w:rPr>
        <w:t>单方面撤回因解除劳动关系计划或裁减建议所提供的辞退福利时；本公司确认与涉及支付辞退福利的重组相关的成本或费用</w:t>
      </w:r>
      <w:r>
        <w:rPr>
          <w:spacing w:val="-64"/>
        </w:rPr>
        <w:t> </w:t>
      </w:r>
      <w:r>
        <w:rPr>
          <w:spacing w:val="-64"/>
        </w:rPr>
      </w:r>
      <w:r>
        <w:rPr/>
        <w:t>时。</w:t>
      </w:r>
    </w:p>
    <w:p>
      <w:pPr>
        <w:spacing w:line="240" w:lineRule="auto" w:before="5"/>
        <w:rPr>
          <w:rFonts w:ascii="宋体" w:hAnsi="宋体" w:cs="宋体" w:eastAsia="宋体" w:hint="default"/>
          <w:sz w:val="22"/>
          <w:szCs w:val="22"/>
        </w:rPr>
      </w:pPr>
    </w:p>
    <w:p>
      <w:pPr>
        <w:pStyle w:val="Heading3"/>
        <w:spacing w:line="240" w:lineRule="auto"/>
        <w:ind w:left="1134"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0" w:firstLine="480"/>
        <w:jc w:val="left"/>
      </w:pPr>
      <w:r>
        <w:rPr>
          <w:spacing w:val="-1"/>
        </w:rPr>
        <w:t>本公司向职工提供的其他长期职工福利，符合设定提存计划条件的，按照上述设定提存计划的会计政策进行处理；除</w:t>
      </w:r>
      <w:r>
        <w:rPr/>
        <w:t> 此以外的，按照上述设定受益计划的会计政策确认和计量其他长期职工福利净负债或净资产。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201"/>
      <w:bookmarkEnd w:id="20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614" w:right="4332"/>
        <w:jc w:val="left"/>
      </w:pPr>
      <w:r>
        <w:rPr/>
        <w:t>（</w:t>
      </w:r>
      <w:r>
        <w:rPr>
          <w:rFonts w:ascii="Times New Roman" w:hAnsi="Times New Roman" w:cs="Times New Roman" w:eastAsia="Times New Roman" w:hint="default"/>
        </w:rPr>
        <w:t>1</w:t>
      </w:r>
      <w:r>
        <w:rPr/>
        <w:t>）预计负债的确认标准 本公司规定与或有事项相关的义务同时满足下列条件的，确认为预计负债：</w:t>
      </w:r>
    </w:p>
    <w:p>
      <w:pPr>
        <w:pStyle w:val="BodyText"/>
        <w:spacing w:line="240" w:lineRule="auto" w:before="31"/>
        <w:ind w:left="1613" w:right="0"/>
        <w:jc w:val="left"/>
      </w:pPr>
      <w:r>
        <w:rPr/>
        <w:t>①该义务是企业承担的现时义务；</w:t>
      </w:r>
    </w:p>
    <w:p>
      <w:pPr>
        <w:pStyle w:val="BodyText"/>
        <w:spacing w:line="240" w:lineRule="auto" w:before="76"/>
        <w:ind w:left="1613" w:right="0"/>
        <w:jc w:val="left"/>
      </w:pPr>
      <w:r>
        <w:rPr/>
        <w:t>②履行该义务很可能导致经济利益流出企业；</w:t>
      </w:r>
    </w:p>
    <w:p>
      <w:pPr>
        <w:pStyle w:val="BodyText"/>
        <w:spacing w:line="240" w:lineRule="auto" w:before="76"/>
        <w:ind w:left="1614" w:right="0"/>
        <w:jc w:val="left"/>
      </w:pPr>
      <w:r>
        <w:rPr/>
        <w:t>③该义务的金额能够可靠地计量。</w:t>
      </w:r>
    </w:p>
    <w:p>
      <w:pPr>
        <w:pStyle w:val="BodyText"/>
        <w:spacing w:line="300" w:lineRule="auto" w:before="76"/>
        <w:ind w:left="1614" w:right="0"/>
        <w:jc w:val="left"/>
      </w:pPr>
      <w:r>
        <w:rPr/>
        <w:t>（</w:t>
      </w:r>
      <w:r>
        <w:rPr>
          <w:rFonts w:ascii="Times New Roman" w:hAnsi="Times New Roman" w:cs="Times New Roman" w:eastAsia="Times New Roman" w:hint="default"/>
        </w:rPr>
        <w:t>2</w:t>
      </w:r>
      <w:r>
        <w:rPr/>
        <w:t>）预计负债的计量方法 </w:t>
      </w:r>
      <w:r>
        <w:rPr>
          <w:spacing w:val="-1"/>
        </w:rPr>
        <w:t>预计负债按照履行相关现时义务所需支出的最佳估计数进行初始计量。所需支出存在一个连续范围，且该范围内各种</w:t>
      </w:r>
    </w:p>
    <w:p>
      <w:pPr>
        <w:pStyle w:val="BodyText"/>
        <w:spacing w:line="240" w:lineRule="auto" w:before="31"/>
        <w:ind w:left="1134" w:right="0"/>
        <w:jc w:val="left"/>
      </w:pPr>
      <w:r>
        <w:rPr/>
        <w:t>结果发生的可能性相同的，最佳估计数按照该范围内的中间值确定。在其他情况下，最佳估计数分别下列情况处理：</w:t>
      </w:r>
    </w:p>
    <w:p>
      <w:pPr>
        <w:pStyle w:val="BodyText"/>
        <w:spacing w:line="240" w:lineRule="auto" w:before="76"/>
        <w:ind w:left="1613" w:right="0"/>
        <w:jc w:val="left"/>
      </w:pPr>
      <w:r>
        <w:rPr/>
        <w:t>①或有事项涉及单个项目的，按照最可能发生金额确定。</w:t>
      </w:r>
    </w:p>
    <w:p>
      <w:pPr>
        <w:pStyle w:val="BodyText"/>
        <w:spacing w:line="316" w:lineRule="auto" w:before="77"/>
        <w:ind w:left="1613" w:right="1121"/>
        <w:jc w:val="left"/>
      </w:pPr>
      <w:r>
        <w:rPr/>
        <w:t>②或有事项涉及多个项目的，按照各种可能结果及相关概率计算确定。 </w:t>
      </w:r>
      <w:r>
        <w:rPr>
          <w:spacing w:val="-4"/>
        </w:rPr>
        <w:t>在确定最佳估计数时，综合考虑与或有事项有关的风险、不确定性和货币时间价值等因素。货币时间价值影响重大的，</w:t>
      </w:r>
    </w:p>
    <w:p>
      <w:pPr>
        <w:pStyle w:val="BodyText"/>
        <w:spacing w:line="316" w:lineRule="auto"/>
        <w:ind w:left="1687" w:right="1199" w:hanging="554"/>
        <w:jc w:val="left"/>
      </w:pPr>
      <w:r>
        <w:rPr/>
        <w:t>通过对相关未来现金流出进行折现后确定最佳估计数。 本公司清偿预计负债所需支出全部或部分预期由第三方补偿的，补偿金额只有在基本确定能够收到时才能作为资产</w:t>
      </w:r>
    </w:p>
    <w:p>
      <w:pPr>
        <w:pStyle w:val="BodyText"/>
        <w:spacing w:line="316" w:lineRule="auto"/>
        <w:ind w:left="1614" w:right="0" w:hanging="480"/>
        <w:jc w:val="left"/>
      </w:pPr>
      <w:r>
        <w:rPr/>
        <w:t>单独确认。确认的补偿金额不超过预计负债的账面价值。 </w:t>
      </w:r>
      <w:r>
        <w:rPr>
          <w:spacing w:val="-1"/>
        </w:rPr>
        <w:t>本公司在资产负债表日对预计负债的账面价值进行复核。有确凿证据表明该账面价值不能真实反映当前最佳估计数的，</w:t>
      </w:r>
    </w:p>
    <w:p>
      <w:pPr>
        <w:pStyle w:val="BodyText"/>
        <w:spacing w:line="240" w:lineRule="auto"/>
        <w:ind w:left="1134" w:right="0"/>
        <w:jc w:val="left"/>
      </w:pPr>
      <w:r>
        <w:rPr/>
        <w:t>按照当前最佳估计数对该账面价值进行调整。</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6、股份支付" w:id="202"/>
      <w:bookmarkEnd w:id="20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4" w:right="4692"/>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316" w:lineRule="auto"/>
        <w:ind w:left="1613" w:right="0"/>
        <w:jc w:val="left"/>
      </w:pPr>
      <w:r>
        <w:rPr/>
        <w:t>（</w:t>
      </w:r>
      <w:r>
        <w:rPr>
          <w:rFonts w:ascii="宋体" w:hAnsi="宋体" w:cs="宋体" w:eastAsia="宋体" w:hint="default"/>
        </w:rPr>
        <w:t>2</w:t>
      </w:r>
      <w:r>
        <w:rPr/>
        <w:t>）权益工具公允价值的确定方法 </w:t>
      </w:r>
      <w:r>
        <w:rPr>
          <w:spacing w:val="-1"/>
        </w:rPr>
        <w:t>本公司对于授予的存在活跃市场的期权等权益工具，按照活跃市场中的报价确定其公允价值。对于授予的不存在活跃</w:t>
      </w:r>
    </w:p>
    <w:p>
      <w:pPr>
        <w:pStyle w:val="BodyText"/>
        <w:spacing w:line="316" w:lineRule="auto"/>
        <w:ind w:right="0"/>
        <w:jc w:val="left"/>
      </w:pPr>
      <w:r>
        <w:rPr>
          <w:spacing w:val="-5"/>
        </w:rPr>
        <w:t>市场的期权等权益工具，采用期权定价模型等确定其公允价值。选用的期权定价模型考虑以下因素：</w:t>
      </w:r>
      <w:r>
        <w:rPr>
          <w:rFonts w:ascii="宋体" w:hAnsi="宋体" w:cs="宋体" w:eastAsia="宋体" w:hint="default"/>
          <w:spacing w:val="-5"/>
        </w:rPr>
        <w:t>A</w:t>
      </w:r>
      <w:r>
        <w:rPr>
          <w:spacing w:val="-5"/>
        </w:rPr>
        <w:t>、期权的行权价格；</w:t>
      </w:r>
      <w:r>
        <w:rPr>
          <w:rFonts w:ascii="宋体" w:hAnsi="宋体" w:cs="宋体" w:eastAsia="宋体" w:hint="default"/>
          <w:spacing w:val="-5"/>
        </w:rPr>
        <w:t>B</w:t>
      </w:r>
      <w:r>
        <w:rPr>
          <w:spacing w:val="-5"/>
        </w:rPr>
        <w:t>、</w:t>
      </w:r>
      <w:r>
        <w:rPr>
          <w:spacing w:val="-73"/>
        </w:rPr>
        <w:t> </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316" w:lineRule="auto"/>
        <w:ind w:left="1614" w:right="0"/>
        <w:jc w:val="left"/>
      </w:pPr>
      <w:r>
        <w:rPr/>
        <w:t>（</w:t>
      </w:r>
      <w:r>
        <w:rPr>
          <w:rFonts w:ascii="宋体" w:hAnsi="宋体" w:cs="宋体" w:eastAsia="宋体" w:hint="default"/>
        </w:rPr>
        <w:t>3</w:t>
      </w:r>
      <w:r>
        <w:rPr/>
        <w:t>）确认可行权权益工具最佳估计的依据 </w:t>
      </w:r>
      <w:r>
        <w:rPr>
          <w:spacing w:val="-1"/>
        </w:rPr>
        <w:t>等待期内每个资产负债表日，本公司根据最新取得的可行权职工人数变动等后续信息作出最佳估计，修正预计可行权</w:t>
      </w:r>
    </w:p>
    <w:p>
      <w:pPr>
        <w:pStyle w:val="BodyText"/>
        <w:spacing w:line="240" w:lineRule="auto"/>
        <w:ind w:left="1134" w:right="0"/>
        <w:jc w:val="left"/>
      </w:pPr>
      <w:r>
        <w:rPr/>
        <w:t>的权益工具数量。在可行权日，最终预计可行权权益工具的数量应当与实际可行权数量一致。</w:t>
      </w:r>
    </w:p>
    <w:p>
      <w:pPr>
        <w:pStyle w:val="BodyText"/>
        <w:spacing w:line="316" w:lineRule="auto" w:before="76"/>
        <w:ind w:left="1614" w:right="0"/>
        <w:jc w:val="left"/>
      </w:pPr>
      <w:r>
        <w:rPr/>
        <w:t>（</w:t>
      </w:r>
      <w:r>
        <w:rPr>
          <w:rFonts w:ascii="宋体" w:hAnsi="宋体" w:cs="宋体" w:eastAsia="宋体" w:hint="default"/>
        </w:rPr>
        <w:t>4</w:t>
      </w:r>
      <w:r>
        <w:rPr/>
        <w:t>）实施、修改、终止股份支付计划的相关会计处理 </w:t>
      </w:r>
      <w:r>
        <w:rPr>
          <w:spacing w:val="-1"/>
        </w:rPr>
        <w:t>以权益结算的股份支付，按授予职工权益工具的公允价值计量。授予后立即可行权的，在授予日按照权益工具的公允</w:t>
      </w:r>
    </w:p>
    <w:p>
      <w:pPr>
        <w:pStyle w:val="BodyText"/>
        <w:spacing w:line="316" w:lineRule="auto"/>
        <w:ind w:left="1134" w:right="0"/>
        <w:jc w:val="left"/>
      </w:pPr>
      <w:r>
        <w:rPr>
          <w:spacing w:val="-2"/>
        </w:rPr>
        <w:t>价值计入相关成本或费用，相应增加资本公积。在完成等待期内的服务或达到规定业绩条件才可行权的，在等待期内的每个</w:t>
      </w:r>
      <w:r>
        <w:rPr>
          <w:spacing w:val="-66"/>
        </w:rPr>
        <w:t> </w:t>
      </w:r>
      <w:r>
        <w:rPr>
          <w:spacing w:val="-66"/>
        </w:rPr>
      </w:r>
      <w:r>
        <w:rPr>
          <w:spacing w:val="-2"/>
        </w:rPr>
        <w:t>资产负债表日，以对可行权权益工具数量的最佳估计为基础，按照权益工具授予日的公允价值，将当期取得的服务计入相关</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613" w:right="0" w:hanging="480"/>
        <w:jc w:val="left"/>
      </w:pPr>
      <w:r>
        <w:rPr/>
        <w:t>成本或费用和资本公积。在可行权日之后不再对已确认的相关成本或费用和所有者权益总额进行调整。 </w:t>
      </w:r>
      <w:r>
        <w:rPr>
          <w:spacing w:val="-1"/>
        </w:rPr>
        <w:t>以现金结算的股份支付，按照本公司承担的以股份或其他权益工具为基础计算确定的负债的公允价值计量。授予后立</w:t>
      </w:r>
    </w:p>
    <w:p>
      <w:pPr>
        <w:pStyle w:val="BodyText"/>
        <w:spacing w:line="319" w:lineRule="auto"/>
        <w:ind w:right="1033"/>
        <w:jc w:val="left"/>
      </w:pPr>
      <w:r>
        <w:rPr>
          <w:spacing w:val="-2"/>
        </w:rPr>
        <w:t>即可行权的，在授予日以本公司承担负债的公允价值计入相关成本或费用，相应增加负债。在完成等待期内的服务或达到规</w:t>
      </w:r>
      <w:r>
        <w:rPr>
          <w:spacing w:val="-66"/>
        </w:rPr>
        <w:t> </w:t>
      </w:r>
      <w:r>
        <w:rPr>
          <w:spacing w:val="-66"/>
        </w:rPr>
      </w:r>
      <w:r>
        <w:rPr/>
        <w:t>定业绩条件以后才可行权的以现金结算的股份支付，在等待期内的每个资产负债表日，以对可行权情况的最佳估计为基础，</w:t>
      </w:r>
      <w:r>
        <w:rPr>
          <w:spacing w:val="-85"/>
        </w:rPr>
        <w:t> </w:t>
      </w:r>
      <w:r>
        <w:rPr>
          <w:spacing w:val="-85"/>
        </w:rPr>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p>
    <w:p>
      <w:pPr>
        <w:pStyle w:val="BodyText"/>
        <w:spacing w:line="316" w:lineRule="auto" w:before="17"/>
        <w:ind w:right="0" w:firstLine="480"/>
        <w:jc w:val="left"/>
      </w:pPr>
      <w:r>
        <w:rPr/>
        <w:t>本公司对股份支付计划进行修改时，若修改增加了所授予权益工具的公允价值，按照权益工具公允价值的增加相应地 </w:t>
      </w:r>
      <w:r>
        <w:rPr>
          <w:spacing w:val="-4"/>
        </w:rPr>
        <w:t>确认取得服务的增加；若修改增加了所授予权益工具的数量，则将增加的权益工具的公允价值相应地确认为取得服务的增加。</w:t>
      </w:r>
      <w:r>
        <w:rPr>
          <w:spacing w:val="-44"/>
        </w:rPr>
        <w:t> </w:t>
      </w:r>
      <w:r>
        <w:rPr>
          <w:spacing w:val="-44"/>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16" w:lineRule="auto"/>
        <w:ind w:right="1132" w:firstLine="480"/>
        <w:jc w:val="both"/>
      </w:pPr>
      <w:r>
        <w:rPr>
          <w:spacing w:val="-1"/>
        </w:rPr>
        <w:t>在等待期内，如果取消了授予的权益工具（因未满足可行权条件的非市场条件而被取消的除外），本公司对取消所授</w:t>
      </w:r>
      <w:r>
        <w:rPr/>
        <w:t> </w:t>
      </w:r>
      <w:r>
        <w:rPr>
          <w:spacing w:val="-2"/>
        </w:rPr>
        <w:t>予的权益性工具作为加速行权处理，将剩余等待期内应确认的金额立即计入当期损益，同时确认资本公积。职工或其他方能</w:t>
      </w:r>
      <w:r>
        <w:rPr>
          <w:spacing w:val="-66"/>
        </w:rPr>
        <w:t> </w:t>
      </w:r>
      <w:r>
        <w:rPr>
          <w:spacing w:val="-66"/>
        </w:rPr>
      </w:r>
      <w:r>
        <w:rPr/>
        <w:t>够选择满足非可行权条件但在等待期内未满足的，本公司将其作为授予权益工具的取消处理。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3"/>
      <w:bookmarkEnd w:id="20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4"/>
      <w:bookmarkEnd w:id="20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tabs>
          <w:tab w:pos="1674" w:val="left" w:leader="none"/>
        </w:tabs>
        <w:spacing w:line="357" w:lineRule="auto" w:before="0"/>
        <w:ind w:left="1134" w:right="7710"/>
        <w:jc w:val="left"/>
      </w:pPr>
      <w:r>
        <w:rPr/>
        <w:t>公司是否需要遵守特殊行业的披露要求 是</w:t>
        <w:tab/>
        <w:t>互联网游戏业</w:t>
      </w:r>
    </w:p>
    <w:p>
      <w:pPr>
        <w:pStyle w:val="BodyText"/>
        <w:spacing w:line="338" w:lineRule="auto" w:before="29"/>
        <w:ind w:left="1613" w:right="0" w:hanging="480"/>
        <w:jc w:val="left"/>
      </w:pPr>
      <w:r>
        <w:rPr/>
        <w:t>公司需遵守《深圳证券交易所创业板行业信息披露指引第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w:t>
      </w:r>
      <w:r>
        <w:rPr>
          <w:spacing w:val="-1"/>
        </w:rPr>
        <w:t>收入是本公司在日常活动中形成的、会导致股东权益增加且与股东投入资本无关的经济利益的总流入。收入在其金额</w:t>
      </w:r>
    </w:p>
    <w:p>
      <w:pPr>
        <w:pStyle w:val="BodyText"/>
        <w:spacing w:line="316" w:lineRule="auto" w:before="2"/>
        <w:ind w:right="1122"/>
        <w:jc w:val="left"/>
      </w:pPr>
      <w:r>
        <w:rPr>
          <w:spacing w:val="-2"/>
        </w:rPr>
        <w:t>及相关成本能够可靠计量、相关的经济利益很可能流入本公司、并且同时满足以下不同类型收入的其他确认条件时，予以确</w:t>
      </w:r>
      <w:r>
        <w:rPr>
          <w:spacing w:val="-66"/>
        </w:rPr>
        <w:t> </w:t>
      </w:r>
      <w:r>
        <w:rPr>
          <w:spacing w:val="-66"/>
        </w:rPr>
      </w:r>
      <w:r>
        <w:rPr/>
        <w:t>认。</w:t>
      </w:r>
    </w:p>
    <w:p>
      <w:pPr>
        <w:pStyle w:val="BodyText"/>
        <w:spacing w:line="316" w:lineRule="auto"/>
        <w:ind w:left="1613" w:right="1122"/>
        <w:jc w:val="left"/>
      </w:pPr>
      <w:r>
        <w:rPr/>
        <w:t>（</w:t>
      </w:r>
      <w:r>
        <w:rPr>
          <w:rFonts w:ascii="宋体" w:hAnsi="宋体" w:cs="宋体" w:eastAsia="宋体" w:hint="default"/>
        </w:rPr>
        <w:t>1</w:t>
      </w:r>
      <w:r>
        <w:rPr/>
        <w:t>）销售商品 </w:t>
      </w:r>
      <w:r>
        <w:rPr>
          <w:spacing w:val="-1"/>
        </w:rPr>
        <w:t>销售商品在将商品所有权上的重要风险和报酬转移给买方，不再对该等商品实施继续管理权和实际控制权，与交易相</w:t>
      </w:r>
    </w:p>
    <w:p>
      <w:pPr>
        <w:pStyle w:val="BodyText"/>
        <w:spacing w:line="240" w:lineRule="auto"/>
        <w:ind w:right="0"/>
        <w:jc w:val="both"/>
      </w:pPr>
      <w:r>
        <w:rPr/>
        <w:t>关的经济利益能够流入企业，相关的收入和成本能够可靠地计量时，确认营业收入的实现。</w:t>
      </w:r>
    </w:p>
    <w:p>
      <w:pPr>
        <w:pStyle w:val="BodyText"/>
        <w:spacing w:line="316" w:lineRule="auto" w:before="76"/>
        <w:ind w:left="1613" w:right="1122"/>
        <w:jc w:val="left"/>
      </w:pPr>
      <w:r>
        <w:rPr/>
        <w:t>（</w:t>
      </w:r>
      <w:r>
        <w:rPr>
          <w:rFonts w:ascii="宋体" w:hAnsi="宋体" w:cs="宋体" w:eastAsia="宋体" w:hint="default"/>
        </w:rPr>
        <w:t>2</w:t>
      </w:r>
      <w:r>
        <w:rPr/>
        <w:t>）提供劳务 </w:t>
      </w:r>
      <w:r>
        <w:rPr>
          <w:spacing w:val="-1"/>
        </w:rPr>
        <w:t>本公司对外提供劳务，于劳务已实际提供时确认相关的收入，在确认收入时，以劳务已提供，与交易相关的价款能够</w:t>
      </w:r>
    </w:p>
    <w:p>
      <w:pPr>
        <w:pStyle w:val="BodyText"/>
        <w:spacing w:line="240" w:lineRule="auto"/>
        <w:ind w:right="0"/>
        <w:jc w:val="both"/>
      </w:pPr>
      <w:r>
        <w:rPr/>
        <w:t>流入，并且与该项劳务有关的成本能够可靠计量为前提。</w:t>
      </w:r>
    </w:p>
    <w:p>
      <w:pPr>
        <w:pStyle w:val="BodyText"/>
        <w:spacing w:line="316" w:lineRule="auto" w:before="76"/>
        <w:ind w:left="1614" w:right="6132"/>
        <w:jc w:val="left"/>
      </w:pPr>
      <w:r>
        <w:rPr/>
        <w:t>（</w:t>
      </w:r>
      <w:r>
        <w:rPr>
          <w:rFonts w:ascii="宋体" w:hAnsi="宋体" w:cs="宋体" w:eastAsia="宋体" w:hint="default"/>
        </w:rPr>
        <w:t>3</w:t>
      </w:r>
      <w:r>
        <w:rPr/>
        <w:t>）让渡资产使用权 让渡资产使用权收入包括利息收入、使用费收入等。</w:t>
      </w:r>
    </w:p>
    <w:p>
      <w:pPr>
        <w:pStyle w:val="BodyText"/>
        <w:spacing w:line="240" w:lineRule="auto"/>
        <w:ind w:left="1614" w:right="0"/>
        <w:jc w:val="left"/>
      </w:pPr>
      <w:r>
        <w:rPr/>
        <w:t>本公司在收入的金额能够可靠地计量，相关的经济利益很可能流入企业时，确认让渡资产使用权收入。</w:t>
      </w:r>
    </w:p>
    <w:p>
      <w:pPr>
        <w:pStyle w:val="BodyText"/>
        <w:spacing w:line="240" w:lineRule="auto" w:before="76"/>
        <w:ind w:left="1613" w:right="0"/>
        <w:jc w:val="left"/>
      </w:pPr>
      <w:r>
        <w:rPr/>
        <w:t>（</w:t>
      </w:r>
      <w:r>
        <w:rPr>
          <w:rFonts w:ascii="宋体" w:hAnsi="宋体" w:cs="宋体" w:eastAsia="宋体" w:hint="default"/>
        </w:rPr>
        <w:t>4</w:t>
      </w:r>
      <w:r>
        <w:rPr/>
        <w:t>）收入确认的具体方法：</w:t>
      </w:r>
    </w:p>
    <w:p>
      <w:pPr>
        <w:pStyle w:val="BodyText"/>
        <w:spacing w:line="316" w:lineRule="auto" w:before="76"/>
        <w:ind w:left="1613" w:right="6313"/>
        <w:jc w:val="left"/>
      </w:pPr>
      <w:r>
        <w:rPr/>
        <w:t>①硬件销售收入 硬件销售收入按照商品销售的确认原则确认收入。</w:t>
      </w:r>
    </w:p>
    <w:p>
      <w:pPr>
        <w:pStyle w:val="BodyText"/>
        <w:spacing w:line="316" w:lineRule="auto"/>
        <w:ind w:left="1613" w:right="0"/>
        <w:jc w:val="left"/>
      </w:pPr>
      <w:r>
        <w:rPr/>
        <w:t>②应用软件开发与销售：包括自行开发研制软件产品销售与定制开发软件销售。 </w:t>
      </w:r>
      <w:r>
        <w:rPr>
          <w:spacing w:val="-1"/>
        </w:rPr>
        <w:t>自行开发研制的软件产品是指公司拥有著作权，销售时不转让所有权的软件产品。该类产品，需安装调试的按合同约</w:t>
      </w:r>
    </w:p>
    <w:p>
      <w:pPr>
        <w:pStyle w:val="BodyText"/>
        <w:spacing w:line="319" w:lineRule="auto"/>
        <w:ind w:left="1613" w:right="0" w:hanging="480"/>
        <w:jc w:val="left"/>
      </w:pPr>
      <w:r>
        <w:rPr/>
        <w:t>定在实施完成并经对方验收合格后确认收入；不需安装的以产品交付并经购货方验收合格后确认收入。 </w:t>
      </w:r>
      <w:r>
        <w:rPr>
          <w:spacing w:val="-1"/>
        </w:rPr>
        <w:t>定制软件是指根据与客户签订的技术开发、委托开发合同，对用户的业务进行充分实地调查，并根据用户的实际需求</w:t>
      </w:r>
    </w:p>
    <w:p>
      <w:pPr>
        <w:pStyle w:val="BodyText"/>
        <w:spacing w:line="316" w:lineRule="auto" w:before="17"/>
        <w:ind w:right="1132"/>
        <w:jc w:val="both"/>
      </w:pPr>
      <w:r>
        <w:rPr>
          <w:spacing w:val="-2"/>
        </w:rPr>
        <w:t>进行专门的软件设计与开发，由此开发出来不具有通用性的软件。定制软件项目在同一会计年度内开始并完成的，按照合同</w:t>
      </w:r>
      <w:r>
        <w:rPr>
          <w:spacing w:val="-66"/>
        </w:rPr>
        <w:t> </w:t>
      </w:r>
      <w:r>
        <w:rPr>
          <w:spacing w:val="-66"/>
        </w:rPr>
      </w:r>
      <w:r>
        <w:rPr>
          <w:spacing w:val="-2"/>
        </w:rPr>
        <w:t>约定、在项目实施完成并经对方验收合格后确认收入；跨年度定制软件由公司业务技术部门根据合同分阶段提供项目开发进</w:t>
      </w:r>
      <w:r>
        <w:rPr>
          <w:spacing w:val="-64"/>
        </w:rPr>
        <w:t> </w:t>
      </w:r>
      <w:r>
        <w:rPr>
          <w:spacing w:val="-64"/>
        </w:rPr>
      </w:r>
      <w:r>
        <w:rPr/>
        <w:t>度，经用户确认后，按照完工百分比法确认收入。</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③系统集成：系统集成是指通过结构化的综合布线系统和计算机网络技术，将各个分离的设备、功能和信息等集成到</w:t>
      </w:r>
      <w:r>
        <w:rPr/>
        <w:t> 相互关联的、统一和协调的系统之中，使资源达到充分共享，实现集中、高效、便利的管理系统。</w:t>
      </w:r>
    </w:p>
    <w:p>
      <w:pPr>
        <w:pStyle w:val="BodyText"/>
        <w:spacing w:line="319" w:lineRule="auto"/>
        <w:ind w:right="1033" w:firstLine="480"/>
        <w:jc w:val="left"/>
      </w:pPr>
      <w:r>
        <w:rPr/>
        <w:t>对于系统集成业务，如果软件收入与设备配件及安装服务收入能分开核算，则硬件收入按照上述商品销售收入的原则 进行确认，软件收入按照上述软件产品销售的原则进行确认。如果软件收入与设备配件及安装服务服务收入不能分开核算，</w:t>
      </w:r>
      <w:r>
        <w:rPr>
          <w:spacing w:val="-85"/>
        </w:rPr>
        <w:t> </w:t>
      </w:r>
      <w:r>
        <w:rPr>
          <w:spacing w:val="-85"/>
        </w:rPr>
      </w:r>
      <w:r>
        <w:rPr/>
        <w:t>则将其一并核算，待系统集成于安装完成后确认收入。</w:t>
      </w:r>
    </w:p>
    <w:p>
      <w:pPr>
        <w:pStyle w:val="BodyText"/>
        <w:spacing w:line="316" w:lineRule="auto" w:before="17"/>
        <w:ind w:right="1131" w:firstLine="480"/>
        <w:jc w:val="both"/>
      </w:pPr>
      <w:r>
        <w:rPr>
          <w:spacing w:val="-1"/>
        </w:rPr>
        <w:t>④安全审计相关服务：主要是指维护服务和其他服务，维护服务是在合同约定的服务期间为客户提供产品维护和升级</w:t>
      </w:r>
      <w:r>
        <w:rPr/>
        <w:t> 服务，其他服务则根据客户的需求和合同约定提供相应的服务。</w:t>
      </w:r>
    </w:p>
    <w:p>
      <w:pPr>
        <w:pStyle w:val="BodyText"/>
        <w:spacing w:line="316" w:lineRule="auto"/>
        <w:ind w:right="1133" w:firstLine="480"/>
        <w:jc w:val="both"/>
      </w:pPr>
      <w:r>
        <w:rPr>
          <w:spacing w:val="-1"/>
        </w:rPr>
        <w:t>维护服务在服务期间采用直线法确认收入，其他服务（在同一年度完成）在劳务已经提供，收到价款或取得收取款项</w:t>
      </w:r>
      <w:r>
        <w:rPr/>
        <w:t> 的证据时，确认劳务收入。对于跨期提供服务的，按提供劳务确认原则确认收入。</w:t>
      </w:r>
    </w:p>
    <w:p>
      <w:pPr>
        <w:pStyle w:val="BodyText"/>
        <w:spacing w:line="316" w:lineRule="auto"/>
        <w:ind w:left="1613" w:right="4153"/>
        <w:jc w:val="left"/>
      </w:pPr>
      <w:r>
        <w:rPr/>
        <w:t>⑤网络游戏运营： 公司目前的网络游戏运营模式主要包括公司自主运营、联合发行、代理运营。 </w:t>
      </w:r>
      <w:r>
        <w:rPr>
          <w:rFonts w:ascii="宋体" w:hAnsi="宋体" w:cs="宋体" w:eastAsia="宋体" w:hint="default"/>
        </w:rPr>
        <w:t>A</w:t>
      </w:r>
      <w:r>
        <w:rPr/>
        <w:t>、公司自主运营收入的确认原则、方式和流程</w:t>
      </w:r>
    </w:p>
    <w:p>
      <w:pPr>
        <w:pStyle w:val="BodyText"/>
        <w:spacing w:line="316" w:lineRule="auto"/>
        <w:ind w:right="1131" w:firstLine="480"/>
        <w:jc w:val="both"/>
      </w:pPr>
      <w:r>
        <w:rPr>
          <w:spacing w:val="-1"/>
        </w:rPr>
        <w:t>公司是通过游戏玩家在网络游戏中使用虚拟货币支付棋牌游戏服务费、虚拟货币购买道具装备或某些特殊游戏功能模</w:t>
      </w:r>
      <w:r>
        <w:rPr/>
        <w:t> </w:t>
      </w:r>
      <w:r>
        <w:rPr>
          <w:spacing w:val="-2"/>
        </w:rPr>
        <w:t>块的方式取得网络游戏运营收入。游戏玩家可以从公司的游戏点卡经销商处购得游戏点卡，也可以从公司的官方运营网站上</w:t>
      </w:r>
      <w:r>
        <w:rPr>
          <w:spacing w:val="-64"/>
        </w:rPr>
        <w:t> </w:t>
      </w:r>
      <w:r>
        <w:rPr>
          <w:spacing w:val="-64"/>
        </w:rPr>
      </w:r>
      <w:r>
        <w:rPr>
          <w:spacing w:val="-2"/>
        </w:rPr>
        <w:t>通过银行借记卡、信用卡、第三方支付、手机支付以及银行转账等方式购得游戏点卡。游戏玩家可以使用上述游戏点卡进入</w:t>
      </w:r>
      <w:r>
        <w:rPr>
          <w:spacing w:val="-66"/>
        </w:rPr>
        <w:t> </w:t>
      </w:r>
      <w:r>
        <w:rPr>
          <w:spacing w:val="-66"/>
        </w:rPr>
      </w:r>
      <w:r>
        <w:rPr/>
        <w:t>公司运营的网络游戏中使用虚拟货币进行消费。</w:t>
      </w:r>
    </w:p>
    <w:p>
      <w:pPr>
        <w:pStyle w:val="BodyText"/>
        <w:spacing w:line="316" w:lineRule="auto"/>
        <w:ind w:right="1131" w:firstLine="480"/>
        <w:jc w:val="both"/>
      </w:pPr>
      <w:r>
        <w:rPr>
          <w:spacing w:val="-1"/>
        </w:rPr>
        <w:t>公司在棋牌游戏服务费收费模式下，游戏玩家可以免费体验公司棋牌类游戏中的非财富类游戏的所有功能，如休闲类</w:t>
      </w:r>
      <w:r>
        <w:rPr/>
        <w:t> </w:t>
      </w:r>
      <w:r>
        <w:rPr>
          <w:spacing w:val="-2"/>
        </w:rPr>
        <w:t>游戏、棋类游戏等，只有游戏玩家参与财富类游戏时才需要支付费用。棋牌游戏服务费收费模式下，在游戏玩家实际使用虚</w:t>
      </w:r>
      <w:r>
        <w:rPr>
          <w:spacing w:val="-66"/>
        </w:rPr>
        <w:t> </w:t>
      </w:r>
      <w:r>
        <w:rPr>
          <w:spacing w:val="-66"/>
        </w:rPr>
      </w:r>
      <w:r>
        <w:rPr/>
        <w:t>拟货币支付每局棋牌游戏服务费时确认收入。</w:t>
      </w:r>
    </w:p>
    <w:p>
      <w:pPr>
        <w:pStyle w:val="BodyText"/>
        <w:spacing w:line="316" w:lineRule="auto"/>
        <w:ind w:right="1133" w:firstLine="480"/>
        <w:jc w:val="both"/>
      </w:pPr>
      <w:r>
        <w:rPr>
          <w:spacing w:val="-1"/>
        </w:rPr>
        <w:t>公司在道具收费模式下，游戏玩家可以免费体验公司在线运营的网络游戏的基本功能，只有游戏玩家购买游戏中的虚</w:t>
      </w:r>
      <w:r>
        <w:rPr/>
        <w:t> 拟道具时才需要支付费用。在道具收费模式下，公司在游戏玩家实际使用虚拟货币购买道具时确认收入。</w:t>
      </w:r>
    </w:p>
    <w:p>
      <w:pPr>
        <w:pStyle w:val="BodyText"/>
        <w:spacing w:line="240" w:lineRule="auto"/>
        <w:ind w:left="1613" w:right="0"/>
        <w:jc w:val="left"/>
      </w:pPr>
      <w:r>
        <w:rPr/>
        <w:t>自主运营模式下收入确认流程如下：</w:t>
      </w:r>
    </w:p>
    <w:p>
      <w:pPr>
        <w:spacing w:line="240" w:lineRule="auto" w:before="6"/>
        <w:rPr>
          <w:rFonts w:ascii="宋体" w:hAnsi="宋体" w:cs="宋体" w:eastAsia="宋体" w:hint="default"/>
          <w:sz w:val="11"/>
          <w:szCs w:val="11"/>
        </w:rPr>
      </w:pPr>
    </w:p>
    <w:p>
      <w:pPr>
        <w:spacing w:line="5745" w:lineRule="exact"/>
        <w:ind w:left="1134"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162425" cy="36480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4162425" cy="3648075"/>
                    </a:xfrm>
                    <a:prstGeom prst="rect">
                      <a:avLst/>
                    </a:prstGeom>
                  </pic:spPr>
                </pic:pic>
              </a:graphicData>
            </a:graphic>
          </wp:inline>
        </w:drawing>
      </w:r>
      <w:r>
        <w:rPr>
          <w:rFonts w:ascii="宋体" w:hAnsi="宋体" w:cs="宋体" w:eastAsia="宋体" w:hint="default"/>
          <w:position w:val="-114"/>
          <w:sz w:val="20"/>
          <w:szCs w:val="20"/>
        </w:rPr>
      </w:r>
    </w:p>
    <w:p>
      <w:pPr>
        <w:pStyle w:val="BodyText"/>
        <w:spacing w:line="316" w:lineRule="auto" w:before="110"/>
        <w:ind w:left="1613" w:right="0"/>
        <w:jc w:val="left"/>
      </w:pPr>
      <w:r>
        <w:rPr>
          <w:rFonts w:ascii="宋体" w:hAnsi="宋体" w:cs="宋体" w:eastAsia="宋体" w:hint="default"/>
        </w:rPr>
        <w:t>B</w:t>
      </w:r>
      <w:r>
        <w:rPr/>
        <w:t>、联合发行收入的会计政策、确认方式和流程 </w:t>
      </w:r>
      <w:r>
        <w:rPr>
          <w:spacing w:val="-1"/>
        </w:rPr>
        <w:t>联合发行是指公司利用自有互联网平台发布第三方游戏产品，即平台用户可以将持有的平台虚拟代币直接转换为第三</w:t>
      </w:r>
    </w:p>
    <w:p>
      <w:pPr>
        <w:pStyle w:val="BodyText"/>
        <w:spacing w:line="240" w:lineRule="auto"/>
        <w:ind w:right="0"/>
        <w:jc w:val="left"/>
      </w:pPr>
      <w:r>
        <w:rPr/>
        <w:t>方游戏产品定义的虚拟货币，从而将平台用户溢余资源转化为第三方游戏产品的游戏用户。在联合发行模式下，第三方游戏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研发商或运行商架设服务器并负责游戏的运营、更新维护、技术支持和客户服务；公司负责游戏产品的推广、导入用户和玩</w:t>
      </w:r>
      <w:r>
        <w:rPr>
          <w:spacing w:val="-66"/>
        </w:rPr>
        <w:t> </w:t>
      </w:r>
      <w:r>
        <w:rPr>
          <w:spacing w:val="-66"/>
        </w:rPr>
      </w:r>
      <w:r>
        <w:rPr/>
        <w:t>家账号、玩家充值服务及计费系统的管理。</w:t>
      </w:r>
    </w:p>
    <w:p>
      <w:pPr>
        <w:pStyle w:val="BodyText"/>
        <w:spacing w:line="316" w:lineRule="auto"/>
        <w:ind w:right="0" w:firstLine="480"/>
        <w:jc w:val="left"/>
      </w:pPr>
      <w:r>
        <w:rPr>
          <w:spacing w:val="-1"/>
        </w:rPr>
        <w:t>在联合发行模式下，公司在游戏玩家实际充值并消费虚拟货币时确认收入，并将按协议约定比例分成给游戏研发商或</w:t>
      </w:r>
      <w:r>
        <w:rPr/>
        <w:t> 运营商的金额确认为营业成本。</w:t>
      </w:r>
    </w:p>
    <w:p>
      <w:pPr>
        <w:pStyle w:val="BodyText"/>
        <w:tabs>
          <w:tab w:pos="1974" w:val="left" w:leader="none"/>
        </w:tabs>
        <w:spacing w:line="316" w:lineRule="auto"/>
        <w:ind w:left="1613" w:right="1046"/>
        <w:jc w:val="left"/>
      </w:pPr>
      <w:r>
        <w:rPr>
          <w:rFonts w:ascii="宋体" w:hAnsi="宋体" w:cs="宋体" w:eastAsia="宋体" w:hint="default"/>
        </w:rPr>
        <w:t>C</w:t>
        <w:tab/>
      </w:r>
      <w:r>
        <w:rPr/>
        <w:t>、代理运营收入的会计政策、确认方式和流程 公司与代理商签订合作运营协议，代理商负责游戏的发行推广、游戏运营收入的结算，公司主要负责提供游戏产品、</w:t>
      </w:r>
    </w:p>
    <w:p>
      <w:pPr>
        <w:pStyle w:val="BodyText"/>
        <w:spacing w:line="316" w:lineRule="auto"/>
        <w:ind w:right="1132"/>
        <w:jc w:val="both"/>
      </w:pPr>
      <w:r>
        <w:rPr>
          <w:spacing w:val="-2"/>
        </w:rPr>
        <w:t>相关的软件及技术支持、部分客服等。在代理运营模式下，代理商向公司按照合作协议所约定的分成比例及双方确认的充值</w:t>
      </w:r>
      <w:r>
        <w:rPr>
          <w:spacing w:val="-66"/>
        </w:rPr>
        <w:t> </w:t>
      </w:r>
      <w:r>
        <w:rPr>
          <w:spacing w:val="-66"/>
        </w:rPr>
      </w:r>
      <w:r>
        <w:rPr>
          <w:spacing w:val="-2"/>
        </w:rPr>
        <w:t>数据进行付款，公司每月根据平台游戏终端充值数据扣除相关渠道费用后按分成比例计算后确认收入。代理运营模式下收入</w:t>
      </w:r>
      <w:r>
        <w:rPr>
          <w:spacing w:val="-64"/>
        </w:rPr>
        <w:t> </w:t>
      </w:r>
      <w:r>
        <w:rPr>
          <w:spacing w:val="-64"/>
        </w:rPr>
      </w:r>
      <w:r>
        <w:rPr/>
        <w:t>确认流程如下：</w:t>
      </w:r>
    </w:p>
    <w:p>
      <w:pPr>
        <w:spacing w:line="240" w:lineRule="auto" w:before="10"/>
        <w:rPr>
          <w:rFonts w:ascii="宋体" w:hAnsi="宋体" w:cs="宋体" w:eastAsia="宋体" w:hint="default"/>
          <w:sz w:val="9"/>
          <w:szCs w:val="9"/>
        </w:rPr>
      </w:pPr>
    </w:p>
    <w:p>
      <w:pPr>
        <w:spacing w:line="4425" w:lineRule="exact"/>
        <w:ind w:left="1134"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057775" cy="28098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8" cstate="print"/>
                    <a:stretch>
                      <a:fillRect/>
                    </a:stretch>
                  </pic:blipFill>
                  <pic:spPr>
                    <a:xfrm>
                      <a:off x="0" y="0"/>
                      <a:ext cx="5057775" cy="2809875"/>
                    </a:xfrm>
                    <a:prstGeom prst="rect">
                      <a:avLst/>
                    </a:prstGeom>
                  </pic:spPr>
                </pic:pic>
              </a:graphicData>
            </a:graphic>
          </wp:inline>
        </w:drawing>
      </w:r>
      <w:r>
        <w:rPr>
          <w:rFonts w:ascii="宋体" w:hAnsi="宋体" w:cs="宋体" w:eastAsia="宋体" w:hint="default"/>
          <w:position w:val="-88"/>
          <w:sz w:val="20"/>
          <w:szCs w:val="20"/>
        </w:rPr>
      </w:r>
    </w:p>
    <w:p>
      <w:pPr>
        <w:pStyle w:val="BodyText"/>
        <w:spacing w:line="316" w:lineRule="auto" w:before="146"/>
        <w:ind w:left="1613" w:right="0"/>
        <w:jc w:val="left"/>
      </w:pPr>
      <w:r>
        <w:rPr/>
        <w:t>⑥受托开发网络游戏软件： </w:t>
      </w:r>
      <w:r>
        <w:rPr>
          <w:spacing w:val="-1"/>
        </w:rPr>
        <w:t>受托开发网络游戏软件是指根据与客户签订的技术开发、委托开发合同，根据客户的需求进行网络游戏软件的设计与</w:t>
      </w:r>
    </w:p>
    <w:p>
      <w:pPr>
        <w:pStyle w:val="BodyText"/>
        <w:spacing w:line="316" w:lineRule="auto"/>
        <w:ind w:right="1133"/>
        <w:jc w:val="both"/>
      </w:pPr>
      <w:r>
        <w:rPr>
          <w:spacing w:val="-2"/>
        </w:rPr>
        <w:t>开发。受托开发网络游戏软件项目在同一会计年度内开始并完成的，按照合同约定、在项目实施完成并经对方验收合格后确</w:t>
      </w:r>
      <w:r>
        <w:rPr>
          <w:spacing w:val="-66"/>
        </w:rPr>
        <w:t> </w:t>
      </w:r>
      <w:r>
        <w:rPr>
          <w:spacing w:val="-66"/>
        </w:rPr>
      </w:r>
      <w:r>
        <w:rPr>
          <w:spacing w:val="-2"/>
        </w:rPr>
        <w:t>认收入；跨年度受托开发网络游戏软件由公司业务技术部门根据合同分阶段提供项目开发进度，经客户确认后，按照完工百</w:t>
      </w:r>
      <w:r>
        <w:rPr>
          <w:spacing w:val="-66"/>
        </w:rPr>
        <w:t> </w:t>
      </w:r>
      <w:r>
        <w:rPr>
          <w:spacing w:val="-66"/>
        </w:rPr>
      </w:r>
      <w:r>
        <w:rPr/>
        <w:t>分比法确认收入。</w:t>
      </w:r>
    </w:p>
    <w:p>
      <w:pPr>
        <w:pStyle w:val="BodyText"/>
        <w:spacing w:line="316" w:lineRule="auto"/>
        <w:ind w:left="1613" w:right="0"/>
        <w:jc w:val="left"/>
      </w:pPr>
      <w:r>
        <w:rPr/>
        <w:t>⑦游戏运营业务 </w:t>
      </w:r>
      <w:r>
        <w:rPr>
          <w:spacing w:val="-1"/>
        </w:rPr>
        <w:t>游戏运营业务是指公司利用自有的泡椒平台运营第三方游戏产品，游戏玩家下载、安装并注册后，可以通过集成在游</w:t>
      </w:r>
    </w:p>
    <w:p>
      <w:pPr>
        <w:pStyle w:val="BodyText"/>
        <w:spacing w:line="316" w:lineRule="auto"/>
        <w:ind w:left="1134" w:right="1133"/>
        <w:jc w:val="both"/>
      </w:pPr>
      <w:r>
        <w:rPr/>
        <w:t>戏中的泡椒自主研发的</w:t>
      </w:r>
      <w:r>
        <w:rPr>
          <w:rFonts w:ascii="宋体" w:hAnsi="宋体" w:cs="宋体" w:eastAsia="宋体" w:hint="default"/>
        </w:rPr>
        <w:t>SDK</w:t>
      </w:r>
      <w:r>
        <w:rPr/>
        <w:t>的支付功能进行充值，充值成功后，游戏玩家将获得一定数量的、可以直接用于游戏内消费的游 </w:t>
      </w:r>
      <w:r>
        <w:rPr>
          <w:spacing w:val="-5"/>
        </w:rPr>
        <w:t>戏币或泡椒币（泡椒平台虚拟货币）。游戏运营收入在玩家充值获取泡椒币或游戏币，且将泡椒币兑换为游戏币时确认收入。</w:t>
      </w:r>
    </w:p>
    <w:p>
      <w:pPr>
        <w:pStyle w:val="BodyText"/>
        <w:spacing w:line="316" w:lineRule="auto"/>
        <w:ind w:left="1614" w:right="0"/>
        <w:jc w:val="left"/>
      </w:pPr>
      <w:r>
        <w:rPr/>
        <w:t>⑧分发推广业务 </w:t>
      </w:r>
      <w:r>
        <w:rPr>
          <w:spacing w:val="-1"/>
        </w:rPr>
        <w:t>分发推广业务是指公司与合作商签订合作协议，在泡椒平台上推广合作商的各种应用产品、业务、服务或内容等。在</w:t>
      </w:r>
    </w:p>
    <w:p>
      <w:pPr>
        <w:pStyle w:val="BodyText"/>
        <w:spacing w:line="316" w:lineRule="auto"/>
        <w:ind w:left="1613" w:right="0" w:hanging="480"/>
        <w:jc w:val="left"/>
      </w:pPr>
      <w:r>
        <w:rPr/>
        <w:t>分发推广业务模式下，公司的收入模式主要有</w:t>
      </w:r>
      <w:r>
        <w:rPr>
          <w:rFonts w:ascii="宋体" w:hAnsi="宋体" w:cs="宋体" w:eastAsia="宋体" w:hint="default"/>
        </w:rPr>
        <w:t>CPA</w:t>
      </w:r>
      <w:r>
        <w:rPr/>
        <w:t>（</w:t>
      </w:r>
      <w:r>
        <w:rPr>
          <w:rFonts w:ascii="宋体" w:hAnsi="宋体" w:cs="宋体" w:eastAsia="宋体" w:hint="default"/>
        </w:rPr>
        <w:t>Cost Per Action</w:t>
      </w:r>
      <w:r>
        <w:rPr/>
        <w:t>）和</w:t>
      </w:r>
      <w:r>
        <w:rPr>
          <w:rFonts w:ascii="宋体" w:hAnsi="宋体" w:cs="宋体" w:eastAsia="宋体" w:hint="default"/>
        </w:rPr>
        <w:t>CPS</w:t>
      </w:r>
      <w:r>
        <w:rPr/>
        <w:t>（</w:t>
      </w:r>
      <w:r>
        <w:rPr>
          <w:rFonts w:ascii="宋体" w:hAnsi="宋体" w:cs="宋体" w:eastAsia="宋体" w:hint="default"/>
        </w:rPr>
        <w:t>Cost Per Sales</w:t>
      </w:r>
      <w:r>
        <w:rPr/>
        <w:t>）两种模式。 </w:t>
      </w:r>
      <w:r>
        <w:rPr>
          <w:rFonts w:ascii="宋体" w:hAnsi="宋体" w:cs="宋体" w:eastAsia="宋体" w:hint="default"/>
          <w:spacing w:val="-3"/>
        </w:rPr>
        <w:t>CPA</w:t>
      </w:r>
      <w:r>
        <w:rPr>
          <w:spacing w:val="-3"/>
        </w:rPr>
        <w:t>模式：指按照新增有效激活用户数量取得收入。即合作商按照泡椒平台实际导给合作方的用户注册</w:t>
      </w:r>
      <w:r>
        <w:rPr>
          <w:rFonts w:ascii="宋体" w:hAnsi="宋体" w:cs="宋体" w:eastAsia="宋体" w:hint="default"/>
          <w:spacing w:val="-3"/>
        </w:rPr>
        <w:t>/</w:t>
      </w:r>
      <w:r>
        <w:rPr>
          <w:spacing w:val="-3"/>
        </w:rPr>
        <w:t>激活数为基准、</w:t>
      </w:r>
    </w:p>
    <w:p>
      <w:pPr>
        <w:pStyle w:val="BodyText"/>
        <w:spacing w:line="316" w:lineRule="auto"/>
        <w:ind w:left="1613" w:right="1183" w:hanging="480"/>
        <w:jc w:val="left"/>
      </w:pPr>
      <w:r>
        <w:rPr/>
        <w:t>以事先约定的价格进行结算，来确认</w:t>
      </w:r>
      <w:r>
        <w:rPr>
          <w:rFonts w:ascii="宋体" w:hAnsi="宋体" w:cs="宋体" w:eastAsia="宋体" w:hint="default"/>
        </w:rPr>
        <w:t>CPA</w:t>
      </w:r>
      <w:r>
        <w:rPr/>
        <w:t>收入； </w:t>
      </w:r>
      <w:r>
        <w:rPr>
          <w:rFonts w:ascii="宋体" w:hAnsi="宋体" w:cs="宋体" w:eastAsia="宋体" w:hint="default"/>
        </w:rPr>
        <w:t>CPS</w:t>
      </w:r>
      <w:r>
        <w:rPr/>
        <w:t>模式：指按照用户的实际消费分成来获得收入。泡椒平台将合作商的应用、产品、业务、服务或内容等放置在泡</w:t>
      </w:r>
    </w:p>
    <w:p>
      <w:pPr>
        <w:pStyle w:val="BodyText"/>
        <w:spacing w:line="319" w:lineRule="auto"/>
        <w:ind w:right="1133"/>
        <w:jc w:val="both"/>
      </w:pPr>
      <w:r>
        <w:rPr>
          <w:spacing w:val="-2"/>
        </w:rPr>
        <w:t>椒平台上供用户下载、体验、访问，若用户在合作商的产品、业务与服务中发生了购买消费行为，则合作商按合作协议中约</w:t>
      </w:r>
      <w:r>
        <w:rPr>
          <w:spacing w:val="-66"/>
        </w:rPr>
        <w:t> </w:t>
      </w:r>
      <w:r>
        <w:rPr>
          <w:spacing w:val="-66"/>
        </w:rPr>
      </w:r>
      <w:r>
        <w:rPr/>
        <w:t>定的分成比例、以用户实际消费的金额向泡椒支付分成，确认</w:t>
      </w:r>
      <w:r>
        <w:rPr>
          <w:rFonts w:ascii="宋体" w:hAnsi="宋体" w:cs="宋体" w:eastAsia="宋体" w:hint="default"/>
        </w:rPr>
        <w:t>CPS</w:t>
      </w:r>
      <w:r>
        <w:rPr/>
        <w:t>收入。</w:t>
      </w:r>
    </w:p>
    <w:p>
      <w:pPr>
        <w:pStyle w:val="BodyText"/>
        <w:spacing w:line="316" w:lineRule="auto" w:before="17"/>
        <w:ind w:left="1613" w:right="0"/>
        <w:jc w:val="left"/>
      </w:pPr>
      <w:r>
        <w:rPr/>
        <w:t>⑨代理发行业务 代理发行业务是指公司从游戏研发商获得游戏运营的授权后，将游戏发行到第三方平台进行推广。发行业务模式下，</w:t>
      </w:r>
    </w:p>
    <w:p>
      <w:pPr>
        <w:pStyle w:val="BodyText"/>
        <w:spacing w:line="240" w:lineRule="auto"/>
        <w:ind w:right="0"/>
        <w:jc w:val="both"/>
      </w:pPr>
      <w:r>
        <w:rPr/>
        <w:t>游戏玩家对游戏进行充值时确认收入（自有</w:t>
      </w:r>
      <w:r>
        <w:rPr>
          <w:rFonts w:ascii="宋体" w:hAnsi="宋体" w:cs="宋体" w:eastAsia="宋体" w:hint="default"/>
        </w:rPr>
        <w:t>SDK</w:t>
      </w:r>
      <w:r>
        <w:rPr/>
        <w:t>）或收到联合运营方提供的计费账单并核对数据确认无误时按照与联合运营</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方合作协议约定的分成比例确认收入（联合运营方提供</w:t>
      </w:r>
      <w:r>
        <w:rPr>
          <w:rFonts w:ascii="宋体" w:hAnsi="宋体" w:cs="宋体" w:eastAsia="宋体" w:hint="default"/>
        </w:rPr>
        <w:t>SDK</w:t>
      </w:r>
      <w:r>
        <w:rPr/>
        <w:t>）。</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9、政府补助" w:id="205"/>
      <w:bookmarkEnd w:id="20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6"/>
      <w:bookmarkEnd w:id="20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200" w:firstLine="372"/>
        <w:jc w:val="left"/>
      </w:pPr>
      <w:r>
        <w:rPr/>
        <w:t>与资产相关的政府补助，是指本公司取得的、用于购建或以其他方式形成长期资产的政府补助；对于政府文件未明确 规定补助对象的，能够形成长期资产的，与资产价值相对应的政府补助部分作为与资产相关的政府补助，</w:t>
      </w:r>
    </w:p>
    <w:p>
      <w:pPr>
        <w:pStyle w:val="BodyText"/>
        <w:spacing w:line="316" w:lineRule="auto"/>
        <w:ind w:left="1134" w:right="0" w:firstLine="360"/>
        <w:jc w:val="left"/>
      </w:pPr>
      <w:r>
        <w:rPr>
          <w:spacing w:val="-2"/>
        </w:rPr>
        <w:t>与资产相关的政府补助，冲减相关资产的账面价值，或者确认为递延收益在相关资产使用期限内按照合理、系统的方法</w:t>
      </w:r>
      <w:r>
        <w:rPr/>
        <w:t> 分期计入损益。</w:t>
      </w:r>
    </w:p>
    <w:p>
      <w:pPr>
        <w:pStyle w:val="BodyText"/>
        <w:spacing w:line="316" w:lineRule="auto"/>
        <w:ind w:right="1121" w:firstLine="480"/>
        <w:jc w:val="left"/>
      </w:pPr>
      <w:r>
        <w:rPr>
          <w:spacing w:val="-4"/>
        </w:rPr>
        <w:t>已确认的政府补助需要返还时，初始确认时冲减相关资产账面价值的，调整资产账面价值；存在相关递延收益余额的，</w:t>
      </w:r>
      <w:r>
        <w:rPr/>
        <w:t> 冲减相关递延收益账面余额，超出部分计入当期损益；属于其他情况的，直接计入当期损益。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w:id="207"/>
      <w:bookmarkEnd w:id="20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4" w:right="0" w:hanging="119"/>
        <w:jc w:val="left"/>
      </w:pPr>
      <w:r>
        <w:rPr/>
        <w:t>与收益相关的政府补助，是指与资产相关的政府补助之外的政府补助； </w:t>
      </w:r>
      <w:r>
        <w:rPr>
          <w:spacing w:val="-1"/>
        </w:rPr>
        <w:t>对于政府文件未明确规定补助对象的，能够形成长期资产的，与资产价值相对应的政府补助部分作为与资产相关的政</w:t>
      </w:r>
    </w:p>
    <w:p>
      <w:pPr>
        <w:pStyle w:val="BodyText"/>
        <w:spacing w:line="316" w:lineRule="auto"/>
        <w:ind w:left="1424" w:right="0" w:hanging="291"/>
        <w:jc w:val="left"/>
      </w:pPr>
      <w:r>
        <w:rPr/>
        <w:t>府补助，其余部分作为与收益相关的政府补助；难以区分的，将政府补助整体作为与收益相关的政府补助。 </w:t>
      </w:r>
      <w:r>
        <w:rPr>
          <w:spacing w:val="-1"/>
        </w:rPr>
        <w:t>与收益相关的政府补助，用于补偿已发生的相关成本费用或损失的，计入当期损益或冲减相关成本；用于补偿以后期间</w:t>
      </w:r>
    </w:p>
    <w:p>
      <w:pPr>
        <w:pStyle w:val="BodyText"/>
        <w:spacing w:line="316" w:lineRule="auto"/>
        <w:ind w:left="1614" w:right="1120" w:hanging="480"/>
        <w:jc w:val="left"/>
      </w:pPr>
      <w:r>
        <w:rPr/>
        <w:t>的相关成本费用或损失的，则计入递延收益，于相关成本费用或损失确认期间计入当期损益或冲减相关成本。 </w:t>
      </w:r>
      <w:r>
        <w:rPr>
          <w:spacing w:val="-4"/>
        </w:rPr>
        <w:t>已确认的政府补助需要返还时，初始确认时冲减相关资产账面价值的，调整资产账面价值；存在相关递延收益余额的，</w:t>
      </w:r>
    </w:p>
    <w:p>
      <w:pPr>
        <w:pStyle w:val="BodyText"/>
        <w:spacing w:line="240" w:lineRule="auto"/>
        <w:ind w:left="1134" w:right="0"/>
        <w:jc w:val="left"/>
      </w:pPr>
      <w:r>
        <w:rPr/>
        <w:t>冲减相关递延收益账面余额，超出部分计入当期损益；属于其他情况的，直接计入当期损益。</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613" w:right="0"/>
        <w:jc w:val="left"/>
      </w:pPr>
      <w:r>
        <w:rPr/>
        <w:t>本公司采用资产负债表债务法进行所得税会计处理。</w:t>
      </w:r>
    </w:p>
    <w:p>
      <w:pPr>
        <w:pStyle w:val="BodyText"/>
        <w:spacing w:line="240" w:lineRule="auto" w:before="76"/>
        <w:ind w:left="1614" w:right="0"/>
        <w:jc w:val="left"/>
      </w:pPr>
      <w:r>
        <w:rPr/>
        <w:t>（</w:t>
      </w:r>
      <w:r>
        <w:rPr>
          <w:rFonts w:ascii="宋体" w:hAnsi="宋体" w:cs="宋体" w:eastAsia="宋体" w:hint="default"/>
        </w:rPr>
        <w:t>1</w:t>
      </w:r>
      <w:r>
        <w:rPr/>
        <w:t>）递延所得税资产</w:t>
      </w:r>
    </w:p>
    <w:p>
      <w:pPr>
        <w:pStyle w:val="BodyText"/>
        <w:spacing w:line="316" w:lineRule="auto" w:before="76"/>
        <w:ind w:left="1134" w:right="1131" w:firstLine="480"/>
        <w:jc w:val="both"/>
      </w:pPr>
      <w:r>
        <w:rPr>
          <w:spacing w:val="-1"/>
        </w:rPr>
        <w:t>①资产、负债的账面价值与其计税基础存在可抵扣暂时性差异的，以未来期间很可能取得的用以抵扣可抵扣暂时性差</w:t>
      </w:r>
      <w:r>
        <w:rPr/>
        <w:t> </w:t>
      </w:r>
      <w:r>
        <w:rPr>
          <w:spacing w:val="-2"/>
        </w:rPr>
        <w:t>异的应纳税所得额为限，按照预期收回该资产或清偿该负债期间的适用税率，计算确认由可抵扣暂时性差异产生的递延所得</w:t>
      </w:r>
      <w:r>
        <w:rPr>
          <w:spacing w:val="-64"/>
        </w:rPr>
        <w:t> </w:t>
      </w:r>
      <w:r>
        <w:rPr>
          <w:spacing w:val="-64"/>
        </w:rPr>
      </w:r>
      <w:r>
        <w:rPr/>
        <w:t>税资产。</w:t>
      </w:r>
    </w:p>
    <w:p>
      <w:pPr>
        <w:pStyle w:val="BodyText"/>
        <w:spacing w:line="316" w:lineRule="auto"/>
        <w:ind w:left="1134" w:right="0" w:firstLine="480"/>
        <w:jc w:val="left"/>
      </w:pPr>
      <w:r>
        <w:rPr>
          <w:spacing w:val="-1"/>
        </w:rPr>
        <w:t>②资产负债表日，有确凿证据表明未来期间很可能获得足够的应纳税所得额用来抵扣可抵扣暂时性差异的，确认以前</w:t>
      </w:r>
      <w:r>
        <w:rPr/>
        <w:t> 期间未确认的递延所得税资产。</w:t>
      </w:r>
    </w:p>
    <w:p>
      <w:pPr>
        <w:pStyle w:val="BodyText"/>
        <w:spacing w:line="316" w:lineRule="auto"/>
        <w:ind w:left="1134" w:right="0" w:firstLine="480"/>
        <w:jc w:val="left"/>
      </w:pPr>
      <w:r>
        <w:rPr>
          <w:spacing w:val="-1"/>
        </w:rPr>
        <w:t>③资产负债表日，对递延所得税资产的账面价值进行复核。如果未来期间很可能无法获得足够的应纳税所得额用以抵</w:t>
      </w:r>
      <w:r>
        <w:rPr/>
        <w:t> 扣递延所得税资产的利益，减记递延所得税资产的账面价值。在很可能获得足够的应纳税所得额时，转回减记的金额。</w:t>
      </w:r>
    </w:p>
    <w:p>
      <w:pPr>
        <w:pStyle w:val="BodyText"/>
        <w:spacing w:line="316" w:lineRule="auto"/>
        <w:ind w:left="1134" w:right="0" w:firstLine="480"/>
        <w:jc w:val="left"/>
      </w:pPr>
      <w:r>
        <w:rPr/>
        <w:t>（</w:t>
      </w:r>
      <w:r>
        <w:rPr>
          <w:rFonts w:ascii="宋体" w:hAnsi="宋体" w:cs="宋体" w:eastAsia="宋体" w:hint="default"/>
        </w:rPr>
        <w:t>2</w:t>
      </w:r>
      <w:r>
        <w:rPr/>
        <w:t>）递延所得税负债 </w:t>
      </w:r>
      <w:r>
        <w:rPr>
          <w:spacing w:val="-2"/>
        </w:rPr>
        <w:t>资产、负债的账面价值与其计税基础存在应纳税暂时性差异的，按照预期收回该资产或清偿该负债期间的适用税率，确认由</w:t>
      </w:r>
      <w:r>
        <w:rPr>
          <w:spacing w:val="-66"/>
        </w:rPr>
        <w:t> </w:t>
      </w:r>
      <w:r>
        <w:rPr>
          <w:spacing w:val="-66"/>
        </w:rPr>
      </w:r>
      <w:r>
        <w:rPr/>
        <w:t>应纳税暂时性差异产生的递延所得税负债。</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1122"/>
        <w:jc w:val="left"/>
      </w:pPr>
      <w:r>
        <w:rPr/>
        <w:t>（</w:t>
      </w:r>
      <w:r>
        <w:rPr>
          <w:rFonts w:ascii="宋体" w:hAnsi="宋体" w:cs="宋体" w:eastAsia="宋体" w:hint="default"/>
        </w:rPr>
        <w:t>1</w:t>
      </w:r>
      <w:r>
        <w:rPr/>
        <w:t>）经营租赁 </w:t>
      </w:r>
      <w:r>
        <w:rPr>
          <w:spacing w:val="-1"/>
        </w:rPr>
        <w:t>作为承租人，本公司对于经营租赁的租金，在租赁期内各个期间按照直线法计入相关资产成本或当期损益；发生的初</w:t>
      </w:r>
    </w:p>
    <w:p>
      <w:pPr>
        <w:pStyle w:val="BodyText"/>
        <w:spacing w:line="240" w:lineRule="auto"/>
        <w:ind w:right="0"/>
        <w:jc w:val="left"/>
      </w:pPr>
      <w:r>
        <w:rPr/>
        <w:t>始直接费用，计入当期损益；或有租金在实际发生时计入当期损益。</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480"/>
        <w:jc w:val="left"/>
      </w:pPr>
      <w:r>
        <w:rPr/>
        <w:t>作为出租人，本公司按资产的性质将用作经营租赁的资产包括在资产负债表中的相关项目内；对于经营租赁的租金， 在租赁期内各个期间按照直线法确认为当期损益；发生的初始直接费用，计入当期损益；对于经营租赁资产中的固定资产，</w:t>
      </w:r>
      <w:r>
        <w:rPr>
          <w:spacing w:val="-85"/>
        </w:rPr>
        <w:t> </w:t>
      </w:r>
      <w:r>
        <w:rPr>
          <w:spacing w:val="-85"/>
        </w:rPr>
      </w:r>
      <w:r>
        <w:rPr>
          <w:spacing w:val="-2"/>
        </w:rPr>
        <w:t>采用类似资产的折旧政策计提折旧；对于其他经营租赁资产，采用系统合理的方法进行摊销；或有租金在实际发生时计入当</w:t>
      </w:r>
      <w:r>
        <w:rPr>
          <w:spacing w:val="-66"/>
        </w:rPr>
        <w:t> </w:t>
      </w:r>
      <w:r>
        <w:rPr>
          <w:spacing w:val="-66"/>
        </w:rPr>
      </w:r>
      <w:r>
        <w:rPr/>
        <w:t>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1273"/>
        <w:jc w:val="left"/>
      </w:pPr>
      <w:r>
        <w:rPr/>
        <w:t>①作为承租人 本公司在租赁期开始日将租赁开始日租赁资产公允价值与最低租赁付款额现值两者中较低者作为租入资产的入账价</w:t>
      </w:r>
    </w:p>
    <w:p>
      <w:pPr>
        <w:pStyle w:val="BodyText"/>
        <w:spacing w:line="316" w:lineRule="auto"/>
        <w:ind w:right="1133"/>
        <w:jc w:val="both"/>
      </w:pPr>
      <w:r>
        <w:rPr>
          <w:spacing w:val="-5"/>
        </w:rPr>
        <w:t>值，将最低租赁付款额作为长期应付款的入账价值，其差额作为未确认融资费用；在租赁谈判和签订租赁合同过程中发生的，</w:t>
      </w:r>
      <w:r>
        <w:rPr>
          <w:spacing w:val="-79"/>
        </w:rPr>
        <w:t> </w:t>
      </w:r>
      <w:r>
        <w:rPr>
          <w:spacing w:val="-79"/>
        </w:rPr>
      </w:r>
      <w:r>
        <w:rPr>
          <w:spacing w:val="-2"/>
        </w:rPr>
        <w:t>可归属于租赁项目的手续费、律师费、差旅费、印花税等初始直接费用，计入租入资产价值；未确认融资费用在租赁期内各</w:t>
      </w:r>
      <w:r>
        <w:rPr>
          <w:spacing w:val="-66"/>
        </w:rPr>
        <w:t> </w:t>
      </w:r>
      <w:r>
        <w:rPr>
          <w:spacing w:val="-66"/>
        </w:rPr>
      </w:r>
      <w:r>
        <w:rPr/>
        <w:t>个期间进行分摊，采用实际利率法计算确认当期的融资费用；或有租金在实际发生时计入当期损益。</w:t>
      </w:r>
    </w:p>
    <w:p>
      <w:pPr>
        <w:pStyle w:val="BodyText"/>
        <w:spacing w:line="316" w:lineRule="auto"/>
        <w:ind w:right="1132" w:firstLine="480"/>
        <w:jc w:val="both"/>
      </w:pPr>
      <w:r>
        <w:rPr>
          <w:spacing w:val="-1"/>
        </w:rPr>
        <w:t>在计算最低租赁付款额的现值时，能够取得出租人租赁内含利率的，采用租赁内含利率作为折现率；否则，采用租赁</w:t>
      </w:r>
      <w:r>
        <w:rPr/>
        <w:t> </w:t>
      </w:r>
      <w:r>
        <w:rPr>
          <w:spacing w:val="-2"/>
        </w:rPr>
        <w:t>合同规定的利率作为折现率。无法取得出租人的租赁内含利率且租赁合同没有规定利率的，采用同期银行贷款利率作为折现</w:t>
      </w:r>
      <w:r>
        <w:rPr>
          <w:spacing w:val="-64"/>
        </w:rPr>
        <w:t> </w:t>
      </w:r>
      <w:r>
        <w:rPr>
          <w:spacing w:val="-64"/>
        </w:rPr>
      </w:r>
      <w:r>
        <w:rPr/>
        <w:t>率。</w:t>
      </w:r>
    </w:p>
    <w:p>
      <w:pPr>
        <w:pStyle w:val="BodyText"/>
        <w:spacing w:line="316" w:lineRule="auto"/>
        <w:ind w:left="1134" w:right="0" w:firstLine="480"/>
        <w:jc w:val="left"/>
      </w:pPr>
      <w:r>
        <w:rPr>
          <w:spacing w:val="-1"/>
        </w:rPr>
        <w:t>本公司采用与自有固定资产相一致的折旧政策计提租赁资产折旧。能够合理确定租赁期届满时取得租赁资产所有权的，</w:t>
      </w:r>
      <w:r>
        <w:rPr/>
        <w:t> 在租赁资产使用寿命内计提折旧。无法合理确定租赁期届满时能够取得租赁资产所有权的，在租赁期与租赁资产使用寿命两 者中较短的期间内计提折旧。</w:t>
      </w:r>
    </w:p>
    <w:p>
      <w:pPr>
        <w:pStyle w:val="BodyText"/>
        <w:spacing w:line="316" w:lineRule="auto"/>
        <w:ind w:left="1613" w:right="1122"/>
        <w:jc w:val="left"/>
      </w:pPr>
      <w:r>
        <w:rPr/>
        <w:t>②作为出租人 </w:t>
      </w:r>
      <w:r>
        <w:rPr>
          <w:spacing w:val="-1"/>
        </w:rPr>
        <w:t>本公司在租赁期开始日将租赁开始日最低租赁收款额与初始直接费用之和作为应收融资租赁款的入账价值，同时记录</w:t>
      </w:r>
    </w:p>
    <w:p>
      <w:pPr>
        <w:pStyle w:val="BodyText"/>
        <w:spacing w:line="316" w:lineRule="auto"/>
        <w:ind w:right="0"/>
        <w:jc w:val="left"/>
      </w:pPr>
      <w:r>
        <w:rPr>
          <w:spacing w:val="-2"/>
        </w:rPr>
        <w:t>未担保余值；将最低租赁收款额、初始直接费用及未担保余值之和与其现值之和的差额确认为未实现融资收益；未实现融资</w:t>
      </w:r>
      <w:r>
        <w:rPr>
          <w:spacing w:val="-66"/>
        </w:rPr>
        <w:t> </w:t>
      </w:r>
      <w:r>
        <w:rPr>
          <w:spacing w:val="-66"/>
        </w:rPr>
      </w:r>
      <w:r>
        <w:rPr/>
        <w:t>收益在租赁期内各个期间进行分配；采用实际利率法计算确认当期的融资收入；或有租金在实际发生时计入当期损益。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613" w:right="1122" w:hanging="480"/>
        <w:jc w:val="left"/>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商誉</w:t>
      </w:r>
      <w:r>
        <w:rPr>
          <w:rFonts w:ascii="宋体" w:hAnsi="宋体" w:cs="宋体" w:eastAsia="宋体" w:hint="default"/>
          <w:b/>
          <w:bCs/>
          <w:spacing w:val="1"/>
          <w:w w:val="99"/>
        </w:rPr>
        <w:t> </w:t>
      </w:r>
      <w:r>
        <w:rPr>
          <w:spacing w:val="2"/>
        </w:rPr>
        <w:t>商誉为非同一控制下企业合并成本超过应享有的被投资单位或被购买方可辨认净资产于取得日或购买日的公允价值</w:t>
      </w:r>
    </w:p>
    <w:p>
      <w:pPr>
        <w:pStyle w:val="BodyText"/>
        <w:spacing w:line="240" w:lineRule="auto"/>
        <w:ind w:right="0"/>
        <w:jc w:val="left"/>
      </w:pPr>
      <w:r>
        <w:rPr/>
        <w:t>份额的差额。</w:t>
      </w:r>
    </w:p>
    <w:p>
      <w:pPr>
        <w:pStyle w:val="BodyText"/>
        <w:spacing w:line="316" w:lineRule="auto" w:before="76"/>
        <w:ind w:left="1134" w:right="1122" w:firstLine="480"/>
        <w:jc w:val="left"/>
      </w:pPr>
      <w:r>
        <w:rPr>
          <w:spacing w:val="-1"/>
        </w:rPr>
        <w:t>与子公司有关的商誉在合并财务报表上单独列示，与联营企业和合营企业有关的商誉，包含在长期股权投资的账面价</w:t>
      </w:r>
      <w:r>
        <w:rPr/>
        <w:t> 值中。</w:t>
      </w:r>
    </w:p>
    <w:p>
      <w:pPr>
        <w:pStyle w:val="BodyText"/>
        <w:spacing w:line="316" w:lineRule="auto"/>
        <w:ind w:right="1122" w:firstLine="480"/>
        <w:jc w:val="left"/>
        <w:rPr>
          <w:rFonts w:ascii="宋体" w:hAnsi="宋体" w:cs="宋体" w:eastAsia="宋体" w:hint="default"/>
        </w:rPr>
      </w:pPr>
      <w:r>
        <w:rPr>
          <w:spacing w:val="-1"/>
        </w:rPr>
        <w:t>在财务报表中单独列示的商誉至少在每年年终进行减值测试。减值测试时，商誉的账面价值依据相关的资产组或者资</w:t>
      </w:r>
      <w:r>
        <w:rPr/>
        <w:t> 产组组合能够从企业合并的协同效应中受益的情况分摊至受益的资产组或资产组组合。 </w:t>
      </w:r>
      <w:r>
        <w:rPr>
          <w:rFonts w:ascii="宋体" w:hAnsi="宋体" w:cs="宋体" w:eastAsia="宋体" w:hint="default"/>
          <w:b/>
          <w:bCs/>
        </w:rPr>
        <w:t>2.</w:t>
      </w:r>
      <w:r>
        <w:rPr>
          <w:rFonts w:ascii="宋体" w:hAnsi="宋体" w:cs="宋体" w:eastAsia="宋体" w:hint="default"/>
          <w:b/>
          <w:bCs/>
        </w:rPr>
        <w:t>持有待售的非流动资产、处置组和终止经营</w:t>
      </w:r>
      <w:r>
        <w:rPr>
          <w:rFonts w:ascii="宋体" w:hAnsi="宋体" w:cs="宋体" w:eastAsia="宋体" w:hint="default"/>
        </w:rPr>
      </w:r>
    </w:p>
    <w:p>
      <w:pPr>
        <w:pStyle w:val="BodyText"/>
        <w:spacing w:line="316" w:lineRule="auto"/>
        <w:ind w:left="1614" w:right="0"/>
        <w:jc w:val="left"/>
      </w:pPr>
      <w:r>
        <w:rPr/>
        <w:t>（</w:t>
      </w:r>
      <w:r>
        <w:rPr>
          <w:rFonts w:ascii="宋体" w:hAnsi="宋体" w:cs="宋体" w:eastAsia="宋体" w:hint="default"/>
        </w:rPr>
        <w:t>1</w:t>
      </w:r>
      <w:r>
        <w:rPr/>
        <w:t>）持有待售的非流动资产或处置组的分类与计量 </w:t>
      </w:r>
      <w:r>
        <w:rPr>
          <w:spacing w:val="-1"/>
        </w:rPr>
        <w:t>本公司主要通过出售（包括具有商业实质的非货币性资产交换）而非持续使用一项非流动资产或处置组收回其账面价</w:t>
      </w:r>
    </w:p>
    <w:p>
      <w:pPr>
        <w:pStyle w:val="BodyText"/>
        <w:spacing w:line="316" w:lineRule="auto"/>
        <w:ind w:left="1614" w:right="0" w:hanging="480"/>
        <w:jc w:val="left"/>
      </w:pPr>
      <w:r>
        <w:rPr/>
        <w:t>值时，该非流动资产或处置组被划分为持有待售类别。 </w:t>
      </w:r>
      <w:r>
        <w:rPr>
          <w:spacing w:val="-1"/>
        </w:rPr>
        <w:t>上述非流动资产不包括采用公允价值模式进行后续计量的投资性房地产、采用公允价值减去出售费用后的净额计量的</w:t>
      </w:r>
    </w:p>
    <w:p>
      <w:pPr>
        <w:pStyle w:val="BodyText"/>
        <w:spacing w:line="316" w:lineRule="auto"/>
        <w:ind w:left="1613" w:right="0" w:hanging="480"/>
        <w:jc w:val="left"/>
      </w:pPr>
      <w:r>
        <w:rPr/>
        <w:t>生物资产、职工薪酬形成的资产、金融资产、递延所得税资产及保险合同产生的权利。 </w:t>
      </w:r>
      <w:r>
        <w:rPr>
          <w:spacing w:val="-1"/>
        </w:rPr>
        <w:t>处置组，是指在一项交易中作为整体通过出售或其他方式一并处置的一组资产，以及在该交易中转让的与这些资产直</w:t>
      </w:r>
    </w:p>
    <w:p>
      <w:pPr>
        <w:pStyle w:val="BodyText"/>
        <w:spacing w:line="319" w:lineRule="auto"/>
        <w:ind w:left="1614" w:right="0" w:hanging="480"/>
        <w:jc w:val="left"/>
      </w:pPr>
      <w:r>
        <w:rPr/>
        <w:t>接相关的负债。在特定情况下，处置组包括企业合并中取得的商誉等。 </w:t>
      </w:r>
      <w:r>
        <w:rPr>
          <w:spacing w:val="-1"/>
        </w:rPr>
        <w:t>同时满足下列条件的非流动资产或处置组被划分为持有待售类别：根据类似交易中出售此类资产或处置组的惯例，该</w:t>
      </w:r>
    </w:p>
    <w:p>
      <w:pPr>
        <w:pStyle w:val="BodyText"/>
        <w:spacing w:line="316" w:lineRule="auto" w:before="17"/>
        <w:ind w:left="1134" w:right="0"/>
        <w:jc w:val="left"/>
      </w:pPr>
      <w:r>
        <w:rPr>
          <w:spacing w:val="-4"/>
        </w:rPr>
        <w:t>非流动资产或处置组在当前状况下即可立即出售；出售极可能发生，即已经就一项出售计划作出决议且获得确定的购买承诺，</w:t>
      </w:r>
      <w:r>
        <w:rPr>
          <w:spacing w:val="-44"/>
        </w:rPr>
        <w:t> </w:t>
      </w:r>
      <w:r>
        <w:rPr>
          <w:spacing w:val="-44"/>
        </w:rPr>
      </w:r>
      <w:r>
        <w:rPr>
          <w:spacing w:val="-2"/>
        </w:rPr>
        <w:t>预计出售将在一年内完成。因出售对子公司的投资等原因导致丧失对子公司控制权的，无论出售后本公司是否保留部分权益</w:t>
      </w:r>
      <w:r>
        <w:rPr>
          <w:spacing w:val="-64"/>
        </w:rPr>
        <w:t> </w:t>
      </w:r>
      <w:r>
        <w:rPr>
          <w:spacing w:val="-64"/>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80"/>
        <w:jc w:val="both"/>
      </w:pPr>
      <w:r>
        <w:rPr>
          <w:spacing w:val="-1"/>
        </w:rPr>
        <w:t>初始计量或在资产负债表日重新计量持有待售的非流动资产或处置组时，账面价值高于公允价值减去出售费用后净额</w:t>
      </w:r>
      <w:r>
        <w:rPr/>
        <w:t> </w:t>
      </w:r>
      <w:r>
        <w:rPr>
          <w:spacing w:val="-2"/>
        </w:rPr>
        <w:t>的差额确认为资产减值损失。对于持有待售的处置组确认的资产减值损失金额，先抵减处置组中商誉的账面价值，再根据处</w:t>
      </w:r>
      <w:r>
        <w:rPr>
          <w:spacing w:val="-65"/>
        </w:rPr>
        <w:t> </w:t>
      </w:r>
      <w:r>
        <w:rPr>
          <w:spacing w:val="-65"/>
        </w:rPr>
      </w:r>
      <w:r>
        <w:rPr/>
        <w:t>置组中的各项非流动资产账面价值所占比重，按比例抵减其账面价值。</w:t>
      </w:r>
    </w:p>
    <w:p>
      <w:pPr>
        <w:pStyle w:val="BodyText"/>
        <w:spacing w:line="319" w:lineRule="auto"/>
        <w:ind w:right="0" w:firstLine="480"/>
        <w:jc w:val="left"/>
      </w:pPr>
      <w:r>
        <w:rPr>
          <w:spacing w:val="-1"/>
        </w:rPr>
        <w:t>后续资产负债表日持有待售的非流动资产或处置组公允价值减去出售费用后的净额增加的，以前减记的金额予以恢复，</w:t>
      </w:r>
      <w:r>
        <w:rPr/>
        <w:t> 并在划分为持有待售类别后确认的资产减值损失金额内转回，转回金额计入当期损益。已抵减的商誉账面价值不得转回。</w:t>
      </w:r>
    </w:p>
    <w:p>
      <w:pPr>
        <w:pStyle w:val="BodyText"/>
        <w:spacing w:line="316" w:lineRule="auto" w:before="17"/>
        <w:ind w:right="1131" w:firstLine="480"/>
        <w:jc w:val="both"/>
      </w:pPr>
      <w:r>
        <w:rPr>
          <w:spacing w:val="-1"/>
        </w:rPr>
        <w:t>持有待售的非流动资产和持有待售的处置组中的资产不计提折旧或进行摊销；持有待售的处置组中负债的利息和其他</w:t>
      </w:r>
      <w:r>
        <w:rPr/>
        <w:t> </w:t>
      </w:r>
      <w:r>
        <w:rPr>
          <w:spacing w:val="-2"/>
        </w:rPr>
        <w:t>费用继续予以确认。被划分为持有待售的联营企业或合营企业的全部或部分投资，对于划分为持有待售的部分停止权益法核</w:t>
      </w:r>
      <w:r>
        <w:rPr>
          <w:spacing w:val="-64"/>
        </w:rPr>
        <w:t> </w:t>
      </w:r>
      <w:r>
        <w:rPr>
          <w:spacing w:val="-64"/>
        </w:rPr>
      </w:r>
      <w:r>
        <w:rPr>
          <w:spacing w:val="-2"/>
        </w:rPr>
        <w:t>算，保留的部分（未被划分为持有待售类别）则继续采用权益法核算；当本公司因出售丧失对联营企业和合营企业的重大影</w:t>
      </w:r>
      <w:r>
        <w:rPr>
          <w:spacing w:val="-66"/>
        </w:rPr>
        <w:t> </w:t>
      </w:r>
      <w:r>
        <w:rPr>
          <w:spacing w:val="-66"/>
        </w:rPr>
      </w:r>
      <w:r>
        <w:rPr/>
        <w:t>响时，停止使用权益法。</w:t>
      </w:r>
    </w:p>
    <w:p>
      <w:pPr>
        <w:pStyle w:val="BodyText"/>
        <w:spacing w:line="316" w:lineRule="auto"/>
        <w:ind w:left="1134" w:right="0" w:firstLine="480"/>
        <w:jc w:val="left"/>
      </w:pPr>
      <w:r>
        <w:rPr>
          <w:spacing w:val="-1"/>
        </w:rPr>
        <w:t>某项非流动资产或处置组被划分为持有待售类别，但后来不再满足持有待售类别划分条件的，本公司停止将其划分为</w:t>
      </w:r>
      <w:r>
        <w:rPr/>
        <w:t> 持有待售类别，并按照下列两项金额中较低者计量：</w:t>
      </w:r>
    </w:p>
    <w:p>
      <w:pPr>
        <w:pStyle w:val="BodyText"/>
        <w:spacing w:line="316" w:lineRule="auto"/>
        <w:ind w:left="1134" w:right="0" w:firstLine="480"/>
        <w:jc w:val="left"/>
      </w:pPr>
      <w:r>
        <w:rPr>
          <w:spacing w:val="-1"/>
        </w:rPr>
        <w:t>①该资产或处置组被划分为持有待售类别之前的账面价值，按照其假定在没有被划分为持有待售类别的情况下本应确</w:t>
      </w:r>
      <w:r>
        <w:rPr/>
        <w:t> 认的折旧、摊销或减值进行调整后的金额；</w:t>
      </w:r>
    </w:p>
    <w:p>
      <w:pPr>
        <w:pStyle w:val="BodyText"/>
        <w:spacing w:line="240" w:lineRule="auto"/>
        <w:ind w:left="1614" w:right="0"/>
        <w:jc w:val="left"/>
      </w:pPr>
      <w:r>
        <w:rPr/>
        <w:t>②可收回金额。</w:t>
      </w:r>
    </w:p>
    <w:p>
      <w:pPr>
        <w:pStyle w:val="BodyText"/>
        <w:spacing w:line="316" w:lineRule="auto" w:before="76"/>
        <w:ind w:left="1613" w:right="0"/>
        <w:jc w:val="left"/>
      </w:pPr>
      <w:r>
        <w:rPr/>
        <w:t>（</w:t>
      </w:r>
      <w:r>
        <w:rPr>
          <w:rFonts w:ascii="宋体" w:hAnsi="宋体" w:cs="宋体" w:eastAsia="宋体" w:hint="default"/>
        </w:rPr>
        <w:t>2</w:t>
      </w:r>
      <w:r>
        <w:rPr/>
        <w:t>）终止经营 终止经营，是指满足下列条件之一的已被本公司处置或被本公司划分为持有待售类别的、能够单独区分的组成部分：</w:t>
      </w:r>
    </w:p>
    <w:p>
      <w:pPr>
        <w:pStyle w:val="BodyText"/>
        <w:spacing w:line="240" w:lineRule="auto"/>
        <w:ind w:left="1614" w:right="0"/>
        <w:jc w:val="left"/>
      </w:pPr>
      <w:r>
        <w:rPr/>
        <w:t>①该组成部分代表一项独立的主要业务或一个单独的主要经营地区。</w:t>
      </w:r>
    </w:p>
    <w:p>
      <w:pPr>
        <w:pStyle w:val="BodyText"/>
        <w:spacing w:line="240" w:lineRule="auto" w:before="76"/>
        <w:ind w:left="1614" w:right="0"/>
        <w:jc w:val="left"/>
      </w:pPr>
      <w:r>
        <w:rPr/>
        <w:t>②该组成部分是拟对一项独立的主要业务或一个单独的主要经营地区进行处置的一项相关联计划的一部分。</w:t>
      </w:r>
    </w:p>
    <w:p>
      <w:pPr>
        <w:pStyle w:val="BodyText"/>
        <w:spacing w:line="240" w:lineRule="auto" w:before="76"/>
        <w:ind w:left="1614" w:right="0"/>
        <w:jc w:val="left"/>
      </w:pPr>
      <w:r>
        <w:rPr/>
        <w:t>③该组成部分是专为转售而取得的子公司。</w:t>
      </w:r>
    </w:p>
    <w:p>
      <w:pPr>
        <w:pStyle w:val="BodyText"/>
        <w:spacing w:line="316" w:lineRule="auto" w:before="76"/>
        <w:ind w:left="1613" w:right="1144"/>
        <w:jc w:val="left"/>
      </w:pPr>
      <w:r>
        <w:rPr/>
        <w:t>（</w:t>
      </w:r>
      <w:r>
        <w:rPr>
          <w:rFonts w:ascii="宋体" w:hAnsi="宋体" w:cs="宋体" w:eastAsia="宋体" w:hint="default"/>
        </w:rPr>
        <w:t>3</w:t>
      </w:r>
      <w:r>
        <w:rPr/>
        <w:t>）列报 </w:t>
      </w:r>
      <w:r>
        <w:rPr>
          <w:spacing w:val="-1"/>
        </w:rPr>
        <w:t>本公司在资产负债表中将持有待售的非流动资产或持有待售的处置组中的资产列报于“划分为持有待售的资产”，将</w:t>
      </w:r>
      <w:r>
        <w:rPr/>
      </w:r>
    </w:p>
    <w:p>
      <w:pPr>
        <w:pStyle w:val="BodyText"/>
        <w:spacing w:line="319" w:lineRule="auto"/>
        <w:ind w:left="1614" w:right="0" w:hanging="480"/>
        <w:jc w:val="left"/>
      </w:pPr>
      <w:r>
        <w:rPr/>
        <w:t>持有待售的处置组中的负债列报于“划分为持有待售的负债”。 本公司在利润表中分别列示持续经营损益和终止经营损益。不符合终止经营定义的持有待售的非流动资产或处置组，</w:t>
      </w:r>
    </w:p>
    <w:p>
      <w:pPr>
        <w:pStyle w:val="BodyText"/>
        <w:spacing w:line="316" w:lineRule="auto" w:before="17"/>
        <w:ind w:right="0"/>
        <w:jc w:val="left"/>
      </w:pPr>
      <w:r>
        <w:rPr>
          <w:spacing w:val="-2"/>
        </w:rPr>
        <w:t>其减值损失和转回金额及处置损益作为持续经营损益列报。终止经营的减值损失和转回金额等经营损益及处置损益作为终止</w:t>
      </w:r>
      <w:r>
        <w:rPr>
          <w:spacing w:val="-64"/>
        </w:rPr>
        <w:t> </w:t>
      </w:r>
      <w:r>
        <w:rPr>
          <w:spacing w:val="-64"/>
        </w:rPr>
      </w:r>
      <w:r>
        <w:rPr/>
        <w:t>经营损益列报。</w:t>
      </w:r>
    </w:p>
    <w:p>
      <w:pPr>
        <w:pStyle w:val="BodyText"/>
        <w:spacing w:line="316" w:lineRule="auto"/>
        <w:ind w:left="1613" w:right="0"/>
        <w:jc w:val="left"/>
      </w:pPr>
      <w:r>
        <w:rPr/>
        <w:t>拟结束使用而非出售且满足终止经营定义中有关组成部分的条件的处置组，自其停止使用日起作为终止经营列报。 </w:t>
      </w:r>
      <w:r>
        <w:rPr>
          <w:spacing w:val="-1"/>
        </w:rPr>
        <w:t>对于当期列报的终止经营，在当期财务报表中，原来作为持续经营损益列报的信息被重新作为可比会计期间的终止经</w:t>
      </w:r>
    </w:p>
    <w:p>
      <w:pPr>
        <w:pStyle w:val="BodyText"/>
        <w:spacing w:line="316" w:lineRule="auto"/>
        <w:ind w:right="0"/>
        <w:jc w:val="left"/>
      </w:pPr>
      <w:r>
        <w:rPr>
          <w:spacing w:val="-2"/>
        </w:rPr>
        <w:t>营损益列报。终止经营不再满足持有待售类别划分条件的，在当期财务报表中，原来作为终止经营损益列报的信息被重新作</w:t>
      </w:r>
      <w:r>
        <w:rPr>
          <w:spacing w:val="-66"/>
        </w:rPr>
        <w:t> </w:t>
      </w:r>
      <w:r>
        <w:rPr>
          <w:spacing w:val="-66"/>
        </w:rPr>
      </w:r>
      <w:r>
        <w:rPr/>
        <w:t>为可比会计期间的持续经营损益列报。</w:t>
      </w:r>
    </w:p>
    <w:p>
      <w:pPr>
        <w:pStyle w:val="Heading4"/>
        <w:spacing w:line="240" w:lineRule="auto" w:before="19"/>
        <w:ind w:right="0"/>
        <w:jc w:val="left"/>
        <w:rPr>
          <w:b w:val="0"/>
          <w:bCs w:val="0"/>
        </w:rPr>
      </w:pPr>
      <w:r>
        <w:rPr>
          <w:rFonts w:ascii="宋体" w:hAnsi="宋体" w:cs="宋体" w:eastAsia="宋体" w:hint="default"/>
        </w:rPr>
        <w:t>3.</w:t>
      </w:r>
      <w:r>
        <w:rPr/>
        <w:t>资产减值</w:t>
      </w:r>
      <w:r>
        <w:rPr>
          <w:b w:val="0"/>
          <w:bCs w:val="0"/>
        </w:rPr>
      </w:r>
    </w:p>
    <w:p>
      <w:pPr>
        <w:pStyle w:val="BodyText"/>
        <w:spacing w:line="240" w:lineRule="auto" w:before="76"/>
        <w:ind w:left="1613" w:right="0"/>
        <w:jc w:val="left"/>
      </w:pPr>
      <w:r>
        <w:rPr/>
        <w:t>当存在下列迹象的，表明资产可能发生了减值：</w:t>
      </w:r>
    </w:p>
    <w:p>
      <w:pPr>
        <w:pStyle w:val="BodyText"/>
        <w:spacing w:line="240" w:lineRule="auto" w:before="76"/>
        <w:ind w:left="1614"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6" w:lineRule="auto" w:before="76"/>
        <w:ind w:right="0" w:firstLine="480"/>
        <w:jc w:val="left"/>
      </w:pPr>
      <w:r>
        <w:rPr/>
        <w:t>（</w:t>
      </w:r>
      <w:r>
        <w:rPr>
          <w:rFonts w:ascii="宋体" w:hAnsi="宋体" w:cs="宋体" w:eastAsia="宋体" w:hint="default"/>
        </w:rPr>
        <w:t>2</w:t>
      </w:r>
      <w:r>
        <w:rPr/>
        <w:t>）本公司经营所处的经济、技术或法律等环境以及资产所处的市场在当期或将在近期发生重大变化，从而对本公 司产生不利影响。</w:t>
      </w:r>
    </w:p>
    <w:p>
      <w:pPr>
        <w:pStyle w:val="BodyText"/>
        <w:spacing w:line="316" w:lineRule="auto"/>
        <w:ind w:right="0" w:firstLine="480"/>
        <w:jc w:val="left"/>
      </w:pPr>
      <w:r>
        <w:rPr/>
        <w:t>（</w:t>
      </w:r>
      <w:r>
        <w:rPr>
          <w:rFonts w:ascii="宋体" w:hAnsi="宋体" w:cs="宋体" w:eastAsia="宋体" w:hint="default"/>
        </w:rPr>
        <w:t>3</w:t>
      </w:r>
      <w:r>
        <w:rPr/>
        <w:t>）市场利率或者其他市场投资回报率在当期已经提高，从而影响企业用来计算资产预计未来现金流量现值的折现 率，导致资产可收回金额大幅度降低。</w:t>
      </w:r>
    </w:p>
    <w:p>
      <w:pPr>
        <w:pStyle w:val="BodyText"/>
        <w:spacing w:line="240" w:lineRule="auto"/>
        <w:ind w:left="1613" w:right="0"/>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76"/>
        <w:ind w:left="1614" w:right="0"/>
        <w:jc w:val="left"/>
      </w:pPr>
      <w:r>
        <w:rPr/>
        <w:t>（</w:t>
      </w:r>
      <w:r>
        <w:rPr>
          <w:rFonts w:ascii="宋体" w:hAnsi="宋体" w:cs="宋体" w:eastAsia="宋体" w:hint="default"/>
        </w:rPr>
        <w:t>5</w:t>
      </w:r>
      <w:r>
        <w:rPr/>
        <w:t>）资产已经或者将被闲置、终止使用或者计划提前处置。</w:t>
      </w:r>
    </w:p>
    <w:p>
      <w:pPr>
        <w:pStyle w:val="BodyText"/>
        <w:spacing w:line="316" w:lineRule="auto" w:before="76"/>
        <w:ind w:left="1134" w:right="0" w:firstLine="480"/>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 营业利润（或者损失）远远低于预计金额等。</w:t>
      </w:r>
    </w:p>
    <w:p>
      <w:pPr>
        <w:pStyle w:val="BodyText"/>
        <w:spacing w:line="316" w:lineRule="auto"/>
        <w:ind w:left="1614" w:right="0"/>
        <w:jc w:val="left"/>
      </w:pPr>
      <w:r>
        <w:rPr/>
        <w:t>（</w:t>
      </w:r>
      <w:r>
        <w:rPr>
          <w:rFonts w:ascii="宋体" w:hAnsi="宋体" w:cs="宋体" w:eastAsia="宋体" w:hint="default"/>
        </w:rPr>
        <w:t>7</w:t>
      </w:r>
      <w:r>
        <w:rPr/>
        <w:t>）其他表明资产可能已经发生减值的迹象。 </w:t>
      </w:r>
      <w:r>
        <w:rPr>
          <w:spacing w:val="-1"/>
        </w:rPr>
        <w:t>本公司在资产负债表日对长期股权投资、固定资产、工程物资、在建工程、无形资产（使用寿命不确定的除外）等适</w:t>
      </w:r>
    </w:p>
    <w:p>
      <w:pPr>
        <w:pStyle w:val="BodyText"/>
        <w:spacing w:line="316" w:lineRule="auto"/>
        <w:ind w:right="0"/>
        <w:jc w:val="left"/>
      </w:pPr>
      <w:r>
        <w:rPr>
          <w:spacing w:val="-2"/>
        </w:rPr>
        <w:t>用《企业会计准则第</w:t>
      </w:r>
      <w:r>
        <w:rPr>
          <w:rFonts w:ascii="宋体" w:hAnsi="宋体" w:cs="宋体" w:eastAsia="宋体" w:hint="default"/>
          <w:spacing w:val="-2"/>
        </w:rPr>
        <w:t>8</w:t>
      </w:r>
      <w:r>
        <w:rPr>
          <w:spacing w:val="-2"/>
        </w:rPr>
        <w:t>号——资产减值》的各项资产进行判断，当存在减值迹象时对其进行减值测试</w:t>
      </w:r>
      <w:r>
        <w:rPr>
          <w:rFonts w:ascii="宋体" w:hAnsi="宋体" w:cs="宋体" w:eastAsia="宋体" w:hint="default"/>
          <w:spacing w:val="-2"/>
        </w:rPr>
        <w:t>-</w:t>
      </w:r>
      <w:r>
        <w:rPr>
          <w:spacing w:val="-2"/>
        </w:rPr>
        <w:t>估计其可收回金额。可</w:t>
      </w:r>
      <w:r>
        <w:rPr>
          <w:spacing w:val="-64"/>
        </w:rPr>
        <w:t> </w:t>
      </w:r>
      <w:r>
        <w:rPr>
          <w:spacing w:val="-64"/>
        </w:rPr>
      </w:r>
      <w:r>
        <w:rPr>
          <w:spacing w:val="-2"/>
        </w:rPr>
        <w:t>收回金额以资产的公允价值减去处置费用后的净额与资产预计未来现金流量的现值两者之间较高者确定。资产的可收回金额</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0"/>
        <w:jc w:val="left"/>
      </w:pPr>
      <w:r>
        <w:rPr>
          <w:spacing w:val="-2"/>
        </w:rPr>
        <w:t>低于其账面价值的，将资产的账面价值减记至可收回金额，减记的金额确认为资产减值损失，计入当期损益，同时计提相应</w:t>
      </w:r>
      <w:r>
        <w:rPr>
          <w:spacing w:val="-65"/>
        </w:rPr>
        <w:t> </w:t>
      </w:r>
      <w:r>
        <w:rPr>
          <w:spacing w:val="-65"/>
        </w:rPr>
      </w:r>
      <w:r>
        <w:rPr/>
        <w:t>的资产减值准备。</w:t>
      </w:r>
    </w:p>
    <w:p>
      <w:pPr>
        <w:pStyle w:val="BodyText"/>
        <w:spacing w:line="316" w:lineRule="auto"/>
        <w:ind w:left="1134" w:right="0" w:firstLine="480"/>
        <w:jc w:val="left"/>
      </w:pPr>
      <w:r>
        <w:rPr>
          <w:spacing w:val="-1"/>
        </w:rPr>
        <w:t>有迹象表明一项资产可能发生减值的，本公司通常以单项资产为基础估计其可收回金额。当难以对单项资产的可收回</w:t>
      </w:r>
      <w:r>
        <w:rPr/>
        <w:t> 金额进行估计的，以该资产所属的资产组为基础确定资产组的可收回金额。</w:t>
      </w:r>
    </w:p>
    <w:p>
      <w:pPr>
        <w:pStyle w:val="BodyText"/>
        <w:spacing w:line="316" w:lineRule="auto"/>
        <w:ind w:right="0" w:firstLine="480"/>
        <w:jc w:val="left"/>
      </w:pPr>
      <w:r>
        <w:rPr>
          <w:spacing w:val="-1"/>
        </w:rPr>
        <w:t>资产组是本公司可以认定的最小资产组合，其产生的现金流入基本上独立于其他资产或者资产组。资产组由创造现金</w:t>
      </w:r>
      <w:r>
        <w:rPr/>
        <w:t> 流入相关的资产组成。资产组的认定，以资产组产生的主要现金流入是否独立于其他资产或者资产组的现金流入为依据。</w:t>
      </w:r>
    </w:p>
    <w:p>
      <w:pPr>
        <w:pStyle w:val="BodyText"/>
        <w:spacing w:line="316" w:lineRule="auto"/>
        <w:ind w:right="0" w:firstLine="480"/>
        <w:jc w:val="left"/>
      </w:pPr>
      <w:r>
        <w:rPr>
          <w:spacing w:val="-1"/>
        </w:rPr>
        <w:t>本公司对因企业合并所形成的商誉和使用寿命不确定及尚未达到可使用状态的无形资产，无论是否存在减值迹象，每</w:t>
      </w:r>
      <w:r>
        <w:rPr/>
        <w:t> 年都进行减值测试。商誉的减值测试结合与其相关的资产组或者资产组组合进行。</w:t>
      </w:r>
    </w:p>
    <w:p>
      <w:pPr>
        <w:pStyle w:val="BodyText"/>
        <w:spacing w:line="240" w:lineRule="auto"/>
        <w:ind w:left="1613" w:right="0"/>
        <w:jc w:val="left"/>
      </w:pPr>
      <w:r>
        <w:rPr/>
        <w:t>资产减值损失一经确认，在以后会计期间不予转回。</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16" w:lineRule="auto" w:before="11"/>
        <w:ind w:right="1129" w:firstLine="468"/>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日，财政部以财会</w:t>
      </w:r>
      <w:r>
        <w:rPr>
          <w:rFonts w:ascii="宋体" w:hAnsi="宋体" w:cs="宋体" w:eastAsia="宋体" w:hint="default"/>
        </w:rPr>
        <w:t>[2017]13</w:t>
      </w:r>
      <w:r>
        <w:rPr/>
        <w:t>号发布了《企业会计准则第</w:t>
      </w:r>
      <w:r>
        <w:rPr>
          <w:rFonts w:ascii="宋体" w:hAnsi="宋体" w:cs="宋体" w:eastAsia="宋体" w:hint="default"/>
        </w:rPr>
        <w:t>42</w:t>
      </w:r>
      <w:r>
        <w:rPr/>
        <w:t>号——持有待售的非流动资产、处置组和终止 </w:t>
      </w:r>
      <w:r>
        <w:rPr>
          <w:spacing w:val="-7"/>
        </w:rPr>
        <w:t>经营》，自</w:t>
      </w:r>
      <w:r>
        <w:rPr>
          <w:rFonts w:ascii="宋体" w:hAnsi="宋体" w:cs="宋体" w:eastAsia="宋体" w:hint="default"/>
          <w:spacing w:val="-7"/>
        </w:rPr>
        <w:t>2017</w:t>
      </w:r>
      <w:r>
        <w:rPr>
          <w:spacing w:val="-7"/>
        </w:rPr>
        <w:t>年</w:t>
      </w:r>
      <w:r>
        <w:rPr>
          <w:rFonts w:ascii="宋体" w:hAnsi="宋体" w:cs="宋体" w:eastAsia="宋体" w:hint="default"/>
          <w:spacing w:val="-7"/>
        </w:rPr>
        <w:t>5</w:t>
      </w:r>
      <w:r>
        <w:rPr>
          <w:spacing w:val="-7"/>
        </w:rPr>
        <w:t>月</w:t>
      </w:r>
      <w:r>
        <w:rPr>
          <w:rFonts w:ascii="宋体" w:hAnsi="宋体" w:cs="宋体" w:eastAsia="宋体" w:hint="default"/>
          <w:spacing w:val="-7"/>
        </w:rPr>
        <w:t>28</w:t>
      </w:r>
      <w:r>
        <w:rPr>
          <w:spacing w:val="-7"/>
        </w:rPr>
        <w:t>日起实施。</w:t>
      </w:r>
      <w:r>
        <w:rPr>
          <w:rFonts w:ascii="宋体" w:hAnsi="宋体" w:cs="宋体" w:eastAsia="宋体" w:hint="default"/>
          <w:spacing w:val="-7"/>
        </w:rPr>
        <w:t>2017</w:t>
      </w:r>
      <w:r>
        <w:rPr>
          <w:spacing w:val="-7"/>
        </w:rPr>
        <w:t>年</w:t>
      </w:r>
      <w:r>
        <w:rPr>
          <w:rFonts w:ascii="宋体" w:hAnsi="宋体" w:cs="宋体" w:eastAsia="宋体" w:hint="default"/>
          <w:spacing w:val="-7"/>
        </w:rPr>
        <w:t>5</w:t>
      </w:r>
      <w:r>
        <w:rPr>
          <w:spacing w:val="-7"/>
        </w:rPr>
        <w:t>月</w:t>
      </w:r>
      <w:r>
        <w:rPr>
          <w:rFonts w:ascii="宋体" w:hAnsi="宋体" w:cs="宋体" w:eastAsia="宋体" w:hint="default"/>
          <w:spacing w:val="-7"/>
        </w:rPr>
        <w:t>10</w:t>
      </w:r>
      <w:r>
        <w:rPr>
          <w:spacing w:val="-7"/>
        </w:rPr>
        <w:t>日，财政部以财会</w:t>
      </w:r>
      <w:r>
        <w:rPr>
          <w:rFonts w:ascii="宋体" w:hAnsi="宋体" w:cs="宋体" w:eastAsia="宋体" w:hint="default"/>
          <w:spacing w:val="-7"/>
        </w:rPr>
        <w:t>[2017]15</w:t>
      </w:r>
      <w:r>
        <w:rPr>
          <w:spacing w:val="-7"/>
        </w:rPr>
        <w:t>号发布了《企业会计准则第</w:t>
      </w:r>
      <w:r>
        <w:rPr>
          <w:rFonts w:ascii="宋体" w:hAnsi="宋体" w:cs="宋体" w:eastAsia="宋体" w:hint="default"/>
          <w:spacing w:val="-7"/>
        </w:rPr>
        <w:t>16</w:t>
      </w:r>
      <w:r>
        <w:rPr>
          <w:spacing w:val="-7"/>
        </w:rPr>
        <w:t>号——政府补助（</w:t>
      </w:r>
      <w:r>
        <w:rPr>
          <w:rFonts w:ascii="宋体" w:hAnsi="宋体" w:cs="宋体" w:eastAsia="宋体" w:hint="default"/>
          <w:spacing w:val="-7"/>
        </w:rPr>
        <w:t>2017</w:t>
      </w:r>
      <w:r>
        <w:rPr>
          <w:rFonts w:ascii="宋体" w:hAnsi="宋体" w:cs="宋体" w:eastAsia="宋体" w:hint="default"/>
          <w:spacing w:val="-46"/>
        </w:rPr>
        <w:t> </w:t>
      </w:r>
      <w:r>
        <w:rPr/>
        <w:t>年修订）》，自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日起实施。本公司按照财政部的要求时间开始执行前述两项会计准则。</w:t>
      </w:r>
    </w:p>
    <w:p>
      <w:pPr>
        <w:pStyle w:val="BodyText"/>
        <w:spacing w:line="316" w:lineRule="auto"/>
        <w:ind w:right="1131" w:firstLine="480"/>
        <w:jc w:val="both"/>
      </w:pPr>
      <w:r>
        <w:rPr>
          <w:spacing w:val="-1"/>
        </w:rPr>
        <w:t>《企业会计准则第</w:t>
      </w:r>
      <w:r>
        <w:rPr>
          <w:rFonts w:ascii="宋体" w:hAnsi="宋体" w:cs="宋体" w:eastAsia="宋体" w:hint="default"/>
          <w:spacing w:val="-1"/>
        </w:rPr>
        <w:t>42</w:t>
      </w:r>
      <w:r>
        <w:rPr>
          <w:spacing w:val="-1"/>
        </w:rPr>
        <w:t>号——持有待售的非流动资产、处置组和终止经营》准则规范了持有待售的非流动资产或处置组</w:t>
      </w:r>
      <w:r>
        <w:rPr/>
        <w:t> 的分类、计量和列报，以及终止经营的列报。</w:t>
      </w:r>
    </w:p>
    <w:p>
      <w:pPr>
        <w:pStyle w:val="BodyText"/>
        <w:spacing w:line="319" w:lineRule="auto"/>
        <w:ind w:right="1130" w:firstLine="480"/>
        <w:jc w:val="both"/>
      </w:pPr>
      <w:r>
        <w:rPr>
          <w:spacing w:val="-1"/>
        </w:rPr>
        <w:t>执行《企业会计准则第</w:t>
      </w:r>
      <w:r>
        <w:rPr>
          <w:rFonts w:ascii="宋体" w:hAnsi="宋体" w:cs="宋体" w:eastAsia="宋体" w:hint="default"/>
          <w:spacing w:val="-1"/>
        </w:rPr>
        <w:t>16</w:t>
      </w:r>
      <w:r>
        <w:rPr>
          <w:spacing w:val="-1"/>
        </w:rPr>
        <w:t>号——政府补助（</w:t>
      </w:r>
      <w:r>
        <w:rPr>
          <w:rFonts w:ascii="宋体" w:hAnsi="宋体" w:cs="宋体" w:eastAsia="宋体" w:hint="default"/>
          <w:spacing w:val="-1"/>
        </w:rPr>
        <w:t>2017</w:t>
      </w:r>
      <w:r>
        <w:rPr>
          <w:spacing w:val="-1"/>
        </w:rPr>
        <w:t>年修订）》之前，本公司将取得的政府补助计入营业外收入；与资产</w:t>
      </w:r>
      <w:r>
        <w:rPr/>
        <w:t> </w:t>
      </w:r>
      <w:r>
        <w:rPr>
          <w:spacing w:val="-5"/>
        </w:rPr>
        <w:t>相关的政府补助确认为递延收益，在资产使用寿命内平均摊销计入当期损益。执行《企业会计准则第</w:t>
      </w:r>
      <w:r>
        <w:rPr>
          <w:rFonts w:ascii="宋体" w:hAnsi="宋体" w:cs="宋体" w:eastAsia="宋体" w:hint="default"/>
          <w:spacing w:val="-5"/>
        </w:rPr>
        <w:t>16</w:t>
      </w:r>
      <w:r>
        <w:rPr>
          <w:spacing w:val="-5"/>
        </w:rPr>
        <w:t>号——政府补助（</w:t>
      </w:r>
      <w:r>
        <w:rPr>
          <w:rFonts w:ascii="宋体" w:hAnsi="宋体" w:cs="宋体" w:eastAsia="宋体" w:hint="default"/>
          <w:spacing w:val="-5"/>
        </w:rPr>
        <w:t>2017</w:t>
      </w:r>
      <w:r>
        <w:rPr>
          <w:rFonts w:ascii="宋体" w:hAnsi="宋体" w:cs="宋体" w:eastAsia="宋体" w:hint="default"/>
          <w:spacing w:val="-66"/>
        </w:rPr>
        <w:t> </w:t>
      </w:r>
      <w:r>
        <w:rPr>
          <w:spacing w:val="-2"/>
        </w:rPr>
        <w:t>年修订）》之后，对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日之后发生的与日常活动相关的政府补助，计入其他收益；与日常活动无关的政府补助，计</w:t>
      </w:r>
      <w:r>
        <w:rPr>
          <w:spacing w:val="-62"/>
        </w:rPr>
        <w:t> </w:t>
      </w:r>
      <w:r>
        <w:rPr>
          <w:spacing w:val="-62"/>
        </w:rPr>
      </w:r>
      <w:r>
        <w:rPr/>
        <w:t>入营业外收支。</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8"/>
      <w:bookmarkEnd w:id="21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8"/>
        <w:gridCol w:w="3191"/>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应税增值额</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78"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78" w:type="dxa"/>
            <w:tcBorders>
              <w:top w:val="single" w:sz="4" w:space="0" w:color="000000"/>
              <w:left w:val="single" w:sz="4" w:space="0" w:color="000000"/>
              <w:bottom w:val="single" w:sz="4" w:space="0" w:color="000000"/>
              <w:right w:val="single" w:sz="13" w:space="0" w:color="C7E7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13" w:space="0" w:color="D2D2D2"/>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网娱互动</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争渡科技</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上海穆冠</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银狐游戏</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海南银狐思志网络科技有限公司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任网安</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613" w:right="1027"/>
        <w:jc w:val="left"/>
      </w:pPr>
      <w:r>
        <w:rPr/>
        <w:t>（</w:t>
      </w:r>
      <w:r>
        <w:rPr>
          <w:rFonts w:ascii="宋体" w:hAnsi="宋体" w:cs="宋体" w:eastAsia="宋体" w:hint="default"/>
        </w:rPr>
        <w:t>1</w:t>
      </w:r>
      <w:r>
        <w:rPr/>
        <w:t>）增值税及享受的税收优惠政策 </w:t>
      </w:r>
      <w:r>
        <w:rPr>
          <w:spacing w:val="-2"/>
        </w:rPr>
        <w:t>根据国务院发布的国发</w:t>
      </w:r>
      <w:r>
        <w:rPr>
          <w:rFonts w:ascii="宋体" w:hAnsi="宋体" w:cs="宋体" w:eastAsia="宋体" w:hint="default"/>
          <w:spacing w:val="-2"/>
        </w:rPr>
        <w:t>[2000]18</w:t>
      </w:r>
      <w:r>
        <w:rPr>
          <w:spacing w:val="-2"/>
        </w:rPr>
        <w:t>号《国务院关于印发</w:t>
      </w:r>
      <w:r>
        <w:rPr>
          <w:rFonts w:ascii="宋体" w:hAnsi="宋体" w:cs="宋体" w:eastAsia="宋体" w:hint="default"/>
          <w:spacing w:val="-2"/>
        </w:rPr>
        <w:t>&lt;</w:t>
      </w:r>
      <w:r>
        <w:rPr>
          <w:spacing w:val="-2"/>
        </w:rPr>
        <w:t>鼓励软件产业和集成电路产业发展若干政策</w:t>
      </w:r>
      <w:r>
        <w:rPr>
          <w:rFonts w:ascii="宋体" w:hAnsi="宋体" w:cs="宋体" w:eastAsia="宋体" w:hint="default"/>
          <w:spacing w:val="-2"/>
        </w:rPr>
        <w:t>&gt;</w:t>
      </w:r>
      <w:r>
        <w:rPr>
          <w:spacing w:val="-2"/>
        </w:rPr>
        <w:t>的通知》和财政部、</w:t>
      </w:r>
    </w:p>
    <w:p>
      <w:pPr>
        <w:pStyle w:val="BodyText"/>
        <w:spacing w:line="316" w:lineRule="auto" w:before="17"/>
        <w:ind w:right="1131"/>
        <w:jc w:val="both"/>
      </w:pPr>
      <w:r>
        <w:rPr>
          <w:spacing w:val="-2"/>
        </w:rPr>
        <w:t>国家税务总局、海关总署发布的财税</w:t>
      </w:r>
      <w:r>
        <w:rPr>
          <w:rFonts w:ascii="宋体" w:hAnsi="宋体" w:cs="宋体" w:eastAsia="宋体" w:hint="default"/>
          <w:spacing w:val="-2"/>
        </w:rPr>
        <w:t>[2000]25</w:t>
      </w:r>
      <w:r>
        <w:rPr>
          <w:spacing w:val="-2"/>
        </w:rPr>
        <w:t>号《关于鼓励软件产业和集成电路产业发展有关税收政策问题的通知》以及国</w:t>
      </w:r>
      <w:r>
        <w:rPr>
          <w:spacing w:val="-58"/>
        </w:rPr>
        <w:t> </w:t>
      </w:r>
      <w:r>
        <w:rPr>
          <w:spacing w:val="-58"/>
        </w:rPr>
      </w:r>
      <w:r>
        <w:rPr>
          <w:spacing w:val="-2"/>
        </w:rPr>
        <w:t>务院</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日发布的国发</w:t>
      </w:r>
      <w:r>
        <w:rPr>
          <w:rFonts w:ascii="宋体" w:hAnsi="宋体" w:cs="宋体" w:eastAsia="宋体" w:hint="default"/>
          <w:spacing w:val="-2"/>
        </w:rPr>
        <w:t>[2011]4</w:t>
      </w:r>
      <w:r>
        <w:rPr>
          <w:spacing w:val="-2"/>
        </w:rPr>
        <w:t>号《关于印发进一步鼓励软件产业和集成电路产业发展若干政策的通知》中的有关规</w:t>
      </w:r>
      <w:r>
        <w:rPr>
          <w:spacing w:val="-50"/>
        </w:rPr>
        <w:t> </w:t>
      </w:r>
      <w:r>
        <w:rPr>
          <w:spacing w:val="-50"/>
        </w:rPr>
      </w:r>
      <w:r>
        <w:rPr/>
        <w:t>定，本公司及子公司销售自行开发生产的软件产品，按</w:t>
      </w:r>
      <w:r>
        <w:rPr>
          <w:rFonts w:ascii="宋体" w:hAnsi="宋体" w:cs="宋体" w:eastAsia="宋体" w:hint="default"/>
        </w:rPr>
        <w:t>17</w:t>
      </w:r>
      <w:r>
        <w:rPr/>
        <w:t>％的法定税率征收增值税后，增值税实际税负超过</w:t>
      </w:r>
      <w:r>
        <w:rPr>
          <w:rFonts w:ascii="宋体" w:hAnsi="宋体" w:cs="宋体" w:eastAsia="宋体" w:hint="default"/>
        </w:rPr>
        <w:t>3</w:t>
      </w:r>
      <w:r>
        <w:rPr/>
        <w:t>％的部分实行 即征即退政策。</w:t>
      </w:r>
    </w:p>
    <w:p>
      <w:pPr>
        <w:pStyle w:val="BodyText"/>
        <w:spacing w:line="316" w:lineRule="auto"/>
        <w:ind w:left="1613" w:right="0"/>
        <w:jc w:val="left"/>
      </w:pPr>
      <w:r>
        <w:rPr/>
        <w:t>（</w:t>
      </w:r>
      <w:r>
        <w:rPr>
          <w:rFonts w:ascii="宋体" w:hAnsi="宋体" w:cs="宋体" w:eastAsia="宋体" w:hint="default"/>
        </w:rPr>
        <w:t>2</w:t>
      </w:r>
      <w:r>
        <w:rPr/>
        <w:t>）企业所得税及享受的税收优惠政策 </w:t>
      </w:r>
      <w:r>
        <w:rPr>
          <w:spacing w:val="-3"/>
        </w:rPr>
        <w:t>子公司北京亚鸿根据国发</w:t>
      </w:r>
      <w:r>
        <w:rPr>
          <w:rFonts w:ascii="宋体" w:hAnsi="宋体" w:cs="宋体" w:eastAsia="宋体" w:hint="default"/>
          <w:spacing w:val="-3"/>
        </w:rPr>
        <w:t>[2011]4</w:t>
      </w:r>
      <w:r>
        <w:rPr>
          <w:spacing w:val="-3"/>
        </w:rPr>
        <w:t>号《国务院关于印发进一步鼓励软件产业和集成电路产业发展若干政策的通知》（国</w:t>
      </w:r>
    </w:p>
    <w:p>
      <w:pPr>
        <w:pStyle w:val="BodyText"/>
        <w:spacing w:line="316" w:lineRule="auto"/>
        <w:ind w:right="1139"/>
        <w:jc w:val="both"/>
      </w:pPr>
      <w:r>
        <w:rPr/>
        <w:t>发</w:t>
      </w:r>
      <w:r>
        <w:rPr>
          <w:rFonts w:ascii="宋体" w:hAnsi="宋体" w:cs="宋体" w:eastAsia="宋体" w:hint="default"/>
        </w:rPr>
        <w:t>[2011]4</w:t>
      </w:r>
      <w:r>
        <w:rPr/>
        <w:t>号）和《关于软件和集成电路产业企业所得税优惠政策有关问题的通知》（财税</w:t>
      </w:r>
      <w:r>
        <w:rPr>
          <w:rFonts w:ascii="宋体" w:hAnsi="宋体" w:cs="宋体" w:eastAsia="宋体" w:hint="default"/>
        </w:rPr>
        <w:t>[2016]49</w:t>
      </w:r>
      <w:r>
        <w:rPr/>
        <w:t>号）的规定，对新办的 符合条件的软件企业，经备案后，自获利年度起，享受企业所得税“两免三减半”优惠政策，于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12</w:t>
      </w:r>
      <w:r>
        <w:rPr/>
        <w:t>日获得北京市 软件行业颁发的《软件企业证书》，</w:t>
      </w:r>
      <w:r>
        <w:rPr>
          <w:rFonts w:ascii="宋体" w:hAnsi="宋体" w:cs="宋体" w:eastAsia="宋体" w:hint="default"/>
        </w:rPr>
        <w:t>2017</w:t>
      </w:r>
      <w:r>
        <w:rPr/>
        <w:t>年度为企业所得税免税第二年。</w:t>
      </w:r>
    </w:p>
    <w:p>
      <w:pPr>
        <w:pStyle w:val="BodyText"/>
        <w:spacing w:line="316" w:lineRule="auto"/>
        <w:ind w:left="1613" w:right="1813"/>
        <w:jc w:val="left"/>
      </w:pPr>
      <w:r>
        <w:rPr/>
        <w:t>子公司北京亚鸿于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子公司任网游于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子公司任子行科技于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子公司唐人数码于</w:t>
      </w:r>
      <w:r>
        <w:rPr>
          <w:rFonts w:ascii="宋体" w:hAnsi="宋体" w:cs="宋体" w:eastAsia="宋体" w:hint="default"/>
        </w:rPr>
        <w:t>2017</w:t>
      </w:r>
      <w:r>
        <w:rPr/>
        <w:t>年被认定为高新技术企业，自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子公司泡椒思志</w:t>
      </w:r>
      <w:r>
        <w:rPr>
          <w:rFonts w:ascii="宋体" w:hAnsi="宋体" w:cs="宋体" w:eastAsia="宋体" w:hint="default"/>
        </w:rPr>
        <w:t>2016</w:t>
      </w:r>
      <w:r>
        <w:rPr/>
        <w:t>年被认定为高新技术企业，自</w:t>
      </w:r>
      <w:r>
        <w:rPr>
          <w:rFonts w:ascii="宋体" w:hAnsi="宋体" w:cs="宋体" w:eastAsia="宋体" w:hint="default"/>
        </w:rPr>
        <w:t>2016</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w:t>
      </w:r>
    </w:p>
    <w:p>
      <w:pPr>
        <w:pStyle w:val="BodyText"/>
        <w:spacing w:line="316" w:lineRule="auto"/>
        <w:ind w:left="1494" w:right="1122"/>
        <w:jc w:val="left"/>
      </w:pPr>
      <w:r>
        <w:rPr/>
        <w:t>孙公司银狐游戏</w:t>
      </w:r>
      <w:r>
        <w:rPr>
          <w:rFonts w:ascii="宋体" w:hAnsi="宋体" w:cs="宋体" w:eastAsia="宋体" w:hint="default"/>
        </w:rPr>
        <w:t>2017</w:t>
      </w:r>
      <w:r>
        <w:rPr/>
        <w:t>年被认定为高新技术企业，自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孙公司上海穆冠根据国发</w:t>
      </w:r>
      <w:r>
        <w:rPr>
          <w:rFonts w:ascii="宋体" w:hAnsi="宋体" w:cs="宋体" w:eastAsia="宋体" w:hint="default"/>
        </w:rPr>
        <w:t>[2011]4</w:t>
      </w:r>
      <w:r>
        <w:rPr/>
        <w:t>号《国务院关于印发进一步鼓励软件产业和集成电路产业发展若干政策的通知》（国</w:t>
      </w:r>
    </w:p>
    <w:p>
      <w:pPr>
        <w:pStyle w:val="BodyText"/>
        <w:spacing w:line="319" w:lineRule="auto"/>
        <w:ind w:right="1130"/>
        <w:jc w:val="both"/>
      </w:pPr>
      <w:r>
        <w:rPr/>
        <w:t>发</w:t>
      </w:r>
      <w:r>
        <w:rPr>
          <w:rFonts w:ascii="宋体" w:hAnsi="宋体" w:cs="宋体" w:eastAsia="宋体" w:hint="default"/>
        </w:rPr>
        <w:t>[2011]4</w:t>
      </w:r>
      <w:r>
        <w:rPr/>
        <w:t>号）和《关于软件和集成电路产业企业所得税优惠政策有关问题的通知》（财税</w:t>
      </w:r>
      <w:r>
        <w:rPr>
          <w:rFonts w:ascii="宋体" w:hAnsi="宋体" w:cs="宋体" w:eastAsia="宋体" w:hint="default"/>
        </w:rPr>
        <w:t>[2016]49</w:t>
      </w:r>
      <w:r>
        <w:rPr/>
        <w:t>号）的规定，对新办的 </w:t>
      </w:r>
      <w:r>
        <w:rPr>
          <w:spacing w:val="-2"/>
        </w:rPr>
        <w:t>符合条件的软件企业，经备案后，自获利年度起，享受企业所得税“两免三减半”优惠政策，</w:t>
      </w:r>
      <w:r>
        <w:rPr>
          <w:rFonts w:ascii="宋体" w:hAnsi="宋体" w:cs="宋体" w:eastAsia="宋体" w:hint="default"/>
          <w:spacing w:val="-2"/>
        </w:rPr>
        <w:t>2017</w:t>
      </w:r>
      <w:r>
        <w:rPr>
          <w:spacing w:val="-2"/>
        </w:rPr>
        <w:t>年度为企业所得税免税第</w:t>
      </w:r>
      <w:r>
        <w:rPr>
          <w:spacing w:val="-61"/>
        </w:rPr>
        <w:t> </w:t>
      </w:r>
      <w:r>
        <w:rPr/>
        <w:t>一年。</w:t>
      </w:r>
    </w:p>
    <w:p>
      <w:pPr>
        <w:spacing w:after="0" w:line="31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7710"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1"/>
      <w:bookmarkEnd w:id="2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2"/>
      <w:bookmarkEnd w:id="22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123,460.01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311,720,976.55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324,891,878.61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9,476,304.16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4,879,789.00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321,262,001.31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329,895,127.62</w:t>
            </w:r>
          </w:p>
        </w:tc>
      </w:tr>
    </w:tbl>
    <w:p>
      <w:pPr>
        <w:pStyle w:val="BodyText"/>
        <w:spacing w:line="357" w:lineRule="auto" w:before="51"/>
        <w:ind w:right="2473"/>
        <w:jc w:val="left"/>
      </w:pPr>
      <w:r>
        <w:rPr/>
        <w:t>其他说明 期末其他货币资金中</w:t>
      </w:r>
      <w:r>
        <w:rPr>
          <w:rFonts w:ascii="宋体" w:hAnsi="宋体" w:cs="宋体" w:eastAsia="宋体" w:hint="default"/>
        </w:rPr>
        <w:t>7,290,070.00</w:t>
      </w:r>
      <w:r>
        <w:rPr/>
        <w:t>元系保函保证金，</w:t>
      </w:r>
      <w:r>
        <w:rPr>
          <w:rFonts w:ascii="宋体" w:hAnsi="宋体" w:cs="宋体" w:eastAsia="宋体" w:hint="default"/>
        </w:rPr>
        <w:t>2,186,234.16</w:t>
      </w:r>
      <w:r>
        <w:rPr/>
        <w:t>元为第三方平台支付账户未结算余额。</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衍生金融资产" w:id="224"/>
      <w:bookmarkEnd w:id="22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5"/>
      <w:bookmarkEnd w:id="22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6"/>
      <w:bookmarkEnd w:id="22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8,749,277.00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4,646,049.00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2,857,476.00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6,312,800.00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11,606,753.00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10,958,849.00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7"/>
      <w:bookmarkEnd w:id="22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期末公司已背书或贴现且在资产负债表日尚未到期的应收票据" w:id="228"/>
      <w:bookmarkEnd w:id="22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2,789,436.48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2,789,436.48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229"/>
      <w:bookmarkEnd w:id="22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880,050.00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880,050.00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30"/>
      <w:bookmarkEnd w:id="23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31"/>
      <w:bookmarkEnd w:id="2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417,285,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696.45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48,613,9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368,671,7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219,567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,440.56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22,134,61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197,432,82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417,285,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696.45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48,613,9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368,671,7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219,567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,440.56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22,134,61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197,432,82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305,795,577.18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15,249,866.76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305,795,577.18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15,249,866.76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67,884,222.90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6,788,422.29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24,328,842.52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7,298,652.76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19,277,053.85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19,277,053.85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417,285,696.45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48,613,995.66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spacing w:after="0" w:line="36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4187"/>
        <w:jc w:val="left"/>
      </w:pPr>
      <w:r>
        <w:rPr/>
        <w:t>本期计提坏账准备金额</w:t>
      </w:r>
      <w:r>
        <w:rPr>
          <w:spacing w:val="-46"/>
        </w:rPr>
        <w:t> </w:t>
      </w:r>
      <w:r>
        <w:rPr>
          <w:rFonts w:ascii="宋体" w:hAnsi="宋体" w:cs="宋体" w:eastAsia="宋体" w:hint="default"/>
        </w:rPr>
        <w:t>25,320,230.32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 其中本期坏账准备收回或转回金额重要的：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本期实际核销的应收账款情况" w:id="233"/>
      <w:bookmarkEnd w:id="2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名的应收账款情况" w:id="234"/>
      <w:bookmarkEnd w:id="2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tabs>
          <w:tab w:pos="1674" w:val="left" w:leader="none"/>
        </w:tabs>
        <w:spacing w:line="357" w:lineRule="auto" w:before="0"/>
        <w:ind w:left="1134" w:right="7710"/>
        <w:jc w:val="left"/>
      </w:pPr>
      <w:r>
        <w:rPr/>
        <w:t>公司是否需要遵守特殊行业的披露要求 是</w:t>
        <w:tab/>
        <w:t>互联网游戏业</w:t>
      </w:r>
    </w:p>
    <w:p>
      <w:pPr>
        <w:spacing w:line="240" w:lineRule="auto" w:before="11"/>
        <w:rPr>
          <w:rFonts w:ascii="宋体" w:hAnsi="宋体" w:cs="宋体" w:eastAsia="宋体" w:hint="default"/>
          <w:sz w:val="8"/>
          <w:szCs w:val="8"/>
        </w:rPr>
      </w:pPr>
    </w:p>
    <w:p>
      <w:pPr>
        <w:spacing w:line="2595" w:lineRule="exact"/>
        <w:ind w:left="1134"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5943600" cy="16478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9" cstate="print"/>
                    <a:stretch>
                      <a:fillRect/>
                    </a:stretch>
                  </pic:blipFill>
                  <pic:spPr>
                    <a:xfrm>
                      <a:off x="0" y="0"/>
                      <a:ext cx="5943600" cy="1647825"/>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0"/>
        <w:jc w:val="left"/>
        <w:rPr>
          <w:b w:val="0"/>
          <w:bCs w:val="0"/>
        </w:rPr>
      </w:pPr>
      <w:bookmarkStart w:name="（5）因金融资产转移而终止确认的应收账款" w:id="235"/>
      <w:bookmarkEnd w:id="23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36"/>
      <w:bookmarkEnd w:id="23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预付款项" w:id="237"/>
      <w:bookmarkEnd w:id="23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31,512,751.34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24,205,868.13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826,626.26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241,175.67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113,894.84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297,644.00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32,447,523.64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24,858,582.64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9"/>
      <w:bookmarkEnd w:id="23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9"/>
          <w:szCs w:val="29"/>
        </w:rPr>
      </w:pPr>
    </w:p>
    <w:p>
      <w:pPr>
        <w:spacing w:line="3015" w:lineRule="exact"/>
        <w:ind w:left="113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5029200" cy="19145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0" cstate="print"/>
                    <a:stretch>
                      <a:fillRect/>
                    </a:stretch>
                  </pic:blipFill>
                  <pic:spPr>
                    <a:xfrm>
                      <a:off x="0" y="0"/>
                      <a:ext cx="5029200" cy="1914525"/>
                    </a:xfrm>
                    <a:prstGeom prst="rect">
                      <a:avLst/>
                    </a:prstGeom>
                  </pic:spPr>
                </pic:pic>
              </a:graphicData>
            </a:graphic>
          </wp:inline>
        </w:drawing>
      </w:r>
      <w:r>
        <w:rPr>
          <w:rFonts w:ascii="宋体" w:hAnsi="宋体" w:cs="宋体" w:eastAsia="宋体" w:hint="default"/>
          <w:position w:val="-59"/>
          <w:sz w:val="20"/>
          <w:szCs w:val="20"/>
        </w:rPr>
      </w:r>
    </w:p>
    <w:p>
      <w:pPr>
        <w:pStyle w:val="BodyText"/>
        <w:spacing w:line="240" w:lineRule="auto" w:before="11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40"/>
      <w:bookmarkEnd w:id="24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41"/>
      <w:bookmarkEnd w:id="24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重要逾期利息" w:id="242"/>
      <w:bookmarkEnd w:id="24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8、应收股利" w:id="243"/>
      <w:bookmarkEnd w:id="24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股利" w:id="244"/>
      <w:bookmarkEnd w:id="24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重要的账龄超过1年的应收股利" w:id="245"/>
      <w:bookmarkEnd w:id="245"/>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9、其他应收款" w:id="246"/>
      <w:bookmarkEnd w:id="246"/>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47"/>
      <w:bookmarkEnd w:id="24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32,154,6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95.12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15,081,5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17,073,19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13,468,81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11,566,180.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32,154,6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95.12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15,081,5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17,073,19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25,034,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993.86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13,468,81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11,566,180.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15,314,608.97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818,306.21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15,314,608.97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818,306.21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2,416,057.09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241,605.62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574,909.37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172,472.81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13,849,119.69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13,849,119.69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32,154,695.12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15,081,504.33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134" w:right="4861"/>
        <w:jc w:val="left"/>
      </w:pPr>
      <w:r>
        <w:rPr/>
        <w:t>本期计提坏账准备金额</w:t>
      </w:r>
      <w:r>
        <w:rPr>
          <w:spacing w:val="-47"/>
        </w:rPr>
        <w:t> </w:t>
      </w:r>
      <w:r>
        <w:rPr>
          <w:rFonts w:ascii="Times New Roman" w:hAnsi="Times New Roman" w:cs="Times New Roman" w:eastAsia="Times New Roman" w:hint="default"/>
        </w:rPr>
        <w:t>1,609,380.36</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12"/>
        <w:rPr>
          <w:rFonts w:ascii="宋体" w:hAnsi="宋体" w:cs="宋体" w:eastAsia="宋体" w:hint="default"/>
          <w:sz w:val="20"/>
          <w:szCs w:val="20"/>
        </w:rPr>
      </w:pPr>
    </w:p>
    <w:p>
      <w:pPr>
        <w:pStyle w:val="Heading3"/>
        <w:spacing w:line="240" w:lineRule="auto"/>
        <w:ind w:left="1134" w:right="0"/>
        <w:jc w:val="left"/>
        <w:rPr>
          <w:b w:val="0"/>
          <w:bCs w:val="0"/>
        </w:rPr>
      </w:pPr>
      <w:bookmarkStart w:name="（3）本期实际核销的其他应收款情况" w:id="249"/>
      <w:bookmarkEnd w:id="24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应收款按款项性质分类情况" w:id="250"/>
      <w:bookmarkEnd w:id="25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15,428,416.81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14,587,301.45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10,910,311.51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7,354,317.01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2,553,444.22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1,317,825.70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2,717,682.62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1,561,345.78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544,839.96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214,203.92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32,154,695.12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25,034,993.86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按欠款方归集的期末余额前五名的其他应收款情况" w:id="251"/>
      <w:bookmarkEnd w:id="25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606"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12,085,278.70</w:t>
            </w:r>
          </w:p>
        </w:tc>
        <w:tc>
          <w:tcPr>
            <w:tcW w:w="158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12,085,278.70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606"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1,000,000.00</w:t>
            </w:r>
          </w:p>
        </w:tc>
        <w:tc>
          <w:tcPr>
            <w:tcW w:w="158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6"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900,000.00</w:t>
            </w:r>
          </w:p>
        </w:tc>
        <w:tc>
          <w:tcPr>
            <w:tcW w:w="158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6"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800,033.80</w:t>
            </w:r>
          </w:p>
        </w:tc>
        <w:tc>
          <w:tcPr>
            <w:tcW w:w="158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40,001.69</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6" w:type="dxa"/>
            <w:tcBorders>
              <w:top w:val="single" w:sz="4" w:space="0" w:color="000000"/>
              <w:left w:val="single" w:sz="4" w:space="0" w:color="000000"/>
              <w:bottom w:val="single" w:sz="4" w:space="0" w:color="000000"/>
              <w:right w:val="single" w:sz="9" w:space="0" w:color="C7E7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742,000.00</w:t>
            </w:r>
          </w:p>
        </w:tc>
        <w:tc>
          <w:tcPr>
            <w:tcW w:w="158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15,527,312.50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13,207,380.39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52"/>
      <w:bookmarkEnd w:id="25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253"/>
      <w:bookmarkEnd w:id="25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254"/>
      <w:bookmarkEnd w:id="25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55"/>
      <w:bookmarkEnd w:id="255"/>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56"/>
      <w:bookmarkEnd w:id="25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17,057.90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777,156.15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777,156.15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79,678.39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132,829.15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132,829.15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48,688,911.43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44,092,446.85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27,801,986.20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5,874,654.72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21,927,331.48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132,805,372.65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132,805,372.65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72,012,945.54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72,012,945.54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79"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181,593,698.27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176,997,233.69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100,725,653.80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5,874,654.72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94,850,999.08</w:t>
            </w:r>
          </w:p>
        </w:tc>
      </w:tr>
    </w:tbl>
    <w:p>
      <w:pPr>
        <w:pStyle w:val="BodyText"/>
        <w:spacing w:line="340" w:lineRule="auto" w:before="51"/>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是</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前五名游戏情况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存货跌价准备" w:id="257"/>
      <w:bookmarkEnd w:id="25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5,874,654.72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1,278,190.14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5,874,654.72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1,278,190.14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58"/>
      <w:bookmarkEnd w:id="25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期末建造合同形成的已完工未结算资产情况" w:id="259"/>
      <w:bookmarkEnd w:id="25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1、持有待售的资产" w:id="260"/>
      <w:bookmarkEnd w:id="260"/>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2、一年内到期的非流动资产" w:id="261"/>
      <w:bookmarkEnd w:id="26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其他流动资产" w:id="262"/>
      <w:bookmarkEnd w:id="26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2,196,527.31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5,966,527.31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3"/>
      <w:bookmarkEnd w:id="263"/>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4"/>
      <w:bookmarkEnd w:id="26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126,981,350.00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126,981,350.00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126,981,350.00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按公允价值计量的可供出售金融资产" w:id="265"/>
      <w:bookmarkEnd w:id="26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66"/>
      <w:bookmarkEnd w:id="26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39"/>
        <w:gridCol w:w="901"/>
        <w:gridCol w:w="870"/>
        <w:gridCol w:w="1205"/>
        <w:gridCol w:w="535"/>
        <w:gridCol w:w="870"/>
        <w:gridCol w:w="870"/>
        <w:gridCol w:w="702"/>
        <w:gridCol w:w="1038"/>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8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63" w:right="62"/>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1"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38"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48,981,35</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48,981,350.00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富海永成</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创稷投资</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北京明略</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深圳爱游 戏网络科 技有限公 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广州星门 信息科技 有限公司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成都启乐 科技有限 公司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海南腾鼎 科技有限 公司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北京上元 信安技术 有限公司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湖南合天 智汇信息 技术有限 公司</w:t>
            </w:r>
          </w:p>
        </w:tc>
        <w:tc>
          <w:tcPr>
            <w:tcW w:w="83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126,981,3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50.00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179,341,350.00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报告期内可供出售金融资产减值的变动情况" w:id="267"/>
      <w:bookmarkEnd w:id="26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可供出售权益工具期末公允价值严重下跌或非暂时性下跌但未计提减值准备的相关说" w:id="268"/>
      <w:bookmarkEnd w:id="26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5、持有至到期投资" w:id="269"/>
      <w:bookmarkEnd w:id="269"/>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0"/>
      <w:bookmarkEnd w:id="27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重要的持有至到期投资" w:id="271"/>
      <w:bookmarkEnd w:id="27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重分类的持有至到期投资" w:id="272"/>
      <w:bookmarkEnd w:id="27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73"/>
      <w:bookmarkEnd w:id="27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4"/>
      <w:bookmarkEnd w:id="27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因金融资产转移而终止确认的长期应收款" w:id="275"/>
      <w:bookmarkEnd w:id="27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6"/>
      <w:bookmarkEnd w:id="27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7"/>
      <w:bookmarkEnd w:id="27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1,622,129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-719,953.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902,176.5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843,185.9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-191,999.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651,186.1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5,130,700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5,241,012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109,753.7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1,167,932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深圳前海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中电慧安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-691,887.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17,962,30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-691,887.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17,962,30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8"/>
      <w:bookmarkEnd w:id="27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79"/>
      <w:bookmarkEnd w:id="27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02"/>
        <w:gridCol w:w="1985"/>
        <w:gridCol w:w="1985"/>
        <w:gridCol w:w="992"/>
        <w:gridCol w:w="120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85"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73,780,819.47</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73,780,819.47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85"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85"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82,768,525.31</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82,768,525.31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5,256,304.93</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5,256,304.93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1,787,172.52</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1,787,172.52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1,401,835.56</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1,401,835.56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385,336.96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385,336.96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02"/>
        <w:gridCol w:w="1985"/>
        <w:gridCol w:w="1985"/>
        <w:gridCol w:w="992"/>
        <w:gridCol w:w="120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7,043,477.45</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7,043,477.45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75,725,047.86</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75,725,047.86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68,524,514.54</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68,524,514.54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采用公允价值计量模式的投资性房地产" w:id="280"/>
      <w:bookmarkEnd w:id="28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81"/>
      <w:bookmarkEnd w:id="28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9、固定资产" w:id="282"/>
      <w:bookmarkEnd w:id="28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83"/>
      <w:bookmarkEnd w:id="28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27"/>
        <w:gridCol w:w="1843"/>
        <w:gridCol w:w="1560"/>
        <w:gridCol w:w="1416"/>
        <w:gridCol w:w="1419"/>
        <w:gridCol w:w="1200"/>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145,247,447.37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88,941,935.63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7,357,808.36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5,423,912.28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246,971,103.64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13,467,179.37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12,167,577.11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1,842,508.99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27,477,265.47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10,814,476.31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1,815,293.22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12,629,769.53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13,467,179.37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13,467,179.37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1,353,100.80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27,215.77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1,380,316.57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615,540.77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1,214,017.00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10,819,578.61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274,813.22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1,214,017.00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1,491,145.22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）租赁资产收回转存货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340,727.55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340,727.55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128"/>
        <w:gridCol w:w="1842"/>
        <w:gridCol w:w="1560"/>
        <w:gridCol w:w="1416"/>
        <w:gridCol w:w="1419"/>
        <w:gridCol w:w="1200"/>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）转入投资性房地产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8,987,705.84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149,726,920.90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100,493,971.97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6,143,791.36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263,628,790.50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8,272,609.67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53,674,755.66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5,099,495.64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2,832,722.34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69,879,583.31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3,145,280.98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11,857,656.84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793,158.70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663,218.42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16,459,314.94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3,145,280.98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11,410,562.84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793,158.70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641,469.61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15,990,472.13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447,094.00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21,748.81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468,842.81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385,336.96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149,405.12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1,153,382.15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1,690,416.43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149,405.12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1,153,382.15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1,305,079.47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385,336.96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385,336.96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11,032,553.69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65,383,007.38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4,739,272.19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3,493,648.56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84,648,481.82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138,694,367.21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35,110,964.59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1,404,519.17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3,770,457.71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178,980,308.68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136,974,837.70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35,267,179.97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2,258,312.72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2,591,189.94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177,091,520.33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84"/>
      <w:bookmarkEnd w:id="28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通过融资租赁租入的固定资产情况" w:id="285"/>
      <w:bookmarkEnd w:id="28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通过经营租赁租出的固定资产" w:id="286"/>
      <w:bookmarkEnd w:id="28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bookmarkStart w:name="（5）未办妥产权证书的固定资产情况" w:id="287"/>
      <w:bookmarkEnd w:id="28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在建工程" w:id="288"/>
      <w:bookmarkEnd w:id="28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89"/>
      <w:bookmarkEnd w:id="28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重要在建工程项目本期变动情况" w:id="290"/>
      <w:bookmarkEnd w:id="29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本期计提在建工程减值准备情况" w:id="291"/>
      <w:bookmarkEnd w:id="29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工程物资" w:id="292"/>
      <w:bookmarkEnd w:id="29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2、固定资产清理" w:id="293"/>
      <w:bookmarkEnd w:id="29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3、生产性生物资产" w:id="294"/>
      <w:bookmarkEnd w:id="29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5"/>
      <w:bookmarkEnd w:id="29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6"/>
      <w:bookmarkEnd w:id="29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97"/>
      <w:bookmarkEnd w:id="29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298"/>
      <w:bookmarkEnd w:id="29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99"/>
      <w:bookmarkEnd w:id="29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105"/>
        <w:gridCol w:w="1146"/>
        <w:gridCol w:w="1416"/>
        <w:gridCol w:w="1418"/>
        <w:gridCol w:w="1134"/>
        <w:gridCol w:w="1134"/>
        <w:gridCol w:w="1205"/>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8"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34"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域名</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4,268,638.59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5,147,371.67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1,917,513.24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8,579,600.00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19,049,210.26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1,135,561.86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1,135,561.86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46" w:type="dxa"/>
            <w:tcBorders>
              <w:top w:val="single" w:sz="4" w:space="0" w:color="000000"/>
              <w:left w:val="single" w:sz="13"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1,074,800.00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27,669.90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9,348,100.00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15,124,669.90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128"/>
        <w:gridCol w:w="1134"/>
        <w:gridCol w:w="1416"/>
        <w:gridCol w:w="1418"/>
        <w:gridCol w:w="1134"/>
        <w:gridCol w:w="1134"/>
        <w:gridCol w:w="1205"/>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5,343,438.59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6,310,603.43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17,927,700.00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35,309,442.02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1,327,887.50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3,585,381.35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3,431,839.95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8,766,548.79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878,299.09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805,402.99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3,585,539.96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6,414,782.04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233,705.00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467,405.00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757,155.85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2,259,926.59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4,393,090.19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1,800,685.00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7,484,784.90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15,938,486.68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3,083,512.00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1,917,513.24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3,927,015.00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10,442,915.10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19,370,955.34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2,940,751.09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1,561,990.32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5,147,760.06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10,282,661.47</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300"/>
      <w:bookmarkEnd w:id="30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6、开发支出" w:id="301"/>
      <w:bookmarkEnd w:id="30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7、商誉" w:id="302"/>
      <w:bookmarkEnd w:id="302"/>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303"/>
      <w:bookmarkEnd w:id="30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418"/>
        <w:gridCol w:w="1417"/>
        <w:gridCol w:w="851"/>
        <w:gridCol w:w="993"/>
        <w:gridCol w:w="689"/>
        <w:gridCol w:w="136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非同一控制下企业合并形成的商誉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707,679,949.75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341,103,235.12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1,048,783,184.87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707,679,949.75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341,103,235.12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1,048,783,184.87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4"/>
      <w:bookmarkEnd w:id="30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418"/>
        <w:gridCol w:w="1417"/>
        <w:gridCol w:w="851"/>
        <w:gridCol w:w="993"/>
        <w:gridCol w:w="689"/>
        <w:gridCol w:w="136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非同一控制下企业合并形成的商誉</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bl>
    <w:p>
      <w:pPr>
        <w:pStyle w:val="BodyText"/>
        <w:spacing w:line="357" w:lineRule="auto" w:before="51"/>
        <w:ind w:left="1614" w:right="0" w:hanging="480"/>
        <w:jc w:val="left"/>
      </w:pPr>
      <w:r>
        <w:rPr/>
        <w:t>说明商誉减值测试过程、参数及商誉减值损失的确认方法： </w:t>
      </w:r>
      <w:r>
        <w:rPr>
          <w:spacing w:val="-1"/>
        </w:rPr>
        <w:t>公司对非同一控制下企业合并形成的商誉，自购买日起按照合理的方法分摊至相关的资产组，并对包含商誉的相关资</w:t>
      </w:r>
    </w:p>
    <w:p>
      <w:pPr>
        <w:pStyle w:val="BodyText"/>
        <w:spacing w:line="224" w:lineRule="exact" w:before="0"/>
        <w:ind w:left="1134" w:right="0"/>
        <w:jc w:val="left"/>
      </w:pPr>
      <w:r>
        <w:rPr/>
        <w:t>产组进行减值测试，将所估计的可回收金额与账面价值比较，确认计提资产减值准备。</w:t>
      </w:r>
    </w:p>
    <w:p>
      <w:pPr>
        <w:pStyle w:val="BodyText"/>
        <w:spacing w:line="316" w:lineRule="auto" w:before="76"/>
        <w:ind w:right="1131" w:firstLine="480"/>
        <w:jc w:val="both"/>
      </w:pPr>
      <w:r>
        <w:rPr>
          <w:spacing w:val="-1"/>
        </w:rPr>
        <w:t>公司根据管理层批准的三至五年期预算，采用现金流量预测法对资产组和资产组组合的可收回金额进行评估，测试商</w:t>
      </w:r>
      <w:r>
        <w:rPr/>
        <w:t> </w:t>
      </w:r>
      <w:r>
        <w:rPr>
          <w:spacing w:val="-2"/>
        </w:rPr>
        <w:t>誉是否发生减值。减值测试中采用的其他关键假设包括：各业务类型增长率、毛利率及其他相关费用，管理层根据历史经验</w:t>
      </w:r>
      <w:r>
        <w:rPr>
          <w:spacing w:val="-66"/>
        </w:rPr>
        <w:t> </w:t>
      </w:r>
      <w:r>
        <w:rPr>
          <w:spacing w:val="-66"/>
        </w:rPr>
      </w:r>
      <w:r>
        <w:rPr/>
        <w:t>及对市场发展的预测确定相关关键假设。商誉减值测试采用的折现率为加权平均资本成本。</w:t>
      </w:r>
    </w:p>
    <w:p>
      <w:pPr>
        <w:pStyle w:val="BodyText"/>
        <w:spacing w:line="316" w:lineRule="auto"/>
        <w:ind w:left="1134" w:right="1482" w:firstLine="270"/>
        <w:jc w:val="left"/>
      </w:pPr>
      <w:r>
        <w:rPr/>
        <w:t>根据减值测试结果，本期末商誉中收购子公司苏州唐人数码科技有限公司形成的商誉发生减值，计提商誉减值准备 </w:t>
      </w:r>
      <w:r>
        <w:rPr>
          <w:rFonts w:ascii="宋体" w:hAnsi="宋体" w:cs="宋体" w:eastAsia="宋体" w:hint="default"/>
        </w:rPr>
        <w:t>20,002.00</w:t>
      </w:r>
      <w:r>
        <w:rPr/>
        <w:t>万元。</w:t>
      </w:r>
    </w:p>
    <w:p>
      <w:pPr>
        <w:pStyle w:val="BodyText"/>
        <w:spacing w:line="316" w:lineRule="auto"/>
        <w:ind w:left="1404" w:right="1122"/>
        <w:jc w:val="left"/>
      </w:pPr>
      <w:r>
        <w:rPr/>
        <w:t>商誉减值具体情况如下： </w:t>
      </w:r>
      <w:r>
        <w:rPr>
          <w:rFonts w:ascii="宋体" w:hAnsi="宋体" w:cs="宋体" w:eastAsia="宋体" w:hint="default"/>
        </w:rPr>
        <w:t>2015</w:t>
      </w:r>
      <w:r>
        <w:rPr/>
        <w:t>年公司现金及发行股份购买唐人数码</w:t>
      </w:r>
      <w:r>
        <w:rPr>
          <w:rFonts w:ascii="宋体" w:hAnsi="宋体" w:cs="宋体" w:eastAsia="宋体" w:hint="default"/>
        </w:rPr>
        <w:t>100%</w:t>
      </w:r>
      <w:r>
        <w:rPr/>
        <w:t>股权，唐人数码截至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日的全部股权按照收益法评估的价值为</w:t>
      </w:r>
    </w:p>
    <w:p>
      <w:pPr>
        <w:pStyle w:val="BodyText"/>
        <w:spacing w:line="316" w:lineRule="auto"/>
        <w:ind w:left="1404" w:right="1122" w:hanging="270"/>
        <w:jc w:val="left"/>
      </w:pPr>
      <w:r>
        <w:rPr>
          <w:rFonts w:ascii="宋体" w:hAnsi="宋体" w:cs="宋体" w:eastAsia="宋体" w:hint="default"/>
        </w:rPr>
        <w:t>64,336.19</w:t>
      </w:r>
      <w:r>
        <w:rPr/>
        <w:t>万元人民币</w:t>
      </w:r>
      <w:r>
        <w:rPr>
          <w:rFonts w:ascii="宋体" w:hAnsi="宋体" w:cs="宋体" w:eastAsia="宋体" w:hint="default"/>
        </w:rPr>
        <w:t>,</w:t>
      </w:r>
      <w:r>
        <w:rPr/>
        <w:t>交易对价</w:t>
      </w:r>
      <w:r>
        <w:rPr>
          <w:rFonts w:ascii="宋体" w:hAnsi="宋体" w:cs="宋体" w:eastAsia="宋体" w:hint="default"/>
        </w:rPr>
        <w:t>60,256</w:t>
      </w:r>
      <w:r>
        <w:rPr/>
        <w:t>万元。 交易报告书中另约定如下事项：如唐人数码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年度实现的净利润均不低于补偿义</w:t>
      </w:r>
    </w:p>
    <w:p>
      <w:pPr>
        <w:pStyle w:val="BodyText"/>
        <w:spacing w:line="316" w:lineRule="auto"/>
        <w:ind w:right="1123"/>
        <w:jc w:val="left"/>
      </w:pPr>
      <w:r>
        <w:rPr/>
        <w:t>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 产价格调整为现作价的</w:t>
      </w:r>
      <w:r>
        <w:rPr>
          <w:rFonts w:ascii="宋体" w:hAnsi="宋体" w:cs="宋体" w:eastAsia="宋体" w:hint="default"/>
        </w:rPr>
        <w:t>1.332</w:t>
      </w:r>
      <w:r>
        <w:rPr/>
        <w:t>倍，即交易的对价由</w:t>
      </w:r>
      <w:r>
        <w:rPr>
          <w:rFonts w:ascii="宋体" w:hAnsi="宋体" w:cs="宋体" w:eastAsia="宋体" w:hint="default"/>
        </w:rPr>
        <w:t>60,256.00</w:t>
      </w:r>
      <w:r>
        <w:rPr/>
        <w:t>万元调整为</w:t>
      </w:r>
      <w:r>
        <w:rPr>
          <w:rFonts w:ascii="宋体" w:hAnsi="宋体" w:cs="宋体" w:eastAsia="宋体" w:hint="default"/>
        </w:rPr>
        <w:t>80,258.00</w:t>
      </w:r>
      <w:r>
        <w:rPr/>
        <w:t>万元，增加的对价金额为</w:t>
      </w:r>
      <w:r>
        <w:rPr>
          <w:rFonts w:ascii="宋体" w:hAnsi="宋体" w:cs="宋体" w:eastAsia="宋体" w:hint="default"/>
        </w:rPr>
        <w:t>20,002</w:t>
      </w:r>
      <w:r>
        <w:rPr/>
        <w:t>万元；</w:t>
      </w:r>
    </w:p>
    <w:p>
      <w:pPr>
        <w:pStyle w:val="BodyText"/>
        <w:spacing w:line="316" w:lineRule="auto"/>
        <w:ind w:right="1139" w:firstLine="270"/>
        <w:jc w:val="both"/>
      </w:pPr>
      <w:r>
        <w:rPr/>
        <w:t>公司于</w:t>
      </w:r>
      <w:r>
        <w:rPr>
          <w:rFonts w:ascii="宋体" w:hAnsi="宋体" w:cs="宋体" w:eastAsia="宋体" w:hint="default"/>
        </w:rPr>
        <w:t>2015</w:t>
      </w:r>
      <w:r>
        <w:rPr/>
        <w:t>年度在母公司报表层面对</w:t>
      </w:r>
      <w:r>
        <w:rPr>
          <w:rFonts w:ascii="宋体" w:hAnsi="宋体" w:cs="宋体" w:eastAsia="宋体" w:hint="default"/>
        </w:rPr>
        <w:t>20,002</w:t>
      </w:r>
      <w:r>
        <w:rPr/>
        <w:t>万元确认为预计负债，同时增加对唐人数码的长期股权投资</w:t>
      </w:r>
      <w:r>
        <w:rPr>
          <w:rFonts w:ascii="宋体" w:hAnsi="宋体" w:cs="宋体" w:eastAsia="宋体" w:hint="default"/>
        </w:rPr>
        <w:t>20,002</w:t>
      </w:r>
      <w:r>
        <w:rPr/>
        <w:t>万元；在 合并报表层面，增加了合并商誉</w:t>
      </w:r>
      <w:r>
        <w:rPr>
          <w:rFonts w:ascii="宋体" w:hAnsi="宋体" w:cs="宋体" w:eastAsia="宋体" w:hint="default"/>
        </w:rPr>
        <w:t>20,002</w:t>
      </w:r>
      <w:r>
        <w:rPr/>
        <w:t>万元，同时确认预计负债</w:t>
      </w:r>
      <w:r>
        <w:rPr>
          <w:rFonts w:ascii="宋体" w:hAnsi="宋体" w:cs="宋体" w:eastAsia="宋体" w:hint="default"/>
        </w:rPr>
        <w:t>20,002</w:t>
      </w:r>
      <w:r>
        <w:rPr/>
        <w:t>万元。</w:t>
      </w:r>
    </w:p>
    <w:p>
      <w:pPr>
        <w:pStyle w:val="BodyText"/>
        <w:spacing w:line="316" w:lineRule="auto"/>
        <w:ind w:right="1130" w:firstLine="270"/>
        <w:jc w:val="both"/>
      </w:pPr>
      <w:r>
        <w:rPr/>
        <w:t>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年度经审计的归属于母公司股东的扣除非经常性损益后的净利润合计 </w:t>
      </w:r>
      <w:r>
        <w:rPr>
          <w:rFonts w:ascii="宋体" w:hAnsi="宋体" w:cs="宋体" w:eastAsia="宋体" w:hint="default"/>
        </w:rPr>
        <w:t>23,597.32</w:t>
      </w:r>
      <w:r>
        <w:rPr/>
        <w:t>万元，未达到</w:t>
      </w:r>
      <w:r>
        <w:rPr>
          <w:rFonts w:ascii="宋体" w:hAnsi="宋体" w:cs="宋体" w:eastAsia="宋体" w:hint="default"/>
        </w:rPr>
        <w:t>31,000</w:t>
      </w:r>
      <w:r>
        <w:rPr/>
        <w:t>万元，不满足交易报告书中的约定，公司无需支付预计负债</w:t>
      </w:r>
      <w:r>
        <w:rPr>
          <w:rFonts w:ascii="宋体" w:hAnsi="宋体" w:cs="宋体" w:eastAsia="宋体" w:hint="default"/>
        </w:rPr>
        <w:t>20,002</w:t>
      </w:r>
      <w:r>
        <w:rPr/>
        <w:t>万元。</w:t>
      </w:r>
      <w:r>
        <w:rPr>
          <w:rFonts w:ascii="宋体" w:hAnsi="宋体" w:cs="宋体" w:eastAsia="宋体" w:hint="default"/>
        </w:rPr>
        <w:t>2017</w:t>
      </w:r>
      <w:r>
        <w:rPr/>
        <w:t>年度合并报表 </w:t>
      </w:r>
      <w:r>
        <w:rPr>
          <w:spacing w:val="-2"/>
        </w:rPr>
        <w:t>公司对无需支付的预计负债金额</w:t>
      </w:r>
      <w:r>
        <w:rPr>
          <w:rFonts w:ascii="宋体" w:hAnsi="宋体" w:cs="宋体" w:eastAsia="宋体" w:hint="default"/>
          <w:spacing w:val="-2"/>
        </w:rPr>
        <w:t>20,002</w:t>
      </w:r>
      <w:r>
        <w:rPr>
          <w:spacing w:val="-2"/>
        </w:rPr>
        <w:t>万元全额计入营业外收入，同时对商誉计提减值准备</w:t>
      </w:r>
      <w:r>
        <w:rPr>
          <w:rFonts w:ascii="宋体" w:hAnsi="宋体" w:cs="宋体" w:eastAsia="宋体" w:hint="default"/>
          <w:spacing w:val="-2"/>
        </w:rPr>
        <w:t>20,002</w:t>
      </w:r>
      <w:r>
        <w:rPr>
          <w:spacing w:val="-2"/>
        </w:rPr>
        <w:t>万元，此事项对公司整体</w:t>
      </w:r>
      <w:r>
        <w:rPr>
          <w:spacing w:val="-52"/>
        </w:rPr>
        <w:t> </w:t>
      </w:r>
      <w:r>
        <w:rPr>
          <w:spacing w:val="-52"/>
        </w:rPr>
      </w:r>
      <w:r>
        <w:rPr/>
        <w:t>的净利润不产生影响。</w:t>
      </w:r>
    </w:p>
    <w:p>
      <w:pPr>
        <w:pStyle w:val="BodyText"/>
        <w:spacing w:line="240" w:lineRule="auto" w:before="59"/>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8、长期待摊费用" w:id="305"/>
      <w:bookmarkEnd w:id="30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3,085,754.16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744,616.20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2,341,137.96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独代版权金</w:t>
            </w:r>
          </w:p>
        </w:tc>
        <w:tc>
          <w:tcPr>
            <w:tcW w:w="1607" w:type="dxa"/>
            <w:tcBorders>
              <w:top w:val="single" w:sz="4" w:space="0" w:color="000000"/>
              <w:left w:val="single" w:sz="9" w:space="0" w:color="C7E7CC"/>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1,509,433.92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419,287.20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1,090,146.72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1607" w:type="dxa"/>
            <w:tcBorders>
              <w:top w:val="single" w:sz="4" w:space="0" w:color="000000"/>
              <w:left w:val="single" w:sz="9" w:space="0" w:color="C7E7CC"/>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712,366.88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148,409.80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563,957.08</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3,085,754.16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2,221,800.80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1,312,313.20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3,995,241.76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06"/>
      <w:bookmarkEnd w:id="30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7"/>
      <w:bookmarkEnd w:id="30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268,311,964.57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27,132,993.49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41,478,084.34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6,373,818.81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12,892,533.63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1,933,880.04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35,413,666.67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6,370,050.00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303,725,631.24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30,645,643.49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96,837,617.97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14,677,748.85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08"/>
      <w:bookmarkEnd w:id="30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13"/>
        <w:gridCol w:w="1572"/>
        <w:gridCol w:w="1700"/>
        <w:gridCol w:w="1560"/>
        <w:gridCol w:w="1914"/>
      </w:tblGrid>
      <w:tr>
        <w:trPr>
          <w:trHeight w:val="206"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2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3" w:type="dxa"/>
            <w:gridSpan w:val="2"/>
            <w:vMerge/>
            <w:tcBorders>
              <w:left w:val="single" w:sz="4" w:space="0" w:color="000000"/>
              <w:bottom w:val="single" w:sz="4" w:space="0" w:color="000000"/>
              <w:right w:val="single" w:sz="4" w:space="0" w:color="000000"/>
            </w:tcBorders>
            <w:shd w:val="clear" w:color="auto" w:fill="D2D2D2"/>
          </w:tcPr>
          <w:p>
            <w:pPr/>
          </w:p>
        </w:tc>
        <w:tc>
          <w:tcPr>
            <w:tcW w:w="3474"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16,107,590.07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2,416,138.51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7,177,260.07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1,076,589.01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16,107,590.07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2,416,138.51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7,177,260.07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1,076,589.01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09"/>
      <w:bookmarkEnd w:id="30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30,645,643.48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14,677,748.85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2,416,138.51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1,076,589.01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10"/>
      <w:bookmarkEnd w:id="31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未确认递延所得税资产的可抵扣亏损将于以下年度到期" w:id="311"/>
      <w:bookmarkEnd w:id="31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0、其他非流动资产" w:id="312"/>
      <w:bookmarkEnd w:id="31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三年期保函保证金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179,750.00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短期借款" w:id="313"/>
      <w:bookmarkEnd w:id="31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14"/>
      <w:bookmarkEnd w:id="31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15"/>
      <w:bookmarkEnd w:id="31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本期末已逾期未偿还的短期借款总额为元，其中重要的已逾期未偿还的短期借款情况如下：</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16"/>
      <w:bookmarkEnd w:id="31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3、衍生金融负债" w:id="317"/>
      <w:bookmarkEnd w:id="31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18"/>
      <w:bookmarkEnd w:id="31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10,465,470.00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10,465,470.00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5、应付账款" w:id="319"/>
      <w:bookmarkEnd w:id="31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20"/>
      <w:bookmarkEnd w:id="32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240,189,710.67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113,347,672.75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240,189,710.67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113,347,672.75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应付账款"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河北创基电子科技有限公司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2,636,159.90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哈尔滨诺龙科技发展有限公司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2,116,006.83</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爱普新通信网络维护技术有限公司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8,318,166.73</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22"/>
      <w:bookmarkEnd w:id="32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23"/>
      <w:bookmarkEnd w:id="32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202,206,394.37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53,288,912.77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202,206,394.37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53,288,912.77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24"/>
      <w:bookmarkEnd w:id="32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芜湖市公安局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3,647,371.42</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3,647,371.42</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25"/>
      <w:bookmarkEnd w:id="32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26"/>
      <w:bookmarkEnd w:id="32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7"/>
      <w:bookmarkEnd w:id="32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53"/>
        <w:gridCol w:w="1559"/>
        <w:gridCol w:w="1631"/>
        <w:gridCol w:w="1914"/>
        <w:gridCol w:w="1903"/>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41"/>
        <w:gridCol w:w="1571"/>
        <w:gridCol w:w="1631"/>
        <w:gridCol w:w="1914"/>
        <w:gridCol w:w="1914"/>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34,578,854.73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243,355,757.43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222,710,413.49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55,224,198.67</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11,810,501.41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11,810,501.41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34,578,854.73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255,171,208.92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234,525,864.98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55,224,198.67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28"/>
      <w:bookmarkEnd w:id="32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46"/>
        <w:gridCol w:w="1713"/>
        <w:gridCol w:w="1985"/>
        <w:gridCol w:w="1844"/>
        <w:gridCol w:w="1772"/>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34,578,854.73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225,562,378.23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204,917,034.29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55,224,198.67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4,168,941.01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4,168,941.01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5,143,665.70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5,143,665.70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4,487,168.49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4,487,168.49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226,888.76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429,608.45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429,608.45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6,826,373.49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6,826,373.49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1,566,569.02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1,566,569.02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171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87,829.98</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34,578,854.73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243,355,757.43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222,710,413.49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55,224,198.67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29"/>
      <w:bookmarkEnd w:id="32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11,430,791.79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11,430,791.79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379,709.62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379,709.62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11,810,501.41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11,810,501.41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应交税费" w:id="330"/>
      <w:bookmarkEnd w:id="33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14,389,737.79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5,302,671.65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23,594,542.82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6,358,411.64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931,784.81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713,045.75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567,550.80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434,641.04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419,488.57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315,450.69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79,987.75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146,150.26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178,514.42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40,120,803.60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13,568,326.34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31"/>
      <w:bookmarkEnd w:id="33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3"/>
        <w:spacing w:line="240" w:lineRule="auto"/>
        <w:ind w:left="1134" w:right="0"/>
        <w:jc w:val="left"/>
        <w:rPr>
          <w:b w:val="0"/>
          <w:bCs w:val="0"/>
        </w:rPr>
      </w:pPr>
      <w:bookmarkStart w:name="40、应付股利" w:id="332"/>
      <w:bookmarkEnd w:id="33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298,172.33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298,172.33</w:t>
            </w: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3"/>
      <w:bookmarkEnd w:id="33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4"/>
      <w:bookmarkEnd w:id="33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应付被并购方股东款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4,160,330.14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6,862,564.17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应付员工款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1,840,574.08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717,161.33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2,783,551.00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2,300,398.98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58,784,455.22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19,880,124.48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5"/>
      <w:bookmarkEnd w:id="33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6"/>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应付被并购方股东款，未到期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应付被并购方股东款，未到期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right="804"/>
              <w:jc w:val="right"/>
              <w:rPr>
                <w:rFonts w:ascii="宋体" w:hAnsi="宋体" w:cs="宋体" w:eastAsia="宋体" w:hint="default"/>
                <w:sz w:val="18"/>
                <w:szCs w:val="18"/>
              </w:rPr>
            </w:pPr>
            <w:r>
              <w:rPr>
                <w:rFonts w:ascii="宋体" w:hAnsi="宋体" w:cs="宋体" w:eastAsia="宋体" w:hint="default"/>
                <w:sz w:val="18"/>
                <w:szCs w:val="18"/>
              </w:rPr>
              <w:t>应付被并购方股东款，未到期</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7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应付被并购方股东款，未到期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36"/>
      <w:bookmarkEnd w:id="336"/>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3、一年内到期的非流动负债" w:id="337"/>
      <w:bookmarkEnd w:id="33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授予的限制性股票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28,985,073.78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38"/>
      <w:bookmarkEnd w:id="33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期末未消耗的游戏充值款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5,169,662.59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7,749,945.38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5,169,662.59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7,749,945.38</w:t>
            </w:r>
          </w:p>
        </w:tc>
      </w:tr>
    </w:tbl>
    <w:p>
      <w:pPr>
        <w:pStyle w:val="BodyText"/>
        <w:spacing w:line="240" w:lineRule="auto" w:before="51"/>
        <w:ind w:left="113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39"/>
      <w:bookmarkEnd w:id="33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40"/>
      <w:bookmarkEnd w:id="34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6、应付债券" w:id="341"/>
      <w:bookmarkEnd w:id="34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42"/>
      <w:bookmarkEnd w:id="34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应付债券的增减变动（不包括划分为金融负债的优先股、永续债等其他金融工具）" w:id="343"/>
      <w:bookmarkEnd w:id="34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可转换公司债券的转股条件、转股时间说明" w:id="344"/>
      <w:bookmarkEnd w:id="34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5"/>
      <w:bookmarkEnd w:id="34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期末发行在外的优先股、永续债等其他金融工具基本情况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期末发行在外的优先股、永续债等金融工具变动情况表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7、长期应付款" w:id="346"/>
      <w:bookmarkEnd w:id="34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7"/>
      <w:bookmarkEnd w:id="34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应付被收购方股东款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178,744,000.00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48"/>
      <w:bookmarkEnd w:id="34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9"/>
      <w:bookmarkEnd w:id="34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设定受益计划变动情况" w:id="350"/>
      <w:bookmarkEnd w:id="35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9、专项应付款" w:id="351"/>
      <w:bookmarkEnd w:id="351"/>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52"/>
      <w:bookmarkEnd w:id="35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403"/>
        <w:gridCol w:w="2369"/>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200,020,000.00</w:t>
            </w:r>
          </w:p>
        </w:tc>
        <w:tc>
          <w:tcPr>
            <w:tcW w:w="2369"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4" w:right="6072"/>
        <w:jc w:val="left"/>
      </w:pPr>
      <w:r>
        <w:rPr/>
        <w:t>其他说明，包括重要预计负债的相关重要假设、估计说明： 预计负债具体情况如下：</w:t>
      </w:r>
    </w:p>
    <w:p>
      <w:pPr>
        <w:pStyle w:val="BodyText"/>
        <w:spacing w:line="224" w:lineRule="exact" w:before="0"/>
        <w:ind w:left="1494" w:right="0"/>
        <w:jc w:val="left"/>
      </w:pPr>
      <w:r>
        <w:rPr>
          <w:rFonts w:ascii="宋体" w:hAnsi="宋体" w:cs="宋体" w:eastAsia="宋体" w:hint="default"/>
        </w:rPr>
        <w:t>2015</w:t>
      </w:r>
      <w:r>
        <w:rPr/>
        <w:t>年公司现金及发行股份购买唐人数码</w:t>
      </w:r>
      <w:r>
        <w:rPr>
          <w:rFonts w:ascii="宋体" w:hAnsi="宋体" w:cs="宋体" w:eastAsia="宋体" w:hint="default"/>
        </w:rPr>
        <w:t>100%</w:t>
      </w:r>
      <w:r>
        <w:rPr/>
        <w:t>股权</w:t>
      </w:r>
      <w:r>
        <w:rPr>
          <w:spacing w:val="-82"/>
        </w:rPr>
        <w:t>，</w:t>
      </w:r>
      <w:r>
        <w:rPr/>
        <w:t>唐人数码截至</w:t>
      </w:r>
      <w:r>
        <w:rPr>
          <w:rFonts w:ascii="宋体" w:hAnsi="宋体" w:cs="宋体" w:eastAsia="宋体" w:hint="default"/>
        </w:rPr>
        <w:t>201</w:t>
      </w:r>
      <w:r>
        <w:rPr>
          <w:rFonts w:ascii="宋体" w:hAnsi="宋体" w:cs="宋体" w:eastAsia="宋体" w:hint="default"/>
          <w:spacing w:val="-1"/>
        </w:rPr>
        <w:t>4</w:t>
      </w:r>
      <w:r>
        <w:rPr/>
        <w:t>年</w:t>
      </w:r>
      <w:r>
        <w:rPr>
          <w:rFonts w:ascii="宋体" w:hAnsi="宋体" w:cs="宋体" w:eastAsia="宋体" w:hint="default"/>
        </w:rPr>
        <w:t>12</w:t>
      </w:r>
      <w:r>
        <w:rPr/>
        <w:t>月</w:t>
      </w:r>
      <w:r>
        <w:rPr>
          <w:rFonts w:ascii="宋体" w:hAnsi="宋体" w:cs="宋体" w:eastAsia="宋体" w:hint="default"/>
        </w:rPr>
        <w:t>31</w:t>
      </w:r>
      <w:r>
        <w:rPr/>
        <w:t>日的全部股权按照收益法评估的价值为</w:t>
      </w:r>
    </w:p>
    <w:p>
      <w:pPr>
        <w:spacing w:after="0" w:line="224"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hanging="360"/>
        <w:jc w:val="left"/>
      </w:pPr>
      <w:r>
        <w:rPr>
          <w:rFonts w:ascii="宋体" w:hAnsi="宋体" w:cs="宋体" w:eastAsia="宋体" w:hint="default"/>
        </w:rPr>
        <w:t>64,336.19</w:t>
      </w:r>
      <w:r>
        <w:rPr/>
        <w:t>万元人民币</w:t>
      </w:r>
      <w:r>
        <w:rPr>
          <w:rFonts w:ascii="宋体" w:hAnsi="宋体" w:cs="宋体" w:eastAsia="宋体" w:hint="default"/>
        </w:rPr>
        <w:t>,</w:t>
      </w:r>
      <w:r>
        <w:rPr/>
        <w:t>交易对价</w:t>
      </w:r>
      <w:r>
        <w:rPr>
          <w:rFonts w:ascii="宋体" w:hAnsi="宋体" w:cs="宋体" w:eastAsia="宋体" w:hint="default"/>
        </w:rPr>
        <w:t>60,256</w:t>
      </w:r>
      <w:r>
        <w:rPr/>
        <w:t>万元。 </w:t>
      </w:r>
      <w:r>
        <w:rPr>
          <w:spacing w:val="-2"/>
        </w:rPr>
        <w:t>交易报告书中另约定如下事项：如唐人数码</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年度以及</w:t>
      </w:r>
      <w:r>
        <w:rPr>
          <w:rFonts w:ascii="宋体" w:hAnsi="宋体" w:cs="宋体" w:eastAsia="宋体" w:hint="default"/>
          <w:spacing w:val="-2"/>
        </w:rPr>
        <w:t>2017</w:t>
      </w:r>
      <w:r>
        <w:rPr>
          <w:spacing w:val="-2"/>
        </w:rPr>
        <w:t>年度实现的净利润均不低于补偿义</w:t>
      </w:r>
    </w:p>
    <w:p>
      <w:pPr>
        <w:pStyle w:val="BodyText"/>
        <w:spacing w:line="319" w:lineRule="auto"/>
        <w:ind w:right="1123"/>
        <w:jc w:val="left"/>
      </w:pPr>
      <w:r>
        <w:rPr/>
        <w:t>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 产价格调整为现作价的</w:t>
      </w:r>
      <w:r>
        <w:rPr>
          <w:rFonts w:ascii="宋体" w:hAnsi="宋体" w:cs="宋体" w:eastAsia="宋体" w:hint="default"/>
        </w:rPr>
        <w:t>1.332</w:t>
      </w:r>
      <w:r>
        <w:rPr/>
        <w:t>倍，即交易的对价由</w:t>
      </w:r>
      <w:r>
        <w:rPr>
          <w:rFonts w:ascii="宋体" w:hAnsi="宋体" w:cs="宋体" w:eastAsia="宋体" w:hint="default"/>
        </w:rPr>
        <w:t>60,256.00</w:t>
      </w:r>
      <w:r>
        <w:rPr/>
        <w:t>万元调整为</w:t>
      </w:r>
      <w:r>
        <w:rPr>
          <w:rFonts w:ascii="宋体" w:hAnsi="宋体" w:cs="宋体" w:eastAsia="宋体" w:hint="default"/>
        </w:rPr>
        <w:t>80,258.00</w:t>
      </w:r>
      <w:r>
        <w:rPr/>
        <w:t>万元，增加的对价金额为</w:t>
      </w:r>
      <w:r>
        <w:rPr>
          <w:rFonts w:ascii="宋体" w:hAnsi="宋体" w:cs="宋体" w:eastAsia="宋体" w:hint="default"/>
        </w:rPr>
        <w:t>20,002</w:t>
      </w:r>
      <w:r>
        <w:rPr/>
        <w:t>万元； </w:t>
      </w:r>
      <w:r>
        <w:rPr>
          <w:spacing w:val="-2"/>
        </w:rPr>
        <w:t>公司于</w:t>
      </w:r>
      <w:r>
        <w:rPr>
          <w:rFonts w:ascii="宋体" w:hAnsi="宋体" w:cs="宋体" w:eastAsia="宋体" w:hint="default"/>
          <w:spacing w:val="-2"/>
        </w:rPr>
        <w:t>2015</w:t>
      </w:r>
      <w:r>
        <w:rPr>
          <w:spacing w:val="-2"/>
        </w:rPr>
        <w:t>年度在母公司报表层面对</w:t>
      </w:r>
      <w:r>
        <w:rPr>
          <w:rFonts w:ascii="宋体" w:hAnsi="宋体" w:cs="宋体" w:eastAsia="宋体" w:hint="default"/>
          <w:spacing w:val="-2"/>
        </w:rPr>
        <w:t>20,002</w:t>
      </w:r>
      <w:r>
        <w:rPr>
          <w:spacing w:val="-2"/>
        </w:rPr>
        <w:t>万元确认为预计负债，同时增加对唐人数码的长期股权投资</w:t>
      </w:r>
      <w:r>
        <w:rPr>
          <w:rFonts w:ascii="宋体" w:hAnsi="宋体" w:cs="宋体" w:eastAsia="宋体" w:hint="default"/>
          <w:spacing w:val="-2"/>
        </w:rPr>
        <w:t>20,002</w:t>
      </w:r>
      <w:r>
        <w:rPr>
          <w:spacing w:val="-2"/>
        </w:rPr>
        <w:t>万元；在合并</w:t>
      </w:r>
      <w:r>
        <w:rPr>
          <w:spacing w:val="-48"/>
        </w:rPr>
        <w:t> </w:t>
      </w:r>
      <w:r>
        <w:rPr>
          <w:spacing w:val="-48"/>
        </w:rPr>
      </w:r>
      <w:r>
        <w:rPr/>
        <w:t>报表层面，增加了合并商誉</w:t>
      </w:r>
      <w:r>
        <w:rPr>
          <w:rFonts w:ascii="宋体" w:hAnsi="宋体" w:cs="宋体" w:eastAsia="宋体" w:hint="default"/>
        </w:rPr>
        <w:t>20,002</w:t>
      </w:r>
      <w:r>
        <w:rPr/>
        <w:t>万元，同时确认预计负债</w:t>
      </w:r>
      <w:r>
        <w:rPr>
          <w:rFonts w:ascii="宋体" w:hAnsi="宋体" w:cs="宋体" w:eastAsia="宋体" w:hint="default"/>
        </w:rPr>
        <w:t>20,002</w:t>
      </w:r>
      <w:r>
        <w:rPr/>
        <w:t>万元。</w:t>
      </w:r>
    </w:p>
    <w:p>
      <w:pPr>
        <w:pStyle w:val="BodyText"/>
        <w:spacing w:line="316" w:lineRule="auto" w:before="17"/>
        <w:ind w:right="1130" w:firstLine="360"/>
        <w:jc w:val="both"/>
      </w:pPr>
      <w:r>
        <w:rPr>
          <w:spacing w:val="-2"/>
        </w:rPr>
        <w:t>唐人数码</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w:t>
      </w:r>
      <w:r>
        <w:rPr>
          <w:rFonts w:ascii="宋体" w:hAnsi="宋体" w:cs="宋体" w:eastAsia="宋体" w:hint="default"/>
          <w:spacing w:val="-2"/>
        </w:rPr>
        <w:t>2016</w:t>
      </w:r>
      <w:r>
        <w:rPr>
          <w:spacing w:val="-2"/>
        </w:rPr>
        <w:t>年度以及</w:t>
      </w:r>
      <w:r>
        <w:rPr>
          <w:rFonts w:ascii="宋体" w:hAnsi="宋体" w:cs="宋体" w:eastAsia="宋体" w:hint="default"/>
          <w:spacing w:val="-2"/>
        </w:rPr>
        <w:t>2017</w:t>
      </w:r>
      <w:r>
        <w:rPr>
          <w:spacing w:val="-2"/>
        </w:rPr>
        <w:t>年度经审计的归属于母公司股东的扣除非经常性损益后的净利润合计</w:t>
      </w:r>
      <w:r>
        <w:rPr/>
        <w:t> </w:t>
      </w:r>
      <w:r>
        <w:rPr>
          <w:rFonts w:ascii="宋体" w:hAnsi="宋体" w:cs="宋体" w:eastAsia="宋体" w:hint="default"/>
        </w:rPr>
        <w:t>23,597.32</w:t>
      </w:r>
      <w:r>
        <w:rPr/>
        <w:t>万元，未达到</w:t>
      </w:r>
      <w:r>
        <w:rPr>
          <w:rFonts w:ascii="宋体" w:hAnsi="宋体" w:cs="宋体" w:eastAsia="宋体" w:hint="default"/>
        </w:rPr>
        <w:t>31,000</w:t>
      </w:r>
      <w:r>
        <w:rPr/>
        <w:t>万元，不满足交易报告书中的约定，公司无需支付预计负债</w:t>
      </w:r>
      <w:r>
        <w:rPr>
          <w:rFonts w:ascii="宋体" w:hAnsi="宋体" w:cs="宋体" w:eastAsia="宋体" w:hint="default"/>
        </w:rPr>
        <w:t>20,002</w:t>
      </w:r>
      <w:r>
        <w:rPr/>
        <w:t>万元。</w:t>
      </w:r>
      <w:r>
        <w:rPr>
          <w:rFonts w:ascii="宋体" w:hAnsi="宋体" w:cs="宋体" w:eastAsia="宋体" w:hint="default"/>
        </w:rPr>
        <w:t>2017</w:t>
      </w:r>
      <w:r>
        <w:rPr/>
        <w:t>年度合并报表 </w:t>
      </w:r>
      <w:r>
        <w:rPr>
          <w:spacing w:val="-2"/>
        </w:rPr>
        <w:t>公司对无需支付的预计负债金额</w:t>
      </w:r>
      <w:r>
        <w:rPr>
          <w:rFonts w:ascii="宋体" w:hAnsi="宋体" w:cs="宋体" w:eastAsia="宋体" w:hint="default"/>
          <w:spacing w:val="-2"/>
        </w:rPr>
        <w:t>20,002</w:t>
      </w:r>
      <w:r>
        <w:rPr>
          <w:spacing w:val="-2"/>
        </w:rPr>
        <w:t>万元全额计入营业外收入，同时对商誉计提减值准备</w:t>
      </w:r>
      <w:r>
        <w:rPr>
          <w:rFonts w:ascii="宋体" w:hAnsi="宋体" w:cs="宋体" w:eastAsia="宋体" w:hint="default"/>
          <w:spacing w:val="-2"/>
        </w:rPr>
        <w:t>20,002</w:t>
      </w:r>
      <w:r>
        <w:rPr>
          <w:spacing w:val="-2"/>
        </w:rPr>
        <w:t>万元，此事项对公司整体</w:t>
      </w:r>
      <w:r>
        <w:rPr>
          <w:spacing w:val="-52"/>
        </w:rPr>
        <w:t> </w:t>
      </w:r>
      <w:r>
        <w:rPr>
          <w:spacing w:val="-52"/>
        </w:rPr>
      </w:r>
      <w:r>
        <w:rPr/>
        <w:t>的净利润不产生影响。</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51、递延收益" w:id="353"/>
      <w:bookmarkEnd w:id="35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42,467,000.00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35,413,666.67</w:t>
            </w:r>
          </w:p>
        </w:tc>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42,467,000.00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35,413,666.67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60"/>
        <w:gridCol w:w="1134"/>
        <w:gridCol w:w="992"/>
        <w:gridCol w:w="1134"/>
        <w:gridCol w:w="1134"/>
        <w:gridCol w:w="991"/>
        <w:gridCol w:w="498"/>
        <w:gridCol w:w="1062"/>
        <w:gridCol w:w="1063"/>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5" w:right="6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互联网视音频节目 信息识别技术及监 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工程研发中心提升 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互联网内容安全工 程实验室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移动互联网应用审 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互联网舆情综合管 理系统项目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互联网数据中心研 发项目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移动互联网应用审 计与综合数据处理 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面向下一代信息网 络的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IDC/ISP/ICP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60"/>
        <w:gridCol w:w="1134"/>
        <w:gridCol w:w="992"/>
        <w:gridCol w:w="1134"/>
        <w:gridCol w:w="1134"/>
        <w:gridCol w:w="991"/>
        <w:gridCol w:w="498"/>
        <w:gridCol w:w="1062"/>
        <w:gridCol w:w="1063"/>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综合管理平台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三网融合多媒体舆 情分析平台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8,074,000.00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网络多媒体舆情分 析与处理工程技术 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面向电信运营商的 信息安全综合管理 平台应用示范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互联网信息安全工 程技术研究开发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深圳互联网内容安 全工程实验室提升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移动互联网应用安 全监管系统关键技 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基于云服务新一代 网吧综合业务平台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泡椒游戏中心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0" w:lineRule="auto" w:before="51"/>
              <w:ind w:left="22"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泡椒网手机游戏 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42,467,000.00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636,666.67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4"/>
      <w:bookmarkEnd w:id="35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55"/>
      <w:bookmarkEnd w:id="355"/>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448,331,331.00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-400,622.00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-400,622.00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447,930,709.00</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56"/>
      <w:bookmarkEnd w:id="35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7"/>
      <w:bookmarkEnd w:id="35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58"/>
      <w:bookmarkEnd w:id="35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59"/>
      <w:bookmarkEnd w:id="35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491,779,132.72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16,093,848.14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170,831,607.77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337,041,373.09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13,747,448.14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16,093,848.14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505,526,580.86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18,440,248.14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186,925,455.91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337,041,373.09</w:t>
            </w:r>
          </w:p>
        </w:tc>
      </w:tr>
    </w:tbl>
    <w:p>
      <w:pPr>
        <w:pStyle w:val="BodyText"/>
        <w:spacing w:line="357" w:lineRule="auto" w:before="51"/>
        <w:ind w:left="1614" w:right="0" w:hanging="480"/>
        <w:jc w:val="left"/>
      </w:pPr>
      <w:r>
        <w:rPr/>
        <w:t>其他说明，包括本期增减变动情况、变动原因说明： </w:t>
      </w:r>
      <w:r>
        <w:rPr>
          <w:spacing w:val="8"/>
        </w:rPr>
        <w:t>本期收购子公司北京亚鸿</w:t>
      </w:r>
      <w:r>
        <w:rPr>
          <w:rFonts w:ascii="宋体" w:hAnsi="宋体" w:cs="宋体" w:eastAsia="宋体" w:hint="default"/>
          <w:spacing w:val="8"/>
        </w:rPr>
        <w:t>44%</w:t>
      </w:r>
      <w:r>
        <w:rPr>
          <w:spacing w:val="8"/>
        </w:rPr>
        <w:t>少数股权，收购对价与北京亚鸿自购买日持续计算的可辨认净资产公允价值的差额</w:t>
      </w:r>
    </w:p>
    <w:p>
      <w:pPr>
        <w:pStyle w:val="BodyText"/>
        <w:spacing w:line="224" w:lineRule="exact" w:before="0"/>
        <w:ind w:left="1134" w:right="0"/>
        <w:jc w:val="left"/>
      </w:pPr>
      <w:r>
        <w:rPr>
          <w:rFonts w:ascii="宋体" w:hAnsi="宋体" w:cs="宋体" w:eastAsia="宋体" w:hint="default"/>
        </w:rPr>
        <w:t>168,874,577.48</w:t>
      </w:r>
      <w:r>
        <w:rPr/>
        <w:t>元，冲减资本公积（股本溢价）。</w:t>
      </w:r>
    </w:p>
    <w:p>
      <w:pPr>
        <w:pStyle w:val="BodyText"/>
        <w:spacing w:line="316" w:lineRule="auto" w:before="76"/>
        <w:ind w:left="1134" w:right="0" w:firstLine="480"/>
        <w:jc w:val="left"/>
      </w:pPr>
      <w:r>
        <w:rPr>
          <w:spacing w:val="16"/>
        </w:rPr>
        <w:t>本期股份支</w:t>
      </w:r>
      <w:r>
        <w:rPr>
          <w:spacing w:val="-67"/>
        </w:rPr>
        <w:t> </w:t>
      </w:r>
      <w:r>
        <w:rPr/>
        <w:t>付</w:t>
      </w:r>
      <w:r>
        <w:rPr>
          <w:spacing w:val="-67"/>
        </w:rPr>
        <w:t> </w:t>
      </w:r>
      <w:r>
        <w:rPr>
          <w:spacing w:val="16"/>
        </w:rPr>
        <w:t>增加其他资</w:t>
      </w:r>
      <w:r>
        <w:rPr>
          <w:spacing w:val="-67"/>
        </w:rPr>
        <w:t> </w:t>
      </w:r>
      <w:r>
        <w:rPr/>
        <w:t>本</w:t>
      </w:r>
      <w:r>
        <w:rPr>
          <w:spacing w:val="-67"/>
        </w:rPr>
        <w:t> </w:t>
      </w:r>
      <w:r>
        <w:rPr>
          <w:spacing w:val="10"/>
        </w:rPr>
        <w:t>公积</w:t>
      </w:r>
      <w:r>
        <w:rPr>
          <w:spacing w:val="-65"/>
        </w:rPr>
        <w:t> </w:t>
      </w:r>
      <w:r>
        <w:rPr>
          <w:rFonts w:ascii="宋体" w:hAnsi="宋体" w:cs="宋体" w:eastAsia="宋体" w:hint="default"/>
        </w:rPr>
        <w:t>2,346,400.00</w:t>
      </w:r>
      <w:r>
        <w:rPr>
          <w:rFonts w:ascii="宋体" w:hAnsi="宋体" w:cs="宋体" w:eastAsia="宋体" w:hint="default"/>
          <w:spacing w:val="-67"/>
        </w:rPr>
        <w:t> </w:t>
      </w:r>
      <w:r>
        <w:rPr>
          <w:spacing w:val="10"/>
        </w:rPr>
        <w:t>元，</w:t>
      </w:r>
      <w:r>
        <w:rPr>
          <w:spacing w:val="-68"/>
        </w:rPr>
        <w:t> </w:t>
      </w:r>
      <w:r>
        <w:rPr>
          <w:spacing w:val="10"/>
        </w:rPr>
        <w:t>股份</w:t>
      </w:r>
      <w:r>
        <w:rPr>
          <w:spacing w:val="-67"/>
        </w:rPr>
        <w:t> </w:t>
      </w:r>
      <w:r>
        <w:rPr>
          <w:spacing w:val="16"/>
        </w:rPr>
        <w:t>支付授予的</w:t>
      </w:r>
      <w:r>
        <w:rPr>
          <w:spacing w:val="-67"/>
        </w:rPr>
        <w:t> </w:t>
      </w:r>
      <w:r>
        <w:rPr/>
        <w:t>限</w:t>
      </w:r>
      <w:r>
        <w:rPr>
          <w:spacing w:val="-67"/>
        </w:rPr>
        <w:t> </w:t>
      </w:r>
      <w:r>
        <w:rPr>
          <w:spacing w:val="16"/>
        </w:rPr>
        <w:t>制性股票全</w:t>
      </w:r>
      <w:r>
        <w:rPr>
          <w:spacing w:val="-67"/>
        </w:rPr>
        <w:t> </w:t>
      </w:r>
      <w:r>
        <w:rPr/>
        <w:t>部</w:t>
      </w:r>
      <w:r>
        <w:rPr>
          <w:spacing w:val="-67"/>
        </w:rPr>
        <w:t> </w:t>
      </w:r>
      <w:r>
        <w:rPr>
          <w:spacing w:val="16"/>
        </w:rPr>
        <w:t>解锁减少其</w:t>
      </w:r>
      <w:r>
        <w:rPr>
          <w:spacing w:val="-67"/>
        </w:rPr>
        <w:t> </w:t>
      </w:r>
      <w:r>
        <w:rPr/>
        <w:t>他</w:t>
      </w:r>
      <w:r>
        <w:rPr>
          <w:spacing w:val="-67"/>
        </w:rPr>
        <w:t> </w:t>
      </w:r>
      <w:r>
        <w:rPr>
          <w:spacing w:val="15"/>
        </w:rPr>
        <w:t>资本公积</w:t>
      </w:r>
      <w:r>
        <w:rPr/>
        <w:t> </w:t>
      </w:r>
      <w:r>
        <w:rPr>
          <w:rFonts w:ascii="宋体" w:hAnsi="宋体" w:cs="宋体" w:eastAsia="宋体" w:hint="default"/>
        </w:rPr>
        <w:t>16,093,848.14</w:t>
      </w:r>
      <w:r>
        <w:rPr/>
        <w:t>元，同时增加资本公积（股本溢价）</w:t>
      </w:r>
      <w:r>
        <w:rPr>
          <w:rFonts w:ascii="宋体" w:hAnsi="宋体" w:cs="宋体" w:eastAsia="宋体" w:hint="default"/>
        </w:rPr>
        <w:t>16,093,848.14</w:t>
      </w:r>
      <w:r>
        <w:rPr/>
        <w:t>元。</w:t>
      </w:r>
    </w:p>
    <w:p>
      <w:pPr>
        <w:pStyle w:val="BodyText"/>
        <w:spacing w:line="240" w:lineRule="auto"/>
        <w:ind w:left="1494" w:right="0"/>
        <w:jc w:val="left"/>
      </w:pPr>
      <w:r>
        <w:rPr/>
        <w:t>本期因回购股份支付授予的限制性股票减少资本公积（股本溢价）</w:t>
      </w:r>
      <w:r>
        <w:rPr>
          <w:rFonts w:ascii="宋体" w:hAnsi="宋体" w:cs="宋体" w:eastAsia="宋体" w:hint="default"/>
        </w:rPr>
        <w:t>1,957,030.29</w:t>
      </w:r>
      <w:r>
        <w:rPr/>
        <w:t>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6、库存股" w:id="360"/>
      <w:bookmarkEnd w:id="36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28"/>
        <w:gridCol w:w="1701"/>
        <w:gridCol w:w="1914"/>
        <w:gridCol w:w="1914"/>
        <w:gridCol w:w="1914"/>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28,985,073.78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28,985,073.78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员工持股计划回购股票</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99,979,573.00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99,979,573.00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28,985,073.78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99,979,573.00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128,964,646.78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7、其他综合收益" w:id="361"/>
      <w:bookmarkEnd w:id="36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67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62"/>
      <w:bookmarkEnd w:id="36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9、盈余公积" w:id="363"/>
      <w:bookmarkEnd w:id="36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35,406,978.45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42,340,443.15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35,406,978.45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42,340,443.15</w:t>
            </w:r>
          </w:p>
        </w:tc>
      </w:tr>
    </w:tbl>
    <w:p>
      <w:pPr>
        <w:pStyle w:val="BodyText"/>
        <w:spacing w:line="240" w:lineRule="auto" w:before="51"/>
        <w:ind w:left="113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0、未分配利润" w:id="364"/>
      <w:bookmarkEnd w:id="36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276,680,377.96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191,618,291.60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276,680,377.96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191,618,291.60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149,268,092.48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109,549,436.73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14,023,795.98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22,416,358.71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10,463,554.40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396,598,647.02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276,680,377.96</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5"/>
      <w:bookmarkEnd w:id="36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1,072,220,814.65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519,353,475.26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659,115,020.10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278,660,923.50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4,687,249.94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1,453,198.79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3,744,771.40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1,042,204.53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1,076,908,064.59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520,806,674.05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662,859,791.50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279,703,128.03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税金及附加" w:id="366"/>
      <w:bookmarkEnd w:id="36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4,545,624.28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3,078,386.75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3,374,774.38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2,198,443.51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1,457,046.96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1,208,238.22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38,691.10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37,894.92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1,154,349.59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283,229.51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44,166.34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73,430.28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10,570,486.31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6,923,789.53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67"/>
      <w:bookmarkEnd w:id="36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83,052,569.15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56,408,754.10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38,986,748.05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4,380,300.20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13,483,473.11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11,139,920.14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12,561,704.47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10,432,325.85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8,636,663.19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11,869,432.75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第三方平台手续费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2,690,704.10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2,786,674.45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1,178,411.00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1,342,491.95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处置财产损益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1,209,444.28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775,374.23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1,444,755.37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515,985.64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331,464.83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462,014.43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49,588.43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976,572.71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1,837,922.51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168,384,715.54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101,278,085.44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4、管理费用" w:id="368"/>
      <w:bookmarkEnd w:id="36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136,866,039.64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77,137,478.20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36,354,110.21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28,200,656.15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17,395,771.72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17,268,199.38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10,497,186.22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5,997,272.58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7,656,826.44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7,552,350.01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7,224,300.00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2,237,344.35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1,352,438.04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2,043,903.18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1,219,304.36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1,101,535.74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877,425.29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1,684,657.29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792,553.39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964,538.70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656,640.17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规划设计费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960,780.00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943,142.83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841,327.00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处理财产损益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3,660,848.21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1,113,409.80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1,224,189.95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224,165,646.12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154,004,982.73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财务费用" w:id="369"/>
      <w:bookmarkEnd w:id="369"/>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7,127,990.19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1,741,075.94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2,779,043.39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2,738,200.03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63,292.42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389,304.95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1,322,946.08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138,451.56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4,240,228.10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-2,181,618.61</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6、资产减值损失" w:id="370"/>
      <w:bookmarkEnd w:id="370"/>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26,929,610.68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19,804,312.62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-210,486.26</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226,949,610.68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19,593,826.36</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71"/>
      <w:bookmarkEnd w:id="371"/>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72"/>
      <w:bookmarkEnd w:id="37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330,038.60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6,520,828.48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405,592.85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282,969.56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1,683,744.40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7,934,292.03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73"/>
      <w:bookmarkEnd w:id="373"/>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-544,983.81</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其中：固定资产处置利得或损失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-544,983.81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0、其他收益" w:id="374"/>
      <w:bookmarkEnd w:id="374"/>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522"/>
        <w:gridCol w:w="1844"/>
        <w:gridCol w:w="1193"/>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522"/>
        <w:gridCol w:w="1844"/>
        <w:gridCol w:w="1205"/>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27,487,758.75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三网融合多媒体舆情分析平台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互联网内容安全工程实验室</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移动互联网应用审计平台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南山财政局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年度文化产业分项资金资助款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深圳市南山财务局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年度文化产业分项资金资助款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年海淀区企业研发投入补贴专项资金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移动互联网应用审计与综合数据处理平台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深圳市科技创新委员会配套建立资金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工程研发中心提升项目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网络多媒体舆情分析与处理工程技术中心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互联网数据中心研发项目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互联网视音频节目信息识别技术及监管平台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互联网舆情综合管理系统项目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泡椒游戏中心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项目设备费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泡椒网手机游戏平台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项目设备费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深圳市南山区科学技术局国内外发明专利申请支持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基于云服务新一代网吧综合业务平台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互联网信息安全工程技术研究开发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年第一批计算机软件资助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深圳市南山区科学技术局国内外发明专利申请支持补贴款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年第二批计算机软件资助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深圳市市场和质量监督管理委员会计算机软件著作权登记资助经费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38,913,658.75</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1、营业外收入" w:id="375"/>
      <w:bookmarkEnd w:id="375"/>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08"/>
        <w:gridCol w:w="1677"/>
        <w:gridCol w:w="2304"/>
        <w:gridCol w:w="2479"/>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77" w:type="dxa"/>
            <w:tcBorders>
              <w:top w:val="single" w:sz="4" w:space="0" w:color="000000"/>
              <w:left w:val="single" w:sz="9" w:space="0" w:color="D2D2D2"/>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12,356,700.00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677"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2,406,959.87</w:t>
            </w:r>
          </w:p>
        </w:tc>
        <w:tc>
          <w:tcPr>
            <w:tcW w:w="2304"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2,406,959.87</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亚鸿并购对价的借款对交易方计息</w:t>
            </w:r>
          </w:p>
        </w:tc>
        <w:tc>
          <w:tcPr>
            <w:tcW w:w="1677"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1,389,225.11</w:t>
            </w:r>
          </w:p>
        </w:tc>
        <w:tc>
          <w:tcPr>
            <w:tcW w:w="2304"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1,389,225.11</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收购唐人的或有对价取消支付</w:t>
            </w:r>
          </w:p>
        </w:tc>
        <w:tc>
          <w:tcPr>
            <w:tcW w:w="1677"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200,020,000.00</w:t>
            </w:r>
          </w:p>
        </w:tc>
        <w:tc>
          <w:tcPr>
            <w:tcW w:w="2304"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7" w:type="dxa"/>
            <w:tcBorders>
              <w:top w:val="single" w:sz="4" w:space="0" w:color="000000"/>
              <w:left w:val="single" w:sz="9"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1,010,281.59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428,219.40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1,010,281.59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08"/>
        <w:gridCol w:w="1677"/>
        <w:gridCol w:w="2304"/>
        <w:gridCol w:w="2479"/>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77" w:type="dxa"/>
            <w:tcBorders>
              <w:top w:val="single" w:sz="4" w:space="0" w:color="000000"/>
              <w:left w:val="single" w:sz="9" w:space="0" w:color="C7E7CC"/>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13,693,795.35</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204,826,466.57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26,478,714.75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204,826,466.57</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566"/>
        <w:gridCol w:w="568"/>
        <w:gridCol w:w="2268"/>
        <w:gridCol w:w="992"/>
        <w:gridCol w:w="708"/>
        <w:gridCol w:w="710"/>
        <w:gridCol w:w="851"/>
        <w:gridCol w:w="1063"/>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深圳市市场监督局管 理款</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89"/>
              <w:jc w:val="both"/>
              <w:rPr>
                <w:rFonts w:ascii="宋体" w:hAnsi="宋体" w:cs="宋体" w:eastAsia="宋体" w:hint="default"/>
                <w:sz w:val="18"/>
                <w:szCs w:val="18"/>
              </w:rPr>
            </w:pPr>
            <w:r>
              <w:rPr>
                <w:rFonts w:ascii="宋体" w:hAnsi="宋体" w:cs="宋体" w:eastAsia="宋体" w:hint="default"/>
                <w:sz w:val="18"/>
                <w:szCs w:val="18"/>
              </w:rPr>
              <w:t>深圳市南山区科学技 术园国内发明专利申 请资助款</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深圳科技创新委员会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年度科技奖励、示</w:t>
            </w:r>
            <w:r>
              <w:rPr>
                <w:rFonts w:ascii="宋体" w:hAnsi="宋体" w:cs="宋体" w:eastAsia="宋体" w:hint="default"/>
                <w:sz w:val="18"/>
                <w:szCs w:val="18"/>
              </w:rPr>
              <w:t> 范区科研资金</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民营领军企业资助项 目</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收到深圳市经济贸易 </w:t>
            </w:r>
            <w:r>
              <w:rPr>
                <w:rFonts w:ascii="宋体" w:hAnsi="宋体" w:cs="宋体" w:eastAsia="宋体" w:hint="default"/>
                <w:spacing w:val="-2"/>
                <w:sz w:val="18"/>
                <w:szCs w:val="18"/>
              </w:rPr>
              <w:t>和信息化委员会（赵广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文战新第五批扶持计 划品牌培育项目</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566"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12,356,70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left="1404" w:right="5892" w:hanging="270"/>
        <w:jc w:val="left"/>
      </w:pPr>
      <w:r>
        <w:rPr/>
        <w:t>其他说明： 收购唐人的或有对价</w:t>
      </w:r>
      <w:r>
        <w:rPr>
          <w:rFonts w:ascii="宋体" w:hAnsi="宋体" w:cs="宋体" w:eastAsia="宋体" w:hint="default"/>
        </w:rPr>
        <w:t>20,002</w:t>
      </w:r>
      <w:r>
        <w:rPr/>
        <w:t>万元取消支付</w:t>
      </w:r>
      <w:r>
        <w:rPr>
          <w:rFonts w:ascii="宋体" w:hAnsi="宋体" w:cs="宋体" w:eastAsia="宋体" w:hint="default"/>
        </w:rPr>
        <w:t>,</w:t>
      </w:r>
      <w:r>
        <w:rPr/>
        <w:t>具体情况如下：</w:t>
      </w:r>
    </w:p>
    <w:p>
      <w:pPr>
        <w:pStyle w:val="BodyText"/>
        <w:spacing w:line="224" w:lineRule="exact" w:before="0"/>
        <w:ind w:left="1404" w:right="0"/>
        <w:jc w:val="left"/>
      </w:pPr>
      <w:r>
        <w:rPr>
          <w:rFonts w:ascii="宋体" w:hAnsi="宋体" w:cs="宋体" w:eastAsia="宋体" w:hint="default"/>
        </w:rPr>
        <w:t>2015</w:t>
      </w:r>
      <w:r>
        <w:rPr/>
        <w:t>年公司现金及发行股份购买唐人数码</w:t>
      </w:r>
      <w:r>
        <w:rPr>
          <w:rFonts w:ascii="宋体" w:hAnsi="宋体" w:cs="宋体" w:eastAsia="宋体" w:hint="default"/>
        </w:rPr>
        <w:t>100%</w:t>
      </w:r>
      <w:r>
        <w:rPr/>
        <w:t>股权，唐人数码截至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日的全部股权按照收益法评估的价值为</w:t>
      </w:r>
    </w:p>
    <w:p>
      <w:pPr>
        <w:pStyle w:val="BodyText"/>
        <w:spacing w:line="316" w:lineRule="auto" w:before="76"/>
        <w:ind w:left="1404" w:right="1122" w:hanging="270"/>
        <w:jc w:val="left"/>
      </w:pPr>
      <w:r>
        <w:rPr>
          <w:rFonts w:ascii="宋体" w:hAnsi="宋体" w:cs="宋体" w:eastAsia="宋体" w:hint="default"/>
        </w:rPr>
        <w:t>64,336.19</w:t>
      </w:r>
      <w:r>
        <w:rPr/>
        <w:t>万元人民币</w:t>
      </w:r>
      <w:r>
        <w:rPr>
          <w:rFonts w:ascii="宋体" w:hAnsi="宋体" w:cs="宋体" w:eastAsia="宋体" w:hint="default"/>
        </w:rPr>
        <w:t>,</w:t>
      </w:r>
      <w:r>
        <w:rPr/>
        <w:t>交易对价</w:t>
      </w:r>
      <w:r>
        <w:rPr>
          <w:rFonts w:ascii="宋体" w:hAnsi="宋体" w:cs="宋体" w:eastAsia="宋体" w:hint="default"/>
        </w:rPr>
        <w:t>60,256</w:t>
      </w:r>
      <w:r>
        <w:rPr/>
        <w:t>万元。 交易报告书中另约定如下事项：如唐人数码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年度实现的净利润均不低于补偿义</w:t>
      </w:r>
    </w:p>
    <w:p>
      <w:pPr>
        <w:pStyle w:val="BodyText"/>
        <w:spacing w:line="316" w:lineRule="auto"/>
        <w:ind w:right="1123"/>
        <w:jc w:val="left"/>
      </w:pPr>
      <w:r>
        <w:rPr/>
        <w:t>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 产价格调整为现作价的</w:t>
      </w:r>
      <w:r>
        <w:rPr>
          <w:rFonts w:ascii="宋体" w:hAnsi="宋体" w:cs="宋体" w:eastAsia="宋体" w:hint="default"/>
        </w:rPr>
        <w:t>1.332</w:t>
      </w:r>
      <w:r>
        <w:rPr/>
        <w:t>倍，即交易的对价由</w:t>
      </w:r>
      <w:r>
        <w:rPr>
          <w:rFonts w:ascii="宋体" w:hAnsi="宋体" w:cs="宋体" w:eastAsia="宋体" w:hint="default"/>
        </w:rPr>
        <w:t>60,256.00</w:t>
      </w:r>
      <w:r>
        <w:rPr/>
        <w:t>万元调整为</w:t>
      </w:r>
      <w:r>
        <w:rPr>
          <w:rFonts w:ascii="宋体" w:hAnsi="宋体" w:cs="宋体" w:eastAsia="宋体" w:hint="default"/>
        </w:rPr>
        <w:t>80,258.00</w:t>
      </w:r>
      <w:r>
        <w:rPr/>
        <w:t>万元，增加的对价金额为</w:t>
      </w:r>
      <w:r>
        <w:rPr>
          <w:rFonts w:ascii="宋体" w:hAnsi="宋体" w:cs="宋体" w:eastAsia="宋体" w:hint="default"/>
        </w:rPr>
        <w:t>20,002</w:t>
      </w:r>
      <w:r>
        <w:rPr/>
        <w:t>万元；</w:t>
      </w:r>
    </w:p>
    <w:p>
      <w:pPr>
        <w:pStyle w:val="BodyText"/>
        <w:spacing w:line="316" w:lineRule="auto"/>
        <w:ind w:right="1139" w:firstLine="270"/>
        <w:jc w:val="both"/>
      </w:pPr>
      <w:r>
        <w:rPr/>
        <w:t>公司于</w:t>
      </w:r>
      <w:r>
        <w:rPr>
          <w:rFonts w:ascii="宋体" w:hAnsi="宋体" w:cs="宋体" w:eastAsia="宋体" w:hint="default"/>
        </w:rPr>
        <w:t>2015</w:t>
      </w:r>
      <w:r>
        <w:rPr/>
        <w:t>年度在母公司报表层面对</w:t>
      </w:r>
      <w:r>
        <w:rPr>
          <w:rFonts w:ascii="宋体" w:hAnsi="宋体" w:cs="宋体" w:eastAsia="宋体" w:hint="default"/>
        </w:rPr>
        <w:t>20,002</w:t>
      </w:r>
      <w:r>
        <w:rPr/>
        <w:t>万元确认为预计负债，同时增加对唐人数码的长期股权投资</w:t>
      </w:r>
      <w:r>
        <w:rPr>
          <w:rFonts w:ascii="宋体" w:hAnsi="宋体" w:cs="宋体" w:eastAsia="宋体" w:hint="default"/>
        </w:rPr>
        <w:t>20,002</w:t>
      </w:r>
      <w:r>
        <w:rPr/>
        <w:t>万元；在 合并报表层面，增加了合并商誉</w:t>
      </w:r>
      <w:r>
        <w:rPr>
          <w:rFonts w:ascii="宋体" w:hAnsi="宋体" w:cs="宋体" w:eastAsia="宋体" w:hint="default"/>
        </w:rPr>
        <w:t>20,002</w:t>
      </w:r>
      <w:r>
        <w:rPr/>
        <w:t>万元，同时确认预计负债</w:t>
      </w:r>
      <w:r>
        <w:rPr>
          <w:rFonts w:ascii="宋体" w:hAnsi="宋体" w:cs="宋体" w:eastAsia="宋体" w:hint="default"/>
        </w:rPr>
        <w:t>20,002</w:t>
      </w:r>
      <w:r>
        <w:rPr/>
        <w:t>万元。</w:t>
      </w:r>
    </w:p>
    <w:p>
      <w:pPr>
        <w:pStyle w:val="BodyText"/>
        <w:spacing w:line="319" w:lineRule="auto"/>
        <w:ind w:right="1130" w:firstLine="270"/>
        <w:jc w:val="both"/>
      </w:pPr>
      <w:r>
        <w:rPr/>
        <w:t>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年度经审计的归属于母公司股东的扣除非经常性损益后的净利润合计 </w:t>
      </w:r>
      <w:r>
        <w:rPr>
          <w:rFonts w:ascii="宋体" w:hAnsi="宋体" w:cs="宋体" w:eastAsia="宋体" w:hint="default"/>
        </w:rPr>
        <w:t>23,597.32</w:t>
      </w:r>
      <w:r>
        <w:rPr/>
        <w:t>万元，未达到</w:t>
      </w:r>
      <w:r>
        <w:rPr>
          <w:rFonts w:ascii="宋体" w:hAnsi="宋体" w:cs="宋体" w:eastAsia="宋体" w:hint="default"/>
        </w:rPr>
        <w:t>31,000</w:t>
      </w:r>
      <w:r>
        <w:rPr/>
        <w:t>万元，不满足交易报告书中的约定，公司无需支付预计负债</w:t>
      </w:r>
      <w:r>
        <w:rPr>
          <w:rFonts w:ascii="宋体" w:hAnsi="宋体" w:cs="宋体" w:eastAsia="宋体" w:hint="default"/>
        </w:rPr>
        <w:t>20,002</w:t>
      </w:r>
      <w:r>
        <w:rPr/>
        <w:t>万元。</w:t>
      </w:r>
      <w:r>
        <w:rPr>
          <w:rFonts w:ascii="宋体" w:hAnsi="宋体" w:cs="宋体" w:eastAsia="宋体" w:hint="default"/>
        </w:rPr>
        <w:t>2017</w:t>
      </w:r>
      <w:r>
        <w:rPr/>
        <w:t>年度合并报表 </w:t>
      </w:r>
      <w:r>
        <w:rPr>
          <w:spacing w:val="-2"/>
        </w:rPr>
        <w:t>公司对无需支付的预计负债金额</w:t>
      </w:r>
      <w:r>
        <w:rPr>
          <w:rFonts w:ascii="宋体" w:hAnsi="宋体" w:cs="宋体" w:eastAsia="宋体" w:hint="default"/>
          <w:spacing w:val="-2"/>
        </w:rPr>
        <w:t>20,002</w:t>
      </w:r>
      <w:r>
        <w:rPr>
          <w:spacing w:val="-2"/>
        </w:rPr>
        <w:t>万元全额计入营业外收入，同时对商誉计提减值准备</w:t>
      </w:r>
      <w:r>
        <w:rPr>
          <w:rFonts w:ascii="宋体" w:hAnsi="宋体" w:cs="宋体" w:eastAsia="宋体" w:hint="default"/>
          <w:spacing w:val="-2"/>
        </w:rPr>
        <w:t>20,002</w:t>
      </w:r>
      <w:r>
        <w:rPr>
          <w:spacing w:val="-2"/>
        </w:rPr>
        <w:t>万元，此事项对公司整体</w:t>
      </w:r>
      <w:r>
        <w:rPr>
          <w:spacing w:val="-52"/>
        </w:rPr>
        <w:t> </w:t>
      </w:r>
      <w:r>
        <w:rPr>
          <w:spacing w:val="-52"/>
        </w:rPr>
      </w:r>
      <w:r>
        <w:rPr>
          <w:spacing w:val="-2"/>
        </w:rPr>
        <w:t>的净利润不产生影响。营业外收入</w:t>
      </w:r>
      <w:r>
        <w:rPr>
          <w:rFonts w:ascii="宋体" w:hAnsi="宋体" w:cs="宋体" w:eastAsia="宋体" w:hint="default"/>
          <w:spacing w:val="-2"/>
        </w:rPr>
        <w:t>20,002</w:t>
      </w:r>
      <w:r>
        <w:rPr>
          <w:spacing w:val="-2"/>
        </w:rPr>
        <w:t>万元计入当期非经常性损益，商誉减值损失</w:t>
      </w:r>
      <w:r>
        <w:rPr>
          <w:rFonts w:ascii="宋体" w:hAnsi="宋体" w:cs="宋体" w:eastAsia="宋体" w:hint="default"/>
          <w:spacing w:val="-2"/>
        </w:rPr>
        <w:t>20,002</w:t>
      </w:r>
      <w:r>
        <w:rPr>
          <w:spacing w:val="-2"/>
        </w:rPr>
        <w:t>万元计入当期经常性损益，对公</w:t>
      </w:r>
      <w:r>
        <w:rPr>
          <w:spacing w:val="-54"/>
        </w:rPr>
        <w:t> </w:t>
      </w:r>
      <w:r>
        <w:rPr>
          <w:spacing w:val="-54"/>
        </w:rPr>
      </w:r>
      <w:r>
        <w:rPr/>
        <w:t>司当期非经常损益影响较大。</w:t>
      </w:r>
    </w:p>
    <w:p>
      <w:pPr>
        <w:spacing w:after="0" w:line="31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2、营业外支出" w:id="376"/>
      <w:bookmarkEnd w:id="376"/>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4,854.37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12,416.12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55,231.31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72,043.13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55,231.31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60,514.50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284,459.25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60,514.50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77"/>
      <w:bookmarkEnd w:id="377"/>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78"/>
      <w:bookmarkEnd w:id="37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29,907,808.10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16,401,314.26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-14,628,345.14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-4,453,754.78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15,279,462.96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11,947,559.48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79"/>
      <w:bookmarkEnd w:id="37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085"/>
        <w:gridCol w:w="3483"/>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167,236,941.32</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16,723,694.13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1,749,754.26</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172,538.76</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912,406.21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-2,642,329.45</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2,620,624.09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研发费加计扣除影响</w:t>
            </w:r>
          </w:p>
        </w:tc>
        <w:tc>
          <w:tcPr>
            <w:tcW w:w="3483"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-4,259,629.33</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83"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2,404.29</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15,279,462.96</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4、其他综合收益" w:id="380"/>
      <w:bookmarkEnd w:id="380"/>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5、现金流量表项目" w:id="381"/>
      <w:bookmarkEnd w:id="381"/>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82"/>
      <w:bookmarkEnd w:id="38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3,735,900.00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8,883,781.16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41,416,661.39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26,495,607.66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2,779,043.39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2,802,590.32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8,297,030.47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544,099.82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56,228,635.25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38,726,078.96</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83"/>
      <w:bookmarkEnd w:id="38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32,299,884.55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51,923,573.20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84,073,113.68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43,410,109.56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30,787,640.06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13,277,123.48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14,695,868.52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4,506,067.61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161,856,506.81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113,116,873.85</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84"/>
      <w:bookmarkEnd w:id="38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并购交易方退还定金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收到的其他与投资活动有关的现金说明：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334.600006pt;margin-top:666.459961pt;width:124.8pt;height:19.650pt;mso-position-horizontal-relative:page;mso-position-vertical-relative:page;z-index:-964552" coordorigin="6692,13329" coordsize="2496,393">
            <v:shape style="position:absolute;left:6692;top:13329;width:2496;height:393" coordorigin="6692,13329" coordsize="2496,393" path="m6692,13722l9187,13722,9187,13329,6692,13329,6692,13722xe" filled="true" fillcolor="#ffffff" stroked="false">
              <v:path arrowok="t"/>
              <v:fill type="solid"/>
            </v:shape>
            <w10:wrap type="none"/>
          </v:group>
        </w:pict>
      </w:r>
    </w:p>
    <w:p>
      <w:pPr>
        <w:pStyle w:val="Heading3"/>
        <w:spacing w:line="240" w:lineRule="auto" w:before="35"/>
        <w:ind w:right="0"/>
        <w:jc w:val="left"/>
        <w:rPr>
          <w:b w:val="0"/>
          <w:bCs w:val="0"/>
        </w:rPr>
      </w:pPr>
      <w:bookmarkStart w:name="（4）支付的其他与投资活动有关的现金" w:id="385"/>
      <w:bookmarkEnd w:id="38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预付并购重组定金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230,046.21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123,148.84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100,230,046.21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10,123,148.84</w:t>
            </w:r>
          </w:p>
        </w:tc>
      </w:tr>
    </w:tbl>
    <w:p>
      <w:pPr>
        <w:pStyle w:val="BodyText"/>
        <w:spacing w:line="240" w:lineRule="auto" w:before="51"/>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86"/>
      <w:bookmarkEnd w:id="38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6）支付的其他与筹资活动有关的现金" w:id="387"/>
      <w:bookmarkEnd w:id="38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2,350,570.83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165,176,000.00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167,526,570.83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1,930,488.00</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6、现金流量表补充资料" w:id="388"/>
      <w:bookmarkEnd w:id="388"/>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9"/>
      <w:bookmarkEnd w:id="38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507"/>
        <w:gridCol w:w="2562"/>
        <w:gridCol w:w="1488"/>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151,957,478.36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125,173,602.25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226,949,610.68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19,593,826.36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17,392,307.69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17,825,527.74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6,414,782.04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3,412,339.63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1,312,313.20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637,326.84</w:t>
            </w:r>
          </w:p>
        </w:tc>
      </w:tr>
      <w:tr>
        <w:trPr>
          <w:trHeight w:val="402" w:hRule="exact"/>
        </w:trPr>
        <w:tc>
          <w:tcPr>
            <w:tcW w:w="55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23" w:space="0" w:color="FFFFFF"/>
              <w:bottom w:val="single" w:sz="4" w:space="0" w:color="000000"/>
              <w:right w:val="single" w:sz="4" w:space="0" w:color="000000"/>
            </w:tcBorders>
          </w:tcPr>
          <w:p>
            <w:pPr>
              <w:pStyle w:val="TableParagraph"/>
              <w:tabs>
                <w:tab w:pos="1726" w:val="left" w:leader="none"/>
              </w:tabs>
              <w:spacing w:line="240" w:lineRule="auto" w:before="51"/>
              <w:ind w:left="-13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-82,882.31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544,983.81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7,127,990.19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1,741,075.94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-1,683,744.40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-7,934,292.03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-15,967,894.64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-4,094,891.79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1,339,549.50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-358,862.99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5507"/>
        <w:gridCol w:w="2562"/>
        <w:gridCol w:w="1488"/>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-81,963,581.19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-26,876,716.84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-215,271,329.46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-86,409,622.18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305,507,359.46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48,446,736.36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-201,409,225.11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201,622,734.01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91,701,033.10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1" w:right="0"/>
              <w:jc w:val="lef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1" w:right="0"/>
              <w:jc w:val="lef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313,971,931.31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345,223,208.86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-11,043,407.31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-20,207,870.24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90"/>
      <w:bookmarkEnd w:id="39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24,298,119.04</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185,701,880.96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1"/>
      <w:bookmarkEnd w:id="39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92"/>
      <w:bookmarkEnd w:id="39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223"/>
        <w:gridCol w:w="2565"/>
        <w:gridCol w:w="1770"/>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313,971,931.31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64,720.60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123,460.01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311,720,976.55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324,891,878.61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2,186,234.16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313,971,931.31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7,290,070.00</w:t>
            </w:r>
          </w:p>
        </w:tc>
        <w:tc>
          <w:tcPr>
            <w:tcW w:w="17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7、所有者权益变动表项目注释" w:id="393"/>
      <w:bookmarkEnd w:id="393"/>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8、所有权或使用权受到限制的资产" w:id="394"/>
      <w:bookmarkEnd w:id="394"/>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80"/>
        <w:gridCol w:w="3161"/>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7,290,070.00</w:t>
            </w:r>
          </w:p>
        </w:tc>
        <w:tc>
          <w:tcPr>
            <w:tcW w:w="31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7,290,070.00</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9、外币货币性项目" w:id="395"/>
      <w:bookmarkEnd w:id="395"/>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6"/>
      <w:bookmarkEnd w:id="39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7"/>
      <w:bookmarkEnd w:id="39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0、套期" w:id="398"/>
      <w:bookmarkEnd w:id="398"/>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399"/>
      <w:bookmarkEnd w:id="399"/>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0"/>
      <w:bookmarkEnd w:id="40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1"/>
      <w:bookmarkEnd w:id="4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2"/>
      <w:bookmarkEnd w:id="40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6" w:right="0"/>
              <w:jc w:val="left"/>
              <w:rPr>
                <w:rFonts w:ascii="Times New Roman" w:hAnsi="Times New Roman" w:cs="Times New Roman" w:eastAsia="Times New Roman" w:hint="default"/>
                <w:sz w:val="18"/>
                <w:szCs w:val="18"/>
              </w:rPr>
            </w:pPr>
            <w:r>
              <w:rPr>
                <w:rFonts w:ascii="Times New Roman"/>
                <w:sz w:val="18"/>
              </w:rPr>
              <w:t>410,000,000.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《企业会计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left"/>
              <w:rPr>
                <w:rFonts w:ascii="Times New Roman" w:hAnsi="Times New Roman" w:cs="Times New Roman" w:eastAsia="Times New Roman" w:hint="default"/>
                <w:sz w:val="18"/>
                <w:szCs w:val="18"/>
              </w:rPr>
            </w:pPr>
            <w:r>
              <w:rPr>
                <w:rFonts w:ascii="Times New Roman"/>
                <w:sz w:val="18"/>
              </w:rPr>
              <w:t>280,803,958.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left"/>
              <w:rPr>
                <w:rFonts w:ascii="Times New Roman" w:hAnsi="Times New Roman" w:cs="Times New Roman" w:eastAsia="Times New Roman" w:hint="default"/>
                <w:sz w:val="18"/>
                <w:szCs w:val="18"/>
              </w:rPr>
            </w:pPr>
            <w:r>
              <w:rPr>
                <w:rFonts w:ascii="Times New Roman"/>
                <w:sz w:val="18"/>
              </w:rPr>
              <w:t>38,754,037.2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4"/>
        <w:gridCol w:w="1062"/>
        <w:gridCol w:w="1062"/>
        <w:gridCol w:w="1064"/>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C7E7CC"/>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企业合并》及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应用指南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3"/>
      <w:bookmarkEnd w:id="40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530"/>
        <w:gridCol w:w="4039"/>
      </w:tblGrid>
      <w:tr>
        <w:trPr>
          <w:trHeight w:val="402" w:hRule="exact"/>
        </w:trPr>
        <w:tc>
          <w:tcPr>
            <w:tcW w:w="5530"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039"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68,896,764.88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341,103,235.12</w:t>
            </w:r>
          </w:p>
        </w:tc>
      </w:tr>
    </w:tbl>
    <w:p>
      <w:pPr>
        <w:pStyle w:val="BodyText"/>
        <w:spacing w:line="338" w:lineRule="auto" w:before="51"/>
        <w:ind w:right="1933"/>
        <w:jc w:val="left"/>
      </w:pPr>
      <w:r>
        <w:rPr/>
        <w:t>合并成本公允价值的确定方法、或有对价及其变动的说明： 合并成本公允价值的确定方法：以公司聘请的第三方评估机构按照收益法评估的标的资产整体价值为基准确定。 大额商誉形成的主要原因：按照收益法评估的标的资产整体价值大于其可辨认净资产公允价值。</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被购买方于购买日可辨认资产、负债" w:id="404"/>
      <w:bookmarkEnd w:id="40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24,298,119.04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24,298,119.04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25,623,717.50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25,623,717.50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911,473.76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911,473.76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14,367,514.05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25,364.05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13,276,933.60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13,276,933.60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917,745.51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917,745.51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27,529,940.00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27,529,940.00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37,517,925.97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37,517,925.97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2,151,322.50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680,273.43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680,273.43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2,165,855.49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2,165,855.49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1,030,956.65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1,030,956.65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758,286.95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758,286.95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636,666.67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68,719,044.13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56,528,216.63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-177,720.75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-177,720.75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68,896,764.88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56,705,937.38</w:t>
            </w:r>
          </w:p>
        </w:tc>
      </w:tr>
    </w:tbl>
    <w:p>
      <w:pPr>
        <w:pStyle w:val="BodyText"/>
        <w:spacing w:line="360" w:lineRule="auto" w:before="51"/>
        <w:ind w:right="1753"/>
        <w:jc w:val="left"/>
      </w:pPr>
      <w:r>
        <w:rPr/>
        <w:t>可辨认资产、负债公允价值的确定方法： 以公司聘请的第三方评估机构按照资产基础法、收益法评估的标的资产各项可辨认资产、负债的价值为基准确定。 企业合并中承担的被购买方的或有负债：</w:t>
      </w:r>
    </w:p>
    <w:p>
      <w:pPr>
        <w:pStyle w:val="BodyText"/>
        <w:spacing w:line="240" w:lineRule="auto" w:before="27"/>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405"/>
      <w:bookmarkEnd w:id="40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06"/>
      <w:bookmarkEnd w:id="40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7"/>
      <w:bookmarkEnd w:id="40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08"/>
      <w:bookmarkEnd w:id="40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09"/>
      <w:bookmarkEnd w:id="40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10"/>
      <w:bookmarkEnd w:id="41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11"/>
      <w:bookmarkEnd w:id="41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反向购买" w:id="412"/>
      <w:bookmarkEnd w:id="41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处置子公司" w:id="413"/>
      <w:bookmarkEnd w:id="41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2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43" w:hRule="exact"/>
        </w:trPr>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6"/>
              <w:ind w:left="22" w:right="161"/>
              <w:jc w:val="both"/>
              <w:rPr>
                <w:rFonts w:ascii="宋体" w:hAnsi="宋体" w:cs="宋体" w:eastAsia="宋体" w:hint="default"/>
                <w:sz w:val="18"/>
                <w:szCs w:val="18"/>
              </w:rPr>
            </w:pPr>
            <w:r>
              <w:rPr>
                <w:rFonts w:ascii="宋体" w:hAnsi="宋体" w:cs="宋体" w:eastAsia="宋体" w:hint="default"/>
                <w:sz w:val="18"/>
                <w:szCs w:val="18"/>
              </w:rPr>
              <w:t>上海魔 情信息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161"/>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07" w:lineRule="auto" w:before="51"/>
        <w:ind w:right="6013"/>
        <w:jc w:val="left"/>
        <w:rPr>
          <w:sz w:val="24"/>
          <w:szCs w:val="24"/>
        </w:rPr>
      </w:pPr>
      <w:r>
        <w:rPr/>
        <w:t>其他说明： 上海魔情信息技术有限公司系子公司泡椒思志的原子公司</w:t>
      </w:r>
      <w:r>
        <w:rPr>
          <w:sz w:val="24"/>
          <w:szCs w:val="24"/>
        </w:rPr>
        <w:t>。</w:t>
      </w:r>
    </w:p>
    <w:p>
      <w:pPr>
        <w:pStyle w:val="BodyText"/>
        <w:spacing w:line="240" w:lineRule="auto" w:before="21"/>
        <w:ind w:left="1134"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14"/>
      <w:bookmarkEnd w:id="41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493" w:right="0" w:hanging="360"/>
        <w:jc w:val="left"/>
      </w:pPr>
      <w:r>
        <w:rPr/>
        <w:t>说明其他原因导致的合并范围变动（如，新设子公司、清算子公司等）及其相关情况： </w:t>
      </w:r>
      <w:r>
        <w:rPr>
          <w:spacing w:val="-2"/>
        </w:rPr>
        <w:t>公司于本期新设立全资子公司任网安、控投子公司广州数沃。子公司泡椒思志于本期新设立全资子公司上海穆冠，泡椒</w:t>
      </w:r>
    </w:p>
    <w:p>
      <w:pPr>
        <w:pStyle w:val="BodyText"/>
        <w:spacing w:line="224" w:lineRule="exact" w:before="0"/>
        <w:ind w:right="0"/>
        <w:jc w:val="left"/>
      </w:pPr>
      <w:r>
        <w:rPr/>
        <w:t>思志的子公司银狐游戏于本期新设立全资子公司海南银狐思志网络科技有限公司。</w:t>
      </w:r>
    </w:p>
    <w:p>
      <w:pPr>
        <w:spacing w:line="240" w:lineRule="auto" w:before="12"/>
        <w:rPr>
          <w:rFonts w:ascii="宋体" w:hAnsi="宋体" w:cs="宋体" w:eastAsia="宋体" w:hint="default"/>
          <w:sz w:val="26"/>
          <w:szCs w:val="26"/>
        </w:rPr>
      </w:pPr>
    </w:p>
    <w:p>
      <w:pPr>
        <w:spacing w:line="487" w:lineRule="auto" w:before="0"/>
        <w:ind w:left="1133" w:right="7710" w:firstLine="0"/>
        <w:jc w:val="left"/>
        <w:rPr>
          <w:rFonts w:ascii="宋体" w:hAnsi="宋体" w:cs="宋体" w:eastAsia="宋体" w:hint="default"/>
          <w:sz w:val="21"/>
          <w:szCs w:val="21"/>
        </w:rPr>
      </w:pPr>
      <w:bookmarkStart w:name="6、其他" w:id="415"/>
      <w:bookmarkEnd w:id="41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6"/>
      <w:bookmarkEnd w:id="41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7"/>
      <w:bookmarkEnd w:id="41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18"/>
      <w:bookmarkEnd w:id="41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网娱互动</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技术开发及软硬 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第二类增值电信 业务及软件开 发、销售、维护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争渡科技</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第二类增值电信 业务及软件开 发、销售、维护</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九合信息安全</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九合文化创意</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上海穆冠</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银狐游戏</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海南银狐思志网 络科技有限公司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任网安</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技术服务及软、 硬件开发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134" w:right="0"/>
        <w:jc w:val="left"/>
        <w:rPr>
          <w:b w:val="0"/>
          <w:bCs w:val="0"/>
        </w:rPr>
      </w:pPr>
      <w:bookmarkStart w:name="（2）重要的非全资子公司" w:id="419"/>
      <w:bookmarkEnd w:id="41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九合信息安全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-416,957.02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九合文化创意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-408,869.30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-2,313,419.02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420"/>
      <w:bookmarkEnd w:id="42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九合信 息安全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33,170,7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86.16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79,170,7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50,004,7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50,004,7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九合文 化创意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29,182,2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39,182,2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广州数 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4,816,91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5,345,24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1,128,79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1,128,79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九合信息安 全</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-833,914.04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-833,914.04</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-833,914.04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4,700.20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4,700.20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九合文化创 意</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-817,738.60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-817,738.60</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-817,738.60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1,453,180.15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-5,783,547.56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-5,783,547.56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-4,945,771.29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21"/>
      <w:bookmarkEnd w:id="42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22"/>
      <w:bookmarkEnd w:id="42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23"/>
      <w:bookmarkEnd w:id="42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24"/>
      <w:bookmarkEnd w:id="42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0" w:firstLine="480"/>
        <w:jc w:val="left"/>
      </w:pPr>
      <w:r>
        <w:rPr>
          <w:spacing w:val="-1"/>
        </w:rPr>
        <w:t>为了更好地整合上市公司资产，促进公司长远发展，本公司以自有资金</w:t>
      </w:r>
      <w:r>
        <w:rPr>
          <w:rFonts w:ascii="宋体" w:hAnsi="宋体" w:cs="宋体" w:eastAsia="宋体" w:hint="default"/>
          <w:spacing w:val="-1"/>
        </w:rPr>
        <w:t>18,392</w:t>
      </w:r>
      <w:r>
        <w:rPr>
          <w:spacing w:val="-1"/>
        </w:rPr>
        <w:t>万元收购天津云鲁冀和天津任鸿持有的</w:t>
      </w:r>
      <w:r>
        <w:rPr/>
        <w:t> 北京亚鸿</w:t>
      </w:r>
      <w:r>
        <w:rPr>
          <w:rFonts w:ascii="宋体" w:hAnsi="宋体" w:cs="宋体" w:eastAsia="宋体" w:hint="default"/>
        </w:rPr>
        <w:t>44%</w:t>
      </w:r>
      <w:r>
        <w:rPr/>
        <w:t>的股权，本次收购实施后，北京亚鸿将成为公司的全资子公司。</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0" w:firstLine="48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日，公司召开第三届董事会第十七次会议、第三届监事会第十五次会议，审议通过了《关于收购控股子 </w:t>
      </w:r>
      <w:r>
        <w:rPr>
          <w:spacing w:val="-2"/>
        </w:rPr>
        <w:t>公司北京亚鸿世纪科技发展有限公司少数股东股权的议案》。公司独立董事出具了关于第三届董事会第十七次会议相关事项</w:t>
      </w:r>
      <w:r>
        <w:rPr>
          <w:spacing w:val="-64"/>
        </w:rPr>
        <w:t> </w:t>
      </w:r>
      <w:r>
        <w:rPr>
          <w:spacing w:val="-64"/>
        </w:rPr>
      </w:r>
      <w:r>
        <w:rPr/>
        <w:t>的独立意见，对本次交易相关事项出具了同意意见。</w:t>
      </w:r>
    </w:p>
    <w:p>
      <w:pPr>
        <w:pStyle w:val="BodyText"/>
        <w:spacing w:line="319" w:lineRule="auto"/>
        <w:ind w:left="1134" w:right="1133" w:firstLine="480"/>
        <w:jc w:val="both"/>
      </w:pPr>
      <w:r>
        <w:rPr>
          <w:spacing w:val="-1"/>
        </w:rPr>
        <w:t>本次交易不构成关联交易，也不构成《上市公司重大资产重组管理办法》规定的重大资产重组情形。本次交易实施不</w:t>
      </w:r>
      <w:r>
        <w:rPr/>
        <w:t> </w:t>
      </w:r>
      <w:r>
        <w:rPr>
          <w:spacing w:val="-2"/>
        </w:rPr>
        <w:t>存在重大法律障碍。根据《深圳证券交易所创业板股票上市规则》、《公司章程》等相关规定，本次交易无需提交公司股东</w:t>
      </w:r>
      <w:r>
        <w:rPr>
          <w:spacing w:val="-70"/>
        </w:rPr>
        <w:t> </w:t>
      </w:r>
      <w:r>
        <w:rPr>
          <w:spacing w:val="-70"/>
        </w:rPr>
      </w:r>
      <w:r>
        <w:rPr/>
        <w:t>大会审议。</w:t>
      </w:r>
    </w:p>
    <w:p>
      <w:pPr>
        <w:pStyle w:val="BodyText"/>
        <w:spacing w:line="316" w:lineRule="auto" w:before="17"/>
        <w:ind w:right="1453" w:firstLine="480"/>
        <w:jc w:val="left"/>
      </w:pPr>
      <w:r>
        <w:rPr/>
        <w:t>本公司向天津云鲁冀、天津任鸿</w:t>
      </w:r>
      <w:r>
        <w:rPr>
          <w:rFonts w:ascii="宋体" w:hAnsi="宋体" w:cs="宋体" w:eastAsia="宋体" w:hint="default"/>
        </w:rPr>
        <w:t>2</w:t>
      </w:r>
      <w:r>
        <w:rPr/>
        <w:t>位特定投资者以支付现金方式购买其所持有的亚鸿世纪</w:t>
      </w:r>
      <w:r>
        <w:rPr>
          <w:rFonts w:ascii="宋体" w:hAnsi="宋体" w:cs="宋体" w:eastAsia="宋体" w:hint="default"/>
        </w:rPr>
        <w:t>44%</w:t>
      </w:r>
      <w:r>
        <w:rPr/>
        <w:t>的股权，收购对价为 </w:t>
      </w:r>
      <w:r>
        <w:rPr>
          <w:rFonts w:ascii="宋体" w:hAnsi="宋体" w:cs="宋体" w:eastAsia="宋体" w:hint="default"/>
        </w:rPr>
        <w:t>18,392</w:t>
      </w:r>
      <w:r>
        <w:rPr/>
        <w:t>万元，由本公司自有资金支付。</w:t>
      </w:r>
    </w:p>
    <w:p>
      <w:pPr>
        <w:pStyle w:val="BodyText"/>
        <w:spacing w:line="316" w:lineRule="auto"/>
        <w:ind w:right="1027" w:firstLine="360"/>
        <w:jc w:val="left"/>
      </w:pPr>
      <w:r>
        <w:rPr>
          <w:spacing w:val="-3"/>
        </w:rPr>
        <w:t>截至</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15</w:t>
      </w:r>
      <w:r>
        <w:rPr>
          <w:spacing w:val="-3"/>
        </w:rPr>
        <w:t>日止，公司已收到亚鸿世纪完成工商变更登记的通知，交易标的亚鸿世纪</w:t>
      </w:r>
      <w:r>
        <w:rPr>
          <w:rFonts w:ascii="宋体" w:hAnsi="宋体" w:cs="宋体" w:eastAsia="宋体" w:hint="default"/>
          <w:spacing w:val="-3"/>
        </w:rPr>
        <w:t>44%</w:t>
      </w:r>
      <w:r>
        <w:rPr>
          <w:spacing w:val="-3"/>
        </w:rPr>
        <w:t>股权已过户至任子行名下，</w:t>
      </w:r>
      <w:r>
        <w:rPr/>
        <w:t> 亚鸿世纪取得了北京市工商行政管理局海淀分局新换发的《营业执照》，公司持有北京亚鸿</w:t>
      </w:r>
      <w:r>
        <w:rPr>
          <w:rFonts w:ascii="宋体" w:hAnsi="宋体" w:cs="宋体" w:eastAsia="宋体" w:hint="default"/>
        </w:rPr>
        <w:t>100%</w:t>
      </w:r>
      <w:r>
        <w:rPr/>
        <w:t>股权。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交易对于少数股东权益及归属于母公司所有者权益的影响" w:id="425"/>
      <w:bookmarkEnd w:id="42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183,920,000.00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183,920,000.00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15,045,422.52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168,874,577.48</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168,874,577.48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6"/>
      <w:bookmarkEnd w:id="42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7"/>
      <w:bookmarkEnd w:id="42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在合营企业或联营企业的持股比例不同于表决权比例的说明：</w:t>
      </w:r>
    </w:p>
    <w:p>
      <w:pPr>
        <w:pStyle w:val="BodyText"/>
        <w:spacing w:line="240" w:lineRule="auto" w:before="116"/>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28"/>
      <w:bookmarkEnd w:id="42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重要联营企业的主要财务信息" w:id="429"/>
      <w:bookmarkEnd w:id="42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不重要的合营企业和联营企业的汇总财务信息" w:id="430"/>
      <w:bookmarkEnd w:id="43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45"/>
        <w:gridCol w:w="2839"/>
        <w:gridCol w:w="3175"/>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33"/>
        <w:gridCol w:w="2851"/>
        <w:gridCol w:w="3186"/>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7,962,308.16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8,654,195.21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1"/>
      <w:bookmarkEnd w:id="43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2"/>
      <w:bookmarkEnd w:id="43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与合营企业投资相关的未确认承诺" w:id="433"/>
      <w:bookmarkEnd w:id="43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4"/>
      <w:bookmarkEnd w:id="43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5"/>
      <w:bookmarkEnd w:id="43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436"/>
      <w:bookmarkEnd w:id="43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37"/>
      <w:bookmarkEnd w:id="437"/>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8"/>
      <w:bookmarkEnd w:id="43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48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ind w:right="1122" w:firstLine="480"/>
        <w:jc w:val="left"/>
      </w:pPr>
      <w:r>
        <w:rPr>
          <w:spacing w:val="-1"/>
        </w:rPr>
        <w:t>本公司的金融工具面临的主要风险是信用风险、流动风险及市场风险。管理层已审议并批准管理这些风险的政策，概</w:t>
      </w:r>
      <w:r>
        <w:rPr/>
        <w:t> 括如下：</w:t>
      </w:r>
    </w:p>
    <w:p>
      <w:pPr>
        <w:pStyle w:val="BodyText"/>
        <w:spacing w:line="316" w:lineRule="auto"/>
        <w:ind w:left="1613" w:right="1122"/>
        <w:jc w:val="left"/>
      </w:pPr>
      <w:r>
        <w:rPr>
          <w:rFonts w:ascii="宋体" w:hAnsi="宋体" w:cs="宋体" w:eastAsia="宋体" w:hint="default"/>
        </w:rPr>
        <w:t>1</w:t>
      </w:r>
      <w:r>
        <w:rPr/>
        <w:t>、信用风险 </w:t>
      </w:r>
      <w:r>
        <w:rPr>
          <w:spacing w:val="-1"/>
        </w:rPr>
        <w:t>本公司仅与经认可的、信誉良好的第三方进行交易。按照本公司的政策，需对所有要求采用信用方式进行交易的客户</w:t>
      </w:r>
    </w:p>
    <w:p>
      <w:pPr>
        <w:pStyle w:val="BodyText"/>
        <w:spacing w:line="316" w:lineRule="auto"/>
        <w:ind w:left="1613" w:right="0" w:hanging="480"/>
        <w:jc w:val="left"/>
      </w:pPr>
      <w:r>
        <w:rPr/>
        <w:t>进行信用审核。另外，本公司对应收账款及其他应收款余额进行持续监控，以确保本公司不致面临重大坏账风险。 </w:t>
      </w:r>
      <w:r>
        <w:rPr>
          <w:spacing w:val="-1"/>
        </w:rPr>
        <w:t>本公司其他金融资产包括货币资金、其他应收款等，这些金融资产的信用风险源自交易对手违约，最大风险敞口等于</w:t>
      </w:r>
    </w:p>
    <w:p>
      <w:pPr>
        <w:pStyle w:val="BodyText"/>
        <w:spacing w:line="316" w:lineRule="auto"/>
        <w:ind w:left="1614" w:right="0" w:hanging="480"/>
        <w:jc w:val="left"/>
      </w:pPr>
      <w:r>
        <w:rPr/>
        <w:t>这些工具的账面金额。 </w:t>
      </w:r>
      <w:r>
        <w:rPr>
          <w:spacing w:val="-1"/>
        </w:rPr>
        <w:t>由于本公司仅与经认可的且信誉良好的第三方进行交易，所以无需担保物。信用风险集中按照客户、地理区域和行业</w:t>
      </w:r>
    </w:p>
    <w:p>
      <w:pPr>
        <w:pStyle w:val="BodyText"/>
        <w:spacing w:line="316" w:lineRule="auto"/>
        <w:ind w:left="1134" w:right="1032"/>
        <w:jc w:val="left"/>
      </w:pPr>
      <w:r>
        <w:rPr/>
        <w:t>进行管理。由于本公司的应收账款客户群广泛地分散于不同的部门和行业中，因此在本公司内部不存在重大信用风险集中。</w:t>
      </w:r>
      <w:r>
        <w:rPr>
          <w:spacing w:val="-85"/>
        </w:rPr>
        <w:t> </w:t>
      </w:r>
      <w:r>
        <w:rPr>
          <w:spacing w:val="-85"/>
        </w:rPr>
      </w:r>
      <w:r>
        <w:rPr/>
        <w:t>本公司对应收账款余额未持有任何担保物或其他信用增级。</w:t>
      </w:r>
    </w:p>
    <w:p>
      <w:pPr>
        <w:pStyle w:val="BodyText"/>
        <w:spacing w:line="316" w:lineRule="auto"/>
        <w:ind w:right="1131" w:firstLine="480"/>
        <w:jc w:val="both"/>
      </w:pPr>
      <w:r>
        <w:rPr>
          <w:spacing w:val="-1"/>
        </w:rPr>
        <w:t>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日，本公司认为本公司金融资产中无尚未逾期但已发生减值的金额。本公司认为本公司不存在已逾期</w:t>
      </w:r>
      <w:r>
        <w:rPr/>
        <w:t> 已减值但未计提减值准备的重大金融资产。本公司未逾期未减值及已逾期未减值的金融资产主要为账龄为</w:t>
      </w:r>
      <w:r>
        <w:rPr>
          <w:rFonts w:ascii="宋体" w:hAnsi="宋体" w:cs="宋体" w:eastAsia="宋体" w:hint="default"/>
        </w:rPr>
        <w:t>1</w:t>
      </w:r>
      <w:r>
        <w:rPr/>
        <w:t>年以内的应收账 款及其它应收款。</w:t>
      </w:r>
    </w:p>
    <w:p>
      <w:pPr>
        <w:pStyle w:val="BodyText"/>
        <w:spacing w:line="240" w:lineRule="auto"/>
        <w:ind w:left="1613" w:right="0"/>
        <w:jc w:val="left"/>
      </w:pPr>
      <w:r>
        <w:rPr>
          <w:rFonts w:ascii="宋体" w:hAnsi="宋体" w:cs="宋体" w:eastAsia="宋体" w:hint="default"/>
        </w:rPr>
        <w:t>2</w:t>
      </w:r>
      <w:r>
        <w:rPr/>
        <w:t>、流动性风险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22" w:firstLine="480"/>
        <w:jc w:val="left"/>
      </w:pPr>
      <w:r>
        <w:rPr>
          <w:spacing w:val="-1"/>
        </w:rPr>
        <w:t>本公司采用循环流动性计划工具管理资金短缺风险。该工具既考虑其金融工具的到期日，也考虑本公司运营产生的预</w:t>
      </w:r>
      <w:r>
        <w:rPr/>
        <w:t> 计现金流量。</w:t>
      </w:r>
    </w:p>
    <w:p>
      <w:pPr>
        <w:pStyle w:val="BodyText"/>
        <w:spacing w:line="316" w:lineRule="auto"/>
        <w:ind w:left="1613" w:right="0"/>
        <w:jc w:val="left"/>
      </w:pPr>
      <w:r>
        <w:rPr/>
        <w:t>本公司的目标是运用银行借款、应付债券、增发股本等多种融资手段以保持融资的持续性与灵活性的平衡。 </w:t>
      </w:r>
      <w:r>
        <w:rPr>
          <w:spacing w:val="-1"/>
        </w:rPr>
        <w:t>流动风险，是指企业在履行与金融负债有关的义务时遇到资金短缺的风险，其可能源于无法尽快以公允价值售出金融</w:t>
      </w:r>
    </w:p>
    <w:p>
      <w:pPr>
        <w:pStyle w:val="BodyText"/>
        <w:spacing w:line="316" w:lineRule="auto"/>
        <w:ind w:left="1613" w:right="0" w:hanging="480"/>
        <w:jc w:val="left"/>
      </w:pPr>
      <w:r>
        <w:rPr/>
        <w:t>资产；或者源于对方无法偿还其合同债务；或者源于提前到期的债务；或者源于无法产生预期的现金流量。 </w:t>
      </w:r>
      <w:r>
        <w:rPr>
          <w:spacing w:val="-1"/>
        </w:rPr>
        <w:t>为控制该项风险，本公司综合采取长、短期融资方式结合，优化融资结构的方法，保持融资持续性与灵活性之间的平</w:t>
      </w:r>
    </w:p>
    <w:p>
      <w:pPr>
        <w:pStyle w:val="BodyText"/>
        <w:spacing w:line="240" w:lineRule="auto"/>
        <w:ind w:right="0"/>
        <w:jc w:val="left"/>
      </w:pPr>
      <w:r>
        <w:rPr/>
        <w:t>衡。</w:t>
      </w:r>
    </w:p>
    <w:p>
      <w:pPr>
        <w:pStyle w:val="BodyText"/>
        <w:spacing w:line="316" w:lineRule="auto" w:before="76"/>
        <w:ind w:left="1613" w:right="1122"/>
        <w:jc w:val="left"/>
      </w:pPr>
      <w:r>
        <w:rPr>
          <w:rFonts w:ascii="宋体" w:hAnsi="宋体" w:cs="宋体" w:eastAsia="宋体" w:hint="default"/>
        </w:rPr>
        <w:t>3</w:t>
      </w:r>
      <w:r>
        <w:rPr/>
        <w:t>、市场风险 </w:t>
      </w:r>
      <w:r>
        <w:rPr>
          <w:spacing w:val="-1"/>
        </w:rPr>
        <w:t>市场风险，是指金融工具的公允价值或未来现金流量因市场价格变动而发生波动的风险。市场风险主要包括利率风险</w:t>
      </w:r>
    </w:p>
    <w:p>
      <w:pPr>
        <w:pStyle w:val="BodyText"/>
        <w:spacing w:line="240" w:lineRule="auto"/>
        <w:ind w:right="0"/>
        <w:jc w:val="left"/>
      </w:pPr>
      <w:r>
        <w:rPr/>
        <w:t>和外汇风险。</w:t>
      </w:r>
    </w:p>
    <w:p>
      <w:pPr>
        <w:pStyle w:val="BodyText"/>
        <w:spacing w:line="316" w:lineRule="auto" w:before="76"/>
        <w:ind w:left="1614" w:right="0"/>
        <w:jc w:val="left"/>
      </w:pPr>
      <w:r>
        <w:rPr/>
        <w:t>（</w:t>
      </w:r>
      <w:r>
        <w:rPr>
          <w:rFonts w:ascii="宋体" w:hAnsi="宋体" w:cs="宋体" w:eastAsia="宋体" w:hint="default"/>
        </w:rPr>
        <w:t>1</w:t>
      </w:r>
      <w:r>
        <w:rPr/>
        <w:t>） 利率风险 </w:t>
      </w:r>
      <w:r>
        <w:rPr>
          <w:spacing w:val="-1"/>
        </w:rPr>
        <w:t>利率风险，是指金融工具的公允价值或未来现金流量因市场利率变动而发生波动的风险。于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w:t>
      </w:r>
    </w:p>
    <w:p>
      <w:pPr>
        <w:pStyle w:val="BodyText"/>
        <w:spacing w:line="240" w:lineRule="auto"/>
        <w:ind w:left="1134" w:right="0"/>
        <w:jc w:val="left"/>
      </w:pPr>
      <w:r>
        <w:rPr/>
        <w:t>不致面临重大的市场利率变动的风险。</w:t>
      </w:r>
    </w:p>
    <w:p>
      <w:pPr>
        <w:pStyle w:val="BodyText"/>
        <w:spacing w:line="316" w:lineRule="auto" w:before="76"/>
        <w:ind w:left="1613" w:right="1122"/>
        <w:jc w:val="left"/>
      </w:pPr>
      <w:r>
        <w:rPr/>
        <w:t>（</w:t>
      </w:r>
      <w:r>
        <w:rPr>
          <w:rFonts w:ascii="宋体" w:hAnsi="宋体" w:cs="宋体" w:eastAsia="宋体" w:hint="default"/>
        </w:rPr>
        <w:t>2</w:t>
      </w:r>
      <w:r>
        <w:rPr/>
        <w:t>） 外汇风险 外汇风险是因汇率变动产生的风险。本公司面临的汇率变动的风险主要与本公司外币货币性资产和负债有关。 </w:t>
      </w:r>
      <w:r>
        <w:rPr>
          <w:spacing w:val="-1"/>
        </w:rPr>
        <w:t>本公司的业务主要发生在中国境内，交易均以人民币为记账本位币，本公司管理层认为汇率变动不会对本公司的净利</w:t>
      </w:r>
    </w:p>
    <w:p>
      <w:pPr>
        <w:pStyle w:val="BodyText"/>
        <w:spacing w:line="316" w:lineRule="auto"/>
        <w:ind w:left="1614" w:right="8412" w:hanging="480"/>
        <w:jc w:val="left"/>
      </w:pPr>
      <w:r>
        <w:rPr/>
        <w:t>润及股东权益产生重大影响。 </w:t>
      </w:r>
      <w:r>
        <w:rPr>
          <w:rFonts w:ascii="宋体" w:hAnsi="宋体" w:cs="宋体" w:eastAsia="宋体" w:hint="default"/>
        </w:rPr>
        <w:t>4</w:t>
      </w:r>
      <w:r>
        <w:rPr/>
        <w:t>、 资本风险管理</w:t>
      </w:r>
    </w:p>
    <w:p>
      <w:pPr>
        <w:pStyle w:val="BodyText"/>
        <w:spacing w:line="316" w:lineRule="auto"/>
        <w:ind w:left="1134" w:right="0" w:firstLine="480"/>
        <w:jc w:val="left"/>
      </w:pPr>
      <w:r>
        <w:rPr>
          <w:spacing w:val="-1"/>
        </w:rPr>
        <w:t>本公司的资本风险管理政策是保障公司持续经营，为股东提供回报和为其他利益相关者提供利益，同时维持最佳的资</w:t>
      </w:r>
      <w:r>
        <w:rPr/>
        <w:t> 本结构以降低资本成本。 </w:t>
      </w:r>
      <w:r>
        <w:rPr>
          <w:spacing w:val="-2"/>
        </w:rPr>
        <w:t>本公司的资本结构包括银行存款及本公司所有者权益。管理层通过考虑资金成本及各类资本风险而确定资本结构。本公司将</w:t>
      </w:r>
      <w:r>
        <w:rPr>
          <w:spacing w:val="-64"/>
        </w:rPr>
        <w:t> </w:t>
      </w:r>
      <w:r>
        <w:rPr>
          <w:spacing w:val="-64"/>
        </w:rPr>
      </w:r>
      <w:r>
        <w:rPr/>
        <w:t>通过派发股息、发行新股平衡资本结构。</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十一、公允价值的披露" w:id="439"/>
      <w:bookmarkEnd w:id="43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以公允价值计量的资产和负债的期末公允价值" w:id="440"/>
      <w:bookmarkEnd w:id="44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53"/>
        <w:gridCol w:w="1984"/>
        <w:gridCol w:w="2128"/>
        <w:gridCol w:w="1984"/>
        <w:gridCol w:w="911"/>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41"/>
      <w:bookmarkEnd w:id="44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42"/>
      <w:bookmarkEnd w:id="44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43"/>
      <w:bookmarkEnd w:id="44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44"/>
      <w:bookmarkEnd w:id="44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45"/>
      <w:bookmarkEnd w:id="44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46"/>
      <w:bookmarkEnd w:id="44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47"/>
      <w:bookmarkEnd w:id="44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710" w:firstLine="0"/>
        <w:jc w:val="left"/>
        <w:rPr>
          <w:rFonts w:ascii="宋体" w:hAnsi="宋体" w:cs="宋体" w:eastAsia="宋体" w:hint="default"/>
          <w:sz w:val="21"/>
          <w:szCs w:val="21"/>
        </w:rPr>
      </w:pPr>
      <w:bookmarkStart w:name="9、其他" w:id="448"/>
      <w:bookmarkEnd w:id="44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9"/>
      <w:bookmarkEnd w:id="44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0"/>
      <w:bookmarkEnd w:id="45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3013"/>
        <w:jc w:val="left"/>
      </w:pPr>
      <w:r>
        <w:rPr/>
        <w:t>本企业的母公司情况的说明 本公司的控股股东为自然人景晓军，直接持有本公司</w:t>
      </w:r>
      <w:r>
        <w:rPr>
          <w:rFonts w:ascii="宋体" w:hAnsi="宋体" w:cs="宋体" w:eastAsia="宋体" w:hint="default"/>
        </w:rPr>
        <w:t>39.49%</w:t>
      </w:r>
      <w:r>
        <w:rPr/>
        <w:t>的表决权股份，为本公司第一大股东。 本企业最终控制方是景晓军。</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451"/>
      <w:bookmarkEnd w:id="45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52"/>
      <w:bookmarkEnd w:id="45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3"/>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53"/>
      <w:bookmarkEnd w:id="45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深圳市诚兴和投资有限公司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本公司职工监事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张晓辉</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钟海川</w:t>
            </w:r>
          </w:p>
        </w:tc>
        <w:tc>
          <w:tcPr>
            <w:tcW w:w="478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本公司财务总监（已离任）</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4"/>
      <w:bookmarkEnd w:id="45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55"/>
      <w:bookmarkEnd w:id="45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47"/>
        <w:gridCol w:w="2271"/>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224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71"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699,076.91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1,875.35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2247"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71"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12,184,728.74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4,497,579.61</w:t>
            </w: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关联受托管理/承包及委托管理/出包情况" w:id="456"/>
      <w:bookmarkEnd w:id="45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57"/>
      <w:bookmarkEnd w:id="45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关联担保情况" w:id="458"/>
      <w:bookmarkEnd w:id="45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关联方资金拆借" w:id="459"/>
      <w:bookmarkEnd w:id="45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资产转让、债务重组情况" w:id="460"/>
      <w:bookmarkEnd w:id="46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关键管理人员报酬" w:id="461"/>
      <w:bookmarkEnd w:id="46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494.47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62"/>
      <w:bookmarkEnd w:id="46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63"/>
      <w:bookmarkEnd w:id="46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64"/>
      <w:bookmarkEnd w:id="46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1,626,236.27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84,400.02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501,425.65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465"/>
      <w:bookmarkEnd w:id="46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3"/>
        <w:gridCol w:w="2392"/>
      </w:tblGrid>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2,852,935.64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1,949,014.61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66"/>
      <w:bookmarkEnd w:id="46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7"/>
      <w:bookmarkEnd w:id="4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8"/>
      <w:bookmarkEnd w:id="46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26,634,502.95</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pStyle w:val="BodyText"/>
        <w:spacing w:line="316" w:lineRule="auto" w:before="116"/>
        <w:ind w:right="1130" w:firstLine="480"/>
        <w:jc w:val="both"/>
      </w:pPr>
      <w:r>
        <w:rPr>
          <w:spacing w:val="-1"/>
        </w:rPr>
        <w:t>根据</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18</w:t>
      </w:r>
      <w:r>
        <w:rPr>
          <w:spacing w:val="-1"/>
        </w:rPr>
        <w:t>日公司</w:t>
      </w:r>
      <w:r>
        <w:rPr>
          <w:rFonts w:ascii="宋体" w:hAnsi="宋体" w:cs="宋体" w:eastAsia="宋体" w:hint="default"/>
          <w:spacing w:val="-1"/>
        </w:rPr>
        <w:t>2014</w:t>
      </w:r>
      <w:r>
        <w:rPr>
          <w:spacing w:val="-1"/>
        </w:rPr>
        <w:t>年第一次临时股东大会审议并通过的《关于</w:t>
      </w:r>
      <w:r>
        <w:rPr>
          <w:rFonts w:ascii="宋体" w:hAnsi="宋体" w:cs="宋体" w:eastAsia="宋体" w:hint="default"/>
          <w:spacing w:val="-1"/>
        </w:rPr>
        <w:t>&lt;</w:t>
      </w:r>
      <w:r>
        <w:rPr>
          <w:spacing w:val="-1"/>
        </w:rPr>
        <w:t>任子行网络技术股份有限公司限制性股票激</w:t>
      </w:r>
      <w:r>
        <w:rPr/>
        <w:t> </w:t>
      </w:r>
      <w:r>
        <w:rPr>
          <w:spacing w:val="-2"/>
        </w:rPr>
        <w:t>励计划（草案修订稿）及其摘要</w:t>
      </w:r>
      <w:r>
        <w:rPr>
          <w:rFonts w:ascii="宋体" w:hAnsi="宋体" w:cs="宋体" w:eastAsia="宋体" w:hint="default"/>
          <w:spacing w:val="-2"/>
        </w:rPr>
        <w:t>&gt;</w:t>
      </w:r>
      <w:r>
        <w:rPr>
          <w:rFonts w:ascii="宋体" w:hAnsi="宋体" w:cs="宋体" w:eastAsia="宋体" w:hint="default"/>
          <w:spacing w:val="21"/>
        </w:rPr>
        <w:t> </w:t>
      </w:r>
      <w:r>
        <w:rPr>
          <w:spacing w:val="-2"/>
        </w:rPr>
        <w:t>的议案》</w:t>
      </w:r>
      <w:r>
        <w:rPr>
          <w:rFonts w:ascii="宋体" w:hAnsi="宋体" w:cs="宋体" w:eastAsia="宋体" w:hint="default"/>
          <w:spacing w:val="-2"/>
        </w:rPr>
        <w:t>(</w:t>
      </w:r>
      <w:r>
        <w:rPr>
          <w:spacing w:val="-2"/>
        </w:rPr>
        <w:t>以下简称《激励计划》</w:t>
      </w:r>
      <w:r>
        <w:rPr>
          <w:rFonts w:ascii="宋体" w:hAnsi="宋体" w:cs="宋体" w:eastAsia="宋体" w:hint="default"/>
          <w:spacing w:val="-2"/>
        </w:rPr>
        <w:t>)</w:t>
      </w:r>
      <w:r>
        <w:rPr>
          <w:spacing w:val="-2"/>
        </w:rPr>
        <w:t>，《激励计划》所采用的激励形式为限制性股票。股票</w:t>
      </w:r>
      <w:r>
        <w:rPr>
          <w:spacing w:val="-87"/>
        </w:rPr>
        <w:t> </w:t>
      </w:r>
      <w:r>
        <w:rPr>
          <w:spacing w:val="-87"/>
        </w:rPr>
      </w:r>
      <w:r>
        <w:rPr/>
        <w:t>来源为公司向激励对象定向增发的公司</w:t>
      </w:r>
      <w:r>
        <w:rPr>
          <w:rFonts w:ascii="宋体" w:hAnsi="宋体" w:cs="宋体" w:eastAsia="宋体" w:hint="default"/>
        </w:rPr>
        <w:t>A </w:t>
      </w:r>
      <w:r>
        <w:rPr/>
        <w:t>股普通股。公司本次授予激励对象限制性股票为</w:t>
      </w:r>
      <w:r>
        <w:rPr>
          <w:rFonts w:ascii="宋体" w:hAnsi="宋体" w:cs="宋体" w:eastAsia="宋体" w:hint="default"/>
        </w:rPr>
        <w:t>3,726,109</w:t>
      </w:r>
      <w:r>
        <w:rPr>
          <w:rFonts w:ascii="宋体" w:hAnsi="宋体" w:cs="宋体" w:eastAsia="宋体" w:hint="default"/>
          <w:spacing w:val="-31"/>
        </w:rPr>
        <w:t> </w:t>
      </w:r>
      <w:r>
        <w:rPr>
          <w:spacing w:val="-5"/>
        </w:rPr>
        <w:t>股，其中首次授予限制</w:t>
      </w:r>
      <w:r>
        <w:rPr/>
        <w:t> 性股票数量为</w:t>
      </w:r>
      <w:r>
        <w:rPr>
          <w:rFonts w:ascii="宋体" w:hAnsi="宋体" w:cs="宋体" w:eastAsia="宋体" w:hint="default"/>
        </w:rPr>
        <w:t>3,291,549 </w:t>
      </w:r>
      <w:r>
        <w:rPr/>
        <w:t>股。</w:t>
      </w:r>
    </w:p>
    <w:p>
      <w:pPr>
        <w:pStyle w:val="BodyText"/>
        <w:spacing w:line="316" w:lineRule="auto"/>
        <w:ind w:left="1614" w:right="6042"/>
        <w:jc w:val="left"/>
      </w:pPr>
      <w:r>
        <w:rPr/>
        <w:t>首次授予限制性股票的授予日为：</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4 </w:t>
      </w:r>
      <w:r>
        <w:rPr/>
        <w:t>日； 首次授予限制性股票的授予价格为：</w:t>
      </w:r>
      <w:r>
        <w:rPr>
          <w:rFonts w:ascii="宋体" w:hAnsi="宋体" w:cs="宋体" w:eastAsia="宋体" w:hint="default"/>
        </w:rPr>
        <w:t>9.12 </w:t>
      </w:r>
      <w:r>
        <w:rPr/>
        <w:t>元。</w:t>
      </w:r>
    </w:p>
    <w:p>
      <w:pPr>
        <w:pStyle w:val="BodyText"/>
        <w:spacing w:line="316" w:lineRule="auto"/>
        <w:ind w:right="1131" w:firstLine="480"/>
        <w:jc w:val="both"/>
      </w:pPr>
      <w:r>
        <w:rPr>
          <w:spacing w:val="-1"/>
        </w:rPr>
        <w:t>由于公司</w:t>
      </w:r>
      <w:r>
        <w:rPr>
          <w:rFonts w:ascii="宋体" w:hAnsi="宋体" w:cs="宋体" w:eastAsia="宋体" w:hint="default"/>
          <w:spacing w:val="-1"/>
        </w:rPr>
        <w:t>2014</w:t>
      </w:r>
      <w:r>
        <w:rPr>
          <w:spacing w:val="-1"/>
        </w:rPr>
        <w:t>年度权益分派方案已实施完成，公司根据限制性股票激励计划及相关规定，对首次授予的限制性股票数</w:t>
      </w:r>
      <w:r>
        <w:rPr/>
        <w:t> 量和回购价格进行调整如下：调整后的首次限制性股票授予数量为</w:t>
      </w:r>
      <w:r>
        <w:rPr>
          <w:rFonts w:ascii="宋体" w:hAnsi="宋体" w:cs="宋体" w:eastAsia="宋体" w:hint="default"/>
        </w:rPr>
        <w:t>6,583,098</w:t>
      </w:r>
      <w:r>
        <w:rPr/>
        <w:t>股，回购价格为</w:t>
      </w:r>
      <w:r>
        <w:rPr>
          <w:rFonts w:ascii="宋体" w:hAnsi="宋体" w:cs="宋体" w:eastAsia="宋体" w:hint="default"/>
        </w:rPr>
        <w:t>4.56</w:t>
      </w:r>
      <w:r>
        <w:rPr/>
        <w:t>元；并同意为符合解锁条 件的</w:t>
      </w:r>
      <w:r>
        <w:rPr>
          <w:rFonts w:ascii="宋体" w:hAnsi="宋体" w:cs="宋体" w:eastAsia="宋体" w:hint="default"/>
        </w:rPr>
        <w:t>64</w:t>
      </w:r>
      <w:r>
        <w:rPr/>
        <w:t>名激励对象办理解锁事宜，本次申请解锁流通的限制性股票数量为</w:t>
      </w:r>
      <w:r>
        <w:rPr>
          <w:rFonts w:ascii="宋体" w:hAnsi="宋体" w:cs="宋体" w:eastAsia="宋体" w:hint="default"/>
        </w:rPr>
        <w:t>1,974,929</w:t>
      </w:r>
      <w:r>
        <w:rPr/>
        <w:t>股。公司独立董事对上述事项发表了独 立意见。</w:t>
      </w:r>
    </w:p>
    <w:p>
      <w:pPr>
        <w:pStyle w:val="BodyText"/>
        <w:spacing w:line="319" w:lineRule="auto"/>
        <w:ind w:right="1130" w:firstLine="480"/>
        <w:jc w:val="both"/>
      </w:pP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日分别召开第二届董事会第二十二次会议和第二届监事会第十六次会议，审议通过了《对</w:t>
      </w:r>
      <w:r>
        <w:rPr>
          <w:rFonts w:ascii="宋体" w:hAnsi="宋体" w:cs="宋体" w:eastAsia="宋体" w:hint="default"/>
          <w:spacing w:val="-1"/>
        </w:rPr>
        <w:t>&lt;</w:t>
      </w:r>
      <w:r>
        <w:rPr>
          <w:spacing w:val="-1"/>
        </w:rPr>
        <w:t>任子行</w:t>
      </w:r>
      <w:r>
        <w:rPr/>
        <w:t> 网络技术股份有限公司限制性股票激励计划</w:t>
      </w:r>
      <w:r>
        <w:rPr>
          <w:rFonts w:ascii="宋体" w:hAnsi="宋体" w:cs="宋体" w:eastAsia="宋体" w:hint="default"/>
        </w:rPr>
        <w:t>&gt;</w:t>
      </w:r>
      <w:r>
        <w:rPr/>
        <w:t>预留限制性股票数量进行调整的议案》、《关于向激励对象授予预留限制性股 票相关事项的议案》。公司</w:t>
      </w:r>
      <w:r>
        <w:rPr>
          <w:rFonts w:ascii="宋体" w:hAnsi="宋体" w:cs="宋体" w:eastAsia="宋体" w:hint="default"/>
        </w:rPr>
        <w:t>2014</w:t>
      </w:r>
      <w:r>
        <w:rPr/>
        <w:t>年年度权益分派方案为：以截至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116,411,549</w:t>
      </w:r>
      <w:r>
        <w:rPr/>
        <w:t>股为基数向全体股 东每</w:t>
      </w:r>
      <w:r>
        <w:rPr>
          <w:rFonts w:ascii="宋体" w:hAnsi="宋体" w:cs="宋体" w:eastAsia="宋体" w:hint="default"/>
        </w:rPr>
        <w:t>10</w:t>
      </w:r>
      <w:r>
        <w:rPr/>
        <w:t>股派</w:t>
      </w:r>
      <w:r>
        <w:rPr>
          <w:rFonts w:ascii="宋体" w:hAnsi="宋体" w:cs="宋体" w:eastAsia="宋体" w:hint="default"/>
        </w:rPr>
        <w:t>0.55</w:t>
      </w:r>
      <w:r>
        <w:rPr/>
        <w:t>元人民币现金（含税），同时以资本公积金向全体股东每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股。公司 </w:t>
      </w:r>
      <w:r>
        <w:rPr>
          <w:rFonts w:ascii="宋体" w:hAnsi="宋体" w:cs="宋体" w:eastAsia="宋体" w:hint="default"/>
        </w:rPr>
        <w:t>2014</w:t>
      </w:r>
      <w:r>
        <w:rPr/>
        <w:t>年年度权益分派方案实 施完成后，根据《激励计划》的规定，公司预留限制性股票授予数量为</w:t>
      </w:r>
      <w:r>
        <w:rPr>
          <w:rFonts w:ascii="宋体" w:hAnsi="宋体" w:cs="宋体" w:eastAsia="宋体" w:hint="default"/>
        </w:rPr>
        <w:t>703,785</w:t>
      </w:r>
      <w:r>
        <w:rPr/>
        <w:t>股。</w:t>
      </w:r>
    </w:p>
    <w:p>
      <w:pPr>
        <w:pStyle w:val="BodyText"/>
        <w:spacing w:line="240" w:lineRule="auto" w:before="17"/>
        <w:ind w:left="1613" w:right="0"/>
        <w:jc w:val="left"/>
      </w:pPr>
      <w:r>
        <w:rPr/>
        <w:t>预留限制性股票的授予日为：</w:t>
      </w:r>
      <w:r>
        <w:rPr>
          <w:rFonts w:ascii="宋体" w:hAnsi="宋体" w:cs="宋体" w:eastAsia="宋体" w:hint="default"/>
        </w:rPr>
        <w:t>2015 </w:t>
      </w:r>
      <w:r>
        <w:rPr/>
        <w:t>年</w:t>
      </w:r>
      <w:r>
        <w:rPr>
          <w:rFonts w:ascii="宋体" w:hAnsi="宋体" w:cs="宋体" w:eastAsia="宋体" w:hint="default"/>
        </w:rPr>
        <w:t>6 </w:t>
      </w:r>
      <w:r>
        <w:rPr/>
        <w:t>月</w:t>
      </w:r>
      <w:r>
        <w:rPr>
          <w:rFonts w:ascii="宋体" w:hAnsi="宋体" w:cs="宋体" w:eastAsia="宋体" w:hint="default"/>
        </w:rPr>
        <w:t>15</w:t>
      </w:r>
      <w:r>
        <w:rPr/>
        <w:t>日；</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84" w:right="1122" w:firstLine="30"/>
        <w:jc w:val="left"/>
      </w:pPr>
      <w:r>
        <w:rPr/>
        <w:t>预留限制性股票的授予价格为：</w:t>
      </w:r>
      <w:r>
        <w:rPr>
          <w:rFonts w:ascii="宋体" w:hAnsi="宋体" w:cs="宋体" w:eastAsia="宋体" w:hint="default"/>
        </w:rPr>
        <w:t>25.48</w:t>
      </w:r>
      <w:r>
        <w:rPr/>
        <w:t>元。 由于公司</w:t>
      </w:r>
      <w:r>
        <w:rPr>
          <w:rFonts w:ascii="宋体" w:hAnsi="宋体" w:cs="宋体" w:eastAsia="宋体" w:hint="default"/>
        </w:rPr>
        <w:t>2015</w:t>
      </w:r>
      <w:r>
        <w:rPr/>
        <w:t>年度权益分派方案已实施完成，公司根据限制性股票激励计划及相关规定，对限制性股票授予数量和回</w:t>
      </w:r>
    </w:p>
    <w:p>
      <w:pPr>
        <w:pStyle w:val="BodyText"/>
        <w:spacing w:line="316" w:lineRule="auto"/>
        <w:ind w:right="1130"/>
        <w:jc w:val="both"/>
      </w:pPr>
      <w:r>
        <w:rPr/>
        <w:t>购价格进行调整如下：调整后首次授予的限制性股票总量为</w:t>
      </w:r>
      <w:r>
        <w:rPr>
          <w:rFonts w:ascii="宋体" w:hAnsi="宋体" w:cs="宋体" w:eastAsia="宋体" w:hint="default"/>
        </w:rPr>
        <w:t>9,875,823</w:t>
      </w:r>
      <w:r>
        <w:rPr/>
        <w:t>股（含已解锁和回购注销），调整后首次授予的限制 性股票的回购价格为</w:t>
      </w:r>
      <w:r>
        <w:rPr>
          <w:rFonts w:ascii="宋体" w:hAnsi="宋体" w:cs="宋体" w:eastAsia="宋体" w:hint="default"/>
        </w:rPr>
        <w:t>3.02</w:t>
      </w:r>
      <w:r>
        <w:rPr/>
        <w:t>元（如按公司派息时不扣除派息额计算，则回购价格为</w:t>
      </w:r>
      <w:r>
        <w:rPr>
          <w:rFonts w:ascii="宋体" w:hAnsi="宋体" w:cs="宋体" w:eastAsia="宋体" w:hint="default"/>
        </w:rPr>
        <w:t>3.04</w:t>
      </w:r>
      <w:r>
        <w:rPr/>
        <w:t>元</w:t>
      </w:r>
      <w:r>
        <w:rPr>
          <w:rFonts w:ascii="宋体" w:hAnsi="宋体" w:cs="宋体" w:eastAsia="宋体" w:hint="default"/>
        </w:rPr>
        <w:t>/</w:t>
      </w:r>
      <w:r>
        <w:rPr/>
        <w:t>股）；调整后预留授予的限制性股 </w:t>
      </w:r>
      <w:r>
        <w:rPr>
          <w:spacing w:val="-2"/>
        </w:rPr>
        <w:t>票总量为</w:t>
      </w:r>
      <w:r>
        <w:rPr>
          <w:rFonts w:ascii="宋体" w:hAnsi="宋体" w:cs="宋体" w:eastAsia="宋体" w:hint="default"/>
          <w:spacing w:val="-2"/>
        </w:rPr>
        <w:t>1,055,803</w:t>
      </w:r>
      <w:r>
        <w:rPr>
          <w:spacing w:val="-2"/>
        </w:rPr>
        <w:t>股（含已解锁和回购注销），调整后预留授予的限制性股票的回购价格为</w:t>
      </w:r>
      <w:r>
        <w:rPr>
          <w:rFonts w:ascii="宋体" w:hAnsi="宋体" w:cs="宋体" w:eastAsia="宋体" w:hint="default"/>
          <w:spacing w:val="-2"/>
        </w:rPr>
        <w:t>16.96</w:t>
      </w:r>
      <w:r>
        <w:rPr>
          <w:spacing w:val="-2"/>
        </w:rPr>
        <w:t>元（如按公司派息时不扣</w:t>
      </w:r>
      <w:r>
        <w:rPr>
          <w:spacing w:val="-52"/>
        </w:rPr>
        <w:t> </w:t>
      </w:r>
      <w:r>
        <w:rPr>
          <w:spacing w:val="-52"/>
        </w:rPr>
      </w:r>
      <w:r>
        <w:rPr>
          <w:spacing w:val="-2"/>
        </w:rPr>
        <w:t>除派息额计算，则回购价格为</w:t>
      </w:r>
      <w:r>
        <w:rPr>
          <w:rFonts w:ascii="宋体" w:hAnsi="宋体" w:cs="宋体" w:eastAsia="宋体" w:hint="default"/>
          <w:spacing w:val="-2"/>
        </w:rPr>
        <w:t>16.98</w:t>
      </w:r>
      <w:r>
        <w:rPr>
          <w:spacing w:val="-2"/>
        </w:rPr>
        <w:t>元</w:t>
      </w:r>
      <w:r>
        <w:rPr>
          <w:rFonts w:ascii="宋体" w:hAnsi="宋体" w:cs="宋体" w:eastAsia="宋体" w:hint="default"/>
          <w:spacing w:val="-2"/>
        </w:rPr>
        <w:t>/</w:t>
      </w:r>
      <w:r>
        <w:rPr>
          <w:spacing w:val="-2"/>
        </w:rPr>
        <w:t>股）。并同意公司为符合解锁条件的</w:t>
      </w:r>
      <w:r>
        <w:rPr>
          <w:rFonts w:ascii="宋体" w:hAnsi="宋体" w:cs="宋体" w:eastAsia="宋体" w:hint="default"/>
          <w:spacing w:val="-2"/>
        </w:rPr>
        <w:t>74</w:t>
      </w:r>
      <w:r>
        <w:rPr>
          <w:spacing w:val="-2"/>
        </w:rPr>
        <w:t>名激励对象办理解锁事宜，本次解锁的限制性</w:t>
      </w:r>
      <w:r>
        <w:rPr>
          <w:spacing w:val="-58"/>
        </w:rPr>
        <w:t> </w:t>
      </w:r>
      <w:r>
        <w:rPr>
          <w:spacing w:val="-58"/>
        </w:rPr>
      </w:r>
      <w:r>
        <w:rPr/>
        <w:t>股票解锁数量为</w:t>
      </w:r>
      <w:r>
        <w:rPr>
          <w:rFonts w:ascii="宋体" w:hAnsi="宋体" w:cs="宋体" w:eastAsia="宋体" w:hint="default"/>
        </w:rPr>
        <w:t>462,645</w:t>
      </w:r>
      <w:r>
        <w:rPr/>
        <w:t>股，占限制性股票总数（含预留）的</w:t>
      </w:r>
      <w:r>
        <w:rPr>
          <w:rFonts w:ascii="宋体" w:hAnsi="宋体" w:cs="宋体" w:eastAsia="宋体" w:hint="default"/>
        </w:rPr>
        <w:t>5.92%</w:t>
      </w:r>
      <w:r>
        <w:rPr/>
        <w:t>，占公司股本总额的</w:t>
      </w:r>
      <w:r>
        <w:rPr>
          <w:rFonts w:ascii="宋体" w:hAnsi="宋体" w:cs="宋体" w:eastAsia="宋体" w:hint="default"/>
        </w:rPr>
        <w:t>0.10%</w:t>
      </w:r>
      <w:r>
        <w:rPr/>
        <w:t>。公司独立董事对上述事项发 表了独立意见。</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以权益结算的股份支付情况" w:id="470"/>
      <w:bookmarkEnd w:id="47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根据期权价值计算模型来计算限制性股票的公允价值。</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公司采用获授限制性股票额度基数与对应年度个人绩效考 核系数的乘积确定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24,670,600.00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2,346,400.00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71"/>
      <w:bookmarkEnd w:id="47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72"/>
      <w:bookmarkEnd w:id="47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73"/>
      <w:bookmarkEnd w:id="4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或有事项" w:id="476"/>
      <w:bookmarkEnd w:id="4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资产负债表日存在的重要或有事项" w:id="477"/>
      <w:bookmarkEnd w:id="4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公司没有需要披露的重要或有事项，也应予以说明" w:id="478"/>
      <w:bookmarkEnd w:id="4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7710" w:firstLine="0"/>
        <w:jc w:val="left"/>
        <w:rPr>
          <w:rFonts w:ascii="宋体" w:hAnsi="宋体" w:cs="宋体" w:eastAsia="宋体" w:hint="default"/>
          <w:sz w:val="21"/>
          <w:szCs w:val="21"/>
        </w:rPr>
      </w:pPr>
      <w:bookmarkStart w:name="3、其他" w:id="479"/>
      <w:bookmarkEnd w:id="4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0"/>
      <w:bookmarkEnd w:id="48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1"/>
      <w:bookmarkEnd w:id="48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利润分配情况" w:id="482"/>
      <w:bookmarkEnd w:id="48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13,437,921.30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销售退回" w:id="483"/>
      <w:bookmarkEnd w:id="48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5" w:firstLine="0"/>
        <w:jc w:val="left"/>
        <w:rPr>
          <w:rFonts w:ascii="宋体" w:hAnsi="宋体" w:cs="宋体" w:eastAsia="宋体" w:hint="default"/>
          <w:sz w:val="21"/>
          <w:szCs w:val="21"/>
        </w:rPr>
      </w:pPr>
      <w:bookmarkStart w:name="4、其他资产负债表日后事项说明" w:id="484"/>
      <w:bookmarkEnd w:id="4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85"/>
      <w:bookmarkEnd w:id="485"/>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left="1134" w:right="0"/>
        <w:jc w:val="left"/>
        <w:rPr>
          <w:b w:val="0"/>
          <w:bCs w:val="0"/>
        </w:rPr>
      </w:pPr>
      <w:bookmarkStart w:name="（1）追溯重述法" w:id="487"/>
      <w:bookmarkEnd w:id="48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来适用法" w:id="488"/>
      <w:bookmarkEnd w:id="48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89"/>
      <w:bookmarkEnd w:id="48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90"/>
      <w:bookmarkEnd w:id="49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91"/>
      <w:bookmarkEnd w:id="49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92"/>
      <w:bookmarkEnd w:id="49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93"/>
      <w:bookmarkEnd w:id="49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94"/>
      <w:bookmarkEnd w:id="49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95"/>
      <w:bookmarkEnd w:id="49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96"/>
      <w:bookmarkEnd w:id="49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4993"/>
        <w:jc w:val="left"/>
      </w:pPr>
      <w:r>
        <w:rPr/>
        <w:t>公司以内部组织结构、管理要求、内部报告制度等为依据确定经营分部。 本公司</w:t>
      </w:r>
      <w:r>
        <w:rPr>
          <w:rFonts w:ascii="宋体" w:hAnsi="宋体" w:cs="宋体" w:eastAsia="宋体" w:hint="default"/>
        </w:rPr>
        <w:t>2017</w:t>
      </w:r>
      <w:r>
        <w:rPr/>
        <w:t>年度以公司各事业部分部为基础确定报告分部。</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报告分部的财务信息" w:id="497"/>
      <w:bookmarkEnd w:id="49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公安事业部</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300,599,121.77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300,599,121.77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网安事业部</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32,146,805.15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32,146,805.15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信安事业部</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104,520,154.20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104,520,154.20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网资管理事业部</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235,692,229.34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235,692,229.34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文化娱乐事业部</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399,262,504.19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399,262,504.19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1,072,220,814.65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1,072,220,814.65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公司无报告分部的，或者不能披露各报告分部的资产总额和负债总额的，应说明原因" w:id="498"/>
      <w:bookmarkEnd w:id="49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说明" w:id="499"/>
      <w:bookmarkEnd w:id="49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7、其他对投资者决策有影响的重要交易和事项" w:id="500"/>
      <w:bookmarkEnd w:id="50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9" w:firstLine="360"/>
        <w:jc w:val="both"/>
      </w:pPr>
      <w:r>
        <w:rPr>
          <w:spacing w:val="-2"/>
        </w:rPr>
        <w:t>为进一步完善公司治理结构，建立、健全公司长效激励机制，完善公司薪酬考核体系，增强公司管理团队和业务骨干对</w:t>
      </w:r>
      <w:r>
        <w:rPr/>
        <w:t> </w:t>
      </w:r>
      <w:r>
        <w:rPr>
          <w:spacing w:val="-2"/>
        </w:rPr>
        <w:t>实现公司持续、健康发展的责任感、使命感，充分调动其积极性，提升公司的核心竞争力，确保公司发展战略和经营目标的</w:t>
      </w:r>
      <w:r>
        <w:rPr>
          <w:spacing w:val="-66"/>
        </w:rPr>
        <w:t> </w:t>
      </w:r>
      <w:r>
        <w:rPr>
          <w:spacing w:val="-66"/>
        </w:rPr>
      </w:r>
      <w:r>
        <w:rPr>
          <w:spacing w:val="-2"/>
        </w:rPr>
        <w:t>实现，有效吸引和保留优秀的管理人才和业务骨干，满足公司对核心技术人才和管理人才的巨大需求，建立公司的人力资源</w:t>
      </w:r>
      <w:r>
        <w:rPr>
          <w:spacing w:val="-66"/>
        </w:rPr>
        <w:t> </w:t>
      </w:r>
      <w:r>
        <w:rPr>
          <w:spacing w:val="-66"/>
        </w:rPr>
      </w:r>
      <w:r>
        <w:rPr>
          <w:spacing w:val="-2"/>
        </w:rPr>
        <w:t>优势，进一步激发公司创新活力，在充分保障股东权益的前提下，公司根据《公司法》、《证券法》、《上市公司股权激励</w:t>
      </w:r>
      <w:r>
        <w:rPr>
          <w:spacing w:val="-69"/>
        </w:rPr>
        <w:t> </w:t>
      </w:r>
      <w:r>
        <w:rPr>
          <w:spacing w:val="-69"/>
        </w:rPr>
      </w:r>
      <w:r>
        <w:rPr>
          <w:spacing w:val="-2"/>
        </w:rPr>
        <w:t>管理办法》等有关法律、法规和规范性文件以及《公司章程》的规定，制定了《任子行网络技术股份有限公司</w:t>
      </w:r>
      <w:r>
        <w:rPr>
          <w:rFonts w:ascii="宋体" w:hAnsi="宋体" w:cs="宋体" w:eastAsia="宋体" w:hint="default"/>
          <w:spacing w:val="-2"/>
        </w:rPr>
        <w:t>2018</w:t>
      </w:r>
      <w:r>
        <w:rPr>
          <w:spacing w:val="-2"/>
        </w:rPr>
        <w:t>年限制性</w:t>
      </w:r>
      <w:r>
        <w:rPr>
          <w:spacing w:val="-64"/>
        </w:rPr>
        <w:t> </w:t>
      </w:r>
      <w:r>
        <w:rPr/>
        <w:t>股票激励计划（草案）》及其摘要。本次激励事项经公司于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15</w:t>
      </w:r>
      <w:r>
        <w:rPr/>
        <w:t>日召开的第三届董事会第二十二次会议通过，尚需 提交股东大会审议，并须经出席股东大会的股东所持有效表决权股份总数的三分之二以上同意。</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6793" w:firstLine="0"/>
        <w:jc w:val="left"/>
        <w:rPr>
          <w:rFonts w:ascii="宋体" w:hAnsi="宋体" w:cs="宋体" w:eastAsia="宋体" w:hint="default"/>
          <w:sz w:val="21"/>
          <w:szCs w:val="21"/>
        </w:rPr>
      </w:pPr>
      <w:bookmarkStart w:name="8、其他" w:id="501"/>
      <w:bookmarkEnd w:id="50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2"/>
      <w:bookmarkEnd w:id="50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3"/>
      <w:bookmarkEnd w:id="50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504"/>
      <w:bookmarkEnd w:id="5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355,479,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097.38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42,558,8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312,920,2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81.93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204,438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20,450,49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183,987,54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355,479,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097.38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42,558,8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312,920,2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81.93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204,438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,049.76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20,450,49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183,987,54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243,333,418.99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10,631,105.41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243,333,418.99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10,631,105.41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68,709,489.61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5,428,980.60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24,196,370.48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7,258,911.14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19,239,818.30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19,239,818.30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355,479,097.38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42,558,815.45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505"/>
      <w:bookmarkEnd w:id="5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22,108,315.58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506"/>
      <w:bookmarkEnd w:id="50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按欠款方归集的期末余额前五名的应收账款情况" w:id="507"/>
      <w:bookmarkEnd w:id="50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p>
      <w:pPr>
        <w:spacing w:line="2325" w:lineRule="exact"/>
        <w:ind w:left="1134"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5029200" cy="147637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1" cstate="print"/>
                    <a:stretch>
                      <a:fillRect/>
                    </a:stretch>
                  </pic:blipFill>
                  <pic:spPr>
                    <a:xfrm>
                      <a:off x="0" y="0"/>
                      <a:ext cx="5029200" cy="1476375"/>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
        <w:rPr>
          <w:rFonts w:ascii="宋体" w:hAnsi="宋体" w:cs="宋体" w:eastAsia="宋体" w:hint="default"/>
          <w:b/>
          <w:bCs/>
          <w:sz w:val="29"/>
          <w:szCs w:val="29"/>
        </w:rPr>
      </w:pPr>
    </w:p>
    <w:p>
      <w:pPr>
        <w:pStyle w:val="Heading3"/>
        <w:spacing w:line="240" w:lineRule="auto"/>
        <w:ind w:right="0"/>
        <w:jc w:val="left"/>
        <w:rPr>
          <w:b w:val="0"/>
          <w:bCs w:val="0"/>
        </w:rPr>
      </w:pPr>
      <w:bookmarkStart w:name="（5）因金融资产转移而终止确认的应收账款" w:id="508"/>
      <w:bookmarkEnd w:id="50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509"/>
      <w:bookmarkEnd w:id="50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其他应收款" w:id="510"/>
      <w:bookmarkEnd w:id="51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511"/>
      <w:bookmarkEnd w:id="51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33,631,2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14,255,5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19,375,65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23,882,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715.78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13,220,22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10,662,488.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33,631,2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14,255,5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19,375,65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23,882,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715.78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13,220,22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10,662,488.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240" w:lineRule="auto" w:before="44"/>
        <w:ind w:right="-19"/>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15,123,764.54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346,408.26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15,123,764.54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346,408.26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1,796,241.05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168,614.10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3,091,635.16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123,276.85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13,619,610.24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13,617,300.24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99.98%</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33,631,250.99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14,255,599.45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461"/>
        <w:jc w:val="left"/>
      </w:pPr>
      <w:r>
        <w:rPr/>
        <w:t>本期计提坏账准备金额</w:t>
      </w:r>
      <w:r>
        <w:rPr>
          <w:spacing w:val="-47"/>
        </w:rPr>
        <w:t> </w:t>
      </w:r>
      <w:r>
        <w:rPr>
          <w:rFonts w:ascii="Times New Roman" w:hAnsi="Times New Roman" w:cs="Times New Roman" w:eastAsia="Times New Roman" w:hint="default"/>
        </w:rPr>
        <w:t>1,035,371.77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本期实际核销的其他应收款情况" w:id="513"/>
      <w:bookmarkEnd w:id="51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514"/>
      <w:bookmarkEnd w:id="51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7,348,194.70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5,683,567.00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1,162,149.48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1,169,772.00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24,836,888.14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16,732,152.42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274,582.00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210,265.00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9,436.67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86,959.36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33,631,250.99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23,882,715.78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15"/>
      <w:bookmarkEnd w:id="51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709"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6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12,085,278.70</w:t>
            </w:r>
          </w:p>
        </w:tc>
        <w:tc>
          <w:tcPr>
            <w:tcW w:w="15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35.93%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12,085,278.70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15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800,033.80</w:t>
            </w:r>
          </w:p>
        </w:tc>
        <w:tc>
          <w:tcPr>
            <w:tcW w:w="15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40,001.69</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742,000.00</w:t>
            </w:r>
          </w:p>
        </w:tc>
        <w:tc>
          <w:tcPr>
            <w:tcW w:w="155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15,527,312.50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13,207,380.39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16"/>
      <w:bookmarkEnd w:id="51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因金融资产转移而终止确认的其他应收款" w:id="517"/>
      <w:bookmarkEnd w:id="51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518"/>
      <w:bookmarkEnd w:id="51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19"/>
      <w:bookmarkEnd w:id="51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43"/>
        <w:gridCol w:w="1419"/>
        <w:gridCol w:w="1275"/>
        <w:gridCol w:w="1418"/>
        <w:gridCol w:w="1276"/>
        <w:gridCol w:w="974"/>
        <w:gridCol w:w="1367"/>
      </w:tblGrid>
      <w:tr>
        <w:trPr>
          <w:trHeight w:val="207"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2D2D2"/>
          </w:tcPr>
          <w:p>
            <w:pPr/>
          </w:p>
        </w:tc>
        <w:tc>
          <w:tcPr>
            <w:tcW w:w="361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1,357,480,000.00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922,580,000.00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922,580,000.00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7,962,308.16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7,962,308.16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8,654,195.21</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8,654,195.21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1,565,462,308.16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1,365,442,308.16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931,234,195.21</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931,234,195.21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20"/>
      <w:bookmarkEnd w:id="52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网娱互动</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802,580,000.00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200,020,000.00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200,020,000.00</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九合信息安全</w:t>
            </w:r>
          </w:p>
        </w:tc>
        <w:tc>
          <w:tcPr>
            <w:tcW w:w="1348" w:type="dxa"/>
            <w:tcBorders>
              <w:top w:val="single" w:sz="4" w:space="0" w:color="000000"/>
              <w:left w:val="single" w:sz="10" w:space="0" w:color="C7E7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348" w:type="dxa"/>
            <w:tcBorders>
              <w:top w:val="single" w:sz="4" w:space="0" w:color="000000"/>
              <w:left w:val="single" w:sz="10" w:space="0" w:color="C7E7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1348" w:type="dxa"/>
            <w:tcBorders>
              <w:top w:val="single" w:sz="4" w:space="0" w:color="000000"/>
              <w:left w:val="single" w:sz="10" w:space="0" w:color="C7E7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九合文化创意</w:t>
            </w:r>
          </w:p>
        </w:tc>
        <w:tc>
          <w:tcPr>
            <w:tcW w:w="1348" w:type="dxa"/>
            <w:tcBorders>
              <w:top w:val="single" w:sz="4" w:space="0" w:color="000000"/>
              <w:left w:val="single" w:sz="10" w:space="0" w:color="C7E7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922,580,000.00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634,920,000.00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200,020,000.00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200,020,000.00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21"/>
      <w:bookmarkEnd w:id="52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1,622,129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-719,953.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902,176.5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843,185.9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-191,999.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651,186.1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5,130,700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5,241,012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1,167,932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-691,887.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7,962,308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-691,887.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7,962,308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22"/>
      <w:bookmarkEnd w:id="52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23"/>
      <w:bookmarkEnd w:id="52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5"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459,978,523.18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299,836,748.20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433,589,420.58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275,961,659.01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4,666,773.75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1,453,198.79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3,693,935.45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1,042,204.53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464,645,296.93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301,289,946.99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437,283,356.03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277,003,863.54</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投资收益" w:id="524"/>
      <w:bookmarkEnd w:id="52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78,399,910.22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107,785,929.13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-919,506.01</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7E7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2,358,550.56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79,348,023.17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111,274,974.68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25"/>
      <w:bookmarkEnd w:id="52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26"/>
      <w:bookmarkEnd w:id="52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7"/>
      <w:bookmarkEnd w:id="5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081"/>
        <w:gridCol w:w="2706"/>
        <w:gridCol w:w="1771"/>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409,788.88</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11,425,900.00</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405,592.85</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204,769,743.43</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21,926,014.76</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771" w:type="dxa"/>
            <w:tcBorders>
              <w:top w:val="single" w:sz="4" w:space="0" w:color="000000"/>
              <w:left w:val="single" w:sz="4" w:space="0" w:color="000000"/>
              <w:bottom w:val="single" w:sz="4" w:space="0" w:color="000000"/>
              <w:right w:val="single" w:sz="4" w:space="0" w:color="000000"/>
            </w:tcBorders>
            <w:shd w:val="clear" w:color="auto" w:fill="C7E7CC"/>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195,073,010.40</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10"/>
        <w:ind w:left="1494" w:right="1122"/>
        <w:jc w:val="left"/>
      </w:pPr>
      <w:r>
        <w:rPr/>
        <w:t>注： </w:t>
      </w:r>
      <w:r>
        <w:rPr>
          <w:rFonts w:ascii="宋体" w:hAnsi="宋体" w:cs="宋体" w:eastAsia="宋体" w:hint="default"/>
          <w:spacing w:val="-2"/>
        </w:rPr>
        <w:t>2015</w:t>
      </w:r>
      <w:r>
        <w:rPr>
          <w:spacing w:val="-2"/>
        </w:rPr>
        <w:t>年公司现金及发行股份购买唐人数码</w:t>
      </w:r>
      <w:r>
        <w:rPr>
          <w:rFonts w:ascii="宋体" w:hAnsi="宋体" w:cs="宋体" w:eastAsia="宋体" w:hint="default"/>
          <w:spacing w:val="-2"/>
        </w:rPr>
        <w:t>100%</w:t>
      </w:r>
      <w:r>
        <w:rPr>
          <w:spacing w:val="-2"/>
        </w:rPr>
        <w:t>股权，唐人数码截至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日的全部股权按照收益法评估的价值为</w:t>
      </w:r>
    </w:p>
    <w:p>
      <w:pPr>
        <w:pStyle w:val="BodyText"/>
        <w:spacing w:line="316" w:lineRule="auto"/>
        <w:ind w:left="1404" w:right="1122" w:hanging="270"/>
        <w:jc w:val="left"/>
      </w:pPr>
      <w:r>
        <w:rPr>
          <w:rFonts w:ascii="宋体" w:hAnsi="宋体" w:cs="宋体" w:eastAsia="宋体" w:hint="default"/>
        </w:rPr>
        <w:t>64,336.19</w:t>
      </w:r>
      <w:r>
        <w:rPr/>
        <w:t>万元人民币</w:t>
      </w:r>
      <w:r>
        <w:rPr>
          <w:rFonts w:ascii="宋体" w:hAnsi="宋体" w:cs="宋体" w:eastAsia="宋体" w:hint="default"/>
        </w:rPr>
        <w:t>,</w:t>
      </w:r>
      <w:r>
        <w:rPr/>
        <w:t>交易对价</w:t>
      </w:r>
      <w:r>
        <w:rPr>
          <w:rFonts w:ascii="宋体" w:hAnsi="宋体" w:cs="宋体" w:eastAsia="宋体" w:hint="default"/>
        </w:rPr>
        <w:t>60,256</w:t>
      </w:r>
      <w:r>
        <w:rPr/>
        <w:t>万元。 交易报告书中另约定如下事项：如唐人数码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年度实现的净利润均不低于补偿义</w:t>
      </w:r>
    </w:p>
    <w:p>
      <w:pPr>
        <w:pStyle w:val="BodyText"/>
        <w:spacing w:line="316" w:lineRule="auto"/>
        <w:ind w:right="1123"/>
        <w:jc w:val="left"/>
      </w:pPr>
      <w:r>
        <w:rPr/>
        <w:t>务人承诺各年度净利润的</w:t>
      </w:r>
      <w:r>
        <w:rPr>
          <w:rFonts w:ascii="宋体" w:hAnsi="宋体" w:cs="宋体" w:eastAsia="宋体" w:hint="default"/>
        </w:rPr>
        <w:t>80%</w:t>
      </w:r>
      <w:r>
        <w:rPr/>
        <w:t>，且唐人数码</w:t>
      </w:r>
      <w:r>
        <w:rPr>
          <w:rFonts w:ascii="宋体" w:hAnsi="宋体" w:cs="宋体" w:eastAsia="宋体" w:hint="default"/>
        </w:rPr>
        <w:t>2014</w:t>
      </w:r>
      <w:r>
        <w:rPr/>
        <w:t>年度至</w:t>
      </w:r>
      <w:r>
        <w:rPr>
          <w:rFonts w:ascii="宋体" w:hAnsi="宋体" w:cs="宋体" w:eastAsia="宋体" w:hint="default"/>
        </w:rPr>
        <w:t>2017</w:t>
      </w:r>
      <w:r>
        <w:rPr/>
        <w:t>年度累积实现的净利润达到</w:t>
      </w:r>
      <w:r>
        <w:rPr>
          <w:rFonts w:ascii="宋体" w:hAnsi="宋体" w:cs="宋体" w:eastAsia="宋体" w:hint="default"/>
        </w:rPr>
        <w:t>31,000</w:t>
      </w:r>
      <w:r>
        <w:rPr/>
        <w:t>万元，则本次交易的拟购买资 产价格调整为现作价的</w:t>
      </w:r>
      <w:r>
        <w:rPr>
          <w:rFonts w:ascii="宋体" w:hAnsi="宋体" w:cs="宋体" w:eastAsia="宋体" w:hint="default"/>
        </w:rPr>
        <w:t>1.332</w:t>
      </w:r>
      <w:r>
        <w:rPr/>
        <w:t>倍，即交易的对价由</w:t>
      </w:r>
      <w:r>
        <w:rPr>
          <w:rFonts w:ascii="宋体" w:hAnsi="宋体" w:cs="宋体" w:eastAsia="宋体" w:hint="default"/>
        </w:rPr>
        <w:t>60,256.00</w:t>
      </w:r>
      <w:r>
        <w:rPr/>
        <w:t>万元调整为</w:t>
      </w:r>
      <w:r>
        <w:rPr>
          <w:rFonts w:ascii="宋体" w:hAnsi="宋体" w:cs="宋体" w:eastAsia="宋体" w:hint="default"/>
        </w:rPr>
        <w:t>80,258.00</w:t>
      </w:r>
      <w:r>
        <w:rPr/>
        <w:t>万元，增加的对价金额为</w:t>
      </w:r>
      <w:r>
        <w:rPr>
          <w:rFonts w:ascii="宋体" w:hAnsi="宋体" w:cs="宋体" w:eastAsia="宋体" w:hint="default"/>
        </w:rPr>
        <w:t>20,002</w:t>
      </w:r>
      <w:r>
        <w:rPr/>
        <w:t>万元；</w:t>
      </w:r>
    </w:p>
    <w:p>
      <w:pPr>
        <w:pStyle w:val="BodyText"/>
        <w:spacing w:line="316" w:lineRule="auto"/>
        <w:ind w:right="1139" w:firstLine="270"/>
        <w:jc w:val="both"/>
      </w:pPr>
      <w:r>
        <w:rPr/>
        <w:t>公司于</w:t>
      </w:r>
      <w:r>
        <w:rPr>
          <w:rFonts w:ascii="宋体" w:hAnsi="宋体" w:cs="宋体" w:eastAsia="宋体" w:hint="default"/>
        </w:rPr>
        <w:t>2015</w:t>
      </w:r>
      <w:r>
        <w:rPr/>
        <w:t>年度在母公司报表层面对</w:t>
      </w:r>
      <w:r>
        <w:rPr>
          <w:rFonts w:ascii="宋体" w:hAnsi="宋体" w:cs="宋体" w:eastAsia="宋体" w:hint="default"/>
        </w:rPr>
        <w:t>20,002</w:t>
      </w:r>
      <w:r>
        <w:rPr/>
        <w:t>万元确认为预计负债，同时增加对唐人数码的长期股权投资</w:t>
      </w:r>
      <w:r>
        <w:rPr>
          <w:rFonts w:ascii="宋体" w:hAnsi="宋体" w:cs="宋体" w:eastAsia="宋体" w:hint="default"/>
        </w:rPr>
        <w:t>20,002</w:t>
      </w:r>
      <w:r>
        <w:rPr/>
        <w:t>万元；在 合并报表层面，增加了合并商誉</w:t>
      </w:r>
      <w:r>
        <w:rPr>
          <w:rFonts w:ascii="宋体" w:hAnsi="宋体" w:cs="宋体" w:eastAsia="宋体" w:hint="default"/>
        </w:rPr>
        <w:t>20,002</w:t>
      </w:r>
      <w:r>
        <w:rPr/>
        <w:t>万元，同时确认预计负债</w:t>
      </w:r>
      <w:r>
        <w:rPr>
          <w:rFonts w:ascii="宋体" w:hAnsi="宋体" w:cs="宋体" w:eastAsia="宋体" w:hint="default"/>
        </w:rPr>
        <w:t>20,002</w:t>
      </w:r>
      <w:r>
        <w:rPr/>
        <w:t>万元。</w:t>
      </w:r>
    </w:p>
    <w:p>
      <w:pPr>
        <w:pStyle w:val="BodyText"/>
        <w:spacing w:line="316" w:lineRule="auto"/>
        <w:ind w:right="1130" w:firstLine="270"/>
        <w:jc w:val="both"/>
      </w:pPr>
      <w:r>
        <w:rPr/>
        <w:t>唐人数码</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t>年度以及</w:t>
      </w:r>
      <w:r>
        <w:rPr>
          <w:rFonts w:ascii="宋体" w:hAnsi="宋体" w:cs="宋体" w:eastAsia="宋体" w:hint="default"/>
        </w:rPr>
        <w:t>2017</w:t>
      </w:r>
      <w:r>
        <w:rPr/>
        <w:t>年度经审计的归属于母公司股东的扣除非经常性损益后的净利润合计 </w:t>
      </w:r>
      <w:r>
        <w:rPr>
          <w:rFonts w:ascii="宋体" w:hAnsi="宋体" w:cs="宋体" w:eastAsia="宋体" w:hint="default"/>
        </w:rPr>
        <w:t>23,597.32</w:t>
      </w:r>
      <w:r>
        <w:rPr/>
        <w:t>万元，未达到</w:t>
      </w:r>
      <w:r>
        <w:rPr>
          <w:rFonts w:ascii="宋体" w:hAnsi="宋体" w:cs="宋体" w:eastAsia="宋体" w:hint="default"/>
        </w:rPr>
        <w:t>31,000</w:t>
      </w:r>
      <w:r>
        <w:rPr/>
        <w:t>万元，不满足交易报告书中的约定，公司无需支付预计负债</w:t>
      </w:r>
      <w:r>
        <w:rPr>
          <w:rFonts w:ascii="宋体" w:hAnsi="宋体" w:cs="宋体" w:eastAsia="宋体" w:hint="default"/>
        </w:rPr>
        <w:t>20,002</w:t>
      </w:r>
      <w:r>
        <w:rPr/>
        <w:t>万元。</w:t>
      </w:r>
      <w:r>
        <w:rPr>
          <w:rFonts w:ascii="宋体" w:hAnsi="宋体" w:cs="宋体" w:eastAsia="宋体" w:hint="default"/>
        </w:rPr>
        <w:t>2017</w:t>
      </w:r>
      <w:r>
        <w:rPr/>
        <w:t>年度合并报表 </w:t>
      </w:r>
      <w:r>
        <w:rPr>
          <w:spacing w:val="-2"/>
        </w:rPr>
        <w:t>公司对无需支付的预计负债金额</w:t>
      </w:r>
      <w:r>
        <w:rPr>
          <w:rFonts w:ascii="宋体" w:hAnsi="宋体" w:cs="宋体" w:eastAsia="宋体" w:hint="default"/>
          <w:spacing w:val="-2"/>
        </w:rPr>
        <w:t>20,002</w:t>
      </w:r>
      <w:r>
        <w:rPr>
          <w:spacing w:val="-2"/>
        </w:rPr>
        <w:t>万元全额计入营业外收入，同时对商誉计提减值准备</w:t>
      </w:r>
      <w:r>
        <w:rPr>
          <w:rFonts w:ascii="宋体" w:hAnsi="宋体" w:cs="宋体" w:eastAsia="宋体" w:hint="default"/>
          <w:spacing w:val="-2"/>
        </w:rPr>
        <w:t>20,002</w:t>
      </w:r>
      <w:r>
        <w:rPr>
          <w:spacing w:val="-2"/>
        </w:rPr>
        <w:t>万元，此事项对公司整体</w:t>
      </w:r>
      <w:r>
        <w:rPr>
          <w:spacing w:val="-52"/>
        </w:rPr>
        <w:t> </w:t>
      </w:r>
      <w:r>
        <w:rPr>
          <w:spacing w:val="-52"/>
        </w:rPr>
      </w:r>
      <w:r>
        <w:rPr>
          <w:spacing w:val="-2"/>
        </w:rPr>
        <w:t>的净利润不产生影响。营业外收入</w:t>
      </w:r>
      <w:r>
        <w:rPr>
          <w:rFonts w:ascii="宋体" w:hAnsi="宋体" w:cs="宋体" w:eastAsia="宋体" w:hint="default"/>
          <w:spacing w:val="-2"/>
        </w:rPr>
        <w:t>20,002</w:t>
      </w:r>
      <w:r>
        <w:rPr>
          <w:spacing w:val="-2"/>
        </w:rPr>
        <w:t>万元计入当期非经常性损益，商誉减值损失</w:t>
      </w:r>
      <w:r>
        <w:rPr>
          <w:rFonts w:ascii="宋体" w:hAnsi="宋体" w:cs="宋体" w:eastAsia="宋体" w:hint="default"/>
          <w:spacing w:val="-2"/>
        </w:rPr>
        <w:t>20,002</w:t>
      </w:r>
      <w:r>
        <w:rPr>
          <w:spacing w:val="-2"/>
        </w:rPr>
        <w:t>万元计入当期经常性损益，对公</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司当期非经常损益影响较大。</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28"/>
      <w:bookmarkEnd w:id="5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251"/>
        <w:gridCol w:w="2481"/>
        <w:gridCol w:w="1913"/>
        <w:gridCol w:w="1913"/>
      </w:tblGrid>
      <w:tr>
        <w:trPr>
          <w:trHeight w:val="207" w:hRule="exact"/>
        </w:trPr>
        <w:tc>
          <w:tcPr>
            <w:tcW w:w="3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2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51" w:type="dxa"/>
            <w:vMerge/>
            <w:tcBorders>
              <w:left w:val="single" w:sz="4" w:space="0" w:color="000000"/>
              <w:bottom w:val="nil" w:sz="6" w:space="0" w:color="auto"/>
              <w:right w:val="single" w:sz="4" w:space="0" w:color="000000"/>
            </w:tcBorders>
            <w:shd w:val="clear" w:color="auto" w:fill="D2D2D2"/>
          </w:tcPr>
          <w:p>
            <w:pPr/>
          </w:p>
        </w:tc>
        <w:tc>
          <w:tcPr>
            <w:tcW w:w="24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29"/>
      <w:bookmarkEnd w:id="5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1"/>
      <w:bookmarkEnd w:id="5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2"/>
      <w:bookmarkEnd w:id="5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33"/>
      <w:bookmarkEnd w:id="53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664" w:right="665"/>
        <w:jc w:val="center"/>
        <w:rPr>
          <w:b w:val="0"/>
          <w:bCs w:val="0"/>
        </w:rPr>
      </w:pPr>
      <w:bookmarkStart w:name="第十二节 备查文件目录" w:id="534"/>
      <w:bookmarkEnd w:id="534"/>
      <w:r>
        <w:rPr>
          <w:b w:val="0"/>
          <w:bCs w:val="0"/>
        </w:rPr>
      </w:r>
      <w:bookmarkStart w:name="_bookmark11" w:id="535"/>
      <w:bookmarkEnd w:id="535"/>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3643"/>
        <w:jc w:val="left"/>
      </w:pPr>
      <w:r>
        <w:rPr/>
        <w:t>一、 载有公司法定代表人、主管会计工作负责人、会计主管人员签名并盖章的财务报表。 二、 载有会计师事务所盖章、注册会计师签名并盖章的审计报告原件。</w:t>
      </w:r>
    </w:p>
    <w:p>
      <w:pPr>
        <w:pStyle w:val="BodyText"/>
        <w:spacing w:line="316" w:lineRule="auto" w:before="17"/>
        <w:ind w:right="3643"/>
        <w:jc w:val="left"/>
      </w:pPr>
      <w:r>
        <w:rPr/>
        <w:t>三、 报告期内在中国证监会指定网站上公开披露过的所有公司文件的正本及公告的原稿。 四、 载有董事长签名的</w:t>
      </w:r>
      <w:r>
        <w:rPr>
          <w:rFonts w:ascii="宋体" w:hAnsi="宋体" w:cs="宋体" w:eastAsia="宋体" w:hint="default"/>
        </w:rPr>
        <w:t>2017</w:t>
      </w:r>
      <w:r>
        <w:rPr/>
        <w:t>年度报告原文件。 以上备查文件的备置地点：公司证券事务部办公室。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65056" type="#_x0000_t75" stroked="false">
          <v:imagedata r:id="rId1" o:title=""/>
        </v:shape>
      </w:pict>
    </w:r>
    <w:r>
      <w:rPr/>
      <w:pict>
        <v:shape style="position:absolute;margin-left:533.179993pt;margin-top:795.517944pt;width:6.5pt;height:11pt;mso-position-horizontal-relative:page;mso-position-vertical-relative:page;z-index:-9650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65008" type="#_x0000_t75" stroked="false">
          <v:imagedata r:id="rId1" o:title=""/>
        </v:shape>
      </w:pict>
    </w:r>
    <w:r>
      <w:rPr/>
      <w:pict>
        <v:shape style="position:absolute;margin-left:527.679993pt;margin-top:781.957947pt;width:13pt;height:11pt;mso-position-horizontal-relative:page;mso-position-vertical-relative:page;z-index:-9649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64960" type="#_x0000_t75" stroked="false">
          <v:imagedata r:id="rId1" o:title=""/>
        </v:shape>
      </w:pict>
    </w:r>
    <w:r>
      <w:rPr/>
      <w:pict>
        <v:shape style="position:absolute;margin-left:524.179993pt;margin-top:781.957947pt;width:15.5pt;height:11pt;mso-position-horizontal-relative:page;mso-position-vertical-relative:page;z-index:-96493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64912" type="#_x0000_t75" stroked="false">
          <v:imagedata r:id="rId1" o:title=""/>
        </v:shape>
      </w:pict>
    </w:r>
    <w:r>
      <w:rPr/>
      <w:pict>
        <v:shape style="position:absolute;margin-left:523.179993pt;margin-top:781.957947pt;width:17.5pt;height:11pt;mso-position-horizontal-relative:page;mso-position-vertical-relative:page;z-index:-9648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965080" type="#_x0000_t202" filled="false" stroked="false">
          <v:textbox inset="0,0,0,0">
            <w:txbxContent>
              <w:p>
                <w:pPr>
                  <w:pStyle w:val="BodyText"/>
                  <w:spacing w:line="214" w:lineRule="exact" w:before="0"/>
                  <w:ind w:left="20" w:right="0"/>
                  <w:jc w:val="left"/>
                </w:pPr>
                <w:r>
                  <w:rPr/>
                  <w:t>任子行网络技术股份有限公司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133"/>
    </w:pPr>
    <w:rPr>
      <w:rFonts w:ascii="宋体" w:hAnsi="宋体" w:eastAsia="宋体"/>
      <w:b/>
      <w:bCs/>
      <w:sz w:val="24"/>
      <w:szCs w:val="24"/>
    </w:rPr>
  </w:style>
  <w:style w:styleId="BodyText" w:type="paragraph">
    <w:name w:val="Body Text"/>
    <w:basedOn w:val="Normal"/>
    <w:uiPriority w:val="1"/>
    <w:qFormat/>
    <w:pPr>
      <w:spacing w:before="19"/>
      <w:ind w:left="1133"/>
    </w:pPr>
    <w:rPr>
      <w:rFonts w:ascii="宋体" w:hAnsi="宋体" w:eastAsia="宋体"/>
      <w:sz w:val="18"/>
      <w:szCs w:val="18"/>
    </w:rPr>
  </w:style>
  <w:style w:styleId="Heading1" w:type="paragraph">
    <w:name w:val="Heading 1"/>
    <w:basedOn w:val="Normal"/>
    <w:uiPriority w:val="1"/>
    <w:qFormat/>
    <w:pPr>
      <w:spacing w:before="1"/>
      <w:ind w:left="66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44"/>
      <w:ind w:left="113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任子行网络技术股份有限公司2017年年度报告全文</dc:title>
  <dcterms:created xsi:type="dcterms:W3CDTF">2020-05-03T00:30:41Z</dcterms:created>
  <dcterms:modified xsi:type="dcterms:W3CDTF">2020-05-03T00:30:41Z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