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6"/>
          <w:szCs w:val="16"/>
        </w:rPr>
      </w:pPr>
    </w:p>
    <w:p>
      <w:pPr>
        <w:spacing w:line="630" w:lineRule="exact"/>
        <w:ind w:left="386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410334" cy="4000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334" cy="400050"/>
                    </a:xfrm>
                    <a:prstGeom prst="rect">
                      <a:avLst/>
                    </a:prstGeom>
                  </pic:spPr>
                </pic:pic>
              </a:graphicData>
            </a:graphic>
          </wp:inline>
        </w:drawing>
      </w:r>
      <w:r>
        <w:rPr>
          <w:rFonts w:ascii="Times New Roman" w:hAnsi="Times New Roman" w:cs="Times New Roman" w:eastAsia="Times New Roman" w:hint="default"/>
          <w:position w:val="-12"/>
          <w:sz w:val="20"/>
          <w:szCs w:val="20"/>
        </w:rPr>
      </w:r>
    </w:p>
    <w:p>
      <w:pPr>
        <w:spacing w:line="240" w:lineRule="auto" w:before="3"/>
        <w:rPr>
          <w:rFonts w:ascii="Times New Roman" w:hAnsi="Times New Roman" w:cs="Times New Roman" w:eastAsia="Times New Roman" w:hint="default"/>
          <w:sz w:val="13"/>
          <w:szCs w:val="13"/>
        </w:rPr>
      </w:pPr>
    </w:p>
    <w:p>
      <w:pPr>
        <w:spacing w:line="460" w:lineRule="exact" w:before="0"/>
        <w:ind w:left="479" w:right="1457" w:firstLine="0"/>
        <w:jc w:val="center"/>
        <w:rPr>
          <w:rFonts w:ascii="宋体" w:hAnsi="宋体" w:cs="宋体" w:eastAsia="宋体" w:hint="default"/>
          <w:sz w:val="36"/>
          <w:szCs w:val="36"/>
        </w:rPr>
      </w:pPr>
      <w:r>
        <w:rPr>
          <w:rFonts w:ascii="宋体" w:hAnsi="宋体" w:cs="宋体" w:eastAsia="宋体" w:hint="default"/>
          <w:b/>
          <w:bCs/>
          <w:sz w:val="36"/>
          <w:szCs w:val="36"/>
        </w:rPr>
        <w:t>任子行网络技术股份有限公司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479" w:right="145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11"/>
        <w:rPr>
          <w:rFonts w:ascii="宋体" w:hAnsi="宋体" w:cs="宋体" w:eastAsia="宋体" w:hint="default"/>
          <w:b/>
          <w:bCs/>
          <w:sz w:val="29"/>
          <w:szCs w:val="29"/>
        </w:rPr>
      </w:pPr>
    </w:p>
    <w:p>
      <w:pPr>
        <w:spacing w:before="0"/>
        <w:ind w:left="479" w:right="1456" w:firstLine="0"/>
        <w:jc w:val="center"/>
        <w:rPr>
          <w:rFonts w:ascii="宋体" w:hAnsi="宋体" w:cs="宋体" w:eastAsia="宋体" w:hint="default"/>
          <w:sz w:val="22"/>
          <w:szCs w:val="22"/>
        </w:rPr>
      </w:pPr>
      <w:r>
        <w:rPr>
          <w:rFonts w:ascii="Times New Roman" w:hAnsi="Times New Roman" w:cs="Times New Roman" w:eastAsia="Times New Roman" w:hint="default"/>
          <w:b/>
          <w:bCs/>
          <w:sz w:val="22"/>
          <w:szCs w:val="22"/>
        </w:rPr>
        <w:t>2019-038</w:t>
      </w:r>
      <w:r>
        <w:rPr>
          <w:rFonts w:ascii="Times New Roman" w:hAnsi="Times New Roman" w:cs="Times New Roman" w:eastAsia="Times New Roman" w:hint="default"/>
          <w:b/>
          <w:bCs/>
          <w:spacing w:val="-5"/>
          <w:sz w:val="22"/>
          <w:szCs w:val="22"/>
        </w:rPr>
        <w:t> </w:t>
      </w:r>
      <w:r>
        <w:rPr>
          <w:rFonts w:ascii="宋体" w:hAnsi="宋体" w:cs="宋体" w:eastAsia="宋体" w:hint="default"/>
          <w:b/>
          <w:bCs/>
          <w:sz w:val="22"/>
          <w:szCs w:val="22"/>
        </w:rPr>
        <w:t>号</w:t>
      </w:r>
      <w:r>
        <w:rPr>
          <w:rFonts w:ascii="宋体" w:hAnsi="宋体" w:cs="宋体" w:eastAsia="宋体" w:hint="default"/>
          <w:sz w:val="22"/>
          <w:szCs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9"/>
        <w:rPr>
          <w:rFonts w:ascii="宋体" w:hAnsi="宋体" w:cs="宋体" w:eastAsia="宋体" w:hint="default"/>
          <w:b/>
          <w:bCs/>
          <w:sz w:val="15"/>
          <w:szCs w:val="15"/>
        </w:rPr>
      </w:pPr>
    </w:p>
    <w:p>
      <w:pPr>
        <w:spacing w:before="0"/>
        <w:ind w:left="479" w:right="145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公司负责人景晓军、主管会计工作负责人杨志强及会计机构负责人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李志强声明：保证年度报告中财务报告的真实、准确、完整。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z w:val="28"/>
          <w:szCs w:val="28"/>
        </w:rPr>
        <w:t>公司需遵守《深圳证券交易所创业板行业信息披露指引第 </w:t>
      </w:r>
      <w:r>
        <w:rPr>
          <w:rFonts w:ascii="Times New Roman" w:hAnsi="Times New Roman" w:cs="Times New Roman" w:eastAsia="Times New Roman" w:hint="default"/>
          <w:b/>
          <w:bCs/>
          <w:sz w:val="28"/>
          <w:szCs w:val="28"/>
        </w:rPr>
        <w:t>5</w:t>
      </w:r>
      <w:r>
        <w:rPr>
          <w:rFonts w:ascii="Times New Roman" w:hAnsi="Times New Roman" w:cs="Times New Roman" w:eastAsia="Times New Roman" w:hint="default"/>
          <w:b/>
          <w:bCs/>
          <w:spacing w:val="-6"/>
          <w:sz w:val="28"/>
          <w:szCs w:val="28"/>
        </w:rPr>
        <w:t> </w:t>
      </w:r>
      <w:r>
        <w:rPr>
          <w:rFonts w:ascii="宋体" w:hAnsi="宋体" w:cs="宋体" w:eastAsia="宋体" w:hint="default"/>
          <w:b/>
          <w:bCs/>
          <w:sz w:val="28"/>
          <w:szCs w:val="28"/>
        </w:rPr>
        <w:t>号</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上市公</w:t>
      </w:r>
      <w:r>
        <w:rPr>
          <w:rFonts w:ascii="宋体" w:hAnsi="宋体" w:cs="宋体" w:eastAsia="宋体" w:hint="default"/>
          <w:sz w:val="28"/>
          <w:szCs w:val="28"/>
        </w:rPr>
      </w:r>
    </w:p>
    <w:p>
      <w:pPr>
        <w:spacing w:line="323" w:lineRule="exact" w:before="0"/>
        <w:ind w:left="154" w:right="0" w:firstLine="0"/>
        <w:jc w:val="both"/>
        <w:rPr>
          <w:rFonts w:ascii="Times New Roman" w:hAnsi="Times New Roman" w:cs="Times New Roman" w:eastAsia="Times New Roman" w:hint="default"/>
          <w:sz w:val="28"/>
          <w:szCs w:val="28"/>
        </w:rPr>
      </w:pPr>
      <w:r>
        <w:rPr>
          <w:rFonts w:ascii="宋体" w:hAnsi="宋体" w:cs="宋体" w:eastAsia="宋体" w:hint="default"/>
          <w:b/>
          <w:bCs/>
          <w:w w:val="99"/>
          <w:sz w:val="28"/>
          <w:szCs w:val="28"/>
        </w:rPr>
        <w:t>司从事</w:t>
      </w:r>
      <w:r>
        <w:rPr>
          <w:rFonts w:ascii="宋体" w:hAnsi="宋体" w:cs="宋体" w:eastAsia="宋体" w:hint="default"/>
          <w:b/>
          <w:bCs/>
          <w:spacing w:val="2"/>
          <w:w w:val="99"/>
          <w:sz w:val="28"/>
          <w:szCs w:val="28"/>
        </w:rPr>
        <w:t>从</w:t>
      </w:r>
      <w:r>
        <w:rPr>
          <w:rFonts w:ascii="宋体" w:hAnsi="宋体" w:cs="宋体" w:eastAsia="宋体" w:hint="default"/>
          <w:b/>
          <w:bCs/>
          <w:w w:val="99"/>
          <w:sz w:val="28"/>
          <w:szCs w:val="28"/>
        </w:rPr>
        <w:t>事互联</w:t>
      </w:r>
      <w:r>
        <w:rPr>
          <w:rFonts w:ascii="宋体" w:hAnsi="宋体" w:cs="宋体" w:eastAsia="宋体" w:hint="default"/>
          <w:b/>
          <w:bCs/>
          <w:spacing w:val="2"/>
          <w:w w:val="99"/>
          <w:sz w:val="28"/>
          <w:szCs w:val="28"/>
        </w:rPr>
        <w:t>网</w:t>
      </w:r>
      <w:r>
        <w:rPr>
          <w:rFonts w:ascii="宋体" w:hAnsi="宋体" w:cs="宋体" w:eastAsia="宋体" w:hint="default"/>
          <w:b/>
          <w:bCs/>
          <w:w w:val="99"/>
          <w:sz w:val="28"/>
          <w:szCs w:val="28"/>
        </w:rPr>
        <w:t>游戏业</w:t>
      </w:r>
      <w:r>
        <w:rPr>
          <w:rFonts w:ascii="宋体" w:hAnsi="宋体" w:cs="宋体" w:eastAsia="宋体" w:hint="default"/>
          <w:b/>
          <w:bCs/>
          <w:spacing w:val="2"/>
          <w:w w:val="99"/>
          <w:sz w:val="28"/>
          <w:szCs w:val="28"/>
        </w:rPr>
        <w:t>务</w:t>
      </w:r>
      <w:r>
        <w:rPr>
          <w:rFonts w:ascii="宋体" w:hAnsi="宋体" w:cs="宋体" w:eastAsia="宋体" w:hint="default"/>
          <w:b/>
          <w:bCs/>
          <w:spacing w:val="-136"/>
          <w:w w:val="99"/>
          <w:sz w:val="28"/>
          <w:szCs w:val="28"/>
        </w:rPr>
        <w:t>》</w:t>
      </w:r>
      <w:r>
        <w:rPr>
          <w:rFonts w:ascii="宋体" w:hAnsi="宋体" w:cs="宋体" w:eastAsia="宋体" w:hint="default"/>
          <w:b/>
          <w:bCs/>
          <w:spacing w:val="-196"/>
          <w:w w:val="99"/>
          <w:sz w:val="28"/>
          <w:szCs w:val="28"/>
        </w:rPr>
        <w:t>、</w:t>
      </w:r>
      <w:r>
        <w:rPr>
          <w:rFonts w:ascii="宋体" w:hAnsi="宋体" w:cs="宋体" w:eastAsia="宋体" w:hint="default"/>
          <w:b/>
          <w:bCs/>
          <w:w w:val="99"/>
          <w:sz w:val="28"/>
          <w:szCs w:val="28"/>
        </w:rPr>
        <w:t>《深</w:t>
      </w:r>
      <w:r>
        <w:rPr>
          <w:rFonts w:ascii="宋体" w:hAnsi="宋体" w:cs="宋体" w:eastAsia="宋体" w:hint="default"/>
          <w:b/>
          <w:bCs/>
          <w:spacing w:val="2"/>
          <w:w w:val="99"/>
          <w:sz w:val="28"/>
          <w:szCs w:val="28"/>
        </w:rPr>
        <w:t>圳</w:t>
      </w:r>
      <w:r>
        <w:rPr>
          <w:rFonts w:ascii="宋体" w:hAnsi="宋体" w:cs="宋体" w:eastAsia="宋体" w:hint="default"/>
          <w:b/>
          <w:bCs/>
          <w:w w:val="99"/>
          <w:sz w:val="28"/>
          <w:szCs w:val="28"/>
        </w:rPr>
        <w:t>证券交</w:t>
      </w:r>
      <w:r>
        <w:rPr>
          <w:rFonts w:ascii="宋体" w:hAnsi="宋体" w:cs="宋体" w:eastAsia="宋体" w:hint="default"/>
          <w:b/>
          <w:bCs/>
          <w:spacing w:val="2"/>
          <w:w w:val="99"/>
          <w:sz w:val="28"/>
          <w:szCs w:val="28"/>
        </w:rPr>
        <w:t>易</w:t>
      </w:r>
      <w:r>
        <w:rPr>
          <w:rFonts w:ascii="宋体" w:hAnsi="宋体" w:cs="宋体" w:eastAsia="宋体" w:hint="default"/>
          <w:b/>
          <w:bCs/>
          <w:w w:val="99"/>
          <w:sz w:val="28"/>
          <w:szCs w:val="28"/>
        </w:rPr>
        <w:t>所行业</w:t>
      </w:r>
      <w:r>
        <w:rPr>
          <w:rFonts w:ascii="宋体" w:hAnsi="宋体" w:cs="宋体" w:eastAsia="宋体" w:hint="default"/>
          <w:b/>
          <w:bCs/>
          <w:spacing w:val="2"/>
          <w:w w:val="99"/>
          <w:sz w:val="28"/>
          <w:szCs w:val="28"/>
        </w:rPr>
        <w:t>信</w:t>
      </w:r>
      <w:r>
        <w:rPr>
          <w:rFonts w:ascii="宋体" w:hAnsi="宋体" w:cs="宋体" w:eastAsia="宋体" w:hint="default"/>
          <w:b/>
          <w:bCs/>
          <w:w w:val="99"/>
          <w:sz w:val="28"/>
          <w:szCs w:val="28"/>
        </w:rPr>
        <w:t>息披露</w:t>
      </w:r>
      <w:r>
        <w:rPr>
          <w:rFonts w:ascii="宋体" w:hAnsi="宋体" w:cs="宋体" w:eastAsia="宋体" w:hint="default"/>
          <w:b/>
          <w:bCs/>
          <w:spacing w:val="2"/>
          <w:w w:val="99"/>
          <w:sz w:val="28"/>
          <w:szCs w:val="28"/>
        </w:rPr>
        <w:t>指</w:t>
      </w:r>
      <w:r>
        <w:rPr>
          <w:rFonts w:ascii="宋体" w:hAnsi="宋体" w:cs="宋体" w:eastAsia="宋体" w:hint="default"/>
          <w:b/>
          <w:bCs/>
          <w:w w:val="99"/>
          <w:sz w:val="28"/>
          <w:szCs w:val="28"/>
        </w:rPr>
        <w:t>引第</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12</w:t>
      </w:r>
      <w:r>
        <w:rPr>
          <w:rFonts w:ascii="Times New Roman" w:hAnsi="Times New Roman" w:cs="Times New Roman" w:eastAsia="Times New Roman" w:hint="default"/>
          <w:b/>
          <w:bCs/>
          <w:sz w:val="28"/>
          <w:szCs w:val="28"/>
        </w:rPr>
        <w:t> </w:t>
      </w:r>
      <w:r>
        <w:rPr>
          <w:rFonts w:ascii="宋体" w:hAnsi="宋体" w:cs="宋体" w:eastAsia="宋体" w:hint="default"/>
          <w:b/>
          <w:bCs/>
          <w:spacing w:val="1"/>
          <w:w w:val="99"/>
          <w:sz w:val="28"/>
          <w:szCs w:val="28"/>
        </w:rPr>
        <w:t>号</w:t>
      </w:r>
      <w:r>
        <w:rPr>
          <w:rFonts w:ascii="Times New Roman" w:hAnsi="Times New Roman" w:cs="Times New Roman" w:eastAsia="Times New Roman" w:hint="default"/>
          <w:b/>
          <w:bCs/>
          <w:w w:val="99"/>
          <w:sz w:val="28"/>
          <w:szCs w:val="28"/>
        </w:rPr>
        <w:t>——</w:t>
      </w:r>
      <w:r>
        <w:rPr>
          <w:rFonts w:ascii="Times New Roman" w:hAnsi="Times New Roman" w:cs="Times New Roman" w:eastAsia="Times New Roman" w:hint="default"/>
          <w:sz w:val="28"/>
          <w:szCs w:val="28"/>
        </w:rPr>
      </w:r>
    </w:p>
    <w:p>
      <w:pPr>
        <w:spacing w:line="472" w:lineRule="auto" w:before="238"/>
        <w:ind w:left="716" w:right="0" w:hanging="562"/>
        <w:jc w:val="left"/>
        <w:rPr>
          <w:rFonts w:ascii="宋体" w:hAnsi="宋体" w:cs="宋体" w:eastAsia="宋体" w:hint="default"/>
          <w:sz w:val="28"/>
          <w:szCs w:val="28"/>
        </w:rPr>
      </w:pPr>
      <w:r>
        <w:rPr>
          <w:rFonts w:ascii="宋体" w:hAnsi="宋体" w:cs="宋体" w:eastAsia="宋体" w:hint="default"/>
          <w:b/>
          <w:bCs/>
          <w:sz w:val="28"/>
          <w:szCs w:val="28"/>
        </w:rPr>
        <w:t>上市公司从事软件与信息技术服务业务》的披露要求</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本报告中涉及的未来规划等前瞻性描述，不构成公司对投资者的实质性承</w:t>
      </w:r>
      <w:r>
        <w:rPr>
          <w:rFonts w:ascii="宋体" w:hAnsi="宋体" w:cs="宋体" w:eastAsia="宋体" w:hint="default"/>
          <w:spacing w:val="3"/>
          <w:sz w:val="28"/>
          <w:szCs w:val="28"/>
        </w:rPr>
      </w:r>
    </w:p>
    <w:p>
      <w:pPr>
        <w:spacing w:line="398" w:lineRule="auto" w:before="0"/>
        <w:ind w:left="154" w:right="1133"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诺。公司在经营中可能存在产品与服务销售的季节性风险、投资并购后的整合</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风险、商誉减值的风险、核心人才流失风险、云计算等新技术应用催化行业变</w:t>
      </w:r>
      <w:r>
        <w:rPr>
          <w:rFonts w:ascii="宋体" w:hAnsi="宋体" w:cs="宋体" w:eastAsia="宋体" w:hint="default"/>
          <w:b/>
          <w:bCs/>
          <w:spacing w:val="30"/>
          <w:w w:val="95"/>
          <w:sz w:val="28"/>
          <w:szCs w:val="28"/>
        </w:rPr>
        <w:t> </w:t>
      </w:r>
      <w:r>
        <w:rPr>
          <w:rFonts w:ascii="宋体" w:hAnsi="宋体" w:cs="宋体" w:eastAsia="宋体" w:hint="default"/>
          <w:b/>
          <w:bCs/>
          <w:spacing w:val="30"/>
          <w:w w:val="95"/>
          <w:sz w:val="28"/>
          <w:szCs w:val="28"/>
        </w:rPr>
      </w:r>
      <w:r>
        <w:rPr>
          <w:rFonts w:ascii="宋体" w:hAnsi="宋体" w:cs="宋体" w:eastAsia="宋体" w:hint="default"/>
          <w:b/>
          <w:bCs/>
          <w:spacing w:val="-1"/>
          <w:w w:val="95"/>
          <w:sz w:val="28"/>
          <w:szCs w:val="28"/>
        </w:rPr>
        <w:t>革的风险、游戏行业政策风险，有关风险内容已在本报告中第四节</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经营情况讨</w:t>
      </w:r>
      <w:r>
        <w:rPr>
          <w:rFonts w:ascii="宋体" w:hAnsi="宋体" w:cs="宋体" w:eastAsia="宋体" w:hint="default"/>
          <w:b/>
          <w:bCs/>
          <w:spacing w:val="35"/>
          <w:w w:val="95"/>
          <w:sz w:val="28"/>
          <w:szCs w:val="28"/>
        </w:rPr>
        <w:t> </w:t>
      </w:r>
      <w:r>
        <w:rPr>
          <w:rFonts w:ascii="宋体" w:hAnsi="宋体" w:cs="宋体" w:eastAsia="宋体" w:hint="default"/>
          <w:b/>
          <w:bCs/>
          <w:spacing w:val="-1"/>
          <w:w w:val="95"/>
          <w:sz w:val="28"/>
          <w:szCs w:val="28"/>
        </w:rPr>
        <w:t>论与分析</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之</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九、公司未来发展的展望</w:t>
      </w:r>
      <w:r>
        <w:rPr>
          <w:rFonts w:ascii="Times New Roman" w:hAnsi="Times New Roman" w:cs="Times New Roman" w:eastAsia="Times New Roman" w:hint="default"/>
          <w:b/>
          <w:bCs/>
          <w:spacing w:val="-1"/>
          <w:w w:val="95"/>
          <w:sz w:val="28"/>
          <w:szCs w:val="28"/>
        </w:rPr>
        <w:t>”</w:t>
      </w:r>
      <w:r>
        <w:rPr>
          <w:rFonts w:ascii="宋体" w:hAnsi="宋体" w:cs="宋体" w:eastAsia="宋体" w:hint="default"/>
          <w:b/>
          <w:bCs/>
          <w:spacing w:val="-1"/>
          <w:w w:val="95"/>
          <w:sz w:val="28"/>
          <w:szCs w:val="28"/>
        </w:rPr>
        <w:t>部分予以详细描述，敬请广大投资者注</w:t>
      </w:r>
      <w:r>
        <w:rPr>
          <w:rFonts w:ascii="宋体" w:hAnsi="宋体" w:cs="宋体" w:eastAsia="宋体" w:hint="default"/>
          <w:b/>
          <w:bCs/>
          <w:w w:val="95"/>
          <w:sz w:val="28"/>
          <w:szCs w:val="28"/>
        </w:rPr>
        <w:t>  </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z w:val="28"/>
          <w:szCs w:val="28"/>
        </w:rPr>
        <w:t>意。</w:t>
      </w:r>
      <w:r>
        <w:rPr>
          <w:rFonts w:ascii="宋体" w:hAnsi="宋体" w:cs="宋体" w:eastAsia="宋体" w:hint="default"/>
          <w:sz w:val="28"/>
          <w:szCs w:val="28"/>
        </w:rPr>
      </w:r>
    </w:p>
    <w:p>
      <w:pPr>
        <w:spacing w:before="171"/>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 </w:t>
      </w:r>
      <w:r>
        <w:rPr>
          <w:rFonts w:ascii="Times New Roman" w:hAnsi="Times New Roman" w:cs="Times New Roman" w:eastAsia="Times New Roman" w:hint="default"/>
          <w:b/>
          <w:bCs/>
          <w:sz w:val="28"/>
          <w:szCs w:val="28"/>
        </w:rPr>
        <w:t>680036042</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4" w:right="0" w:firstLine="0"/>
        <w:jc w:val="both"/>
        <w:rPr>
          <w:rFonts w:ascii="宋体" w:hAnsi="宋体" w:cs="宋体" w:eastAsia="宋体" w:hint="default"/>
          <w:sz w:val="28"/>
          <w:szCs w:val="28"/>
        </w:rPr>
      </w:pPr>
      <w:r>
        <w:rPr>
          <w:rFonts w:ascii="宋体" w:hAnsi="宋体" w:cs="宋体" w:eastAsia="宋体" w:hint="default"/>
          <w:b/>
          <w:bCs/>
          <w:w w:val="99"/>
          <w:sz w:val="28"/>
          <w:szCs w:val="28"/>
        </w:rPr>
        <w:t>向全体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67"/>
          <w:sz w:val="28"/>
          <w:szCs w:val="28"/>
        </w:rPr>
        <w:t> </w:t>
      </w:r>
      <w:r>
        <w:rPr>
          <w:rFonts w:ascii="Times New Roman" w:hAnsi="Times New Roman" w:cs="Times New Roman" w:eastAsia="Times New Roman" w:hint="default"/>
          <w:b/>
          <w:bCs/>
          <w:w w:val="99"/>
          <w:sz w:val="28"/>
          <w:szCs w:val="28"/>
        </w:rPr>
        <w:t>0.30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0"/>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送红股</w:t>
      </w:r>
      <w:r>
        <w:rPr>
          <w:rFonts w:ascii="宋体" w:hAnsi="宋体" w:cs="宋体" w:eastAsia="宋体" w:hint="default"/>
          <w:b/>
          <w:bCs/>
          <w:spacing w:val="-68"/>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（含税</w:t>
      </w:r>
      <w:r>
        <w:rPr>
          <w:rFonts w:ascii="宋体" w:hAnsi="宋体" w:cs="宋体" w:eastAsia="宋体" w:hint="default"/>
          <w:b/>
          <w:bCs/>
          <w:spacing w:val="-140"/>
          <w:w w:val="99"/>
          <w:sz w:val="28"/>
          <w:szCs w:val="28"/>
        </w:rPr>
        <w:t>）</w:t>
      </w:r>
      <w:r>
        <w:rPr>
          <w:rFonts w:ascii="宋体" w:hAnsi="宋体" w:cs="宋体" w:eastAsia="宋体" w:hint="default"/>
          <w:b/>
          <w:bCs/>
          <w:spacing w:val="-30"/>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w:t>
      </w:r>
      <w:r>
        <w:rPr>
          <w:rFonts w:ascii="宋体" w:hAnsi="宋体" w:cs="宋体" w:eastAsia="宋体" w:hint="default"/>
          <w:sz w:val="28"/>
          <w:szCs w:val="28"/>
        </w:rPr>
      </w:r>
    </w:p>
    <w:p>
      <w:pPr>
        <w:spacing w:before="238"/>
        <w:ind w:left="154" w:right="0" w:firstLine="0"/>
        <w:jc w:val="both"/>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股转增</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479" w:right="145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公司简介和主要财务指标</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公司业务概要</w:t>
            </w:r>
            <w:r>
              <w:rPr>
                <w:rFonts w:ascii="Times New Roman" w:hAnsi="Times New Roman" w:cs="Times New Roman" w:eastAsia="Times New Roman" w:hint="default"/>
              </w:rPr>
              <w:tab/>
              <w:t>17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经营情况讨论与分析</w:t>
            </w:r>
            <w:r>
              <w:rPr>
                <w:rFonts w:ascii="Times New Roman" w:hAnsi="Times New Roman" w:cs="Times New Roman" w:eastAsia="Times New Roman" w:hint="default"/>
              </w:rPr>
              <w:tab/>
              <w:t>39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55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公司债券相关情况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186</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479" w:right="145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706"/>
        <w:gridCol w:w="402"/>
        <w:gridCol w:w="6462"/>
      </w:tblGrid>
      <w:tr>
        <w:trPr>
          <w:trHeight w:val="402" w:hRule="exact"/>
        </w:trPr>
        <w:tc>
          <w:tcPr>
            <w:tcW w:w="2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任子行、公司或本公司</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华信远景</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新余市华信远景投资咨询有限公司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华信行、华信行投资</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深圳市华信行投资合伙企业（有限合伙）</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任网游</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公司全资子公司深圳市任网游科技发展有限公司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任子行科技、科技开发</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公司全资子公司深圳市任子行科技开发有限公司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网娱互动、成都网娱互动</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公司全资子公司成都网娱互动网络科技有限公司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武汉任子行</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公司全资子公司武汉市任子行软件技术有限公司（已注销）</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北京任子行</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公司全资子公司北京任子行网络安全技术有限公司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香港任子行</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公司全资子公司任子行网络技术（香港）股份有限公司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泡椒思志</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公司全资子公司深圳泡椒思志信息技术有限公司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银狐游戏</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深圳银狐游戏网络有限公司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上海穆冠</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上海穆冠信息技术有限公司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唐人数码</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公司全资子公司苏州唐人数码科技有限公司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北京亚鸿、亚鸿世纪</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公司全资子公司北京亚鸿世纪科技发展有限公司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任网安</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公司全资子公司惠州市任网安科技发展有限公司（已转让）</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广州数沃</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公司控股子公司广州数沃信息科技有限公司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争渡科技</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公司全资孙公司苏州争渡科技有限公司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中天信安</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北京中天信安科技有限责任公司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富海永成</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扬州市富海永成股权投资合伙企业（有限合伙）</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创稷投资</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上海创稷投资中心（有限合伙）</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云安宝</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深圳云安宝科技有限公司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北京明略</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北京明略软件系统有限公司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中新赛克</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深圳市中新赛克科技股份有限公司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逸风网络</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深圳市逸风网络科技有限公司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云盈网络</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深圳云盈网络科技有限公司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信息安全产业基金、九合信息安全</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深圳九合信息安全产业投资一期合伙企业（有限合伙）</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5"/>
                <w:sz w:val="18"/>
                <w:szCs w:val="18"/>
              </w:rPr>
              <w:t>文化创意产业基金、九合文化创意</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深圳九合文化创意产业投资合伙企业（有限合伙）</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国富丁香</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深圳国富丁香股权投资管理合伙企业（有限合伙）</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哈工大科技</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深圳哈工大科技创新产业发展有限公司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06"/>
        <w:gridCol w:w="402"/>
        <w:gridCol w:w="6462"/>
      </w:tblGrid>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天津云鲁冀</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天津云鲁冀科技发展中心（有限合伙）</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天津任鸿</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天津任鸿科技发展中心（有限合伙）</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任知聚</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公司全资子公司深圳市任知聚科技有限公司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北京永拓</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《管理办法》</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年限制性股票激励计划实施考核管理办法》</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《激励计划》</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限</w:t>
            </w:r>
            <w:r>
              <w:rPr>
                <w:rFonts w:ascii="宋体" w:hAnsi="宋体" w:cs="宋体" w:eastAsia="宋体" w:hint="default"/>
                <w:sz w:val="18"/>
                <w:szCs w:val="18"/>
              </w:rPr>
              <w:t>制性股票激励计划（草案</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《任子行网络技术股份有限公司员工持股计划（草案修订稿</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号资管计划</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国信证券任子行员工持股 </w:t>
            </w:r>
            <w:r>
              <w:rPr>
                <w:rFonts w:ascii="Times New Roman" w:hAnsi="Times New Roman" w:cs="Times New Roman" w:eastAsia="Times New Roman" w:hint="default"/>
                <w:sz w:val="18"/>
                <w:szCs w:val="18"/>
              </w:rPr>
              <w:t>1  </w:t>
            </w:r>
            <w:r>
              <w:rPr>
                <w:rFonts w:ascii="宋体" w:hAnsi="宋体" w:cs="宋体" w:eastAsia="宋体" w:hint="default"/>
                <w:sz w:val="18"/>
                <w:szCs w:val="18"/>
              </w:rPr>
              <w:t>号定向资产管理计划</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任子行网络技术股份有限公司股东大会</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任子行网络技术股份有限公司董事会</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任子行网络技术股份有限公司监事会</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任子行网络技术股份有限公司章程</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财政部</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中华人民共和国财政部</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工信部</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中华人民共和国工业和信息化部</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网信办</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中国共产党中央网络安全和信息化委员会</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国家税务总局</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中华人民共和国国家税务总局</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海南省工信厅</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海南省工业和信息化厅</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国信证券</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国信证券股份有限公司</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CMMI</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能力成熟度模型集成或软件能力成熟度集成模型</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CNVD</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中国国家信息安全漏洞共享平台</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CNNVD</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中国国家信息安全漏洞库</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CNCERT</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中国国家计算机网络应急技术处理协调中心</w:t>
            </w:r>
          </w:p>
        </w:tc>
      </w:tr>
      <w:tr>
        <w:trPr>
          <w:trHeight w:val="161" w:hRule="exact"/>
        </w:trPr>
        <w:tc>
          <w:tcPr>
            <w:tcW w:w="2706"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IDC</w:t>
            </w:r>
          </w:p>
        </w:tc>
        <w:tc>
          <w:tcPr>
            <w:tcW w:w="40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9" w:space="0" w:color="D2D2D2"/>
              <w:right w:val="single" w:sz="4" w:space="0" w:color="000000"/>
            </w:tcBorders>
          </w:tcPr>
          <w:p>
            <w:pPr>
              <w:pStyle w:val="TableParagraph"/>
              <w:spacing w:line="340" w:lineRule="auto" w:before="51"/>
              <w:ind w:left="27" w:right="7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IDC </w:t>
            </w:r>
            <w:r>
              <w:rPr>
                <w:rFonts w:ascii="宋体" w:hAnsi="宋体" w:cs="宋体" w:eastAsia="宋体" w:hint="default"/>
                <w:sz w:val="18"/>
                <w:szCs w:val="18"/>
              </w:rPr>
              <w:t>市场研究公司</w:t>
            </w:r>
            <w:r>
              <w:rPr>
                <w:rFonts w:ascii="Times New Roman" w:hAnsi="Times New Roman" w:cs="Times New Roman" w:eastAsia="Times New Roman" w:hint="default"/>
                <w:sz w:val="18"/>
                <w:szCs w:val="18"/>
              </w:rPr>
              <w:t>(International Data Corporation)</w:t>
            </w:r>
            <w:r>
              <w:rPr>
                <w:rFonts w:ascii="宋体" w:hAnsi="宋体" w:cs="宋体" w:eastAsia="宋体" w:hint="default"/>
                <w:sz w:val="18"/>
                <w:szCs w:val="18"/>
              </w:rPr>
              <w:t>或互联网数据中心（</w:t>
            </w:r>
            <w:r>
              <w:rPr>
                <w:rFonts w:ascii="Times New Roman" w:hAnsi="Times New Roman" w:cs="Times New Roman" w:eastAsia="Times New Roman" w:hint="default"/>
                <w:sz w:val="18"/>
                <w:szCs w:val="18"/>
              </w:rPr>
              <w:t>Internet</w:t>
            </w:r>
            <w:r>
              <w:rPr>
                <w:rFonts w:ascii="Times New Roman" w:hAnsi="Times New Roman" w:cs="Times New Roman" w:eastAsia="Times New Roman" w:hint="default"/>
                <w:spacing w:val="-6"/>
                <w:sz w:val="18"/>
                <w:szCs w:val="18"/>
              </w:rPr>
              <w:t> </w:t>
            </w:r>
            <w:r>
              <w:rPr>
                <w:rFonts w:ascii="Times New Roman" w:hAnsi="Times New Roman" w:cs="Times New Roman" w:eastAsia="Times New Roman" w:hint="default"/>
                <w:sz w:val="18"/>
                <w:szCs w:val="18"/>
              </w:rPr>
              <w:t>Data</w:t>
            </w:r>
            <w:r>
              <w:rPr>
                <w:rFonts w:ascii="Times New Roman" w:hAnsi="Times New Roman" w:cs="Times New Roman" w:eastAsia="Times New Roman" w:hint="default"/>
                <w:sz w:val="18"/>
                <w:szCs w:val="18"/>
              </w:rPr>
              <w:t> Center)</w:t>
            </w:r>
          </w:p>
        </w:tc>
      </w:tr>
      <w:tr>
        <w:trPr>
          <w:trHeight w:val="392" w:hRule="exact"/>
        </w:trPr>
        <w:tc>
          <w:tcPr>
            <w:tcW w:w="2706" w:type="dxa"/>
            <w:vMerge/>
            <w:tcBorders>
              <w:left w:val="single" w:sz="4" w:space="0" w:color="000000"/>
              <w:right w:val="single" w:sz="9" w:space="0" w:color="D2D2D2"/>
            </w:tcBorders>
          </w:tcPr>
          <w:p>
            <w:pPr/>
          </w:p>
        </w:tc>
        <w:tc>
          <w:tcPr>
            <w:tcW w:w="4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9" w:space="0" w:color="D2D2D2"/>
              <w:right w:val="single" w:sz="4" w:space="0" w:color="000000"/>
            </w:tcBorders>
          </w:tcPr>
          <w:p>
            <w:pPr/>
          </w:p>
        </w:tc>
      </w:tr>
      <w:tr>
        <w:trPr>
          <w:trHeight w:val="161" w:hRule="exact"/>
        </w:trPr>
        <w:tc>
          <w:tcPr>
            <w:tcW w:w="2706" w:type="dxa"/>
            <w:vMerge/>
            <w:tcBorders>
              <w:left w:val="single" w:sz="4" w:space="0" w:color="000000"/>
              <w:bottom w:val="single" w:sz="4" w:space="0" w:color="000000"/>
              <w:right w:val="single" w:sz="9" w:space="0" w:color="D2D2D2"/>
            </w:tcBorders>
          </w:tcPr>
          <w:p>
            <w:pPr/>
          </w:p>
        </w:tc>
        <w:tc>
          <w:tcPr>
            <w:tcW w:w="4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9" w:space="0" w:color="D2D2D2"/>
              <w:bottom w:val="single" w:sz="4" w:space="0" w:color="000000"/>
              <w:right w:val="single" w:sz="4" w:space="0" w:color="000000"/>
            </w:tcBorders>
          </w:tcPr>
          <w:p>
            <w:pPr/>
          </w:p>
        </w:tc>
      </w:tr>
      <w:tr>
        <w:trPr>
          <w:trHeight w:val="402" w:hRule="exact"/>
        </w:trPr>
        <w:tc>
          <w:tcPr>
            <w:tcW w:w="2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ISP</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互联网服务提供商</w:t>
            </w:r>
          </w:p>
        </w:tc>
      </w:tr>
      <w:tr>
        <w:trPr>
          <w:trHeight w:val="161" w:hRule="exact"/>
        </w:trPr>
        <w:tc>
          <w:tcPr>
            <w:tcW w:w="2706"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DPI</w:t>
            </w:r>
          </w:p>
        </w:tc>
        <w:tc>
          <w:tcPr>
            <w:tcW w:w="402" w:type="dxa"/>
            <w:tcBorders>
              <w:top w:val="single" w:sz="4" w:space="0" w:color="000000"/>
              <w:left w:val="single" w:sz="4" w:space="0" w:color="000000"/>
              <w:bottom w:val="nil" w:sz="6" w:space="0" w:color="auto"/>
              <w:right w:val="single" w:sz="4" w:space="0" w:color="000000"/>
            </w:tcBorders>
            <w:shd w:val="clear" w:color="auto" w:fill="D2D2D2"/>
          </w:tcPr>
          <w:p>
            <w:pPr/>
          </w:p>
        </w:tc>
        <w:tc>
          <w:tcPr>
            <w:tcW w:w="6462" w:type="dxa"/>
            <w:vMerge w:val="restart"/>
            <w:tcBorders>
              <w:top w:val="single" w:sz="4" w:space="0" w:color="000000"/>
              <w:left w:val="single" w:sz="9" w:space="0" w:color="D2D2D2"/>
              <w:right w:val="single" w:sz="4" w:space="0" w:color="000000"/>
            </w:tcBorders>
          </w:tcPr>
          <w:p>
            <w:pPr>
              <w:pStyle w:val="TableParagraph"/>
              <w:spacing w:line="319" w:lineRule="auto" w:before="51"/>
              <w:ind w:left="27" w:right="22"/>
              <w:jc w:val="left"/>
              <w:rPr>
                <w:rFonts w:ascii="宋体" w:hAnsi="宋体" w:cs="宋体" w:eastAsia="宋体" w:hint="default"/>
                <w:sz w:val="18"/>
                <w:szCs w:val="18"/>
              </w:rPr>
            </w:pPr>
            <w:r>
              <w:rPr>
                <w:rFonts w:ascii="宋体" w:hAnsi="宋体" w:cs="宋体" w:eastAsia="宋体" w:hint="default"/>
                <w:spacing w:val="-3"/>
                <w:sz w:val="18"/>
                <w:szCs w:val="18"/>
              </w:rPr>
              <w:t>是一种基于数据包的深度检测技术，针对不同的网络应用层载荷进行深度检测，通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过对报文的有效载荷检测决定其合法性</w:t>
            </w:r>
          </w:p>
        </w:tc>
      </w:tr>
      <w:tr>
        <w:trPr>
          <w:trHeight w:val="392" w:hRule="exact"/>
        </w:trPr>
        <w:tc>
          <w:tcPr>
            <w:tcW w:w="2706" w:type="dxa"/>
            <w:vMerge/>
            <w:tcBorders>
              <w:left w:val="single" w:sz="4" w:space="0" w:color="000000"/>
              <w:right w:val="single" w:sz="9" w:space="0" w:color="D2D2D2"/>
            </w:tcBorders>
          </w:tcPr>
          <w:p>
            <w:pPr/>
          </w:p>
        </w:tc>
        <w:tc>
          <w:tcPr>
            <w:tcW w:w="4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vMerge/>
            <w:tcBorders>
              <w:left w:val="single" w:sz="9" w:space="0" w:color="D2D2D2"/>
              <w:right w:val="single" w:sz="4" w:space="0" w:color="000000"/>
            </w:tcBorders>
          </w:tcPr>
          <w:p>
            <w:pPr/>
          </w:p>
        </w:tc>
      </w:tr>
      <w:tr>
        <w:trPr>
          <w:trHeight w:val="161" w:hRule="exact"/>
        </w:trPr>
        <w:tc>
          <w:tcPr>
            <w:tcW w:w="2706" w:type="dxa"/>
            <w:vMerge/>
            <w:tcBorders>
              <w:left w:val="single" w:sz="4" w:space="0" w:color="000000"/>
              <w:bottom w:val="single" w:sz="4" w:space="0" w:color="000000"/>
              <w:right w:val="single" w:sz="9" w:space="0" w:color="D2D2D2"/>
            </w:tcBorders>
          </w:tcPr>
          <w:p>
            <w:pPr/>
          </w:p>
        </w:tc>
        <w:tc>
          <w:tcPr>
            <w:tcW w:w="4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2" w:type="dxa"/>
            <w:vMerge/>
            <w:tcBorders>
              <w:left w:val="single" w:sz="9" w:space="0" w:color="D2D2D2"/>
              <w:bottom w:val="single" w:sz="4" w:space="0" w:color="000000"/>
              <w:right w:val="single" w:sz="4" w:space="0" w:color="000000"/>
            </w:tcBorders>
          </w:tcPr>
          <w:p>
            <w:pP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NET110</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互联网信息安全审计管理系统</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每用户平均收入，</w:t>
            </w: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r>
              <w:rPr>
                <w:rFonts w:ascii="宋体" w:hAnsi="宋体" w:cs="宋体" w:eastAsia="宋体" w:hint="default"/>
                <w:sz w:val="18"/>
                <w:szCs w:val="18"/>
              </w:rPr>
              <w:t>季度付费总额</w:t>
            </w:r>
            <w:r>
              <w:rPr>
                <w:rFonts w:ascii="Times New Roman" w:hAnsi="Times New Roman" w:cs="Times New Roman" w:eastAsia="Times New Roman" w:hint="default"/>
                <w:sz w:val="18"/>
                <w:szCs w:val="18"/>
              </w:rPr>
              <w:t>/</w:t>
            </w:r>
            <w:r>
              <w:rPr>
                <w:rFonts w:ascii="宋体" w:hAnsi="宋体" w:cs="宋体" w:eastAsia="宋体" w:hint="default"/>
                <w:sz w:val="18"/>
                <w:szCs w:val="18"/>
              </w:rPr>
              <w:t>付费用户数</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联运游戏</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网络游戏厂商以合作分成的方式将产品嫁接到其他合作平台之上运营的游戏</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终端</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计算机终端</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402" w:hRule="exact"/>
        </w:trPr>
        <w:tc>
          <w:tcPr>
            <w:tcW w:w="27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本报告期</w:t>
            </w:r>
          </w:p>
        </w:tc>
        <w:tc>
          <w:tcPr>
            <w:tcW w:w="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64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2644" w:right="0"/>
        <w:jc w:val="left"/>
        <w:rPr>
          <w:b w:val="0"/>
          <w:bCs w:val="0"/>
        </w:rPr>
      </w:pPr>
      <w:bookmarkStart w:name="_TOC_250010" w:id="3"/>
      <w:bookmarkStart w:name="第二节 公司简介和主要财务指标" w:id="4"/>
      <w:r>
        <w:rPr>
          <w:b w:val="0"/>
          <w:bCs w:val="0"/>
        </w:rPr>
      </w:r>
      <w:r>
        <w:rPr/>
        <w:t>第二节</w:t>
      </w:r>
      <w:r>
        <w:rPr>
          <w:spacing w:val="-11"/>
        </w:rPr>
        <w:t> </w:t>
      </w:r>
      <w:r>
        <w:rPr/>
        <w:t>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1058080"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任子行</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300311</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任子行</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Surfilter Network Technology</w:t>
            </w:r>
            <w:r>
              <w:rPr>
                <w:rFonts w:ascii="Times New Roman"/>
                <w:spacing w:val="-26"/>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Surfilter</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景晓军</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www.1218.com.cn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rzxshenzhen@1218.com.cn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李小伟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张雯</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深圳市南山区高新区科技中二路软件园</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0755-86156779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0755-86156779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0755-86168355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0755-86168355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rzxshenzhen@1218.com.cn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rzxshenzhen@1218.com.cn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http://www.cninfo.com.cn/new/index</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北京市朝阳区关东店北街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吕润波、黄冠伟</w:t>
            </w:r>
          </w:p>
        </w:tc>
      </w:tr>
    </w:tbl>
    <w:p>
      <w:pPr>
        <w:pStyle w:val="BodyText"/>
        <w:spacing w:line="240" w:lineRule="auto" w:before="51"/>
        <w:ind w:right="0"/>
        <w:jc w:val="left"/>
      </w:pPr>
      <w:r>
        <w:rPr/>
        <w:t>公司聘请的报告期内履行持续督导职责的保荐机构</w:t>
      </w:r>
    </w:p>
    <w:p>
      <w:pPr>
        <w:pStyle w:val="BodyText"/>
        <w:spacing w:line="33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公司聘请的报告期内履行持续督导职责的财务顾问</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公司是否需追溯调整或重述以前年度会计数据</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1,202,714,300.55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1,076,908,064.59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11.68%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662,859,791.50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139,165,421.00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149,268,092.48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109,549,436.73</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-85,900,809.01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-45,804,917.92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-87.54%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92,281,713.25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-69,870,626.94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201,622,734.01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-134.65%</w:t>
            </w:r>
            <w:r>
              <w:rPr>
                <w:rFonts w:ascii="Times New Roman"/>
                <w:sz w:val="18"/>
              </w:rPr>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91,701,033.10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0.210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10.74%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2,385,091,250.70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2,288,808,970.68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1,786,720,007.45</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1,368,610,982.38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1,223,911,172.26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11.82%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1,236,960,194.49</w:t>
            </w:r>
          </w:p>
        </w:tc>
      </w:tr>
    </w:tbl>
    <w:p>
      <w:pPr>
        <w:pStyle w:val="BodyText"/>
        <w:spacing w:line="240" w:lineRule="auto" w:before="5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0.2043</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214,070,386.50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334,581,308.10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295,584,630.30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358,477,975.65</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11,541,160.50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63,166,374.20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35,776,734.10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28,681,152.20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6,406,022.95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46,019,468.00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24,809,046.80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-163,135,346.76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-126,317,220.70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0" w:right="0"/>
              <w:jc w:val="left"/>
              <w:rPr>
                <w:rFonts w:ascii="Times New Roman" w:hAnsi="Times New Roman" w:cs="Times New Roman" w:eastAsia="Times New Roman" w:hint="default"/>
                <w:sz w:val="18"/>
                <w:szCs w:val="18"/>
              </w:rPr>
            </w:pPr>
            <w:r>
              <w:rPr>
                <w:rFonts w:ascii="Times New Roman"/>
                <w:sz w:val="18"/>
              </w:rPr>
              <w:t>36,891,952.30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-73,049,980.10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2" w:right="0"/>
              <w:jc w:val="left"/>
              <w:rPr>
                <w:rFonts w:ascii="Times New Roman" w:hAnsi="Times New Roman" w:cs="Times New Roman" w:eastAsia="Times New Roman" w:hint="default"/>
                <w:sz w:val="18"/>
                <w:szCs w:val="18"/>
              </w:rPr>
            </w:pPr>
            <w:r>
              <w:rPr>
                <w:rFonts w:ascii="Times New Roman"/>
                <w:sz w:val="18"/>
              </w:rPr>
              <w:t>92,604,621.56</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1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06"/>
        <w:gridCol w:w="1287"/>
        <w:gridCol w:w="1417"/>
        <w:gridCol w:w="1337"/>
        <w:gridCol w:w="1710"/>
      </w:tblGrid>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1"/>
                <w:sz w:val="18"/>
                <w:szCs w:val="18"/>
              </w:rPr>
              <w:t>非流动资产处置损益（包括已计提资产减值准备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的冲销部分）</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1,116,846.64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409,788.88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-531,315.58</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 </w:t>
            </w:r>
            <w:r>
              <w:rPr>
                <w:rFonts w:ascii="宋体" w:hAnsi="宋体" w:cs="宋体" w:eastAsia="宋体" w:hint="default"/>
                <w:spacing w:val="-1"/>
                <w:sz w:val="18"/>
                <w:szCs w:val="18"/>
              </w:rPr>
              <w:t>关，按照国家统一标准定额或定量享受的政府补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助除外）</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29,947,207.29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11,425,900.00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12,416,781.16</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非经常性的政府补助</w:t>
            </w:r>
          </w:p>
        </w:tc>
      </w:tr>
      <w:tr>
        <w:trPr>
          <w:trHeight w:val="714"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4"/>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计入当期损益的对非金融企业收取的资金占用 费</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5,172,650.55</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1,032,864.38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405,592.85</w:t>
            </w:r>
          </w:p>
        </w:tc>
        <w:tc>
          <w:tcPr>
            <w:tcW w:w="133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除同公司正常经营业务相关的有效套期保值业 务外，持有交易性金融资产、交易性金融负债产 生的公允价值变动损益，以及处置交易性金融资 产、交易性金融负债和可供出售金融资产取得的 投资收益</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146,709,347.81</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出售中新赛克股份</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66,222,136.72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204,769,743.43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91,390.78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泡椒思志业绩补偿款</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6,520,828.47</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所得税退免税</w:t>
            </w: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25,134,823.38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21,926,014.76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1,253,073.49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-23,112.14</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225,066,230.01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195,073,010.40</w:t>
            </w:r>
          </w:p>
        </w:tc>
        <w:tc>
          <w:tcPr>
            <w:tcW w:w="1337"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17,267,723.48</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_TOC_250009" w:id="15"/>
      <w:bookmarkStart w:name="第三节 公司业务概要" w:id="16"/>
      <w:r>
        <w:rPr>
          <w:b w:val="0"/>
          <w:bCs w:val="0"/>
        </w:rPr>
      </w:r>
      <w:r>
        <w:rPr/>
        <w:t>第三节</w:t>
      </w:r>
      <w:r>
        <w:rPr>
          <w:spacing w:val="-7"/>
        </w:rPr>
        <w:t> </w:t>
      </w:r>
      <w:r>
        <w:rPr/>
        <w:t>公司业务概要</w:t>
      </w:r>
      <w:bookmarkEnd w:id="15"/>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是 软件与信息技术服务业</w:t>
      </w:r>
      <w:r>
        <w:rPr>
          <w:rFonts w:ascii="Times New Roman" w:hAnsi="Times New Roman" w:cs="Times New Roman" w:eastAsia="Times New Roman" w:hint="default"/>
        </w:rPr>
        <w:t>;</w:t>
      </w:r>
      <w:r>
        <w:rPr/>
        <w:t>互联网游戏业</w:t>
      </w:r>
    </w:p>
    <w:p>
      <w:pPr>
        <w:pStyle w:val="BodyText"/>
        <w:spacing w:line="412" w:lineRule="auto" w:before="2"/>
        <w:ind w:left="334" w:right="0" w:hanging="18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w:t>
      </w:r>
      <w:r>
        <w:rPr>
          <w:spacing w:val="-2"/>
        </w:rPr>
        <w:t>公司的愿景是“挖掘网络空间大数据价值，让网络世界更安全、绿色、高效、可控”，自上市以来公司深耕网络信息安全</w:t>
      </w:r>
    </w:p>
    <w:p>
      <w:pPr>
        <w:pStyle w:val="BodyText"/>
        <w:spacing w:line="477" w:lineRule="auto" w:before="103"/>
        <w:ind w:right="1129"/>
        <w:jc w:val="both"/>
      </w:pPr>
      <w:r>
        <w:rPr>
          <w:spacing w:val="-2"/>
        </w:rPr>
        <w:t>领域，坚定不移的实施“以核心技术服务于国家网络安全”的战略，以核心关键技术为依托，不断开发新产品，挖掘客户需</w:t>
      </w:r>
      <w:r>
        <w:rPr>
          <w:spacing w:val="-66"/>
        </w:rPr>
        <w:t> </w:t>
      </w:r>
      <w:r>
        <w:rPr>
          <w:spacing w:val="-66"/>
        </w:rPr>
      </w:r>
      <w:r>
        <w:rPr>
          <w:spacing w:val="-2"/>
        </w:rPr>
        <w:t>求，致力于成为网络空间治理专家。通过多年的发展，形成了以公安事业部、信安实业部、网安事业部、亚鸿世纪为四大支</w:t>
      </w:r>
      <w:r>
        <w:rPr>
          <w:spacing w:val="-68"/>
        </w:rPr>
        <w:t> </w:t>
      </w:r>
      <w:r>
        <w:rPr>
          <w:spacing w:val="-68"/>
        </w:rPr>
      </w:r>
      <w:r>
        <w:rPr>
          <w:spacing w:val="-2"/>
        </w:rPr>
        <w:t>柱的网安业务群；同时公司还通过投资和并购等方式，布局互联网增值业务，形成以唐人数码、泡椒思志、任网游三家子公</w:t>
      </w:r>
      <w:r>
        <w:rPr>
          <w:spacing w:val="-66"/>
        </w:rPr>
        <w:t> </w:t>
      </w:r>
      <w:r>
        <w:rPr>
          <w:spacing w:val="-66"/>
        </w:rPr>
      </w:r>
      <w:r>
        <w:rPr/>
        <w:t>司为主的网娱业务群。</w:t>
      </w:r>
    </w:p>
    <w:p>
      <w:pPr>
        <w:pStyle w:val="Heading6"/>
        <w:spacing w:line="240" w:lineRule="auto" w:before="54"/>
        <w:ind w:right="0"/>
        <w:jc w:val="left"/>
        <w:rPr>
          <w:b w:val="0"/>
          <w:bCs w:val="0"/>
        </w:rPr>
      </w:pPr>
      <w:r>
        <w:rPr/>
        <w:t>一、网安业务群</w:t>
      </w:r>
      <w:r>
        <w:rPr>
          <w:b w:val="0"/>
          <w:bCs w:val="0"/>
        </w:rPr>
      </w:r>
    </w:p>
    <w:p>
      <w:pPr>
        <w:spacing w:line="240" w:lineRule="auto" w:before="10"/>
        <w:rPr>
          <w:rFonts w:ascii="宋体" w:hAnsi="宋体" w:cs="宋体" w:eastAsia="宋体" w:hint="default"/>
          <w:b/>
          <w:bCs/>
          <w:sz w:val="17"/>
          <w:szCs w:val="17"/>
        </w:rPr>
      </w:pPr>
    </w:p>
    <w:p>
      <w:pPr>
        <w:spacing w:line="477" w:lineRule="auto" w:before="0"/>
        <w:ind w:left="154" w:right="8583" w:firstLine="0"/>
        <w:jc w:val="left"/>
        <w:rPr>
          <w:rFonts w:ascii="宋体" w:hAnsi="宋体" w:cs="宋体" w:eastAsia="宋体" w:hint="default"/>
          <w:sz w:val="18"/>
          <w:szCs w:val="18"/>
        </w:rPr>
      </w:pPr>
      <w:r>
        <w:rPr>
          <w:rFonts w:ascii="宋体" w:hAnsi="宋体" w:cs="宋体" w:eastAsia="宋体" w:hint="default"/>
          <w:b/>
          <w:bCs/>
          <w:sz w:val="18"/>
          <w:szCs w:val="18"/>
        </w:rPr>
        <w:t>（一）主要业务及产品介绍</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公安事业部</w:t>
      </w:r>
    </w:p>
    <w:p>
      <w:pPr>
        <w:pStyle w:val="BodyText"/>
        <w:spacing w:line="477" w:lineRule="auto" w:before="54"/>
        <w:ind w:right="1130" w:firstLine="360"/>
        <w:jc w:val="both"/>
      </w:pPr>
      <w:r>
        <w:rPr>
          <w:spacing w:val="-2"/>
        </w:rPr>
        <w:t>公安事业部定位网络空间违法治理，通过提供系列化的网络空间特征数据采集产品、网络大数据综合研判分析平台、网</w:t>
      </w:r>
      <w:r>
        <w:rPr/>
        <w:t> </w:t>
      </w:r>
      <w:r>
        <w:rPr>
          <w:spacing w:val="-2"/>
        </w:rPr>
        <w:t>络安全审计等产品，为发现犯罪线索、有效打击网络和现实社会各类犯罪提供技术手段和业务平台。其中，公安大数据产品</w:t>
      </w:r>
      <w:r>
        <w:rPr>
          <w:spacing w:val="-66"/>
        </w:rPr>
        <w:t> </w:t>
      </w:r>
      <w:r>
        <w:rPr>
          <w:spacing w:val="-66"/>
        </w:rPr>
      </w:r>
      <w:r>
        <w:rPr>
          <w:spacing w:val="-2"/>
        </w:rPr>
        <w:t>线以大数据引领警务变革创新，提升公安部门预警预测预防能力和打防管控实战水平，让警务大数据智能化、便捷化；网吧</w:t>
      </w:r>
      <w:r>
        <w:rPr>
          <w:spacing w:val="-65"/>
        </w:rPr>
        <w:t> </w:t>
      </w:r>
      <w:r>
        <w:rPr>
          <w:spacing w:val="-65"/>
        </w:rPr>
      </w:r>
      <w:r>
        <w:rPr>
          <w:spacing w:val="-2"/>
        </w:rPr>
        <w:t>行业产品线主要提供</w:t>
      </w:r>
      <w:r>
        <w:rPr>
          <w:rFonts w:ascii="宋体" w:hAnsi="宋体" w:cs="宋体" w:eastAsia="宋体" w:hint="default"/>
          <w:spacing w:val="-2"/>
        </w:rPr>
        <w:t>NET110</w:t>
      </w:r>
      <w:r>
        <w:rPr>
          <w:spacing w:val="-2"/>
        </w:rPr>
        <w:t>网络安全审计系统、</w:t>
      </w:r>
      <w:r>
        <w:rPr>
          <w:rFonts w:ascii="宋体" w:hAnsi="宋体" w:cs="宋体" w:eastAsia="宋体" w:hint="default"/>
          <w:spacing w:val="-2"/>
        </w:rPr>
        <w:t>NET110</w:t>
      </w:r>
      <w:r>
        <w:rPr>
          <w:spacing w:val="-2"/>
        </w:rPr>
        <w:t>公共场所无线上网信息安全系统和</w:t>
      </w:r>
      <w:r>
        <w:rPr>
          <w:rFonts w:ascii="宋体" w:hAnsi="宋体" w:cs="宋体" w:eastAsia="宋体" w:hint="default"/>
          <w:spacing w:val="-2"/>
        </w:rPr>
        <w:t>NET110</w:t>
      </w:r>
      <w:r>
        <w:rPr>
          <w:spacing w:val="-2"/>
        </w:rPr>
        <w:t>实名认证登记系统，为网吧</w:t>
      </w:r>
      <w:r>
        <w:rPr>
          <w:spacing w:val="-46"/>
        </w:rPr>
        <w:t> </w:t>
      </w:r>
      <w:r>
        <w:rPr>
          <w:spacing w:val="-46"/>
        </w:rPr>
      </w:r>
      <w:r>
        <w:rPr>
          <w:spacing w:val="-2"/>
        </w:rPr>
        <w:t>场所的安全管理提供整体的解决方案；互联网公共上网服务场所信息安全审计产品通过安装“安全审计设备”或“嵌入式安</w:t>
      </w:r>
      <w:r>
        <w:rPr>
          <w:spacing w:val="-63"/>
        </w:rPr>
        <w:t> </w:t>
      </w:r>
      <w:r>
        <w:rPr>
          <w:spacing w:val="-63"/>
        </w:rPr>
      </w:r>
      <w:r>
        <w:rPr/>
        <w:t>全审计软件模块”，使得客户满足相关法律法规的监管要求。</w:t>
      </w:r>
    </w:p>
    <w:p>
      <w:pPr>
        <w:pStyle w:val="BodyText"/>
        <w:spacing w:line="240" w:lineRule="auto" w:before="54"/>
        <w:ind w:right="0"/>
        <w:jc w:val="left"/>
      </w:pPr>
      <w:r>
        <w:rPr>
          <w:rFonts w:ascii="宋体" w:hAnsi="宋体" w:cs="宋体" w:eastAsia="宋体" w:hint="default"/>
        </w:rPr>
        <w:t>2</w:t>
      </w:r>
      <w:r>
        <w:rPr/>
        <w:t>、信安事业部</w:t>
      </w:r>
    </w:p>
    <w:p>
      <w:pPr>
        <w:spacing w:line="240" w:lineRule="auto" w:before="10"/>
        <w:rPr>
          <w:rFonts w:ascii="宋体" w:hAnsi="宋体" w:cs="宋体" w:eastAsia="宋体" w:hint="default"/>
          <w:sz w:val="17"/>
          <w:szCs w:val="17"/>
        </w:rPr>
      </w:pPr>
    </w:p>
    <w:p>
      <w:pPr>
        <w:pStyle w:val="BodyText"/>
        <w:spacing w:line="477" w:lineRule="auto" w:before="0"/>
        <w:ind w:right="1130" w:firstLine="360"/>
        <w:jc w:val="both"/>
      </w:pPr>
      <w:r>
        <w:rPr>
          <w:spacing w:val="-2"/>
        </w:rPr>
        <w:t>信安事业部定位于网络空间舆情治理。信安事业部提供国家级网络空间安全保障解决方案，主要产品包括网络流量合规</w:t>
      </w:r>
      <w:r>
        <w:rPr/>
        <w:t> </w:t>
      </w:r>
      <w:r>
        <w:rPr>
          <w:spacing w:val="-2"/>
        </w:rPr>
        <w:t>监管、舆情治理、互联网金融监管等产品，客户覆盖国内公安等政府部门以及“一带一路”多个海外国家客户，业务发展迅</w:t>
      </w:r>
      <w:r>
        <w:rPr>
          <w:spacing w:val="-66"/>
        </w:rPr>
        <w:t> </w:t>
      </w:r>
      <w:r>
        <w:rPr>
          <w:spacing w:val="-66"/>
        </w:rPr>
      </w:r>
      <w:r>
        <w:rPr>
          <w:spacing w:val="-2"/>
        </w:rPr>
        <w:t>速。互联网金融监管产品是公司运用深度学习的技术实现了全国互联网金融平台的摸底，通过大规模的互联网金融平台数据</w:t>
      </w:r>
      <w:r>
        <w:rPr>
          <w:spacing w:val="-64"/>
        </w:rPr>
        <w:t> </w:t>
      </w:r>
      <w:r>
        <w:rPr>
          <w:spacing w:val="-64"/>
        </w:rPr>
      </w:r>
      <w:r>
        <w:rPr>
          <w:spacing w:val="-2"/>
        </w:rPr>
        <w:t>采集、清洗与存储构建了互联网金融大数据库，以及基于文本识别技术的非法集资特征挖掘能力，服务政府部门进行互联网</w:t>
      </w:r>
      <w:r>
        <w:rPr>
          <w:spacing w:val="-66"/>
        </w:rPr>
        <w:t> </w:t>
      </w:r>
      <w:r>
        <w:rPr>
          <w:spacing w:val="-66"/>
        </w:rPr>
      </w:r>
      <w:r>
        <w:rPr>
          <w:spacing w:val="-2"/>
        </w:rPr>
        <w:t>金融领域非法集资案件预防与打击。网络流量合规监管产品通过对网络层流量数据采集、分析，实现对流量数据的信息安全</w:t>
      </w:r>
      <w:r>
        <w:rPr>
          <w:spacing w:val="-66"/>
        </w:rPr>
        <w:t> </w:t>
      </w:r>
      <w:r>
        <w:rPr>
          <w:spacing w:val="-66"/>
        </w:rPr>
      </w:r>
      <w:r>
        <w:rPr/>
        <w:t>管理。舆情治理产品通过对互联网数据深度分析辅助客户进行网络空间舆情治理。</w:t>
      </w:r>
    </w:p>
    <w:p>
      <w:pPr>
        <w:pStyle w:val="BodyText"/>
        <w:spacing w:line="240" w:lineRule="auto" w:before="54"/>
        <w:ind w:right="0"/>
        <w:jc w:val="left"/>
      </w:pPr>
      <w:r>
        <w:rPr>
          <w:rFonts w:ascii="宋体" w:hAnsi="宋体" w:cs="宋体" w:eastAsia="宋体" w:hint="default"/>
        </w:rPr>
        <w:t>3</w:t>
      </w:r>
      <w:r>
        <w:rPr/>
        <w:t>、网安事业部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before="0"/>
        <w:ind w:right="0" w:firstLine="360"/>
        <w:jc w:val="left"/>
      </w:pPr>
      <w:r>
        <w:rPr>
          <w:spacing w:val="-2"/>
        </w:rPr>
        <w:t>网安事业部定位于企业网络安全治理，主要面向企事业单位，解决通用的网络安全问题，属于传统网络安全市场的新进</w:t>
      </w:r>
      <w:r>
        <w:rPr/>
        <w:t> </w:t>
      </w:r>
      <w:r>
        <w:rPr>
          <w:spacing w:val="-4"/>
        </w:rPr>
        <w:t>入者。其中，网络边界安全产品主要在内外网边界构筑多重网路安全防护屏障，为内外网之间的通信提供全方位的安全保障；</w:t>
      </w:r>
      <w:r>
        <w:rPr>
          <w:spacing w:val="-44"/>
        </w:rPr>
        <w:t> </w:t>
      </w:r>
      <w:r>
        <w:rPr>
          <w:spacing w:val="-44"/>
        </w:rPr>
      </w:r>
      <w:r>
        <w:rPr>
          <w:spacing w:val="-2"/>
        </w:rPr>
        <w:t>上网行为管理产品针对性地制定对上网行为、流量的控制策略，实现高效规范的内部网络行为管控；网络安全态势感知产品</w:t>
      </w:r>
      <w:r>
        <w:rPr>
          <w:spacing w:val="-66"/>
        </w:rPr>
        <w:t> </w:t>
      </w:r>
      <w:r>
        <w:rPr>
          <w:spacing w:val="-66"/>
        </w:rPr>
      </w:r>
      <w:r>
        <w:rPr>
          <w:spacing w:val="-2"/>
        </w:rPr>
        <w:t>主要融合多源、异构、海量安全数据，具备快速、高性能、关联分析和深度挖掘能力以及丰富的数据展示能力，从网络宏观</w:t>
      </w:r>
      <w:r>
        <w:rPr>
          <w:spacing w:val="-68"/>
        </w:rPr>
        <w:t> </w:t>
      </w:r>
      <w:r>
        <w:rPr>
          <w:spacing w:val="-68"/>
        </w:rPr>
      </w:r>
      <w:r>
        <w:rPr/>
        <w:t>整体安全态势细分至网站安全、移动安全、移动资讯舆情等各个方面，满足全方位的态势感知与监管需求。</w:t>
      </w:r>
    </w:p>
    <w:p>
      <w:pPr>
        <w:pStyle w:val="BodyText"/>
        <w:spacing w:line="240" w:lineRule="auto" w:before="54"/>
        <w:ind w:right="0"/>
        <w:jc w:val="left"/>
      </w:pPr>
      <w:r>
        <w:rPr>
          <w:rFonts w:ascii="宋体" w:hAnsi="宋体" w:cs="宋体" w:eastAsia="宋体" w:hint="default"/>
        </w:rPr>
        <w:t>4</w:t>
      </w:r>
      <w:r>
        <w:rPr/>
        <w:t>、北京亚鸿</w:t>
      </w:r>
    </w:p>
    <w:p>
      <w:pPr>
        <w:spacing w:line="240" w:lineRule="auto" w:before="10"/>
        <w:rPr>
          <w:rFonts w:ascii="宋体" w:hAnsi="宋体" w:cs="宋体" w:eastAsia="宋体" w:hint="default"/>
          <w:sz w:val="17"/>
          <w:szCs w:val="17"/>
        </w:rPr>
      </w:pPr>
    </w:p>
    <w:p>
      <w:pPr>
        <w:pStyle w:val="BodyText"/>
        <w:spacing w:line="477" w:lineRule="auto" w:before="0"/>
        <w:ind w:right="1122" w:firstLine="360"/>
        <w:jc w:val="left"/>
      </w:pPr>
      <w:r>
        <w:rPr>
          <w:spacing w:val="-2"/>
        </w:rPr>
        <w:t>北京亚鸿定位于网络空间资源大数据治理，辅助政府对网络及通信数字资源进行管理，基于大数据治理手段及网络信息</w:t>
      </w:r>
      <w:r>
        <w:rPr/>
        <w:t> </w:t>
      </w:r>
      <w:r>
        <w:rPr>
          <w:spacing w:val="-2"/>
        </w:rPr>
        <w:t>安全技术手段构建网络空间安全体系，提供国家基础网络及信息安全系统，主要协助工信部、各省通信管理局、运营商落实</w:t>
      </w:r>
      <w:r>
        <w:rPr>
          <w:spacing w:val="-66"/>
        </w:rPr>
        <w:t> </w:t>
      </w:r>
      <w:r>
        <w:rPr>
          <w:spacing w:val="-66"/>
        </w:rPr>
      </w:r>
      <w:r>
        <w:rPr/>
        <w:t>国家对互联网数据中心网络数字资产的安全管理要求。 北京亚鸿提供的信息安全管理系统可实现对各地互联网数据中心提供统一的监控管理。其主要产品包括</w:t>
      </w:r>
      <w:r>
        <w:rPr>
          <w:rFonts w:ascii="宋体" w:hAnsi="宋体" w:cs="宋体" w:eastAsia="宋体" w:hint="default"/>
        </w:rPr>
        <w:t>DNS</w:t>
      </w:r>
      <w:r>
        <w:rPr/>
        <w:t>域名管控系统、 互联网流量采集分析系统、互联网专线管理系统、不良信息管理系统、分级管理系统、电信</w:t>
      </w:r>
      <w:r>
        <w:rPr>
          <w:rFonts w:ascii="宋体" w:hAnsi="宋体" w:cs="宋体" w:eastAsia="宋体" w:hint="default"/>
        </w:rPr>
        <w:t>/</w:t>
      </w:r>
      <w:r>
        <w:rPr/>
        <w:t>互联网防欺诈产品等产品线， </w:t>
      </w:r>
      <w:r>
        <w:rPr>
          <w:spacing w:val="-2"/>
        </w:rPr>
        <w:t>其主要根据国家有关部门对互联网安全审计及防治不良信息的政策要求，用于互联网非法信息防治和多项增值业务的集成技</w:t>
      </w:r>
      <w:r>
        <w:rPr>
          <w:spacing w:val="-63"/>
        </w:rPr>
        <w:t> </w:t>
      </w:r>
      <w:r>
        <w:rPr>
          <w:spacing w:val="-63"/>
        </w:rPr>
      </w:r>
      <w:r>
        <w:rPr>
          <w:spacing w:val="-2"/>
        </w:rPr>
        <w:t>术平台。北京亚鸿开发的电信</w:t>
      </w:r>
      <w:r>
        <w:rPr>
          <w:rFonts w:ascii="宋体" w:hAnsi="宋体" w:cs="宋体" w:eastAsia="宋体" w:hint="default"/>
          <w:spacing w:val="-2"/>
        </w:rPr>
        <w:t>/</w:t>
      </w:r>
      <w:r>
        <w:rPr>
          <w:spacing w:val="-2"/>
        </w:rPr>
        <w:t>互联网防欺诈产品基于大数据处理和分析技术，依托运营商流量数据，为客户提供电信</w:t>
      </w:r>
      <w:r>
        <w:rPr>
          <w:rFonts w:ascii="宋体" w:hAnsi="宋体" w:cs="宋体" w:eastAsia="宋体" w:hint="default"/>
          <w:spacing w:val="-2"/>
        </w:rPr>
        <w:t>/</w:t>
      </w:r>
      <w:r>
        <w:rPr>
          <w:spacing w:val="-2"/>
        </w:rPr>
        <w:t>互联</w:t>
      </w:r>
      <w:r>
        <w:rPr>
          <w:spacing w:val="-64"/>
        </w:rPr>
        <w:t> </w:t>
      </w:r>
      <w:r>
        <w:rPr/>
        <w:t>网防欺诈系统和服务。 </w:t>
      </w:r>
      <w:r>
        <w:rPr>
          <w:spacing w:val="-2"/>
        </w:rPr>
        <w:t>随着国家对工业互联网安全重视程度逐渐提升，公司积极进入工业互联网安全领域，</w:t>
      </w:r>
      <w:r>
        <w:rPr>
          <w:rFonts w:ascii="宋体" w:hAnsi="宋体" w:cs="宋体" w:eastAsia="宋体" w:hint="default"/>
          <w:spacing w:val="-2"/>
        </w:rPr>
        <w:t>2018</w:t>
      </w:r>
      <w:r>
        <w:rPr>
          <w:spacing w:val="-2"/>
        </w:rPr>
        <w:t>年北京亚鸿研发的工业互联网安全</w:t>
      </w:r>
      <w:r>
        <w:rPr>
          <w:spacing w:val="-59"/>
        </w:rPr>
        <w:t> </w:t>
      </w:r>
      <w:r>
        <w:rPr/>
        <w:t>监测及态势感知产品为工业互联网发展提供安全保障。</w:t>
      </w:r>
    </w:p>
    <w:p>
      <w:pPr>
        <w:pStyle w:val="BodyText"/>
        <w:spacing w:line="477" w:lineRule="auto" w:before="54"/>
        <w:ind w:left="514" w:right="1118" w:hanging="360"/>
        <w:jc w:val="left"/>
      </w:pPr>
      <w:r>
        <w:rPr>
          <w:rFonts w:ascii="宋体" w:hAnsi="宋体" w:cs="宋体" w:eastAsia="宋体" w:hint="default"/>
          <w:b/>
          <w:bCs/>
        </w:rPr>
        <w:t>（二）经营模式</w:t>
      </w:r>
      <w:r>
        <w:rPr>
          <w:rFonts w:ascii="宋体" w:hAnsi="宋体" w:cs="宋体" w:eastAsia="宋体" w:hint="default"/>
          <w:b/>
          <w:bCs/>
          <w:w w:val="99"/>
        </w:rPr>
        <w:t> </w:t>
      </w:r>
      <w:r>
        <w:rPr>
          <w:spacing w:val="-2"/>
        </w:rPr>
        <w:t>报告期内，公司的经营模式未发生显著变化。公司秉持“以市场为导向，视品质如生命”的经营理念，持续为客户提供</w:t>
      </w:r>
    </w:p>
    <w:p>
      <w:pPr>
        <w:pStyle w:val="BodyText"/>
        <w:spacing w:line="477" w:lineRule="auto" w:before="54"/>
        <w:ind w:right="0"/>
        <w:jc w:val="left"/>
      </w:pPr>
      <w:r>
        <w:rPr>
          <w:spacing w:val="-2"/>
        </w:rPr>
        <w:t>优质的产品与服务，致力于为客户提供一个安全、绿色、高效的互联网环境。在产品研发方面，公司把自主创新设为公司发</w:t>
      </w:r>
      <w:r>
        <w:rPr>
          <w:spacing w:val="-65"/>
        </w:rPr>
        <w:t> </w:t>
      </w:r>
      <w:r>
        <w:rPr>
          <w:spacing w:val="-65"/>
        </w:rPr>
      </w:r>
      <w:r>
        <w:rPr>
          <w:spacing w:val="-2"/>
        </w:rPr>
        <w:t>展的基石，公司在深圳、北京、武汉、成都设立了研发基地，为企业积累了丰富的技术信息和科学研发能力，同时紧跟市场</w:t>
      </w:r>
      <w:r>
        <w:rPr>
          <w:spacing w:val="-68"/>
        </w:rPr>
        <w:t> </w:t>
      </w:r>
      <w:r>
        <w:rPr>
          <w:spacing w:val="-68"/>
        </w:rPr>
      </w:r>
      <w:r>
        <w:rPr>
          <w:spacing w:val="-2"/>
        </w:rPr>
        <w:t>需求，积极扩大产品种类，为公司的发展提供坚强的后盾力量。在市场销售方面，公司以深圳总部为核心，建立了完善的产</w:t>
      </w:r>
      <w:r>
        <w:rPr>
          <w:spacing w:val="-66"/>
        </w:rPr>
        <w:t> </w:t>
      </w:r>
      <w:r>
        <w:rPr>
          <w:spacing w:val="-66"/>
        </w:rPr>
      </w:r>
      <w:r>
        <w:rPr/>
        <w:t>品和服务输出体系，经过多年的不懈努力发展，在各地均建立了稳固牢靠的客户基础。 </w:t>
      </w:r>
      <w:r>
        <w:rPr>
          <w:spacing w:val="-2"/>
        </w:rPr>
        <w:t>公安事业部业务主要通过自主研发以及系统集成等方式为公安行业客户提供大数据智能感知解决方案，同时还为网吧、酒店</w:t>
      </w:r>
      <w:r>
        <w:rPr>
          <w:spacing w:val="-64"/>
        </w:rPr>
        <w:t> </w:t>
      </w:r>
      <w:r>
        <w:rPr>
          <w:spacing w:val="-64"/>
        </w:rPr>
      </w:r>
      <w:r>
        <w:rPr>
          <w:spacing w:val="-2"/>
        </w:rPr>
        <w:t>等行业提供网络安全审计产品。北京亚鸿为工信部、各省通信管理局以及运营商提供全面有效的安全保障和服务体系，以直</w:t>
      </w:r>
      <w:r>
        <w:rPr>
          <w:spacing w:val="-65"/>
        </w:rPr>
        <w:t> </w:t>
      </w:r>
      <w:r>
        <w:rPr>
          <w:spacing w:val="-65"/>
        </w:rPr>
      </w:r>
      <w:r>
        <w:rPr>
          <w:spacing w:val="-2"/>
        </w:rPr>
        <w:t>销为主。信安事业部主要采取直销加代理的模式，提供自主研发的国家级网络安全保障解决方案。网安事业部主要采取直营</w:t>
      </w:r>
      <w:r>
        <w:rPr>
          <w:spacing w:val="-66"/>
        </w:rPr>
        <w:t> </w:t>
      </w:r>
      <w:r>
        <w:rPr>
          <w:spacing w:val="-66"/>
        </w:rPr>
      </w:r>
      <w:r>
        <w:rPr/>
        <w:t>加分销的经营模式，对于大客户采取直营的销售模式为主，对于规模较小的企业客户，采取分销的经营模式为主。</w:t>
      </w:r>
    </w:p>
    <w:p>
      <w:pPr>
        <w:pStyle w:val="Heading6"/>
        <w:spacing w:line="240" w:lineRule="auto" w:before="54"/>
        <w:ind w:right="0"/>
        <w:jc w:val="left"/>
        <w:rPr>
          <w:b w:val="0"/>
          <w:bCs w:val="0"/>
        </w:rPr>
      </w:pPr>
      <w:r>
        <w:rPr/>
        <w:t>（三）公司所处的行业发展变化及主要业绩驱动因素</w:t>
      </w:r>
      <w:r>
        <w:rPr>
          <w:b w:val="0"/>
          <w:bCs w:val="0"/>
        </w:rPr>
      </w:r>
    </w:p>
    <w:p>
      <w:pPr>
        <w:spacing w:line="240" w:lineRule="auto" w:before="10"/>
        <w:rPr>
          <w:rFonts w:ascii="宋体" w:hAnsi="宋体" w:cs="宋体" w:eastAsia="宋体" w:hint="default"/>
          <w:b/>
          <w:bCs/>
          <w:sz w:val="17"/>
          <w:szCs w:val="17"/>
        </w:rPr>
      </w:pPr>
    </w:p>
    <w:p>
      <w:pPr>
        <w:pStyle w:val="BodyText"/>
        <w:spacing w:line="477" w:lineRule="auto" w:before="0"/>
        <w:ind w:right="1032" w:firstLine="360"/>
        <w:jc w:val="left"/>
      </w:pPr>
      <w:r>
        <w:rPr/>
        <w:t>以习近平主席为核心的党中央高度重视网络安全和信息化工作。 </w:t>
      </w:r>
      <w:r>
        <w:rPr>
          <w:rFonts w:ascii="宋体" w:hAnsi="宋体" w:cs="宋体" w:eastAsia="宋体" w:hint="default"/>
        </w:rPr>
        <w:t>2017</w:t>
      </w:r>
      <w:r>
        <w:rPr/>
        <w:t>年</w:t>
      </w:r>
      <w:r>
        <w:rPr>
          <w:rFonts w:ascii="宋体" w:hAnsi="宋体" w:cs="宋体" w:eastAsia="宋体" w:hint="default"/>
        </w:rPr>
        <w:t>6</w:t>
      </w:r>
      <w:r>
        <w:rPr/>
        <w:t>月《中华人民共和国网络安全法》开始实施， 有望进一步激发国内信息安全需求；</w:t>
      </w:r>
      <w:r>
        <w:rPr>
          <w:rFonts w:ascii="宋体" w:hAnsi="宋体" w:cs="宋体" w:eastAsia="宋体" w:hint="default"/>
        </w:rPr>
        <w:t>2018</w:t>
      </w:r>
      <w:r>
        <w:rPr/>
        <w:t>年</w:t>
      </w:r>
      <w:r>
        <w:rPr>
          <w:rFonts w:ascii="宋体" w:hAnsi="宋体" w:cs="宋体" w:eastAsia="宋体" w:hint="default"/>
        </w:rPr>
        <w:t>3</w:t>
      </w:r>
      <w:r>
        <w:rPr/>
        <w:t>月</w:t>
      </w:r>
      <w:r>
        <w:rPr>
          <w:rFonts w:ascii="宋体" w:hAnsi="宋体" w:cs="宋体" w:eastAsia="宋体" w:hint="default"/>
        </w:rPr>
        <w:t>30</w:t>
      </w:r>
      <w:r>
        <w:rPr/>
        <w:t>日，网信办和证监会联合印发《关于推动资本市场服务网络强国建设的指 </w:t>
      </w:r>
      <w:r>
        <w:rPr>
          <w:spacing w:val="-2"/>
        </w:rPr>
        <w:t>导意见》，有利于进一步发挥资本市场服务网络强国建设起到积极作用；工业和信息化部印发了《工业控制系统信息安全行</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before="0"/>
        <w:ind w:right="1133"/>
        <w:jc w:val="both"/>
      </w:pPr>
      <w:r>
        <w:rPr/>
        <w:t>动计划（</w:t>
      </w:r>
      <w:r>
        <w:rPr>
          <w:rFonts w:ascii="宋体" w:hAnsi="宋体" w:cs="宋体" w:eastAsia="宋体" w:hint="default"/>
        </w:rPr>
        <w:t>2018-2020</w:t>
      </w:r>
      <w:r>
        <w:rPr/>
        <w:t>）》、农业部办公厅印发了《</w:t>
      </w:r>
      <w:r>
        <w:rPr>
          <w:rFonts w:ascii="宋体" w:hAnsi="宋体" w:cs="宋体" w:eastAsia="宋体" w:hint="default"/>
        </w:rPr>
        <w:t>2018</w:t>
      </w:r>
      <w:r>
        <w:rPr/>
        <w:t>年农业部网络安全与信息化工作要点》、教育部办公厅发布《</w:t>
      </w:r>
      <w:r>
        <w:rPr>
          <w:rFonts w:ascii="宋体" w:hAnsi="宋体" w:cs="宋体" w:eastAsia="宋体" w:hint="default"/>
        </w:rPr>
        <w:t>2018</w:t>
      </w:r>
      <w:r>
        <w:rPr/>
        <w:t>年 </w:t>
      </w:r>
      <w:r>
        <w:rPr>
          <w:spacing w:val="-2"/>
        </w:rPr>
        <w:t>教育信息化和网络安全工作要点》，标志着我国从工农教等各方面逐步重视推进网络安全建设，信息安全产品行业需求日益</w:t>
      </w:r>
      <w:r>
        <w:rPr>
          <w:spacing w:val="-66"/>
        </w:rPr>
        <w:t> </w:t>
      </w:r>
      <w:r>
        <w:rPr>
          <w:spacing w:val="-66"/>
        </w:rPr>
      </w:r>
      <w:r>
        <w:rPr>
          <w:spacing w:val="-2"/>
        </w:rPr>
        <w:t>增多，网络安全需求日趋多样化。政府、电信、银行、能源、军队等仍然是网络安全企业关注的重点行业，证券、交通、教</w:t>
      </w:r>
      <w:r>
        <w:rPr>
          <w:spacing w:val="-70"/>
        </w:rPr>
        <w:t> </w:t>
      </w:r>
      <w:r>
        <w:rPr>
          <w:spacing w:val="-70"/>
        </w:rPr>
      </w:r>
      <w:r>
        <w:rPr/>
        <w:t>育、制造等新兴市场需求强劲。</w:t>
      </w:r>
    </w:p>
    <w:p>
      <w:pPr>
        <w:pStyle w:val="BodyText"/>
        <w:spacing w:line="477" w:lineRule="auto" w:before="54"/>
        <w:ind w:right="1130" w:firstLine="360"/>
        <w:jc w:val="both"/>
      </w:pPr>
      <w:r>
        <w:rPr>
          <w:spacing w:val="-2"/>
        </w:rPr>
        <w:t>公司的产品主要面向公安、通信管理局等具有网络安全监管需求的政府机构，以及电信运营商、金融、广电、高校等大</w:t>
      </w:r>
      <w:r>
        <w:rPr/>
        <w:t> </w:t>
      </w:r>
      <w:r>
        <w:rPr>
          <w:spacing w:val="-2"/>
        </w:rPr>
        <w:t>型企事业单位。报告期内，公安部组织制定了《网络安全等级保护测评机构管理办法》、《公安机关互联网安全监督检查规</w:t>
      </w:r>
      <w:r>
        <w:rPr>
          <w:spacing w:val="-68"/>
        </w:rPr>
        <w:t> </w:t>
      </w:r>
      <w:r>
        <w:rPr>
          <w:spacing w:val="-68"/>
        </w:rPr>
      </w:r>
      <w:r>
        <w:rPr>
          <w:spacing w:val="-2"/>
        </w:rPr>
        <w:t>定》旨在防范网络安全隐患，加强网络安全管理。公司紧抓国家重视网络安全战略和“一带一路”的发展机遇，在巩固原有</w:t>
      </w:r>
      <w:r>
        <w:rPr>
          <w:spacing w:val="-66"/>
        </w:rPr>
        <w:t> </w:t>
      </w:r>
      <w:r>
        <w:rPr>
          <w:spacing w:val="-66"/>
        </w:rPr>
      </w:r>
      <w:r>
        <w:rPr>
          <w:spacing w:val="-2"/>
        </w:rPr>
        <w:t>市场的同时，积极开辟新市场领域，依据经营管理层制定的公司年度经营计划，实现了销售收入的稳定增长；同时，公司着</w:t>
      </w:r>
      <w:r>
        <w:rPr>
          <w:spacing w:val="-66"/>
        </w:rPr>
        <w:t> </w:t>
      </w:r>
      <w:r>
        <w:rPr>
          <w:spacing w:val="-66"/>
        </w:rPr>
      </w:r>
      <w:r>
        <w:rPr>
          <w:spacing w:val="-2"/>
        </w:rPr>
        <w:t>眼可持续发展的思路，高度重视对技术研发的投入和研发综合实力的提升，有效的结合产、学、研综合力量，使公司的产品</w:t>
      </w:r>
      <w:r>
        <w:rPr>
          <w:spacing w:val="-66"/>
        </w:rPr>
        <w:t> </w:t>
      </w:r>
      <w:r>
        <w:rPr>
          <w:spacing w:val="-66"/>
        </w:rPr>
      </w:r>
      <w:r>
        <w:rPr/>
        <w:t>和服务能在各方面保持领先的优势。</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1"/>
          <w:szCs w:val="21"/>
        </w:rPr>
      </w:pPr>
    </w:p>
    <w:p>
      <w:pPr>
        <w:pStyle w:val="Heading6"/>
        <w:spacing w:line="240" w:lineRule="auto"/>
        <w:ind w:right="0"/>
        <w:jc w:val="both"/>
        <w:rPr>
          <w:b w:val="0"/>
          <w:bCs w:val="0"/>
        </w:rPr>
      </w:pPr>
      <w:r>
        <w:rPr/>
        <w:t>二、网娱业务群</w:t>
      </w:r>
      <w:r>
        <w:rPr>
          <w:b w:val="0"/>
          <w:bCs w:val="0"/>
        </w:rPr>
      </w:r>
    </w:p>
    <w:p>
      <w:pPr>
        <w:spacing w:line="240" w:lineRule="auto" w:before="10"/>
        <w:rPr>
          <w:rFonts w:ascii="宋体" w:hAnsi="宋体" w:cs="宋体" w:eastAsia="宋体" w:hint="default"/>
          <w:b/>
          <w:bCs/>
          <w:sz w:val="17"/>
          <w:szCs w:val="17"/>
        </w:rPr>
      </w:pPr>
    </w:p>
    <w:p>
      <w:pPr>
        <w:spacing w:line="477" w:lineRule="auto" w:before="0"/>
        <w:ind w:left="154" w:right="8583" w:firstLine="0"/>
        <w:jc w:val="left"/>
        <w:rPr>
          <w:rFonts w:ascii="宋体" w:hAnsi="宋体" w:cs="宋体" w:eastAsia="宋体" w:hint="default"/>
          <w:sz w:val="18"/>
          <w:szCs w:val="18"/>
        </w:rPr>
      </w:pPr>
      <w:r>
        <w:rPr>
          <w:rFonts w:ascii="宋体" w:hAnsi="宋体" w:cs="宋体" w:eastAsia="宋体" w:hint="default"/>
          <w:b/>
          <w:bCs/>
          <w:sz w:val="18"/>
          <w:szCs w:val="18"/>
        </w:rPr>
        <w:t>（一）主要业务及产品介绍</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、唐人数码</w:t>
      </w:r>
    </w:p>
    <w:p>
      <w:pPr>
        <w:pStyle w:val="BodyText"/>
        <w:spacing w:line="477" w:lineRule="auto" w:before="54"/>
        <w:ind w:right="1132" w:firstLine="360"/>
        <w:jc w:val="both"/>
      </w:pPr>
      <w:r>
        <w:rPr>
          <w:spacing w:val="-2"/>
        </w:rPr>
        <w:t>唐人数码的主营业务为网络游戏的开发、发行及运营。唐人游为唐人数码旗下以棋牌游戏为主、涵盖牌类、麻将类、棋</w:t>
      </w:r>
      <w:r>
        <w:rPr/>
        <w:t> </w:t>
      </w:r>
      <w:r>
        <w:rPr>
          <w:spacing w:val="-2"/>
        </w:rPr>
        <w:t>类和休闲类四大类游戏的综合游戏平台。截止报告期末，唐人游的累计注册用户已达</w:t>
      </w:r>
      <w:r>
        <w:rPr>
          <w:rFonts w:ascii="宋体" w:hAnsi="宋体" w:cs="宋体" w:eastAsia="宋体" w:hint="default"/>
          <w:spacing w:val="-2"/>
        </w:rPr>
        <w:t>857.01</w:t>
      </w:r>
      <w:r>
        <w:rPr>
          <w:spacing w:val="-2"/>
        </w:rPr>
        <w:t>万人，</w:t>
      </w:r>
      <w:r>
        <w:rPr>
          <w:rFonts w:ascii="宋体" w:hAnsi="宋体" w:cs="宋体" w:eastAsia="宋体" w:hint="default"/>
          <w:spacing w:val="-2"/>
        </w:rPr>
        <w:t>2018</w:t>
      </w:r>
      <w:r>
        <w:rPr>
          <w:spacing w:val="-2"/>
        </w:rPr>
        <w:t>年月均活跃人数约为</w:t>
      </w:r>
      <w:r>
        <w:rPr>
          <w:spacing w:val="-56"/>
        </w:rPr>
        <w:t> </w:t>
      </w:r>
      <w:r>
        <w:rPr>
          <w:rFonts w:ascii="宋体" w:hAnsi="宋体" w:cs="宋体" w:eastAsia="宋体" w:hint="default"/>
        </w:rPr>
        <w:t>6.59</w:t>
      </w:r>
      <w:r>
        <w:rPr/>
        <w:t>万人，日均活跃用户数为</w:t>
      </w:r>
      <w:r>
        <w:rPr>
          <w:rFonts w:ascii="宋体" w:hAnsi="宋体" w:cs="宋体" w:eastAsia="宋体" w:hint="default"/>
        </w:rPr>
        <w:t>2.0</w:t>
      </w:r>
      <w:r>
        <w:rPr/>
        <w:t>万人，月均付费用户数约为</w:t>
      </w:r>
      <w:r>
        <w:rPr>
          <w:rFonts w:ascii="宋体" w:hAnsi="宋体" w:cs="宋体" w:eastAsia="宋体" w:hint="default"/>
        </w:rPr>
        <w:t>0.75</w:t>
      </w:r>
      <w:r>
        <w:rPr/>
        <w:t>万人。</w:t>
      </w:r>
      <w:r>
        <w:rPr>
          <w:rFonts w:ascii="宋体" w:hAnsi="宋体" w:cs="宋体" w:eastAsia="宋体" w:hint="default"/>
        </w:rPr>
        <w:t>2018</w:t>
      </w:r>
      <w:r>
        <w:rPr/>
        <w:t>年受游戏行业变化以及公司战略调整等多方面 影响，唐人游端游平台活跃用户数量及收入规模大幅下降。</w:t>
      </w:r>
    </w:p>
    <w:p>
      <w:pPr>
        <w:pStyle w:val="BodyText"/>
        <w:spacing w:line="477" w:lineRule="auto" w:before="54"/>
        <w:ind w:right="1131" w:firstLine="360"/>
        <w:jc w:val="both"/>
      </w:pPr>
      <w:r>
        <w:rPr/>
        <w:t>为适应行业发展趋势，唐人数码于</w:t>
      </w:r>
      <w:r>
        <w:rPr>
          <w:rFonts w:ascii="宋体" w:hAnsi="宋体" w:cs="宋体" w:eastAsia="宋体" w:hint="default"/>
        </w:rPr>
        <w:t>2017</w:t>
      </w:r>
      <w:r>
        <w:rPr/>
        <w:t>年开始进行移动端唐人游平台的研发工作，并于当年</w:t>
      </w:r>
      <w:r>
        <w:rPr>
          <w:rFonts w:ascii="宋体" w:hAnsi="宋体" w:cs="宋体" w:eastAsia="宋体" w:hint="default"/>
        </w:rPr>
        <w:t>5</w:t>
      </w:r>
      <w:r>
        <w:rPr/>
        <w:t>月成功推出具有全新收费 模式的唐人游手游平台。唐人游手游平台</w:t>
      </w:r>
      <w:r>
        <w:rPr>
          <w:rFonts w:ascii="宋体" w:hAnsi="宋体" w:cs="宋体" w:eastAsia="宋体" w:hint="default"/>
        </w:rPr>
        <w:t>2017</w:t>
      </w:r>
      <w:r>
        <w:rPr/>
        <w:t>年</w:t>
      </w:r>
      <w:r>
        <w:rPr>
          <w:rFonts w:ascii="宋体" w:hAnsi="宋体" w:cs="宋体" w:eastAsia="宋体" w:hint="default"/>
        </w:rPr>
        <w:t>3</w:t>
      </w:r>
      <w:r>
        <w:rPr/>
        <w:t>月开始上线运营第一款《江苏麻将》，后续研发出共</w:t>
      </w:r>
      <w:r>
        <w:rPr>
          <w:rFonts w:ascii="宋体" w:hAnsi="宋体" w:cs="宋体" w:eastAsia="宋体" w:hint="default"/>
        </w:rPr>
        <w:t>11</w:t>
      </w:r>
      <w:r>
        <w:rPr/>
        <w:t>款以麻将为主的手 机游戏</w:t>
      </w:r>
      <w:r>
        <w:rPr>
          <w:rFonts w:ascii="宋体" w:hAnsi="宋体" w:cs="宋体" w:eastAsia="宋体" w:hint="default"/>
        </w:rPr>
        <w:t>APP</w:t>
      </w:r>
      <w:r>
        <w:rPr/>
        <w:t>，手游的累计注册用户已达</w:t>
      </w:r>
      <w:r>
        <w:rPr>
          <w:rFonts w:ascii="宋体" w:hAnsi="宋体" w:cs="宋体" w:eastAsia="宋体" w:hint="default"/>
        </w:rPr>
        <w:t>9.8</w:t>
      </w:r>
      <w:r>
        <w:rPr/>
        <w:t>万人，</w:t>
      </w:r>
      <w:r>
        <w:rPr>
          <w:rFonts w:ascii="宋体" w:hAnsi="宋体" w:cs="宋体" w:eastAsia="宋体" w:hint="default"/>
        </w:rPr>
        <w:t>2018</w:t>
      </w:r>
      <w:r>
        <w:rPr/>
        <w:t>年月均对局数约</w:t>
      </w:r>
      <w:r>
        <w:rPr>
          <w:rFonts w:ascii="宋体" w:hAnsi="宋体" w:cs="宋体" w:eastAsia="宋体" w:hint="default"/>
        </w:rPr>
        <w:t>15.4</w:t>
      </w:r>
      <w:r>
        <w:rPr/>
        <w:t>万局，日均活跃用户约</w:t>
      </w:r>
      <w:r>
        <w:rPr>
          <w:rFonts w:ascii="宋体" w:hAnsi="宋体" w:cs="宋体" w:eastAsia="宋体" w:hint="default"/>
        </w:rPr>
        <w:t>0.48</w:t>
      </w:r>
      <w:r>
        <w:rPr/>
        <w:t>万人</w:t>
      </w:r>
      <w:r>
        <w:rPr>
          <w:rFonts w:ascii="宋体" w:hAnsi="宋体" w:cs="宋体" w:eastAsia="宋体" w:hint="default"/>
        </w:rPr>
        <w:t>,</w:t>
      </w:r>
      <w:r>
        <w:rPr/>
        <w:t>已经出现加速发 </w:t>
      </w:r>
      <w:r>
        <w:rPr>
          <w:spacing w:val="-5"/>
        </w:rPr>
        <w:t>展的趋势。受国家游戏版号限制的影响，唐人数码</w:t>
      </w:r>
      <w:r>
        <w:rPr>
          <w:rFonts w:ascii="宋体" w:hAnsi="宋体" w:cs="宋体" w:eastAsia="宋体" w:hint="default"/>
          <w:spacing w:val="-5"/>
        </w:rPr>
        <w:t>2018</w:t>
      </w:r>
      <w:r>
        <w:rPr>
          <w:spacing w:val="-5"/>
        </w:rPr>
        <w:t>年获批</w:t>
      </w:r>
      <w:r>
        <w:rPr>
          <w:rFonts w:ascii="宋体" w:hAnsi="宋体" w:cs="宋体" w:eastAsia="宋体" w:hint="default"/>
          <w:spacing w:val="-5"/>
        </w:rPr>
        <w:t>1</w:t>
      </w:r>
      <w:r>
        <w:rPr>
          <w:spacing w:val="-5"/>
        </w:rPr>
        <w:t>款游戏版号，较</w:t>
      </w:r>
      <w:r>
        <w:rPr>
          <w:rFonts w:ascii="宋体" w:hAnsi="宋体" w:cs="宋体" w:eastAsia="宋体" w:hint="default"/>
          <w:spacing w:val="-5"/>
        </w:rPr>
        <w:t>2017</w:t>
      </w:r>
      <w:r>
        <w:rPr>
          <w:spacing w:val="-5"/>
        </w:rPr>
        <w:t>年获批的</w:t>
      </w:r>
      <w:r>
        <w:rPr>
          <w:rFonts w:ascii="宋体" w:hAnsi="宋体" w:cs="宋体" w:eastAsia="宋体" w:hint="default"/>
          <w:spacing w:val="-5"/>
        </w:rPr>
        <w:t>9</w:t>
      </w:r>
      <w:r>
        <w:rPr>
          <w:spacing w:val="-5"/>
        </w:rPr>
        <w:t>款游戏版号大幅减少，随着</w:t>
      </w:r>
      <w:r>
        <w:rPr>
          <w:rFonts w:ascii="宋体" w:hAnsi="宋体" w:cs="宋体" w:eastAsia="宋体" w:hint="default"/>
          <w:spacing w:val="-5"/>
        </w:rPr>
        <w:t>2019</w:t>
      </w:r>
      <w:r>
        <w:rPr>
          <w:rFonts w:ascii="宋体" w:hAnsi="宋体" w:cs="宋体" w:eastAsia="宋体" w:hint="default"/>
          <w:spacing w:val="-47"/>
        </w:rPr>
        <w:t> </w:t>
      </w:r>
      <w:r>
        <w:rPr>
          <w:rFonts w:ascii="宋体" w:hAnsi="宋体" w:cs="宋体" w:eastAsia="宋体" w:hint="default"/>
          <w:spacing w:val="-47"/>
        </w:rPr>
      </w:r>
      <w:r>
        <w:rPr>
          <w:spacing w:val="-2"/>
        </w:rPr>
        <w:t>年游戏版号的放开，公司将继续加大对唐人数码移动棋牌的研发和推广工作，重点打磨电竞比赛模式以及游戏加社区运营模</w:t>
      </w:r>
      <w:r>
        <w:rPr>
          <w:spacing w:val="-64"/>
        </w:rPr>
        <w:t> </w:t>
      </w:r>
      <w:r>
        <w:rPr>
          <w:spacing w:val="-64"/>
        </w:rPr>
      </w:r>
      <w:r>
        <w:rPr/>
        <w:t>式为主的移动棋牌游戏生态链。</w:t>
      </w:r>
    </w:p>
    <w:p>
      <w:pPr>
        <w:pStyle w:val="BodyText"/>
        <w:spacing w:line="240" w:lineRule="auto" w:before="54"/>
        <w:ind w:right="0"/>
        <w:jc w:val="both"/>
      </w:pPr>
      <w:r>
        <w:rPr>
          <w:rFonts w:ascii="宋体" w:hAnsi="宋体" w:cs="宋体" w:eastAsia="宋体" w:hint="default"/>
        </w:rPr>
        <w:t>2.</w:t>
      </w:r>
      <w:r>
        <w:rPr/>
        <w:t>泡椒思志</w:t>
      </w:r>
    </w:p>
    <w:p>
      <w:pPr>
        <w:spacing w:line="240" w:lineRule="auto" w:before="10"/>
        <w:rPr>
          <w:rFonts w:ascii="宋体" w:hAnsi="宋体" w:cs="宋体" w:eastAsia="宋体" w:hint="default"/>
          <w:sz w:val="17"/>
          <w:szCs w:val="17"/>
        </w:rPr>
      </w:pPr>
    </w:p>
    <w:p>
      <w:pPr>
        <w:pStyle w:val="BodyText"/>
        <w:spacing w:line="477" w:lineRule="auto" w:before="0"/>
        <w:ind w:right="1130" w:firstLine="360"/>
        <w:jc w:val="both"/>
      </w:pPr>
      <w:r>
        <w:rPr>
          <w:spacing w:val="-2"/>
        </w:rPr>
        <w:t>泡椒思志主要从事移动游戏的代理发行和运营服务。泡椒思志从创建至今，已逐步形成了从发行到运营的“一站式”服</w:t>
      </w:r>
      <w:r>
        <w:rPr/>
        <w:t> 务体系，包括从游戏的引入、端口接入、市场营销、推广、支付支持及完善的客户服务等。</w:t>
      </w:r>
    </w:p>
    <w:p>
      <w:pPr>
        <w:pStyle w:val="BodyText"/>
        <w:spacing w:line="477" w:lineRule="auto" w:before="54"/>
        <w:ind w:right="1139" w:firstLine="360"/>
        <w:jc w:val="both"/>
      </w:pPr>
      <w:r>
        <w:rPr/>
        <w:t>泡椒思志的发行业务由其全资子公司银狐游戏负责，并于</w:t>
      </w:r>
      <w:r>
        <w:rPr>
          <w:rFonts w:ascii="宋体" w:hAnsi="宋体" w:cs="宋体" w:eastAsia="宋体" w:hint="default"/>
        </w:rPr>
        <w:t>2018</w:t>
      </w:r>
      <w:r>
        <w:rPr/>
        <w:t>年</w:t>
      </w:r>
      <w:r>
        <w:rPr>
          <w:rFonts w:ascii="宋体" w:hAnsi="宋体" w:cs="宋体" w:eastAsia="宋体" w:hint="default"/>
        </w:rPr>
        <w:t>9</w:t>
      </w:r>
      <w:r>
        <w:rPr/>
        <w:t>月份首发《守护城堡》塔防类游戏。截止报告期末， 银狐游戏已经签订了</w:t>
      </w:r>
      <w:r>
        <w:rPr>
          <w:rFonts w:ascii="宋体" w:hAnsi="宋体" w:cs="宋体" w:eastAsia="宋体" w:hint="default"/>
        </w:rPr>
        <w:t>6</w:t>
      </w:r>
      <w:r>
        <w:rPr/>
        <w:t>款游戏发行计划。</w:t>
      </w:r>
    </w:p>
    <w:p>
      <w:pPr>
        <w:pStyle w:val="BodyText"/>
        <w:spacing w:line="240" w:lineRule="auto" w:before="54"/>
        <w:ind w:left="514" w:right="0"/>
        <w:jc w:val="left"/>
      </w:pPr>
      <w:r>
        <w:rPr/>
        <w:t>泡椒互娱平台为泡椒思志旗下独立运营的游戏用户运营平台</w:t>
      </w:r>
      <w:r>
        <w:rPr>
          <w:spacing w:val="-82"/>
        </w:rPr>
        <w:t>，</w:t>
      </w:r>
      <w:r>
        <w:rPr/>
        <w:t>其主要业务模式是利用平台的用户资源为联运游戏及应用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before="0"/>
        <w:ind w:right="1122"/>
        <w:jc w:val="left"/>
      </w:pPr>
      <w:r>
        <w:rPr>
          <w:spacing w:val="-3"/>
        </w:rPr>
        <w:t>厂商等提供推广、分发服务。截止报告期末，累计注册用户已经超过</w:t>
      </w:r>
      <w:r>
        <w:rPr>
          <w:rFonts w:ascii="宋体" w:hAnsi="宋体" w:cs="宋体" w:eastAsia="宋体" w:hint="default"/>
          <w:spacing w:val="-3"/>
        </w:rPr>
        <w:t>2000</w:t>
      </w:r>
      <w:r>
        <w:rPr>
          <w:spacing w:val="-3"/>
        </w:rPr>
        <w:t>万，月均活跃用户数达</w:t>
      </w:r>
      <w:r>
        <w:rPr>
          <w:rFonts w:ascii="宋体" w:hAnsi="宋体" w:cs="宋体" w:eastAsia="宋体" w:hint="default"/>
          <w:spacing w:val="-3"/>
        </w:rPr>
        <w:t>76.3</w:t>
      </w:r>
      <w:r>
        <w:rPr>
          <w:spacing w:val="-3"/>
        </w:rPr>
        <w:t>万，月均付费用户数</w:t>
      </w:r>
      <w:r>
        <w:rPr>
          <w:rFonts w:ascii="宋体" w:hAnsi="宋体" w:cs="宋体" w:eastAsia="宋体" w:hint="default"/>
          <w:spacing w:val="-3"/>
        </w:rPr>
        <w:t>8.2</w:t>
      </w:r>
      <w:r>
        <w:rPr>
          <w:rFonts w:ascii="宋体" w:hAnsi="宋体" w:cs="宋体" w:eastAsia="宋体" w:hint="default"/>
          <w:spacing w:val="-85"/>
        </w:rPr>
        <w:t> </w:t>
      </w:r>
      <w:r>
        <w:rPr/>
        <w:t>万。报告期内，泡椒思志与银狐游戏累计新引进联运游戏</w:t>
      </w:r>
      <w:r>
        <w:rPr>
          <w:rFonts w:ascii="宋体" w:hAnsi="宋体" w:cs="宋体" w:eastAsia="宋体" w:hint="default"/>
        </w:rPr>
        <w:t>35</w:t>
      </w:r>
      <w:r>
        <w:rPr/>
        <w:t>款。</w:t>
      </w:r>
    </w:p>
    <w:p>
      <w:pPr>
        <w:pStyle w:val="BodyText"/>
        <w:spacing w:line="240" w:lineRule="auto" w:before="54"/>
        <w:ind w:right="0"/>
        <w:jc w:val="left"/>
      </w:pPr>
      <w:r>
        <w:rPr>
          <w:rFonts w:ascii="宋体" w:hAnsi="宋体" w:cs="宋体" w:eastAsia="宋体" w:hint="default"/>
        </w:rPr>
        <w:t>3</w:t>
      </w:r>
      <w:r>
        <w:rPr/>
        <w:t>、任网游</w:t>
      </w:r>
    </w:p>
    <w:p>
      <w:pPr>
        <w:spacing w:line="240" w:lineRule="auto" w:before="10"/>
        <w:rPr>
          <w:rFonts w:ascii="宋体" w:hAnsi="宋体" w:cs="宋体" w:eastAsia="宋体" w:hint="default"/>
          <w:sz w:val="17"/>
          <w:szCs w:val="17"/>
        </w:rPr>
      </w:pPr>
    </w:p>
    <w:p>
      <w:pPr>
        <w:pStyle w:val="BodyText"/>
        <w:spacing w:line="477" w:lineRule="auto" w:before="0"/>
        <w:ind w:right="1139" w:firstLine="360"/>
        <w:jc w:val="both"/>
      </w:pPr>
      <w:r>
        <w:rPr/>
        <w:t>任网游聚焦网吧行业的互联网增值业务，其布局</w:t>
      </w:r>
      <w:r>
        <w:rPr>
          <w:rFonts w:ascii="宋体" w:hAnsi="宋体" w:cs="宋体" w:eastAsia="宋体" w:hint="default"/>
        </w:rPr>
        <w:t>PC</w:t>
      </w:r>
      <w:r>
        <w:rPr/>
        <w:t>端多年，</w:t>
      </w:r>
      <w:r>
        <w:rPr>
          <w:rFonts w:ascii="宋体" w:hAnsi="宋体" w:cs="宋体" w:eastAsia="宋体" w:hint="default"/>
        </w:rPr>
        <w:t>2018</w:t>
      </w:r>
      <w:r>
        <w:rPr/>
        <w:t>年</w:t>
      </w:r>
      <w:r>
        <w:rPr>
          <w:rFonts w:ascii="宋体" w:hAnsi="宋体" w:cs="宋体" w:eastAsia="宋体" w:hint="default"/>
        </w:rPr>
        <w:t>PC</w:t>
      </w:r>
      <w:r>
        <w:rPr/>
        <w:t>端日均活跃</w:t>
      </w:r>
      <w:r>
        <w:rPr>
          <w:rFonts w:ascii="宋体" w:hAnsi="宋体" w:cs="宋体" w:eastAsia="宋体" w:hint="default"/>
        </w:rPr>
        <w:t>120</w:t>
      </w:r>
      <w:r>
        <w:rPr/>
        <w:t>万人。在</w:t>
      </w:r>
      <w:r>
        <w:rPr>
          <w:rFonts w:ascii="宋体" w:hAnsi="宋体" w:cs="宋体" w:eastAsia="宋体" w:hint="default"/>
        </w:rPr>
        <w:t>2017</w:t>
      </w:r>
      <w:r>
        <w:rPr/>
        <w:t>年底，任网游开始向 移动端发力，以扫码上网、实名认证为核心功能的自研</w:t>
      </w:r>
      <w:r>
        <w:rPr>
          <w:rFonts w:ascii="宋体" w:hAnsi="宋体" w:cs="宋体" w:eastAsia="宋体" w:hint="default"/>
        </w:rPr>
        <w:t>APP</w:t>
      </w:r>
      <w:r>
        <w:rPr/>
        <w:t>上线，截止报告期末，</w:t>
      </w:r>
      <w:r>
        <w:rPr>
          <w:rFonts w:ascii="宋体" w:hAnsi="宋体" w:cs="宋体" w:eastAsia="宋体" w:hint="default"/>
        </w:rPr>
        <w:t>APP</w:t>
      </w:r>
      <w:r>
        <w:rPr/>
        <w:t>累计注册用户已达</w:t>
      </w:r>
      <w:r>
        <w:rPr>
          <w:rFonts w:ascii="宋体" w:hAnsi="宋体" w:cs="宋体" w:eastAsia="宋体" w:hint="default"/>
        </w:rPr>
        <w:t>170</w:t>
      </w:r>
      <w:r>
        <w:rPr/>
        <w:t>万人，日均活跃 用户数约为</w:t>
      </w:r>
      <w:r>
        <w:rPr>
          <w:rFonts w:ascii="宋体" w:hAnsi="宋体" w:cs="宋体" w:eastAsia="宋体" w:hint="default"/>
        </w:rPr>
        <w:t>10</w:t>
      </w:r>
      <w:r>
        <w:rPr/>
        <w:t>万人。</w:t>
      </w:r>
    </w:p>
    <w:p>
      <w:pPr>
        <w:pStyle w:val="BodyText"/>
        <w:spacing w:line="477" w:lineRule="auto" w:before="54"/>
        <w:ind w:left="514" w:right="1118" w:hanging="360"/>
        <w:jc w:val="left"/>
      </w:pPr>
      <w:r>
        <w:rPr>
          <w:rFonts w:ascii="宋体" w:hAnsi="宋体" w:cs="宋体" w:eastAsia="宋体" w:hint="default"/>
          <w:b/>
          <w:bCs/>
        </w:rPr>
        <w:t>（二）经营模式</w:t>
      </w:r>
      <w:r>
        <w:rPr>
          <w:rFonts w:ascii="宋体" w:hAnsi="宋体" w:cs="宋体" w:eastAsia="宋体" w:hint="default"/>
          <w:b/>
          <w:bCs/>
          <w:w w:val="99"/>
        </w:rPr>
        <w:t> </w:t>
      </w:r>
      <w:r>
        <w:rPr>
          <w:spacing w:val="-2"/>
        </w:rPr>
        <w:t>唐人数码旗下棋牌游戏均采用自主运营模式，在该模式下，唐人数码通过唐人游发布并运营游戏产品，唐人数码全面负</w:t>
      </w:r>
    </w:p>
    <w:p>
      <w:pPr>
        <w:pStyle w:val="BodyText"/>
        <w:spacing w:line="477" w:lineRule="auto" w:before="54"/>
        <w:ind w:right="1032"/>
        <w:jc w:val="left"/>
      </w:pPr>
      <w:r>
        <w:rPr>
          <w:spacing w:val="-2"/>
        </w:rPr>
        <w:t>责游戏的运营、推广与维护，提供平台游戏的线上广告投放、线下营销推广、在线客服及充值收款的统一管理。游戏玩家利</w:t>
      </w:r>
      <w:r>
        <w:rPr>
          <w:spacing w:val="-66"/>
        </w:rPr>
        <w:t> </w:t>
      </w:r>
      <w:r>
        <w:rPr>
          <w:spacing w:val="-66"/>
        </w:rPr>
      </w:r>
      <w:r>
        <w:rPr>
          <w:spacing w:val="-2"/>
        </w:rPr>
        <w:t>用唐人数码自有的登录系统和充值渠道进行游戏的登录和消费，唐人数码在</w:t>
      </w:r>
      <w:r>
        <w:rPr>
          <w:rFonts w:ascii="宋体" w:hAnsi="宋体" w:cs="宋体" w:eastAsia="宋体" w:hint="default"/>
          <w:spacing w:val="-2"/>
        </w:rPr>
        <w:t>PC</w:t>
      </w:r>
      <w:r>
        <w:rPr>
          <w:spacing w:val="-2"/>
        </w:rPr>
        <w:t>游戏上发行虚拟代币，该虚拟代币与玩家的账</w:t>
      </w:r>
      <w:r>
        <w:rPr>
          <w:spacing w:val="-62"/>
        </w:rPr>
        <w:t> </w:t>
      </w:r>
      <w:r>
        <w:rPr>
          <w:spacing w:val="-62"/>
        </w:rPr>
      </w:r>
      <w:r>
        <w:rPr/>
        <w:t>户而非特定游戏挂钩，此虚拟代币可在唐人游所有棋牌类游戏中使用。同时，唐人数码在网络游戏上还提供其他虚拟物品， </w:t>
      </w:r>
      <w:r>
        <w:rPr>
          <w:spacing w:val="-2"/>
        </w:rPr>
        <w:t>以提升社区互动，虚拟代币可用来交换虚拟物品，但虚拟物品不允许换回虚拟代币。虚拟物品包括虚拟道具、虚拟服装、虚</w:t>
      </w:r>
      <w:r>
        <w:rPr>
          <w:spacing w:val="-66"/>
        </w:rPr>
        <w:t> </w:t>
      </w:r>
      <w:r>
        <w:rPr>
          <w:spacing w:val="-66"/>
        </w:rPr>
      </w:r>
      <w:r>
        <w:rPr/>
        <w:t>拟头像等。</w:t>
      </w:r>
    </w:p>
    <w:p>
      <w:pPr>
        <w:pStyle w:val="BodyText"/>
        <w:spacing w:line="477" w:lineRule="auto" w:before="54"/>
        <w:ind w:right="1130" w:firstLine="360"/>
        <w:jc w:val="both"/>
      </w:pPr>
      <w:r>
        <w:rPr>
          <w:spacing w:val="-2"/>
        </w:rPr>
        <w:t>目前泡椒平台游戏运营业务主要采用自有平台运营模式。自有平台运营模式是指游戏运营商通过自有用户平台发布并运</w:t>
      </w:r>
      <w:r>
        <w:rPr/>
        <w:t> </w:t>
      </w:r>
      <w:r>
        <w:rPr>
          <w:spacing w:val="-2"/>
        </w:rPr>
        <w:t>营游戏产品。在自有平台运营模式下，游戏运营商主要负责游戏产品的推广、客户服务、充值计费、加载接口等工作，游戏</w:t>
      </w:r>
      <w:r>
        <w:rPr>
          <w:spacing w:val="-68"/>
        </w:rPr>
        <w:t> </w:t>
      </w:r>
      <w:r>
        <w:rPr>
          <w:spacing w:val="-68"/>
        </w:rPr>
      </w:r>
      <w:r>
        <w:rPr>
          <w:spacing w:val="-2"/>
        </w:rPr>
        <w:t>玩家利用游戏运营商自有的登录系统和充值渠道进行游戏的登录和消费。在该模式下，游戏运营商负责游戏的充值结算，按</w:t>
      </w:r>
      <w:r>
        <w:rPr>
          <w:spacing w:val="-66"/>
        </w:rPr>
        <w:t> </w:t>
      </w:r>
      <w:r>
        <w:rPr>
          <w:spacing w:val="-66"/>
        </w:rPr>
      </w:r>
      <w:r>
        <w:rPr>
          <w:spacing w:val="-2"/>
        </w:rPr>
        <w:t>照合同约定的分成比例向研发商或发行商进行分成。银狐游戏主要聚焦游戏代理发行业务，通过与游戏研发商签订游戏代理</w:t>
      </w:r>
      <w:r>
        <w:rPr>
          <w:spacing w:val="-64"/>
        </w:rPr>
        <w:t> </w:t>
      </w:r>
      <w:r>
        <w:rPr>
          <w:spacing w:val="-64"/>
        </w:rPr>
      </w:r>
      <w:r>
        <w:rPr>
          <w:spacing w:val="-2"/>
        </w:rPr>
        <w:t>推广（发行）协议，在取得相关移动网络游戏产品代理授权的基础上，委托渠道商在其自有的渠道平台上进行推广，为游戏</w:t>
      </w:r>
      <w:r>
        <w:rPr>
          <w:spacing w:val="-65"/>
        </w:rPr>
        <w:t> </w:t>
      </w:r>
      <w:r>
        <w:rPr>
          <w:spacing w:val="-65"/>
        </w:rPr>
      </w:r>
      <w:r>
        <w:rPr>
          <w:spacing w:val="-2"/>
        </w:rPr>
        <w:t>导入玩家用户，协助游戏运营落地；或者直接将该游戏产品授予游戏运营商运营。代理发行方、游戏研发商和渠道商按约定</w:t>
      </w:r>
      <w:r>
        <w:rPr>
          <w:spacing w:val="-66"/>
        </w:rPr>
        <w:t> </w:t>
      </w:r>
      <w:r>
        <w:rPr>
          <w:spacing w:val="-66"/>
        </w:rPr>
      </w:r>
      <w:r>
        <w:rPr/>
        <w:t>的比例获取收益分成。</w:t>
      </w:r>
    </w:p>
    <w:p>
      <w:pPr>
        <w:spacing w:line="477" w:lineRule="auto" w:before="54"/>
        <w:ind w:left="514" w:right="0" w:hanging="360"/>
        <w:jc w:val="left"/>
        <w:rPr>
          <w:rFonts w:ascii="宋体" w:hAnsi="宋体" w:cs="宋体" w:eastAsia="宋体" w:hint="default"/>
          <w:sz w:val="18"/>
          <w:szCs w:val="18"/>
        </w:rPr>
      </w:pPr>
      <w:r>
        <w:rPr>
          <w:rFonts w:ascii="宋体" w:hAnsi="宋体" w:cs="宋体" w:eastAsia="宋体" w:hint="default"/>
          <w:b/>
          <w:bCs/>
          <w:sz w:val="18"/>
          <w:szCs w:val="18"/>
        </w:rPr>
        <w:t>（三）公司所处的行业发展变化及主要业绩驱动因素</w:t>
      </w:r>
      <w:r>
        <w:rPr>
          <w:rFonts w:ascii="宋体" w:hAnsi="宋体" w:cs="宋体" w:eastAsia="宋体" w:hint="default"/>
          <w:b/>
          <w:bCs/>
          <w:w w:val="99"/>
          <w:sz w:val="18"/>
          <w:szCs w:val="18"/>
        </w:rPr>
        <w:t> </w:t>
      </w:r>
      <w:r>
        <w:rPr>
          <w:rFonts w:ascii="宋体" w:hAnsi="宋体" w:cs="宋体" w:eastAsia="宋体" w:hint="default"/>
          <w:spacing w:val="-2"/>
          <w:sz w:val="18"/>
          <w:szCs w:val="18"/>
        </w:rPr>
        <w:t>近十年，</w:t>
      </w:r>
      <w:r>
        <w:rPr>
          <w:rFonts w:ascii="宋体" w:hAnsi="宋体" w:cs="宋体" w:eastAsia="宋体" w:hint="default"/>
          <w:spacing w:val="-2"/>
          <w:sz w:val="18"/>
          <w:szCs w:val="18"/>
        </w:rPr>
        <w:t>PC</w:t>
      </w:r>
      <w:r>
        <w:rPr>
          <w:rFonts w:ascii="宋体" w:hAnsi="宋体" w:cs="宋体" w:eastAsia="宋体" w:hint="default"/>
          <w:spacing w:val="-2"/>
          <w:sz w:val="18"/>
          <w:szCs w:val="18"/>
        </w:rPr>
        <w:t>游戏收入增速连年放缓，在</w:t>
      </w:r>
      <w:r>
        <w:rPr>
          <w:rFonts w:ascii="宋体" w:hAnsi="宋体" w:cs="宋体" w:eastAsia="宋体" w:hint="default"/>
          <w:spacing w:val="-2"/>
          <w:sz w:val="18"/>
          <w:szCs w:val="18"/>
        </w:rPr>
        <w:t>2016</w:t>
      </w:r>
      <w:r>
        <w:rPr>
          <w:rFonts w:ascii="宋体" w:hAnsi="宋体" w:cs="宋体" w:eastAsia="宋体" w:hint="default"/>
          <w:spacing w:val="-2"/>
          <w:sz w:val="18"/>
          <w:szCs w:val="18"/>
        </w:rPr>
        <w:t>年陷入负增长；移动游戏收入五年翻十倍，于</w:t>
      </w:r>
      <w:r>
        <w:rPr>
          <w:rFonts w:ascii="宋体" w:hAnsi="宋体" w:cs="宋体" w:eastAsia="宋体" w:hint="default"/>
          <w:spacing w:val="-2"/>
          <w:sz w:val="18"/>
          <w:szCs w:val="18"/>
        </w:rPr>
        <w:t>2017</w:t>
      </w:r>
      <w:r>
        <w:rPr>
          <w:rFonts w:ascii="宋体" w:hAnsi="宋体" w:cs="宋体" w:eastAsia="宋体" w:hint="default"/>
          <w:spacing w:val="-2"/>
          <w:sz w:val="18"/>
          <w:szCs w:val="18"/>
        </w:rPr>
        <w:t>年收入突破千亿元。根据</w:t>
      </w:r>
    </w:p>
    <w:p>
      <w:pPr>
        <w:pStyle w:val="BodyText"/>
        <w:spacing w:line="477" w:lineRule="auto" w:before="54"/>
        <w:ind w:right="1139"/>
        <w:jc w:val="both"/>
      </w:pPr>
      <w:r>
        <w:rPr/>
        <w:t>中国音数协游戏工委《</w:t>
      </w:r>
      <w:r>
        <w:rPr>
          <w:rFonts w:ascii="宋体" w:hAnsi="宋体" w:cs="宋体" w:eastAsia="宋体" w:hint="default"/>
        </w:rPr>
        <w:t>2018</w:t>
      </w:r>
      <w:r>
        <w:rPr/>
        <w:t>年中国游戏产业报告》，</w:t>
      </w:r>
      <w:r>
        <w:rPr>
          <w:rFonts w:ascii="宋体" w:hAnsi="宋体" w:cs="宋体" w:eastAsia="宋体" w:hint="default"/>
        </w:rPr>
        <w:t>2018</w:t>
      </w:r>
      <w:r>
        <w:rPr/>
        <w:t>年，我国移动游戏市场规模达到</w:t>
      </w:r>
      <w:r>
        <w:rPr>
          <w:rFonts w:ascii="宋体" w:hAnsi="宋体" w:cs="宋体" w:eastAsia="宋体" w:hint="default"/>
        </w:rPr>
        <w:t>1,339.6</w:t>
      </w:r>
      <w:r>
        <w:rPr/>
        <w:t>亿元人民币，相比于</w:t>
      </w:r>
      <w:r>
        <w:rPr>
          <w:rFonts w:ascii="宋体" w:hAnsi="宋体" w:cs="宋体" w:eastAsia="宋体" w:hint="default"/>
        </w:rPr>
        <w:t>2017 </w:t>
      </w:r>
      <w:r>
        <w:rPr/>
        <w:t>年增长</w:t>
      </w:r>
      <w:r>
        <w:rPr>
          <w:rFonts w:ascii="宋体" w:hAnsi="宋体" w:cs="宋体" w:eastAsia="宋体" w:hint="default"/>
        </w:rPr>
        <w:t>15.4%</w:t>
      </w:r>
      <w:r>
        <w:rPr/>
        <w:t>。受移动互联网用户增长放缓等多方面因素影响，我国移动游戏市场自</w:t>
      </w:r>
      <w:r>
        <w:rPr>
          <w:rFonts w:ascii="宋体" w:hAnsi="宋体" w:cs="宋体" w:eastAsia="宋体" w:hint="default"/>
        </w:rPr>
        <w:t>2018</w:t>
      </w:r>
      <w:r>
        <w:rPr/>
        <w:t>年整体增长开始放缓，</w:t>
      </w:r>
      <w:r>
        <w:rPr>
          <w:rFonts w:ascii="宋体" w:hAnsi="宋体" w:cs="宋体" w:eastAsia="宋体" w:hint="default"/>
        </w:rPr>
        <w:t>2019</w:t>
      </w:r>
      <w:r>
        <w:rPr/>
        <w:t>年游戏 版号放开有望刺激游戏研发商加速推出更多游戏，从而进一步激发国内游戏市场需求。</w:t>
      </w:r>
    </w:p>
    <w:p>
      <w:pPr>
        <w:pStyle w:val="BodyText"/>
        <w:spacing w:line="477" w:lineRule="auto" w:before="54"/>
        <w:ind w:right="1032" w:firstLine="360"/>
        <w:jc w:val="left"/>
      </w:pPr>
      <w:r>
        <w:rPr>
          <w:spacing w:val="-2"/>
        </w:rPr>
        <w:t>牌类与麻将类游戏已开发有数百类独具特色的地方性玩法，并且大批棋牌玩家在线下仍以游玩本地棋牌品类为主，在这</w:t>
      </w:r>
      <w:r>
        <w:rPr/>
        <w:t> </w:t>
      </w:r>
      <w:r>
        <w:rPr>
          <w:spacing w:val="-5"/>
        </w:rPr>
        <w:t>批用户游戏习惯的推动下，地方特色棋牌游戏也逐渐走上了线上市场，并得到了市场的积极响应。唐人数码旗下的“唐人游”</w:t>
      </w:r>
      <w:r>
        <w:rPr>
          <w:spacing w:val="-78"/>
        </w:rPr>
        <w:t> </w:t>
      </w:r>
      <w:r>
        <w:rPr>
          <w:spacing w:val="-78"/>
        </w:rPr>
      </w:r>
      <w:r>
        <w:rPr/>
        <w:t>平台正是地方棋牌游戏的典型代表。地方特色棋牌游戏用户年龄普遍偏大，对游戏的认可度也较高，具有一定的平台粘性。 公司也积极发展移动棋牌业务，争取覆盖更大范围的用户受众。</w:t>
      </w:r>
    </w:p>
    <w:p>
      <w:pPr>
        <w:pStyle w:val="BodyText"/>
        <w:spacing w:line="240" w:lineRule="auto" w:before="54"/>
        <w:ind w:left="514" w:right="0"/>
        <w:jc w:val="left"/>
      </w:pPr>
      <w:r>
        <w:rPr/>
        <w:t>泡椒思志坚持精品路线，致力于给玩家带来高品质手机游戏，已经先后成功发行了《青云传》、《九州行》等多款游戏</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before="0"/>
        <w:ind w:right="0"/>
        <w:jc w:val="left"/>
      </w:pPr>
      <w:r>
        <w:rPr>
          <w:spacing w:val="-2"/>
        </w:rPr>
        <w:t>产品，取得不错成绩。泡椒思志先后与游族、广州趣炫、</w:t>
      </w:r>
      <w:r>
        <w:rPr>
          <w:rFonts w:ascii="宋体" w:hAnsi="宋体" w:cs="宋体" w:eastAsia="宋体" w:hint="default"/>
          <w:spacing w:val="-2"/>
        </w:rPr>
        <w:t>37</w:t>
      </w:r>
      <w:r>
        <w:rPr>
          <w:spacing w:val="-2"/>
        </w:rPr>
        <w:t>互娱、大梦龙途等国内知名的游戏研发商建立了合作关系，为从</w:t>
      </w:r>
      <w:r>
        <w:rPr>
          <w:spacing w:val="-65"/>
        </w:rPr>
        <w:t> </w:t>
      </w:r>
      <w:r>
        <w:rPr>
          <w:spacing w:val="-65"/>
        </w:rPr>
      </w:r>
      <w:r>
        <w:rPr/>
        <w:t>上游获得优质游戏产品提供了资源保障。</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7"/>
          <w:szCs w:val="17"/>
        </w:rPr>
      </w:pPr>
    </w:p>
    <w:p>
      <w:pPr>
        <w:pStyle w:val="BodyText"/>
        <w:spacing w:line="240" w:lineRule="auto"/>
        <w:ind w:left="0" w:right="1140"/>
        <w:jc w:val="right"/>
      </w:pPr>
      <w:r>
        <w:rPr/>
        <w:pict>
          <v:shape style="position:absolute;margin-left:56.459999pt;margin-top:-99.368271pt;width:479.2pt;height:154.8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85"/>
                    <w:gridCol w:w="7584"/>
                  </w:tblGrid>
                  <w:tr>
                    <w:trPr>
                      <w:trHeight w:val="764"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主要资产</w:t>
                        </w:r>
                      </w:p>
                    </w:tc>
                    <w:tc>
                      <w:tcPr>
                        <w:tcW w:w="7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7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较年初余额增长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30.51%</w:t>
                        </w:r>
                        <w:r>
                          <w:rPr>
                            <w:rFonts w:ascii="宋体" w:hAnsi="宋体" w:cs="宋体" w:eastAsia="宋体" w:hint="default"/>
                            <w:sz w:val="18"/>
                            <w:szCs w:val="18"/>
                          </w:rPr>
                          <w:t>。主要系公司业务增长及部分客户回款减少所致。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较年初余额增长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144.53%</w:t>
                        </w:r>
                        <w:r>
                          <w:rPr>
                            <w:rFonts w:ascii="宋体" w:hAnsi="宋体" w:cs="宋体" w:eastAsia="宋体" w:hint="default"/>
                            <w:sz w:val="18"/>
                            <w:szCs w:val="18"/>
                          </w:rPr>
                          <w:t>。主要系公司订货增加所致。</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较年初增长</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1,878.44%</w:t>
                        </w:r>
                        <w:r>
                          <w:rPr>
                            <w:rFonts w:ascii="宋体" w:hAnsi="宋体" w:cs="宋体" w:eastAsia="宋体" w:hint="default"/>
                            <w:sz w:val="18"/>
                            <w:szCs w:val="18"/>
                          </w:rPr>
                          <w:t>。主要系购买的银行短期理财产品增加所致。</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5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112"/>
                          <w:jc w:val="left"/>
                          <w:rPr>
                            <w:rFonts w:ascii="宋体" w:hAnsi="宋体" w:cs="宋体" w:eastAsia="宋体" w:hint="default"/>
                            <w:sz w:val="18"/>
                            <w:szCs w:val="18"/>
                          </w:rPr>
                        </w:pPr>
                        <w:r>
                          <w:rPr>
                            <w:rFonts w:ascii="宋体" w:hAnsi="宋体" w:cs="宋体" w:eastAsia="宋体" w:hint="default"/>
                            <w:sz w:val="18"/>
                            <w:szCs w:val="18"/>
                          </w:rPr>
                          <w:t>较年初余额下降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20.51%</w:t>
                        </w:r>
                        <w:r>
                          <w:rPr>
                            <w:rFonts w:ascii="宋体" w:hAnsi="宋体" w:cs="宋体" w:eastAsia="宋体" w:hint="default"/>
                            <w:sz w:val="18"/>
                            <w:szCs w:val="18"/>
                          </w:rPr>
                          <w:t>，主要系泡椒思志和唐人数码经商誉减值测试后计提商誉减值准备所致 其中泡椒思志商誉减值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6,276.81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万元，唐人数码商誉减值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11,130.36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40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较年初余额增加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208.41%</w:t>
                        </w:r>
                        <w:r>
                          <w:rPr>
                            <w:rFonts w:ascii="宋体" w:hAnsi="宋体" w:cs="宋体" w:eastAsia="宋体" w:hint="default"/>
                            <w:sz w:val="18"/>
                            <w:szCs w:val="18"/>
                          </w:rPr>
                          <w:t>。主要系泡椒思志游戏独代版权金增加所致。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4"/>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是 软件与信息技术服务业</w:t>
      </w:r>
      <w:r>
        <w:rPr>
          <w:rFonts w:ascii="Times New Roman" w:hAnsi="Times New Roman" w:cs="Times New Roman" w:eastAsia="Times New Roman" w:hint="default"/>
        </w:rPr>
        <w:t>;</w:t>
      </w:r>
      <w:r>
        <w:rPr/>
        <w:t>互联网游戏业</w:t>
      </w:r>
    </w:p>
    <w:p>
      <w:pPr>
        <w:pStyle w:val="BodyText"/>
        <w:spacing w:line="316" w:lineRule="auto" w:before="1"/>
        <w:ind w:left="514" w:right="1034" w:hanging="183"/>
        <w:jc w:val="left"/>
      </w:pPr>
      <w:r>
        <w:rPr>
          <w:rFonts w:ascii="宋体" w:hAnsi="宋体" w:cs="宋体" w:eastAsia="宋体" w:hint="default"/>
          <w:b/>
          <w:bCs/>
        </w:rPr>
        <w:t>（一）行业地位</w:t>
      </w:r>
      <w:r>
        <w:rPr>
          <w:rFonts w:ascii="宋体" w:hAnsi="宋体" w:cs="宋体" w:eastAsia="宋体" w:hint="default"/>
          <w:b/>
          <w:bCs/>
          <w:w w:val="99"/>
        </w:rPr>
        <w:t> </w:t>
      </w:r>
      <w:r>
        <w:rPr>
          <w:spacing w:val="-3"/>
          <w:w w:val="100"/>
        </w:rPr>
        <w:t>公司致力于成为网络空间治理专家，围绕网络安全自主可控和</w:t>
      </w:r>
      <w:r>
        <w:rPr>
          <w:rFonts w:ascii="Times New Roman" w:hAnsi="Times New Roman" w:cs="Times New Roman" w:eastAsia="Times New Roman" w:hint="default"/>
          <w:spacing w:val="-3"/>
          <w:w w:val="100"/>
        </w:rPr>
        <w:t>“</w:t>
      </w:r>
      <w:r>
        <w:rPr>
          <w:spacing w:val="-3"/>
          <w:w w:val="100"/>
        </w:rPr>
        <w:t>一带一路</w:t>
      </w:r>
      <w:r>
        <w:rPr>
          <w:rFonts w:ascii="Times New Roman" w:hAnsi="Times New Roman" w:cs="Times New Roman" w:eastAsia="Times New Roman" w:hint="default"/>
          <w:spacing w:val="-3"/>
          <w:w w:val="100"/>
        </w:rPr>
        <w:t>”</w:t>
      </w:r>
      <w:r>
        <w:rPr>
          <w:spacing w:val="-3"/>
          <w:w w:val="100"/>
        </w:rPr>
        <w:t>国家战略，以服务国家政府网络空间安全治理、</w:t>
      </w:r>
    </w:p>
    <w:p>
      <w:pPr>
        <w:pStyle w:val="BodyText"/>
        <w:spacing w:line="316" w:lineRule="auto" w:before="0"/>
        <w:ind w:left="514" w:right="0" w:hanging="360"/>
        <w:jc w:val="left"/>
      </w:pPr>
      <w:r>
        <w:rPr/>
        <w:t>打击网络犯罪为目标，提供大规模网络安全数据采集和智能分析产品。 </w:t>
      </w:r>
      <w:r>
        <w:rPr>
          <w:spacing w:val="-2"/>
        </w:rPr>
        <w:t>公司始终坚持技术创新，凭借雄厚的技术实力，公司参与了国家多部委重大网络安全工程建设，配合政府制定了多项网</w:t>
      </w:r>
    </w:p>
    <w:p>
      <w:pPr>
        <w:pStyle w:val="BodyText"/>
        <w:spacing w:line="240" w:lineRule="auto" w:before="19"/>
        <w:ind w:right="0"/>
        <w:jc w:val="left"/>
      </w:pPr>
      <w:r>
        <w:rPr/>
        <w:t>络安全行业标准，是国家互联网安全工程建设援助核心支撑团队。</w:t>
      </w:r>
    </w:p>
    <w:p>
      <w:pPr>
        <w:spacing w:line="360" w:lineRule="auto" w:before="76"/>
        <w:ind w:left="514" w:right="4992" w:hanging="183"/>
        <w:jc w:val="left"/>
        <w:rPr>
          <w:rFonts w:ascii="宋体" w:hAnsi="宋体" w:cs="宋体" w:eastAsia="宋体" w:hint="default"/>
          <w:sz w:val="18"/>
          <w:szCs w:val="18"/>
        </w:rPr>
      </w:pPr>
      <w:r>
        <w:rPr>
          <w:rFonts w:ascii="宋体" w:hAnsi="宋体" w:cs="宋体" w:eastAsia="宋体" w:hint="default"/>
          <w:b/>
          <w:bCs/>
          <w:sz w:val="18"/>
          <w:szCs w:val="18"/>
        </w:rPr>
        <w:t>（二）客户资源与营销服务优势</w:t>
      </w:r>
      <w:r>
        <w:rPr>
          <w:rFonts w:ascii="宋体" w:hAnsi="宋体" w:cs="宋体" w:eastAsia="宋体" w:hint="default"/>
          <w:b/>
          <w:bCs/>
          <w:w w:val="99"/>
          <w:sz w:val="18"/>
          <w:szCs w:val="18"/>
        </w:rPr>
        <w:t> </w:t>
      </w:r>
      <w:r>
        <w:rPr>
          <w:rFonts w:ascii="宋体" w:hAnsi="宋体" w:cs="宋体" w:eastAsia="宋体" w:hint="default"/>
          <w:sz w:val="18"/>
          <w:szCs w:val="18"/>
        </w:rPr>
        <w:t>经过多年的积累与发展，公司及公司产品在行业内拥有较高知名度。</w:t>
      </w:r>
    </w:p>
    <w:p>
      <w:pPr>
        <w:pStyle w:val="BodyText"/>
        <w:spacing w:line="300" w:lineRule="auto" w:before="26"/>
        <w:ind w:right="1129" w:firstLine="360"/>
        <w:jc w:val="both"/>
      </w:pPr>
      <w:r>
        <w:rPr/>
        <w:t>在网络违法治理方面，公司的公安大数据</w:t>
      </w:r>
      <w:r>
        <w:rPr>
          <w:spacing w:val="14"/>
        </w:rPr>
        <w:t> </w:t>
      </w:r>
      <w:r>
        <w:rPr>
          <w:rFonts w:ascii="Times New Roman" w:hAnsi="Times New Roman" w:cs="Times New Roman" w:eastAsia="Times New Roman" w:hint="default"/>
        </w:rPr>
        <w:t>“</w:t>
      </w:r>
      <w:r>
        <w:rPr/>
        <w:t>公共场所上网安全管控平台</w:t>
      </w:r>
      <w:r>
        <w:rPr>
          <w:rFonts w:ascii="Times New Roman" w:hAnsi="Times New Roman" w:cs="Times New Roman" w:eastAsia="Times New Roman" w:hint="default"/>
        </w:rPr>
        <w:t>”</w:t>
      </w:r>
      <w:r>
        <w:rPr/>
        <w:t>已经在全国</w:t>
      </w:r>
      <w:r>
        <w:rPr>
          <w:rFonts w:ascii="Times New Roman" w:hAnsi="Times New Roman" w:cs="Times New Roman" w:eastAsia="Times New Roman" w:hint="default"/>
        </w:rPr>
        <w:t>8</w:t>
      </w:r>
      <w:r>
        <w:rPr/>
        <w:t>个省公安厅、</w:t>
      </w:r>
      <w:r>
        <w:rPr>
          <w:rFonts w:ascii="Times New Roman" w:hAnsi="Times New Roman" w:cs="Times New Roman" w:eastAsia="Times New Roman" w:hint="default"/>
        </w:rPr>
        <w:t>173</w:t>
      </w:r>
      <w:r>
        <w:rPr/>
        <w:t>个地市公安局、 </w:t>
      </w:r>
      <w:r>
        <w:rPr>
          <w:rFonts w:ascii="Times New Roman" w:hAnsi="Times New Roman" w:cs="Times New Roman" w:eastAsia="Times New Roman" w:hint="default"/>
        </w:rPr>
        <w:t>111</w:t>
      </w:r>
      <w:r>
        <w:rPr/>
        <w:t>个县公安局运行使用；场所日志留存设备全国部署超</w:t>
      </w:r>
      <w:r>
        <w:rPr>
          <w:rFonts w:ascii="Times New Roman" w:hAnsi="Times New Roman" w:cs="Times New Roman" w:eastAsia="Times New Roman" w:hint="default"/>
        </w:rPr>
        <w:t>38</w:t>
      </w:r>
      <w:r>
        <w:rPr/>
        <w:t>万台，</w:t>
      </w:r>
      <w:r>
        <w:rPr>
          <w:rFonts w:ascii="Times New Roman" w:hAnsi="Times New Roman" w:cs="Times New Roman" w:eastAsia="Times New Roman" w:hint="default"/>
        </w:rPr>
        <w:t>WIFI</w:t>
      </w:r>
      <w:r>
        <w:rPr/>
        <w:t>特征采集设备部署超过</w:t>
      </w:r>
      <w:r>
        <w:rPr>
          <w:rFonts w:ascii="Times New Roman" w:hAnsi="Times New Roman" w:cs="Times New Roman" w:eastAsia="Times New Roman" w:hint="default"/>
        </w:rPr>
        <w:t>15</w:t>
      </w:r>
      <w:r>
        <w:rPr/>
        <w:t>万台，网吧部署了近</w:t>
      </w:r>
      <w:r>
        <w:rPr>
          <w:rFonts w:ascii="Times New Roman" w:hAnsi="Times New Roman" w:cs="Times New Roman" w:eastAsia="Times New Roman" w:hint="default"/>
        </w:rPr>
        <w:t>350</w:t>
      </w:r>
      <w:r>
        <w:rPr/>
        <w:t>万</w:t>
      </w:r>
      <w:r>
        <w:rPr>
          <w:spacing w:val="-28"/>
        </w:rPr>
        <w:t> </w:t>
      </w:r>
      <w:r>
        <w:rPr/>
        <w:t>终端，公共安全场所合规安全审计覆盖面处于国内领先地位。</w:t>
      </w:r>
    </w:p>
    <w:p>
      <w:pPr>
        <w:pStyle w:val="BodyText"/>
        <w:spacing w:line="316" w:lineRule="auto" w:before="70"/>
        <w:ind w:right="1132" w:firstLine="360"/>
        <w:jc w:val="both"/>
      </w:pPr>
      <w:r>
        <w:rPr>
          <w:spacing w:val="-2"/>
        </w:rPr>
        <w:t>在网络空间舆情治理方面，公司国家级防火墙产品和舆情管理产品在海外市场突破多个国家级网络安全项目，树立了良</w:t>
      </w:r>
      <w:r>
        <w:rPr/>
        <w:t> 好的国际口碑，产品具有国家竞争力。</w:t>
      </w:r>
    </w:p>
    <w:p>
      <w:pPr>
        <w:pStyle w:val="BodyText"/>
        <w:spacing w:line="316" w:lineRule="auto" w:before="19"/>
        <w:ind w:right="1049" w:firstLine="360"/>
        <w:jc w:val="both"/>
      </w:pPr>
      <w:r>
        <w:rPr>
          <w:spacing w:val="-2"/>
        </w:rPr>
        <w:t>在企业网络安全治理方面，经过多年的打磨，以其卓越的网络应用层技术为核心，提供下一代防火墙、入侵检测、入侵</w:t>
      </w:r>
      <w:r>
        <w:rPr/>
        <w:t> 防御、防病毒、上网行为管理、态势感知、负载均衡、网站监控等产品，保障客户的网络高效、顺畅、安全、稳定的运行。</w:t>
      </w:r>
    </w:p>
    <w:p>
      <w:pPr>
        <w:pStyle w:val="BodyText"/>
        <w:spacing w:line="300" w:lineRule="auto" w:before="19"/>
        <w:ind w:right="1130" w:firstLine="360"/>
        <w:jc w:val="both"/>
      </w:pPr>
      <w:r>
        <w:rPr>
          <w:spacing w:val="-2"/>
        </w:rPr>
        <w:t>在网络基础资源大数据治理方面，亚鸿世纪已为中国信息通信研究院、国家安全中心、</w:t>
      </w:r>
      <w:r>
        <w:rPr>
          <w:rFonts w:ascii="Times New Roman" w:hAnsi="Times New Roman" w:cs="Times New Roman" w:eastAsia="Times New Roman" w:hint="default"/>
          <w:spacing w:val="-2"/>
        </w:rPr>
        <w:t>25</w:t>
      </w:r>
      <w:r>
        <w:rPr>
          <w:spacing w:val="-2"/>
        </w:rPr>
        <w:t>省的通信管理局、中国联合通</w:t>
      </w:r>
      <w:r>
        <w:rPr/>
        <w:t> 信有限公司及其</w:t>
      </w:r>
      <w:r>
        <w:rPr>
          <w:rFonts w:ascii="Times New Roman" w:hAnsi="Times New Roman" w:cs="Times New Roman" w:eastAsia="Times New Roman" w:hint="default"/>
        </w:rPr>
        <w:t>17</w:t>
      </w:r>
      <w:r>
        <w:rPr/>
        <w:t>省分支机构、中国移动通信集团公司及其</w:t>
      </w:r>
      <w:r>
        <w:rPr>
          <w:rFonts w:ascii="Times New Roman" w:hAnsi="Times New Roman" w:cs="Times New Roman" w:eastAsia="Times New Roman" w:hint="default"/>
        </w:rPr>
        <w:t>19</w:t>
      </w:r>
      <w:r>
        <w:rPr/>
        <w:t>省分支机构、中国电信集团公司及其</w:t>
      </w:r>
      <w:r>
        <w:rPr>
          <w:rFonts w:ascii="Times New Roman" w:hAnsi="Times New Roman" w:cs="Times New Roman" w:eastAsia="Times New Roman" w:hint="default"/>
        </w:rPr>
        <w:t>5</w:t>
      </w:r>
      <w:r>
        <w:rPr/>
        <w:t>省分支机构、</w:t>
      </w:r>
      <w:r>
        <w:rPr>
          <w:rFonts w:ascii="Times New Roman" w:hAnsi="Times New Roman" w:cs="Times New Roman" w:eastAsia="Times New Roman" w:hint="default"/>
        </w:rPr>
        <w:t>14</w:t>
      </w:r>
      <w:r>
        <w:rPr/>
        <w:t>省中国</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ind w:right="1032"/>
        <w:jc w:val="left"/>
      </w:pPr>
      <w:r>
        <w:rPr/>
        <w:t>铁通集团有限公司及其分支机构、</w:t>
      </w:r>
      <w:r>
        <w:rPr>
          <w:rFonts w:ascii="Times New Roman" w:hAnsi="Times New Roman" w:cs="Times New Roman" w:eastAsia="Times New Roman" w:hint="default"/>
        </w:rPr>
        <w:t>1300</w:t>
      </w:r>
      <w:r>
        <w:rPr/>
        <w:t>余多家</w:t>
      </w:r>
      <w:r>
        <w:rPr>
          <w:rFonts w:ascii="Times New Roman" w:hAnsi="Times New Roman" w:cs="Times New Roman" w:eastAsia="Times New Roman" w:hint="default"/>
        </w:rPr>
        <w:t>IDC/ISP</w:t>
      </w:r>
      <w:r>
        <w:rPr/>
        <w:t>企业提供互联网信息安全综合管理解决方案，在流量覆盖和市占率方 </w:t>
      </w:r>
      <w:r>
        <w:rPr>
          <w:spacing w:val="-2"/>
        </w:rPr>
        <w:t>面处于国内领先地位。亚鸿世纪长期配合工信部、信息通信研究院、运营商集团等部门开展工作，并参与相关标准制定工作</w:t>
      </w:r>
      <w:r>
        <w:rPr>
          <w:spacing w:val="-66"/>
        </w:rPr>
        <w:t> </w:t>
      </w:r>
      <w:r>
        <w:rPr>
          <w:spacing w:val="-66"/>
        </w:rPr>
      </w:r>
      <w:r>
        <w:rPr>
          <w:spacing w:val="-4"/>
        </w:rPr>
        <w:t>及相关试点工作，能够及时跟进了解行业主管部门对互联网及工业互联网管理的要求和动态，掌握新技术新业务的发展动向，</w:t>
      </w:r>
      <w:r>
        <w:rPr>
          <w:spacing w:val="-44"/>
        </w:rPr>
        <w:t> </w:t>
      </w:r>
      <w:r>
        <w:rPr>
          <w:spacing w:val="-44"/>
        </w:rPr>
      </w:r>
      <w:r>
        <w:rPr>
          <w:spacing w:val="-2"/>
        </w:rPr>
        <w:t>为各省级以上客户提供驻场运维服务，保障客户更好的使用系统，并能够及时了解客户的真实问题和需求，提升服务质量和</w:t>
      </w:r>
      <w:r>
        <w:rPr>
          <w:spacing w:val="-66"/>
        </w:rPr>
        <w:t> </w:t>
      </w:r>
      <w:r>
        <w:rPr>
          <w:spacing w:val="-66"/>
        </w:rPr>
      </w:r>
      <w:r>
        <w:rPr/>
        <w:t>客户满意度。</w:t>
      </w:r>
    </w:p>
    <w:p>
      <w:pPr>
        <w:pStyle w:val="BodyText"/>
        <w:spacing w:line="316" w:lineRule="auto" w:before="20"/>
        <w:ind w:right="1130" w:firstLine="360"/>
        <w:jc w:val="both"/>
      </w:pPr>
      <w:r>
        <w:rPr>
          <w:spacing w:val="-2"/>
        </w:rPr>
        <w:t>公司建立了行业与区域相结合的全国营销服务网络，形成以深圳为主体，营销服务分支遍布全国各地的模式，能在第一</w:t>
      </w:r>
      <w:r>
        <w:rPr/>
        <w:t> </w:t>
      </w:r>
      <w:r>
        <w:rPr>
          <w:spacing w:val="-2"/>
        </w:rPr>
        <w:t>时间内响应客户，解决客户遇到的问题，持续、及时、有效的为客户提供售前、售后服务与技术支持。目前公司产品和服务</w:t>
      </w:r>
      <w:r>
        <w:rPr>
          <w:spacing w:val="-67"/>
        </w:rPr>
        <w:t> </w:t>
      </w:r>
      <w:r>
        <w:rPr>
          <w:spacing w:val="-67"/>
        </w:rPr>
      </w:r>
      <w:r>
        <w:rPr>
          <w:spacing w:val="-2"/>
        </w:rPr>
        <w:t>输出体系已覆盖北方区、华北华东区、西北区、河南区、华中区、华南区、贵州区以及广东区等八大销售区域，且公司在全</w:t>
      </w:r>
      <w:r>
        <w:rPr>
          <w:spacing w:val="-72"/>
        </w:rPr>
        <w:t> </w:t>
      </w:r>
      <w:r>
        <w:rPr>
          <w:spacing w:val="-72"/>
        </w:rPr>
      </w:r>
      <w:r>
        <w:rPr/>
        <w:t>国设立</w:t>
      </w:r>
      <w:r>
        <w:rPr>
          <w:rFonts w:ascii="Times New Roman" w:hAnsi="Times New Roman" w:cs="Times New Roman" w:eastAsia="Times New Roman" w:hint="default"/>
        </w:rPr>
        <w:t>33</w:t>
      </w:r>
      <w:r>
        <w:rPr/>
        <w:t>个分支机构，北京、上海、贵阳、佛山、武汉设立</w:t>
      </w:r>
      <w:r>
        <w:rPr>
          <w:rFonts w:ascii="Times New Roman" w:hAnsi="Times New Roman" w:cs="Times New Roman" w:eastAsia="Times New Roman" w:hint="default"/>
        </w:rPr>
        <w:t>5</w:t>
      </w:r>
      <w:r>
        <w:rPr/>
        <w:t>家分公司，保证为客户提供及时、便捷、专业、高效的服务。</w:t>
      </w:r>
    </w:p>
    <w:p>
      <w:pPr>
        <w:pStyle w:val="BodyText"/>
        <w:spacing w:line="316" w:lineRule="auto" w:before="0"/>
        <w:ind w:left="514" w:right="0"/>
        <w:jc w:val="left"/>
      </w:pPr>
      <w:r>
        <w:rPr>
          <w:rFonts w:ascii="宋体" w:hAnsi="宋体" w:cs="宋体" w:eastAsia="宋体" w:hint="default"/>
          <w:b/>
          <w:bCs/>
        </w:rPr>
        <w:t>（三）人才优势</w:t>
      </w:r>
      <w:r>
        <w:rPr>
          <w:rFonts w:ascii="宋体" w:hAnsi="宋体" w:cs="宋体" w:eastAsia="宋体" w:hint="default"/>
          <w:b/>
          <w:bCs/>
          <w:w w:val="99"/>
        </w:rPr>
        <w:t> </w:t>
      </w:r>
      <w:r>
        <w:rPr>
          <w:spacing w:val="-4"/>
        </w:rPr>
        <w:t>公司具有一系列有效的聘用、培训和激励机制保障团队稳定。公司的核心管理团队在信息安全领域拥有丰富的实践经验，</w:t>
      </w:r>
    </w:p>
    <w:p>
      <w:pPr>
        <w:pStyle w:val="BodyText"/>
        <w:spacing w:line="300" w:lineRule="auto" w:before="19"/>
        <w:ind w:right="1117"/>
        <w:jc w:val="left"/>
      </w:pPr>
      <w:r>
        <w:rPr>
          <w:spacing w:val="-1"/>
        </w:rPr>
        <w:t>在其带领下公司建设了一支技术根底扎实、应用开发经验丰富的高素质信息安全技术研发队伍。公司</w:t>
      </w:r>
      <w:r>
        <w:rPr>
          <w:rFonts w:ascii="Times New Roman" w:hAnsi="Times New Roman" w:cs="Times New Roman" w:eastAsia="Times New Roman" w:hint="default"/>
          <w:spacing w:val="-1"/>
        </w:rPr>
        <w:t>60%</w:t>
      </w:r>
      <w:r>
        <w:rPr>
          <w:spacing w:val="-1"/>
        </w:rPr>
        <w:t>以上员工为研发人</w:t>
      </w:r>
      <w:r>
        <w:rPr>
          <w:spacing w:val="-88"/>
        </w:rPr>
        <w:t> </w:t>
      </w:r>
      <w:r>
        <w:rPr>
          <w:spacing w:val="-1"/>
        </w:rPr>
        <w:t>员，</w:t>
      </w:r>
      <w:r>
        <w:rPr>
          <w:rFonts w:ascii="Times New Roman" w:hAnsi="Times New Roman" w:cs="Times New Roman" w:eastAsia="Times New Roman" w:hint="default"/>
          <w:spacing w:val="-1"/>
        </w:rPr>
        <w:t>60%</w:t>
      </w:r>
      <w:r>
        <w:rPr>
          <w:spacing w:val="-1"/>
        </w:rPr>
        <w:t>以上员工具有本科及以上学历。</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月，公司成功获批</w:t>
      </w:r>
      <w:r>
        <w:rPr>
          <w:rFonts w:ascii="Times New Roman" w:hAnsi="Times New Roman" w:cs="Times New Roman" w:eastAsia="Times New Roman" w:hint="default"/>
          <w:spacing w:val="-1"/>
        </w:rPr>
        <w:t>“</w:t>
      </w:r>
      <w:r>
        <w:rPr>
          <w:spacing w:val="-1"/>
        </w:rPr>
        <w:t>中国网络空间安全协会大数据安全人才培养基地国家级</w:t>
      </w:r>
    </w:p>
    <w:p>
      <w:pPr>
        <w:pStyle w:val="BodyText"/>
        <w:spacing w:line="300" w:lineRule="auto" w:before="13"/>
        <w:ind w:right="1182"/>
        <w:jc w:val="left"/>
      </w:pPr>
      <w:r>
        <w:rPr/>
        <w:t>（</w:t>
      </w:r>
      <w:r>
        <w:rPr>
          <w:rFonts w:ascii="Times New Roman" w:hAnsi="Times New Roman" w:cs="Times New Roman" w:eastAsia="Times New Roman" w:hint="default"/>
        </w:rPr>
        <w:t>A</w:t>
      </w:r>
      <w:r>
        <w:rPr/>
        <w:t>级）合作支撑单位</w:t>
      </w:r>
      <w:r>
        <w:rPr>
          <w:rFonts w:ascii="Times New Roman" w:hAnsi="Times New Roman" w:cs="Times New Roman" w:eastAsia="Times New Roman" w:hint="default"/>
        </w:rPr>
        <w:t>”</w:t>
      </w:r>
      <w:r>
        <w:rPr/>
        <w:t>资格，公司高度重视网络安全人才培养，致力于打造大数据人才建设培育生态链，助力国家网络安 全人才培养。</w:t>
      </w:r>
    </w:p>
    <w:p>
      <w:pPr>
        <w:pStyle w:val="BodyText"/>
        <w:spacing w:line="300" w:lineRule="auto" w:before="31"/>
        <w:ind w:right="1157" w:firstLine="433"/>
        <w:jc w:val="both"/>
      </w:pPr>
      <w:r>
        <w:rPr/>
        <w:t>为了完善公司薪酬考核体系，增强公司管理团队和业务骨干对实现公司持续、健康发展的责任感、使命感，</w:t>
      </w:r>
      <w:r>
        <w:rPr>
          <w:rFonts w:ascii="Times New Roman" w:hAnsi="Times New Roman" w:cs="Times New Roman" w:eastAsia="Times New Roman" w:hint="default"/>
        </w:rPr>
        <w:t>2018</w:t>
      </w:r>
      <w:r>
        <w:rPr/>
        <w:t>年公 司推出了股权激励计划，有利于公司吸引和留住优秀人才。</w:t>
      </w:r>
    </w:p>
    <w:p>
      <w:pPr>
        <w:pStyle w:val="BodyText"/>
        <w:spacing w:line="360" w:lineRule="auto" w:before="31"/>
        <w:ind w:left="514" w:right="0"/>
        <w:jc w:val="left"/>
      </w:pPr>
      <w:r>
        <w:rPr>
          <w:rFonts w:ascii="宋体" w:hAnsi="宋体" w:cs="宋体" w:eastAsia="宋体" w:hint="default"/>
          <w:b/>
          <w:bCs/>
        </w:rPr>
        <w:t>（四）技术优势与研发实力</w:t>
      </w:r>
      <w:r>
        <w:rPr>
          <w:rFonts w:ascii="宋体" w:hAnsi="宋体" w:cs="宋体" w:eastAsia="宋体" w:hint="default"/>
          <w:b/>
          <w:bCs/>
          <w:w w:val="99"/>
        </w:rPr>
        <w:t> </w:t>
      </w:r>
      <w:r>
        <w:rPr>
          <w:spacing w:val="-2"/>
        </w:rPr>
        <w:t>公司是国家发改委建设的</w:t>
      </w:r>
      <w:r>
        <w:rPr>
          <w:rFonts w:ascii="Times New Roman" w:hAnsi="Times New Roman" w:cs="Times New Roman" w:eastAsia="Times New Roman" w:hint="default"/>
          <w:spacing w:val="-2"/>
        </w:rPr>
        <w:t>“</w:t>
      </w:r>
      <w:r>
        <w:rPr>
          <w:spacing w:val="-2"/>
        </w:rPr>
        <w:t>网络空间治理技术国家地方联合工程研究中心（深圳）</w:t>
      </w:r>
      <w:r>
        <w:rPr>
          <w:rFonts w:ascii="Times New Roman" w:hAnsi="Times New Roman" w:cs="Times New Roman" w:eastAsia="Times New Roman" w:hint="default"/>
          <w:spacing w:val="-2"/>
        </w:rPr>
        <w:t>”</w:t>
      </w:r>
      <w:r>
        <w:rPr>
          <w:spacing w:val="-2"/>
        </w:rPr>
        <w:t>的主要依托单位、</w:t>
      </w:r>
      <w:r>
        <w:rPr>
          <w:rFonts w:ascii="Times New Roman" w:hAnsi="Times New Roman" w:cs="Times New Roman" w:eastAsia="Times New Roman" w:hint="default"/>
          <w:spacing w:val="-2"/>
        </w:rPr>
        <w:t>CNNVD</w:t>
      </w:r>
      <w:r>
        <w:rPr>
          <w:spacing w:val="-2"/>
        </w:rPr>
        <w:t>认证的</w:t>
      </w:r>
      <w:r>
        <w:rPr>
          <w:rFonts w:ascii="Times New Roman" w:hAnsi="Times New Roman" w:cs="Times New Roman" w:eastAsia="Times New Roman" w:hint="default"/>
          <w:spacing w:val="-2"/>
        </w:rPr>
        <w:t>“</w:t>
      </w:r>
      <w:r>
        <w:rPr>
          <w:spacing w:val="-2"/>
        </w:rPr>
        <w:t>中</w:t>
      </w:r>
    </w:p>
    <w:p>
      <w:pPr>
        <w:pStyle w:val="BodyText"/>
        <w:spacing w:line="211" w:lineRule="exact" w:before="0"/>
        <w:ind w:right="0"/>
        <w:jc w:val="left"/>
      </w:pPr>
      <w:r>
        <w:rPr/>
        <w:t>国国家信息安全漏洞库</w:t>
      </w:r>
      <w:r>
        <w:rPr>
          <w:rFonts w:ascii="Times New Roman" w:hAnsi="Times New Roman" w:cs="Times New Roman" w:eastAsia="Times New Roman" w:hint="default"/>
        </w:rPr>
        <w:t>(CNNVD)</w:t>
      </w:r>
      <w:r>
        <w:rPr/>
        <w:t>支撑单位</w:t>
      </w:r>
      <w:r>
        <w:rPr>
          <w:rFonts w:ascii="Times New Roman" w:hAnsi="Times New Roman" w:cs="Times New Roman" w:eastAsia="Times New Roman" w:hint="default"/>
        </w:rPr>
        <w:t>”</w:t>
      </w:r>
      <w:r>
        <w:rPr/>
        <w:t>、获得</w:t>
      </w:r>
      <w:r>
        <w:rPr>
          <w:rFonts w:ascii="Times New Roman" w:hAnsi="Times New Roman" w:cs="Times New Roman" w:eastAsia="Times New Roman" w:hint="default"/>
        </w:rPr>
        <w:t>“</w:t>
      </w:r>
      <w:r>
        <w:rPr/>
        <w:t>国家规划布局内重点软件企业</w:t>
      </w:r>
      <w:r>
        <w:rPr>
          <w:rFonts w:ascii="Times New Roman" w:hAnsi="Times New Roman" w:cs="Times New Roman" w:eastAsia="Times New Roman" w:hint="default"/>
        </w:rPr>
        <w:t>”</w:t>
      </w:r>
      <w:r>
        <w:rPr/>
        <w:t>、国家密码管理局认定</w:t>
      </w:r>
      <w:r>
        <w:rPr>
          <w:rFonts w:ascii="Times New Roman" w:hAnsi="Times New Roman" w:cs="Times New Roman" w:eastAsia="Times New Roman" w:hint="default"/>
        </w:rPr>
        <w:t>“</w:t>
      </w:r>
      <w:r>
        <w:rPr/>
        <w:t>商用密码产品生产</w:t>
      </w:r>
    </w:p>
    <w:p>
      <w:pPr>
        <w:pStyle w:val="BodyText"/>
        <w:spacing w:line="300" w:lineRule="auto" w:before="63"/>
        <w:ind w:right="0"/>
        <w:jc w:val="left"/>
      </w:pPr>
      <w:r>
        <w:rPr/>
        <w:t>定点单位</w:t>
      </w:r>
      <w:r>
        <w:rPr>
          <w:rFonts w:ascii="Times New Roman" w:hAnsi="Times New Roman" w:cs="Times New Roman" w:eastAsia="Times New Roman" w:hint="default"/>
        </w:rPr>
        <w:t>”</w:t>
      </w:r>
      <w:r>
        <w:rPr/>
        <w:t>、工业和信息化部</w:t>
      </w:r>
      <w:r>
        <w:rPr>
          <w:rFonts w:ascii="Times New Roman" w:hAnsi="Times New Roman" w:cs="Times New Roman" w:eastAsia="Times New Roman" w:hint="default"/>
        </w:rPr>
        <w:t>“</w:t>
      </w:r>
      <w:r>
        <w:rPr/>
        <w:t>计算机信息系统集成资质（贰级）</w:t>
      </w:r>
      <w:r>
        <w:rPr>
          <w:rFonts w:ascii="Times New Roman" w:hAnsi="Times New Roman" w:cs="Times New Roman" w:eastAsia="Times New Roman" w:hint="default"/>
        </w:rPr>
        <w:t>”</w:t>
      </w:r>
      <w:r>
        <w:rPr/>
        <w:t>、中国信息安全认证中心</w:t>
      </w:r>
      <w:r>
        <w:rPr>
          <w:rFonts w:ascii="Times New Roman" w:hAnsi="Times New Roman" w:cs="Times New Roman" w:eastAsia="Times New Roman" w:hint="default"/>
        </w:rPr>
        <w:t>“</w:t>
      </w:r>
      <w:r>
        <w:rPr/>
        <w:t>信息安全应急服务资质认证（贰 </w:t>
      </w:r>
      <w:r>
        <w:rPr>
          <w:spacing w:val="-1"/>
        </w:rPr>
        <w:t>级）</w:t>
      </w:r>
      <w:r>
        <w:rPr>
          <w:rFonts w:ascii="Times New Roman" w:hAnsi="Times New Roman" w:cs="Times New Roman" w:eastAsia="Times New Roman" w:hint="default"/>
          <w:spacing w:val="-1"/>
        </w:rPr>
        <w:t>”</w:t>
      </w:r>
      <w:r>
        <w:rPr>
          <w:spacing w:val="-1"/>
        </w:rPr>
        <w:t>及</w:t>
      </w:r>
      <w:r>
        <w:rPr>
          <w:rFonts w:ascii="Times New Roman" w:hAnsi="Times New Roman" w:cs="Times New Roman" w:eastAsia="Times New Roman" w:hint="default"/>
          <w:spacing w:val="-1"/>
        </w:rPr>
        <w:t>“</w:t>
      </w:r>
      <w:r>
        <w:rPr>
          <w:spacing w:val="-1"/>
        </w:rPr>
        <w:t>广东省计算机信息系统安全服务资质</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省级网络安全应急服务支撑单位</w:t>
      </w:r>
      <w:r>
        <w:rPr>
          <w:rFonts w:ascii="Times New Roman" w:hAnsi="Times New Roman" w:cs="Times New Roman" w:eastAsia="Times New Roman" w:hint="default"/>
          <w:spacing w:val="-1"/>
        </w:rPr>
        <w:t>”</w:t>
      </w:r>
      <w:r>
        <w:rPr>
          <w:spacing w:val="-1"/>
        </w:rPr>
        <w:t>、首批</w:t>
      </w:r>
      <w:r>
        <w:rPr>
          <w:rFonts w:ascii="Times New Roman" w:hAnsi="Times New Roman" w:cs="Times New Roman" w:eastAsia="Times New Roman" w:hint="default"/>
          <w:spacing w:val="-1"/>
        </w:rPr>
        <w:t>“</w:t>
      </w:r>
      <w:r>
        <w:rPr>
          <w:spacing w:val="-1"/>
        </w:rPr>
        <w:t>深圳市自主创新行业龙头企业</w:t>
      </w:r>
      <w:r>
        <w:rPr>
          <w:rFonts w:ascii="Times New Roman" w:hAnsi="Times New Roman" w:cs="Times New Roman" w:eastAsia="Times New Roman" w:hint="default"/>
          <w:spacing w:val="-1"/>
        </w:rPr>
        <w:t>”</w:t>
      </w:r>
      <w:r>
        <w:rPr>
          <w:spacing w:val="-1"/>
        </w:rPr>
        <w:t>、</w:t>
      </w:r>
      <w:r>
        <w:rPr>
          <w:spacing w:val="-47"/>
        </w:rPr>
        <w:t> </w:t>
      </w:r>
      <w:r>
        <w:rPr/>
        <w:t>深圳市首批</w:t>
      </w:r>
      <w:r>
        <w:rPr>
          <w:rFonts w:ascii="Times New Roman" w:hAnsi="Times New Roman" w:cs="Times New Roman" w:eastAsia="Times New Roman" w:hint="default"/>
        </w:rPr>
        <w:t>“</w:t>
      </w:r>
      <w:r>
        <w:rPr/>
        <w:t>国家级高新技术企业</w:t>
      </w:r>
      <w:r>
        <w:rPr>
          <w:rFonts w:ascii="Times New Roman" w:hAnsi="Times New Roman" w:cs="Times New Roman" w:eastAsia="Times New Roman" w:hint="default"/>
        </w:rPr>
        <w:t>”</w:t>
      </w:r>
      <w:r>
        <w:rPr/>
        <w:t>等资质和荣誉，并在业内率先通过</w:t>
      </w:r>
      <w:r>
        <w:rPr>
          <w:rFonts w:ascii="Times New Roman" w:hAnsi="Times New Roman" w:cs="Times New Roman" w:eastAsia="Times New Roman" w:hint="default"/>
        </w:rPr>
        <w:t>ISO9001</w:t>
      </w:r>
      <w:r>
        <w:rPr/>
        <w:t>：</w:t>
      </w:r>
      <w:r>
        <w:rPr>
          <w:rFonts w:ascii="Times New Roman" w:hAnsi="Times New Roman" w:cs="Times New Roman" w:eastAsia="Times New Roman" w:hint="default"/>
        </w:rPr>
        <w:t>2008</w:t>
      </w:r>
      <w:r>
        <w:rPr/>
        <w:t>质量管理体系认证。</w:t>
      </w:r>
      <w:r>
        <w:rPr>
          <w:rFonts w:ascii="Times New Roman" w:hAnsi="Times New Roman" w:cs="Times New Roman" w:eastAsia="Times New Roman" w:hint="default"/>
        </w:rPr>
        <w:t>2018</w:t>
      </w:r>
      <w:r>
        <w:rPr/>
        <w:t>年，公司通过 了</w:t>
      </w:r>
      <w:r>
        <w:rPr>
          <w:rFonts w:ascii="Times New Roman" w:hAnsi="Times New Roman" w:cs="Times New Roman" w:eastAsia="Times New Roman" w:hint="default"/>
        </w:rPr>
        <w:t>CMMI</w:t>
      </w:r>
      <w:r>
        <w:rPr/>
        <w:t>软件能力成熟度模型集成评估认定。</w:t>
      </w:r>
    </w:p>
    <w:p>
      <w:pPr>
        <w:pStyle w:val="BodyText"/>
        <w:spacing w:line="304" w:lineRule="auto" w:before="52"/>
        <w:ind w:right="1130"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月，公司作为主要参研单位、任子行景晓军董事长作为主要参与人完成的</w:t>
      </w:r>
      <w:r>
        <w:rPr>
          <w:rFonts w:ascii="Times New Roman" w:hAnsi="Times New Roman" w:cs="Times New Roman" w:eastAsia="Times New Roman" w:hint="default"/>
          <w:spacing w:val="-2"/>
        </w:rPr>
        <w:t>“</w:t>
      </w:r>
      <w:r>
        <w:rPr>
          <w:spacing w:val="-2"/>
        </w:rPr>
        <w:t>大规模网络安全态势分析关键技术及</w:t>
      </w:r>
      <w:r>
        <w:rPr/>
        <w:t> </w:t>
      </w:r>
      <w:r>
        <w:rPr>
          <w:spacing w:val="-1"/>
        </w:rPr>
        <w:t>系统</w:t>
      </w:r>
      <w:r>
        <w:rPr>
          <w:rFonts w:ascii="Times New Roman" w:hAnsi="Times New Roman" w:cs="Times New Roman" w:eastAsia="Times New Roman" w:hint="default"/>
          <w:spacing w:val="-1"/>
        </w:rPr>
        <w:t>YHSAS”</w:t>
      </w:r>
      <w:r>
        <w:rPr>
          <w:spacing w:val="-1"/>
        </w:rPr>
        <w:t>荣获</w:t>
      </w:r>
      <w:r>
        <w:rPr>
          <w:rFonts w:ascii="Times New Roman" w:hAnsi="Times New Roman" w:cs="Times New Roman" w:eastAsia="Times New Roman" w:hint="default"/>
          <w:spacing w:val="-1"/>
        </w:rPr>
        <w:t>2018</w:t>
      </w:r>
      <w:r>
        <w:rPr>
          <w:spacing w:val="-1"/>
        </w:rPr>
        <w:t>年度国家科学技术进步奖二等奖。公司在研发过程中，与第一完成单位中国人民解放军国防科技大学</w:t>
      </w:r>
      <w:r>
        <w:rPr>
          <w:spacing w:val="-66"/>
        </w:rPr>
        <w:t> </w:t>
      </w:r>
      <w:r>
        <w:rPr>
          <w:spacing w:val="-66"/>
        </w:rPr>
      </w:r>
      <w:r>
        <w:rPr/>
        <w:t>合作，及时对大规模网络安全态势分析关键技术及系统</w:t>
      </w:r>
      <w:r>
        <w:rPr>
          <w:rFonts w:ascii="Times New Roman" w:hAnsi="Times New Roman" w:cs="Times New Roman" w:eastAsia="Times New Roman" w:hint="default"/>
        </w:rPr>
        <w:t>YHSAS</w:t>
      </w:r>
      <w:r>
        <w:rPr/>
        <w:t>进行成果转化，开发了网络安全态势评估系统、任天行网络 </w:t>
      </w:r>
      <w:r>
        <w:rPr>
          <w:spacing w:val="-1"/>
        </w:rPr>
        <w:t>安全管理系统、</w:t>
      </w:r>
      <w:r>
        <w:rPr>
          <w:rFonts w:ascii="Times New Roman" w:hAnsi="Times New Roman" w:cs="Times New Roman" w:eastAsia="Times New Roman" w:hint="default"/>
          <w:spacing w:val="-1"/>
        </w:rPr>
        <w:t>IDC</w:t>
      </w:r>
      <w:r>
        <w:rPr>
          <w:spacing w:val="-1"/>
        </w:rPr>
        <w:t>安全审计和管理系统、下一代统一威胁管理等网络安全产品，并在基础模块的基础上为不同用户定制开</w:t>
      </w:r>
      <w:r>
        <w:rPr>
          <w:spacing w:val="-69"/>
        </w:rPr>
        <w:t> </w:t>
      </w:r>
      <w:r>
        <w:rPr>
          <w:spacing w:val="-69"/>
        </w:rPr>
      </w:r>
      <w:r>
        <w:rPr>
          <w:spacing w:val="-2"/>
        </w:rPr>
        <w:t>发了特色业务功能，在运营商、网信办、公安行业、通信管理局、教育行业等各行业安全监管部门广泛应用，取得了显著的</w:t>
      </w:r>
      <w:r>
        <w:rPr>
          <w:spacing w:val="-67"/>
        </w:rPr>
        <w:t> </w:t>
      </w:r>
      <w:r>
        <w:rPr>
          <w:spacing w:val="-67"/>
        </w:rPr>
      </w:r>
      <w:r>
        <w:rPr/>
        <w:t>经济效益和社会效益。</w:t>
      </w:r>
    </w:p>
    <w:p>
      <w:pPr>
        <w:pStyle w:val="BodyText"/>
        <w:spacing w:line="300" w:lineRule="auto" w:before="66"/>
        <w:ind w:right="1079" w:firstLine="360"/>
        <w:jc w:val="both"/>
      </w:pPr>
      <w:r>
        <w:rPr/>
        <w:t>公司坚持自主创新，近年来公司的研发费用支出均占公司营业总收入的</w:t>
      </w:r>
      <w:r>
        <w:rPr>
          <w:rFonts w:ascii="Times New Roman" w:hAnsi="Times New Roman" w:cs="Times New Roman" w:eastAsia="Times New Roman" w:hint="default"/>
        </w:rPr>
        <w:t>10%</w:t>
      </w:r>
      <w:r>
        <w:rPr/>
        <w:t>以上。截止目前公司已拥有注册商标</w:t>
      </w:r>
      <w:r>
        <w:rPr>
          <w:rFonts w:ascii="Times New Roman" w:hAnsi="Times New Roman" w:cs="Times New Roman" w:eastAsia="Times New Roman" w:hint="default"/>
        </w:rPr>
        <w:t>51</w:t>
      </w:r>
      <w:r>
        <w:rPr/>
        <w:t>件， 计算机软件著作权登记证书</w:t>
      </w:r>
      <w:r>
        <w:rPr>
          <w:rFonts w:ascii="Times New Roman" w:hAnsi="Times New Roman" w:cs="Times New Roman" w:eastAsia="Times New Roman" w:hint="default"/>
        </w:rPr>
        <w:t>611</w:t>
      </w:r>
      <w:r>
        <w:rPr/>
        <w:t>件，获得已授权专利</w:t>
      </w:r>
      <w:r>
        <w:rPr>
          <w:rFonts w:ascii="Times New Roman" w:hAnsi="Times New Roman" w:cs="Times New Roman" w:eastAsia="Times New Roman" w:hint="default"/>
        </w:rPr>
        <w:t>38</w:t>
      </w:r>
      <w:r>
        <w:rPr/>
        <w:t>件，其中发明专利</w:t>
      </w:r>
      <w:r>
        <w:rPr>
          <w:rFonts w:ascii="Times New Roman" w:hAnsi="Times New Roman" w:cs="Times New Roman" w:eastAsia="Times New Roman" w:hint="default"/>
        </w:rPr>
        <w:t>25</w:t>
      </w:r>
      <w:r>
        <w:rPr/>
        <w:t>件，外观设计</w:t>
      </w:r>
      <w:r>
        <w:rPr>
          <w:rFonts w:ascii="Times New Roman" w:hAnsi="Times New Roman" w:cs="Times New Roman" w:eastAsia="Times New Roman" w:hint="default"/>
        </w:rPr>
        <w:t>8</w:t>
      </w:r>
      <w:r>
        <w:rPr/>
        <w:t>件，实用新型</w:t>
      </w:r>
      <w:r>
        <w:rPr>
          <w:rFonts w:ascii="Times New Roman" w:hAnsi="Times New Roman" w:cs="Times New Roman" w:eastAsia="Times New Roman" w:hint="default"/>
        </w:rPr>
        <w:t>5</w:t>
      </w:r>
      <w:r>
        <w:rPr/>
        <w:t>件。报告期内，公 司及子公司新增获得的专利</w:t>
      </w:r>
      <w:r>
        <w:rPr>
          <w:rFonts w:ascii="Times New Roman" w:hAnsi="Times New Roman" w:cs="Times New Roman" w:eastAsia="Times New Roman" w:hint="default"/>
        </w:rPr>
        <w:t>16</w:t>
      </w:r>
      <w:r>
        <w:rPr/>
        <w:t>件，获得著作权登记证书</w:t>
      </w:r>
      <w:r>
        <w:rPr>
          <w:rFonts w:ascii="Times New Roman" w:hAnsi="Times New Roman" w:cs="Times New Roman" w:eastAsia="Times New Roman" w:hint="default"/>
        </w:rPr>
        <w:t>79</w:t>
      </w:r>
      <w:r>
        <w:rPr/>
        <w:t>件。</w:t>
      </w:r>
    </w:p>
    <w:p>
      <w:pPr>
        <w:pStyle w:val="BodyText"/>
        <w:spacing w:line="240" w:lineRule="auto" w:before="52"/>
        <w:ind w:left="514" w:right="0"/>
        <w:jc w:val="left"/>
      </w:pPr>
      <w:r>
        <w:rPr/>
        <w:t>新增发明专利情况如下：</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82"/>
        <w:gridCol w:w="994"/>
        <w:gridCol w:w="4236"/>
        <w:gridCol w:w="1986"/>
        <w:gridCol w:w="1700"/>
      </w:tblGrid>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专利号</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4" w:right="0"/>
              <w:jc w:val="left"/>
              <w:rPr>
                <w:rFonts w:ascii="宋体" w:hAnsi="宋体" w:cs="宋体" w:eastAsia="宋体" w:hint="default"/>
                <w:sz w:val="18"/>
                <w:szCs w:val="18"/>
              </w:rPr>
            </w:pPr>
            <w:r>
              <w:rPr>
                <w:rFonts w:ascii="宋体" w:hAnsi="宋体" w:cs="宋体" w:eastAsia="宋体" w:hint="default"/>
                <w:sz w:val="18"/>
                <w:szCs w:val="18"/>
              </w:rPr>
              <w:t>证书日期</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一种海量日志的缓冲量分配方法</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ZL201310727354.1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05"/>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一种串行数据流的审计控制方法及系统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ZL201310727363.0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通过监测移动信令获取移动用户位置的方法及系统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ZL201310729324.4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网页自动化测试系统及其方法</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ZL201410616971.9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27</w:t>
            </w:r>
            <w:r>
              <w:rPr>
                <w:rFonts w:ascii="宋体" w:hAnsi="宋体" w:cs="宋体" w:eastAsia="宋体" w:hint="default"/>
                <w:sz w:val="18"/>
                <w:szCs w:val="18"/>
              </w:rPr>
              <w:t>日</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一种插件开发方法及系统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ZL201310729260.8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一种电子身份证的验证系统及方法</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ZL201410583446.1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一种甄别音视频网站的方法及系统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ZL201410584314.0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一种面向网页采集任务的插件管理方法及其装置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ZL201410004005.1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58"/>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82"/>
        <w:gridCol w:w="994"/>
        <w:gridCol w:w="4236"/>
        <w:gridCol w:w="1986"/>
        <w:gridCol w:w="1700"/>
      </w:tblGrid>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一种违规音视频节目取证方法和装置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1" w:right="0"/>
              <w:jc w:val="left"/>
              <w:rPr>
                <w:rFonts w:ascii="Times New Roman" w:hAnsi="Times New Roman" w:cs="Times New Roman" w:eastAsia="Times New Roman" w:hint="default"/>
                <w:sz w:val="18"/>
                <w:szCs w:val="18"/>
              </w:rPr>
            </w:pPr>
            <w:r>
              <w:rPr>
                <w:rFonts w:ascii="Times New Roman"/>
                <w:sz w:val="18"/>
              </w:rPr>
              <w:t>ZL201410584315.5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一种强制</w:t>
            </w:r>
            <w:r>
              <w:rPr>
                <w:rFonts w:ascii="Times New Roman" w:hAnsi="Times New Roman" w:cs="Times New Roman" w:eastAsia="Times New Roman" w:hint="default"/>
                <w:sz w:val="18"/>
                <w:szCs w:val="18"/>
              </w:rPr>
              <w:t>WLAN</w:t>
            </w:r>
            <w:r>
              <w:rPr>
                <w:rFonts w:ascii="宋体" w:hAnsi="宋体" w:cs="宋体" w:eastAsia="宋体" w:hint="default"/>
                <w:sz w:val="18"/>
                <w:szCs w:val="18"/>
              </w:rPr>
              <w:t>用户下线的方法及装置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1" w:right="0"/>
              <w:jc w:val="left"/>
              <w:rPr>
                <w:rFonts w:ascii="Times New Roman" w:hAnsi="Times New Roman" w:cs="Times New Roman" w:eastAsia="Times New Roman" w:hint="default"/>
                <w:sz w:val="18"/>
                <w:szCs w:val="18"/>
              </w:rPr>
            </w:pPr>
            <w:r>
              <w:rPr>
                <w:rFonts w:ascii="Times New Roman"/>
                <w:sz w:val="18"/>
              </w:rPr>
              <w:t>ZL201410555220.0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一种多维度检测违规音视频节目的方法</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1" w:right="0"/>
              <w:jc w:val="left"/>
              <w:rPr>
                <w:rFonts w:ascii="Times New Roman" w:hAnsi="Times New Roman" w:cs="Times New Roman" w:eastAsia="Times New Roman" w:hint="default"/>
                <w:sz w:val="18"/>
                <w:szCs w:val="18"/>
              </w:rPr>
            </w:pPr>
            <w:r>
              <w:rPr>
                <w:rFonts w:ascii="Times New Roman"/>
                <w:sz w:val="18"/>
              </w:rPr>
              <w:t>ZL201510004698.9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23</w:t>
            </w:r>
            <w:r>
              <w:rPr>
                <w:rFonts w:ascii="宋体" w:hAnsi="宋体" w:cs="宋体" w:eastAsia="宋体" w:hint="default"/>
                <w:sz w:val="18"/>
                <w:szCs w:val="18"/>
              </w:rPr>
              <w:t>日</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辅助应用程序升级的系统及其方法</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1" w:right="0"/>
              <w:jc w:val="left"/>
              <w:rPr>
                <w:rFonts w:ascii="Times New Roman" w:hAnsi="Times New Roman" w:cs="Times New Roman" w:eastAsia="Times New Roman" w:hint="default"/>
                <w:sz w:val="18"/>
                <w:szCs w:val="18"/>
              </w:rPr>
            </w:pPr>
            <w:r>
              <w:rPr>
                <w:rFonts w:ascii="Times New Roman"/>
                <w:sz w:val="18"/>
              </w:rPr>
              <w:t>ZL201410616972.3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9</w:t>
            </w:r>
            <w:r>
              <w:rPr>
                <w:rFonts w:ascii="宋体" w:hAnsi="宋体" w:cs="宋体" w:eastAsia="宋体" w:hint="default"/>
                <w:sz w:val="18"/>
                <w:szCs w:val="18"/>
              </w:rPr>
              <w:t>日</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一种基于</w:t>
            </w:r>
            <w:r>
              <w:rPr>
                <w:rFonts w:ascii="Times New Roman" w:hAnsi="Times New Roman" w:cs="Times New Roman" w:eastAsia="Times New Roman" w:hint="default"/>
                <w:sz w:val="18"/>
                <w:szCs w:val="18"/>
              </w:rPr>
              <w:t>Heritrix</w:t>
            </w:r>
            <w:r>
              <w:rPr>
                <w:rFonts w:ascii="宋体" w:hAnsi="宋体" w:cs="宋体" w:eastAsia="宋体" w:hint="default"/>
                <w:sz w:val="18"/>
                <w:szCs w:val="18"/>
              </w:rPr>
              <w:t>爬虫的分布式采集方法及系统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1" w:right="0"/>
              <w:jc w:val="left"/>
              <w:rPr>
                <w:rFonts w:ascii="Times New Roman" w:hAnsi="Times New Roman" w:cs="Times New Roman" w:eastAsia="Times New Roman" w:hint="default"/>
                <w:sz w:val="18"/>
                <w:szCs w:val="18"/>
              </w:rPr>
            </w:pPr>
            <w:r>
              <w:rPr>
                <w:rFonts w:ascii="Times New Roman"/>
                <w:sz w:val="18"/>
              </w:rPr>
              <w:t>ZL201410555223.4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6</w:t>
            </w:r>
            <w:r>
              <w:rPr>
                <w:rFonts w:ascii="宋体" w:hAnsi="宋体" w:cs="宋体" w:eastAsia="宋体" w:hint="default"/>
                <w:sz w:val="18"/>
                <w:szCs w:val="18"/>
              </w:rPr>
              <w:t>日</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一种上网数据的云审计方法、系统以及审计路由器</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1" w:right="0"/>
              <w:jc w:val="left"/>
              <w:rPr>
                <w:rFonts w:ascii="Times New Roman" w:hAnsi="Times New Roman" w:cs="Times New Roman" w:eastAsia="Times New Roman" w:hint="default"/>
                <w:sz w:val="18"/>
                <w:szCs w:val="18"/>
              </w:rPr>
            </w:pPr>
            <w:r>
              <w:rPr>
                <w:rFonts w:ascii="Times New Roman"/>
                <w:sz w:val="18"/>
              </w:rPr>
              <w:t>ZL201410584312.1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15</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w:t>
            </w:r>
            <w:r>
              <w:rPr>
                <w:rFonts w:ascii="Times New Roman" w:hAnsi="Times New Roman" w:cs="Times New Roman" w:eastAsia="Times New Roman" w:hint="default"/>
                <w:sz w:val="18"/>
                <w:szCs w:val="18"/>
              </w:rPr>
              <w:t>DNS</w:t>
            </w:r>
            <w:r>
              <w:rPr>
                <w:rFonts w:ascii="宋体" w:hAnsi="宋体" w:cs="宋体" w:eastAsia="宋体" w:hint="default"/>
                <w:sz w:val="18"/>
                <w:szCs w:val="18"/>
              </w:rPr>
              <w:t>关键信息处理方法和系统</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1" w:right="0"/>
              <w:jc w:val="left"/>
              <w:rPr>
                <w:rFonts w:ascii="Times New Roman" w:hAnsi="Times New Roman" w:cs="Times New Roman" w:eastAsia="Times New Roman" w:hint="default"/>
                <w:sz w:val="18"/>
                <w:szCs w:val="18"/>
              </w:rPr>
            </w:pPr>
            <w:r>
              <w:rPr>
                <w:rFonts w:ascii="Times New Roman"/>
                <w:sz w:val="18"/>
              </w:rPr>
              <w:t>ZL201410583420.7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r>
        <w:trPr>
          <w:trHeight w:val="342" w:hRule="exact"/>
        </w:trPr>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16</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发明专利</w:t>
            </w:r>
          </w:p>
        </w:tc>
        <w:tc>
          <w:tcPr>
            <w:tcW w:w="4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一种减少网络审计系统冗余日志的方法和装置</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71" w:right="0"/>
              <w:jc w:val="left"/>
              <w:rPr>
                <w:rFonts w:ascii="Times New Roman" w:hAnsi="Times New Roman" w:cs="Times New Roman" w:eastAsia="Times New Roman" w:hint="default"/>
                <w:sz w:val="18"/>
                <w:szCs w:val="18"/>
              </w:rPr>
            </w:pPr>
            <w:r>
              <w:rPr>
                <w:rFonts w:ascii="Times New Roman"/>
                <w:sz w:val="18"/>
              </w:rPr>
              <w:t>ZL201410594495.5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9"/>
        <w:ind w:left="2966" w:right="0"/>
        <w:jc w:val="left"/>
        <w:rPr>
          <w:b w:val="0"/>
          <w:bCs w:val="0"/>
        </w:rPr>
      </w:pPr>
      <w:bookmarkStart w:name="_TOC_250008" w:id="22"/>
      <w:bookmarkStart w:name="第四节 经营情况讨论与分析" w:id="23"/>
      <w:r>
        <w:rPr>
          <w:b w:val="0"/>
          <w:bCs w:val="0"/>
        </w:rPr>
      </w:r>
      <w:r>
        <w:rPr/>
        <w:t>第四节</w:t>
      </w:r>
      <w:r>
        <w:rPr>
          <w:spacing w:val="-10"/>
        </w:rPr>
        <w:t> </w:t>
      </w:r>
      <w:r>
        <w:rPr/>
        <w:t>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77" w:lineRule="auto" w:before="0"/>
        <w:ind w:left="514" w:right="0" w:hanging="282"/>
        <w:jc w:val="left"/>
      </w:pPr>
      <w:r>
        <w:rPr>
          <w:rFonts w:ascii="宋体" w:hAnsi="宋体" w:cs="宋体" w:eastAsia="宋体" w:hint="default"/>
          <w:b/>
          <w:bCs/>
        </w:rPr>
        <w:t>（一）经营业绩方面</w:t>
      </w:r>
      <w:r>
        <w:rPr>
          <w:rFonts w:ascii="宋体" w:hAnsi="宋体" w:cs="宋体" w:eastAsia="宋体" w:hint="default"/>
          <w:b/>
          <w:bCs/>
          <w:w w:val="99"/>
        </w:rPr>
        <w:t> </w:t>
      </w:r>
      <w:r>
        <w:rPr>
          <w:rFonts w:ascii="宋体" w:hAnsi="宋体" w:cs="宋体" w:eastAsia="宋体" w:hint="default"/>
          <w:spacing w:val="-2"/>
        </w:rPr>
        <w:t>2018</w:t>
      </w:r>
      <w:r>
        <w:rPr>
          <w:spacing w:val="-2"/>
        </w:rPr>
        <w:t>年度，公司按照既定的发展战略，继续聚焦网络安全领域，深耕网络空间数据治理。报告期内公司实现营业总收入</w:t>
      </w:r>
    </w:p>
    <w:p>
      <w:pPr>
        <w:pStyle w:val="BodyText"/>
        <w:spacing w:line="477" w:lineRule="auto" w:before="54"/>
        <w:ind w:right="0"/>
        <w:jc w:val="left"/>
      </w:pPr>
      <w:r>
        <w:rPr>
          <w:rFonts w:ascii="宋体" w:hAnsi="宋体" w:cs="宋体" w:eastAsia="宋体" w:hint="default"/>
          <w:spacing w:val="-2"/>
        </w:rPr>
        <w:t>120,271.43</w:t>
      </w:r>
      <w:r>
        <w:rPr>
          <w:spacing w:val="-2"/>
        </w:rPr>
        <w:t>万元，较去年同期增长</w:t>
      </w:r>
      <w:r>
        <w:rPr>
          <w:rFonts w:ascii="宋体" w:hAnsi="宋体" w:cs="宋体" w:eastAsia="宋体" w:hint="default"/>
          <w:spacing w:val="-2"/>
        </w:rPr>
        <w:t>11.68%</w:t>
      </w:r>
      <w:r>
        <w:rPr>
          <w:spacing w:val="-2"/>
        </w:rPr>
        <w:t>；实现利润总额</w:t>
      </w:r>
      <w:r>
        <w:rPr>
          <w:rFonts w:ascii="宋体" w:hAnsi="宋体" w:cs="宋体" w:eastAsia="宋体" w:hint="default"/>
          <w:spacing w:val="-2"/>
        </w:rPr>
        <w:t>16,126.23</w:t>
      </w:r>
      <w:r>
        <w:rPr>
          <w:spacing w:val="-2"/>
        </w:rPr>
        <w:t>万元，较去年同期下降</w:t>
      </w:r>
      <w:r>
        <w:rPr>
          <w:rFonts w:ascii="宋体" w:hAnsi="宋体" w:cs="宋体" w:eastAsia="宋体" w:hint="default"/>
          <w:spacing w:val="-2"/>
        </w:rPr>
        <w:t>3.57%</w:t>
      </w:r>
      <w:r>
        <w:rPr>
          <w:spacing w:val="-2"/>
        </w:rPr>
        <w:t>；实现归属于母公司股东净</w:t>
      </w:r>
      <w:r>
        <w:rPr>
          <w:spacing w:val="-37"/>
        </w:rPr>
        <w:t> </w:t>
      </w:r>
      <w:r>
        <w:rPr>
          <w:spacing w:val="-37"/>
        </w:rPr>
      </w:r>
      <w:r>
        <w:rPr/>
        <w:t>利润为</w:t>
      </w:r>
      <w:r>
        <w:rPr>
          <w:rFonts w:ascii="宋体" w:hAnsi="宋体" w:cs="宋体" w:eastAsia="宋体" w:hint="default"/>
        </w:rPr>
        <w:t>13,916.54</w:t>
      </w:r>
      <w:r>
        <w:rPr/>
        <w:t>万元，较上年同期下降</w:t>
      </w:r>
      <w:r>
        <w:rPr>
          <w:rFonts w:ascii="宋体" w:hAnsi="宋体" w:cs="宋体" w:eastAsia="宋体" w:hint="default"/>
        </w:rPr>
        <w:t>6.77%</w:t>
      </w:r>
      <w:r>
        <w:rPr/>
        <w:t>。</w:t>
      </w:r>
    </w:p>
    <w:p>
      <w:pPr>
        <w:pStyle w:val="BodyText"/>
        <w:spacing w:line="477" w:lineRule="auto" w:before="54"/>
        <w:ind w:right="1032" w:firstLine="360"/>
        <w:jc w:val="left"/>
      </w:pPr>
      <w:r>
        <w:rPr/>
        <w:t>报告期内，公司营业收入稳定增长，主要系公司网安业务群业务实现稳定增长：全资子公司北京亚鸿继续聚焦</w:t>
      </w:r>
      <w:r>
        <w:rPr>
          <w:rFonts w:ascii="宋体" w:hAnsi="宋体" w:cs="宋体" w:eastAsia="宋体" w:hint="default"/>
        </w:rPr>
        <w:t>IDC</w:t>
      </w:r>
      <w:r>
        <w:rPr/>
        <w:t>安全 </w:t>
      </w:r>
      <w:r>
        <w:rPr>
          <w:spacing w:val="-2"/>
        </w:rPr>
        <w:t>监管和互联网防欺诈业务，收入稳定提升，报告期内北京亚鸿主营业务收入实现</w:t>
      </w:r>
      <w:r>
        <w:rPr>
          <w:rFonts w:ascii="宋体" w:hAnsi="宋体" w:cs="宋体" w:eastAsia="宋体" w:hint="default"/>
          <w:spacing w:val="-2"/>
        </w:rPr>
        <w:t>32,127.82</w:t>
      </w:r>
      <w:r>
        <w:rPr>
          <w:spacing w:val="-2"/>
        </w:rPr>
        <w:t>万元，较去年同期增长了</w:t>
      </w:r>
      <w:r>
        <w:rPr>
          <w:rFonts w:ascii="宋体" w:hAnsi="宋体" w:cs="宋体" w:eastAsia="宋体" w:hint="default"/>
          <w:spacing w:val="-2"/>
        </w:rPr>
        <w:t>37.78%</w:t>
      </w:r>
      <w:r>
        <w:rPr>
          <w:spacing w:val="-2"/>
        </w:rPr>
        <w:t>。</w:t>
      </w:r>
      <w:r>
        <w:rPr>
          <w:spacing w:val="-51"/>
        </w:rPr>
        <w:t> </w:t>
      </w:r>
      <w:r>
        <w:rPr/>
        <w:t>北京亚鸿的</w:t>
      </w:r>
      <w:r>
        <w:rPr>
          <w:rFonts w:ascii="宋体" w:hAnsi="宋体" w:cs="宋体" w:eastAsia="宋体" w:hint="default"/>
        </w:rPr>
        <w:t>IDC</w:t>
      </w:r>
      <w:r>
        <w:rPr/>
        <w:t>安全监管产品仍然是重要贡献产品，但贡献率有所下降，新产品如电信</w:t>
      </w:r>
      <w:r>
        <w:rPr>
          <w:rFonts w:ascii="宋体" w:hAnsi="宋体" w:cs="宋体" w:eastAsia="宋体" w:hint="default"/>
        </w:rPr>
        <w:t>/</w:t>
      </w:r>
      <w:r>
        <w:rPr/>
        <w:t>互联网反欺诈系统、</w:t>
      </w:r>
      <w:r>
        <w:rPr>
          <w:rFonts w:ascii="宋体" w:hAnsi="宋体" w:cs="宋体" w:eastAsia="宋体" w:hint="default"/>
        </w:rPr>
        <w:t>DPI</w:t>
      </w:r>
      <w:r>
        <w:rPr/>
        <w:t>、域名管理 系统、数据核验系统等产品总贡献率达到约</w:t>
      </w:r>
      <w:r>
        <w:rPr>
          <w:rFonts w:ascii="宋体" w:hAnsi="宋体" w:cs="宋体" w:eastAsia="宋体" w:hint="default"/>
        </w:rPr>
        <w:t>40%</w:t>
      </w:r>
      <w:r>
        <w:rPr/>
        <w:t>。</w:t>
      </w:r>
      <w:r>
        <w:rPr>
          <w:rFonts w:ascii="宋体" w:hAnsi="宋体" w:cs="宋体" w:eastAsia="宋体" w:hint="default"/>
        </w:rPr>
        <w:t>2018</w:t>
      </w:r>
      <w:r>
        <w:rPr/>
        <w:t>年</w:t>
      </w:r>
      <w:r>
        <w:rPr>
          <w:rFonts w:ascii="宋体" w:hAnsi="宋体" w:cs="宋体" w:eastAsia="宋体" w:hint="default"/>
        </w:rPr>
        <w:t>12</w:t>
      </w:r>
      <w:r>
        <w:rPr/>
        <w:t>月，亚鸿世纪敏感数据泄露监测系统上线，满足江苏管局考核要 </w:t>
      </w:r>
      <w:r>
        <w:rPr>
          <w:spacing w:val="-2"/>
        </w:rPr>
        <w:t>求，成为全国第一个部署在实际环境下的数据防泄漏产品。公司网络空间舆情治理业务收入稳定增长，报告期内实现营业收</w:t>
      </w:r>
      <w:r>
        <w:rPr>
          <w:spacing w:val="-65"/>
        </w:rPr>
        <w:t> </w:t>
      </w:r>
      <w:r>
        <w:rPr>
          <w:spacing w:val="-65"/>
        </w:rPr>
      </w:r>
      <w:r>
        <w:rPr>
          <w:spacing w:val="-2"/>
        </w:rPr>
        <w:t>入</w:t>
      </w:r>
      <w:r>
        <w:rPr>
          <w:rFonts w:ascii="宋体" w:hAnsi="宋体" w:cs="宋体" w:eastAsia="宋体" w:hint="default"/>
          <w:spacing w:val="-2"/>
        </w:rPr>
        <w:t>23,254.17</w:t>
      </w:r>
      <w:r>
        <w:rPr>
          <w:spacing w:val="-2"/>
        </w:rPr>
        <w:t>万元，较去年同期增长</w:t>
      </w:r>
      <w:r>
        <w:rPr>
          <w:rFonts w:ascii="宋体" w:hAnsi="宋体" w:cs="宋体" w:eastAsia="宋体" w:hint="default"/>
          <w:spacing w:val="-2"/>
        </w:rPr>
        <w:t>104.75%</w:t>
      </w:r>
      <w:r>
        <w:rPr>
          <w:spacing w:val="-2"/>
        </w:rPr>
        <w:t>，主要系公司信安事业部在国内市场取得突破性进展。公司企业网络安全治理业</w:t>
      </w:r>
      <w:r>
        <w:rPr>
          <w:spacing w:val="-51"/>
        </w:rPr>
        <w:t> </w:t>
      </w:r>
      <w:r>
        <w:rPr>
          <w:spacing w:val="-51"/>
        </w:rPr>
      </w:r>
      <w:r>
        <w:rPr>
          <w:spacing w:val="-2"/>
        </w:rPr>
        <w:t>务报告期内实现营业收入</w:t>
      </w:r>
      <w:r>
        <w:rPr>
          <w:rFonts w:ascii="宋体" w:hAnsi="宋体" w:cs="宋体" w:eastAsia="宋体" w:hint="default"/>
          <w:spacing w:val="-2"/>
        </w:rPr>
        <w:t>5,942.43</w:t>
      </w:r>
      <w:r>
        <w:rPr>
          <w:spacing w:val="-2"/>
        </w:rPr>
        <w:t>万元，较去年同期增长</w:t>
      </w:r>
      <w:r>
        <w:rPr>
          <w:rFonts w:ascii="宋体" w:hAnsi="宋体" w:cs="宋体" w:eastAsia="宋体" w:hint="default"/>
          <w:spacing w:val="-2"/>
        </w:rPr>
        <w:t>84.93%</w:t>
      </w:r>
      <w:r>
        <w:rPr>
          <w:spacing w:val="-2"/>
        </w:rPr>
        <w:t>，主要系该业务在部分区域打开了新局面，初步建立了完善</w:t>
      </w:r>
      <w:r>
        <w:rPr>
          <w:spacing w:val="-52"/>
        </w:rPr>
        <w:t> </w:t>
      </w:r>
      <w:r>
        <w:rPr>
          <w:spacing w:val="-52"/>
        </w:rPr>
      </w:r>
      <w:r>
        <w:rPr>
          <w:spacing w:val="-2"/>
        </w:rPr>
        <w:t>的渠道销售体系。公司网络空间违法治理业务因畅销产品市场区域饱和和客户决策流程变化等多方面因素影响，实现营业收</w:t>
      </w:r>
      <w:r>
        <w:rPr>
          <w:spacing w:val="-64"/>
        </w:rPr>
        <w:t> </w:t>
      </w:r>
      <w:r>
        <w:rPr>
          <w:spacing w:val="-64"/>
        </w:rPr>
      </w:r>
      <w:r>
        <w:rPr/>
        <w:t>入</w:t>
      </w:r>
      <w:r>
        <w:rPr>
          <w:rFonts w:ascii="宋体" w:hAnsi="宋体" w:cs="宋体" w:eastAsia="宋体" w:hint="default"/>
        </w:rPr>
        <w:t>25,598.80</w:t>
      </w:r>
      <w:r>
        <w:rPr/>
        <w:t>万元，同比下降</w:t>
      </w:r>
      <w:r>
        <w:rPr>
          <w:rFonts w:ascii="宋体" w:hAnsi="宋体" w:cs="宋体" w:eastAsia="宋体" w:hint="default"/>
        </w:rPr>
        <w:t>12.20%</w:t>
      </w:r>
      <w:r>
        <w:rPr>
          <w:rFonts w:ascii="宋体" w:hAnsi="宋体" w:cs="宋体" w:eastAsia="宋体" w:hint="default"/>
          <w:spacing w:val="-41"/>
        </w:rPr>
        <w:t> </w:t>
      </w:r>
      <w:r>
        <w:rPr/>
        <w:t>，主要系公司特征采集类产品收入下滑，图码联侦等新产品产生收入较少所致。网娱业 务群实现营业收入</w:t>
      </w:r>
      <w:r>
        <w:rPr>
          <w:rFonts w:ascii="宋体" w:hAnsi="宋体" w:cs="宋体" w:eastAsia="宋体" w:hint="default"/>
        </w:rPr>
        <w:t>32,614.66</w:t>
      </w:r>
      <w:r>
        <w:rPr/>
        <w:t>万元，较去年同期下降</w:t>
      </w:r>
      <w:r>
        <w:rPr>
          <w:rFonts w:ascii="宋体" w:hAnsi="宋体" w:cs="宋体" w:eastAsia="宋体" w:hint="default"/>
        </w:rPr>
        <w:t>18.31%</w:t>
      </w:r>
      <w:r>
        <w:rPr/>
        <w:t>，主要系唐人数码收入大幅下滑以及泡椒思志的游戏发行业务收 入下滑所致。</w:t>
      </w:r>
    </w:p>
    <w:p>
      <w:pPr>
        <w:pStyle w:val="BodyText"/>
        <w:spacing w:line="477" w:lineRule="auto" w:before="54"/>
        <w:ind w:right="1132" w:firstLine="360"/>
        <w:jc w:val="both"/>
      </w:pPr>
      <w:r>
        <w:rPr>
          <w:spacing w:val="-2"/>
        </w:rPr>
        <w:t>公司的营业总收入较去年相比稳定增长，但归属于母公司股东净利润却有所下降，主要是因为公司合计计提了商誉减值</w:t>
      </w:r>
      <w:r>
        <w:rPr/>
        <w:t> </w:t>
      </w:r>
      <w:r>
        <w:rPr>
          <w:rFonts w:ascii="宋体" w:hAnsi="宋体" w:cs="宋体" w:eastAsia="宋体" w:hint="default"/>
        </w:rPr>
        <w:t>17,407.17</w:t>
      </w:r>
      <w:r>
        <w:rPr/>
        <w:t>万元。根据《企业会计准则》及公司会计政策等相关规定，本着谨慎性原则，公司及下属子公司对商誉等资产进 </w:t>
      </w:r>
      <w:r>
        <w:rPr>
          <w:spacing w:val="-2"/>
        </w:rPr>
        <w:t>行了全面充分的清查、分析和评估，管理层通过对各子公司业务历史回顾、现状分析、未来预测，在必要的情况下利用了外</w:t>
      </w:r>
      <w:r>
        <w:rPr>
          <w:spacing w:val="-66"/>
        </w:rPr>
        <w:t> </w:t>
      </w:r>
      <w:r>
        <w:rPr>
          <w:spacing w:val="-66"/>
        </w:rPr>
      </w:r>
      <w:r>
        <w:rPr/>
        <w:t>部评估专家的工作，对 </w:t>
      </w:r>
      <w:r>
        <w:rPr>
          <w:rFonts w:ascii="宋体" w:hAnsi="宋体" w:cs="宋体" w:eastAsia="宋体" w:hint="default"/>
        </w:rPr>
        <w:t>2018</w:t>
      </w:r>
      <w:r>
        <w:rPr/>
        <w:t>年度 </w:t>
      </w:r>
      <w:r>
        <w:rPr>
          <w:rFonts w:ascii="宋体" w:hAnsi="宋体" w:cs="宋体" w:eastAsia="宋体" w:hint="default"/>
        </w:rPr>
        <w:t>12 </w:t>
      </w:r>
      <w:r>
        <w:rPr/>
        <w:t>月 </w:t>
      </w:r>
      <w:r>
        <w:rPr>
          <w:rFonts w:ascii="宋体" w:hAnsi="宋体" w:cs="宋体" w:eastAsia="宋体" w:hint="default"/>
        </w:rPr>
        <w:t>31 </w:t>
      </w:r>
      <w:r>
        <w:rPr/>
        <w:t>日合并会计报表范围内相关商誉进行了减值测试，分别编制了《商誉减值测试 报告》，汇总编制了《</w:t>
      </w:r>
      <w:r>
        <w:rPr>
          <w:rFonts w:ascii="宋体" w:hAnsi="宋体" w:cs="宋体" w:eastAsia="宋体" w:hint="default"/>
        </w:rPr>
        <w:t>2018</w:t>
      </w:r>
      <w:r>
        <w:rPr/>
        <w:t>年度计提商誉减值准备专项报告》。</w:t>
      </w:r>
    </w:p>
    <w:p>
      <w:pPr>
        <w:pStyle w:val="BodyText"/>
        <w:spacing w:line="240" w:lineRule="auto" w:before="54"/>
        <w:ind w:left="514" w:right="0"/>
        <w:jc w:val="left"/>
      </w:pPr>
      <w:r>
        <w:rPr/>
        <w:t>减值测试结果表明，在 </w:t>
      </w:r>
      <w:r>
        <w:rPr>
          <w:rFonts w:ascii="宋体" w:hAnsi="宋体" w:cs="宋体" w:eastAsia="宋体" w:hint="default"/>
        </w:rPr>
        <w:t>2018</w:t>
      </w:r>
      <w:r>
        <w:rPr/>
        <w:t>年 </w:t>
      </w:r>
      <w:r>
        <w:rPr>
          <w:rFonts w:ascii="宋体" w:hAnsi="宋体" w:cs="宋体" w:eastAsia="宋体" w:hint="default"/>
        </w:rPr>
        <w:t>12 </w:t>
      </w:r>
      <w:r>
        <w:rPr/>
        <w:t>月 </w:t>
      </w:r>
      <w:r>
        <w:rPr>
          <w:rFonts w:ascii="宋体" w:hAnsi="宋体" w:cs="宋体" w:eastAsia="宋体" w:hint="default"/>
        </w:rPr>
        <w:t>31 </w:t>
      </w:r>
      <w:r>
        <w:rPr/>
        <w:t>日，公司需要计提商誉减值准备</w:t>
      </w:r>
      <w:r>
        <w:rPr>
          <w:rFonts w:ascii="宋体" w:hAnsi="宋体" w:cs="宋体" w:eastAsia="宋体" w:hint="default"/>
        </w:rPr>
        <w:t>17,407.17</w:t>
      </w:r>
      <w:r>
        <w:rPr/>
        <w:t>万元，其中：唐人数码商誉减值</w:t>
      </w:r>
    </w:p>
    <w:p>
      <w:pPr>
        <w:spacing w:line="240" w:lineRule="auto" w:before="10"/>
        <w:rPr>
          <w:rFonts w:ascii="宋体" w:hAnsi="宋体" w:cs="宋体" w:eastAsia="宋体" w:hint="default"/>
          <w:sz w:val="17"/>
          <w:szCs w:val="17"/>
        </w:rPr>
      </w:pPr>
    </w:p>
    <w:p>
      <w:pPr>
        <w:pStyle w:val="BodyText"/>
        <w:spacing w:line="477" w:lineRule="auto" w:before="0"/>
        <w:ind w:right="1212"/>
        <w:jc w:val="left"/>
      </w:pPr>
      <w:r>
        <w:rPr>
          <w:rFonts w:ascii="宋体" w:hAnsi="宋体" w:cs="宋体" w:eastAsia="宋体" w:hint="default"/>
        </w:rPr>
        <w:t>1,1130.36</w:t>
      </w:r>
      <w:r>
        <w:rPr/>
        <w:t>万元，泡椒思志商誉减值</w:t>
      </w:r>
      <w:r>
        <w:rPr>
          <w:rFonts w:ascii="宋体" w:hAnsi="宋体" w:cs="宋体" w:eastAsia="宋体" w:hint="default"/>
        </w:rPr>
        <w:t>6,276.81</w:t>
      </w:r>
      <w:r>
        <w:rPr/>
        <w:t>万元。本次商誉计提减值准备计入公司 </w:t>
      </w:r>
      <w:r>
        <w:rPr>
          <w:rFonts w:ascii="宋体" w:hAnsi="宋体" w:cs="宋体" w:eastAsia="宋体" w:hint="default"/>
        </w:rPr>
        <w:t>2018 </w:t>
      </w:r>
      <w:r>
        <w:rPr/>
        <w:t>年度合并损益，导致公司 </w:t>
      </w:r>
      <w:r>
        <w:rPr>
          <w:rFonts w:ascii="宋体" w:hAnsi="宋体" w:cs="宋体" w:eastAsia="宋体" w:hint="default"/>
        </w:rPr>
        <w:t>2018 </w:t>
      </w:r>
      <w:r>
        <w:rPr/>
        <w:t>年度合并报表归属于上市公司股东的净利润减少</w:t>
      </w:r>
      <w:r>
        <w:rPr>
          <w:rFonts w:ascii="宋体" w:hAnsi="宋体" w:cs="宋体" w:eastAsia="宋体" w:hint="default"/>
        </w:rPr>
        <w:t>17,407.17</w:t>
      </w:r>
      <w:r>
        <w:rPr/>
        <w:t>万元。</w:t>
      </w:r>
    </w:p>
    <w:p>
      <w:pPr>
        <w:pStyle w:val="BodyText"/>
        <w:spacing w:line="477" w:lineRule="auto" w:before="54"/>
        <w:ind w:right="0" w:firstLine="360"/>
        <w:jc w:val="left"/>
      </w:pPr>
      <w:r>
        <w:rPr>
          <w:spacing w:val="-2"/>
        </w:rPr>
        <w:t>本次计提相关商誉减值准备是基于会计谨慎性原则而做出的，依据充分，计提商誉减值准备后，能够公允地反映了公司</w:t>
      </w:r>
      <w:r>
        <w:rPr/>
        <w:t> 资产状况，使公司关于资产价值的会计信息更加真实可靠，更具合理性。</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before="0"/>
        <w:ind w:right="1029"/>
        <w:jc w:val="left"/>
      </w:pPr>
      <w:r>
        <w:rPr>
          <w:rFonts w:ascii="宋体" w:hAnsi="宋体" w:cs="宋体" w:eastAsia="宋体" w:hint="default"/>
          <w:spacing w:val="-3"/>
        </w:rPr>
        <w:t>2018</w:t>
      </w:r>
      <w:r>
        <w:rPr>
          <w:spacing w:val="-3"/>
        </w:rPr>
        <w:t>年</w:t>
      </w:r>
      <w:r>
        <w:rPr>
          <w:rFonts w:ascii="宋体" w:hAnsi="宋体" w:cs="宋体" w:eastAsia="宋体" w:hint="default"/>
          <w:spacing w:val="-3"/>
        </w:rPr>
        <w:t>10</w:t>
      </w:r>
      <w:r>
        <w:rPr>
          <w:spacing w:val="-3"/>
        </w:rPr>
        <w:t>月</w:t>
      </w:r>
      <w:r>
        <w:rPr>
          <w:rFonts w:ascii="宋体" w:hAnsi="宋体" w:cs="宋体" w:eastAsia="宋体" w:hint="default"/>
          <w:spacing w:val="-3"/>
        </w:rPr>
        <w:t>19</w:t>
      </w:r>
      <w:r>
        <w:rPr>
          <w:spacing w:val="-3"/>
        </w:rPr>
        <w:t>日，公司第三届董事会第二十七次会议审议通过了《关于授权公司管理层择机处置可供出售金融资产的议案》，</w:t>
      </w:r>
      <w:r>
        <w:rPr>
          <w:spacing w:val="-87"/>
        </w:rPr>
        <w:t> </w:t>
      </w:r>
      <w:r>
        <w:rPr>
          <w:spacing w:val="-87"/>
        </w:rPr>
      </w:r>
      <w:r>
        <w:rPr>
          <w:spacing w:val="-2"/>
        </w:rPr>
        <w:t>同意授权公司管理层根据市场情况和经营需要，择机处置公司持有的可供出售金融资产中新赛克的全部股份，该事项已经公</w:t>
      </w:r>
      <w:r>
        <w:rPr>
          <w:spacing w:val="-64"/>
        </w:rPr>
        <w:t> </w:t>
      </w:r>
      <w:r>
        <w:rPr>
          <w:spacing w:val="-64"/>
        </w:rPr>
      </w:r>
      <w:r>
        <w:rPr/>
        <w:t>司</w:t>
      </w:r>
      <w:r>
        <w:rPr>
          <w:rFonts w:ascii="宋体" w:hAnsi="宋体" w:cs="宋体" w:eastAsia="宋体" w:hint="default"/>
        </w:rPr>
        <w:t>2018</w:t>
      </w:r>
      <w:r>
        <w:rPr/>
        <w:t>年第二次临时股东大会审议通过。截至</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日，公司通过集中竞价、大宗交易方式累计减持中新赛克股份 </w:t>
      </w:r>
      <w:r>
        <w:rPr>
          <w:rFonts w:ascii="宋体" w:hAnsi="宋体" w:cs="宋体" w:eastAsia="宋体" w:hint="default"/>
        </w:rPr>
        <w:t>261.7201</w:t>
      </w:r>
      <w:r>
        <w:rPr/>
        <w:t>万股，扣除成本后累计可获得投资收益</w:t>
      </w:r>
      <w:r>
        <w:rPr>
          <w:rFonts w:ascii="宋体" w:hAnsi="宋体" w:cs="宋体" w:eastAsia="宋体" w:hint="default"/>
        </w:rPr>
        <w:t>1.47</w:t>
      </w:r>
      <w:r>
        <w:rPr/>
        <w:t>亿元，计入当期非经常性损益。 泡椒思志在业绩承诺期间内各年度净利润如下：</w:t>
      </w:r>
      <w:r>
        <w:rPr>
          <w:rFonts w:ascii="宋体" w:hAnsi="宋体" w:cs="宋体" w:eastAsia="宋体" w:hint="default"/>
        </w:rPr>
        <w:t>2017</w:t>
      </w:r>
      <w:r>
        <w:rPr/>
        <w:t>年度不低于</w:t>
      </w:r>
      <w:r>
        <w:rPr>
          <w:rFonts w:ascii="宋体" w:hAnsi="宋体" w:cs="宋体" w:eastAsia="宋体" w:hint="default"/>
        </w:rPr>
        <w:t>4,000</w:t>
      </w:r>
      <w:r>
        <w:rPr/>
        <w:t>万元，</w:t>
      </w:r>
      <w:r>
        <w:rPr>
          <w:rFonts w:ascii="宋体" w:hAnsi="宋体" w:cs="宋体" w:eastAsia="宋体" w:hint="default"/>
        </w:rPr>
        <w:t>2018</w:t>
      </w:r>
      <w:r>
        <w:rPr/>
        <w:t>年度不低于</w:t>
      </w:r>
      <w:r>
        <w:rPr>
          <w:rFonts w:ascii="宋体" w:hAnsi="宋体" w:cs="宋体" w:eastAsia="宋体" w:hint="default"/>
        </w:rPr>
        <w:t>5,000</w:t>
      </w:r>
      <w:r>
        <w:rPr/>
        <w:t>万元，</w:t>
      </w:r>
      <w:r>
        <w:rPr>
          <w:rFonts w:ascii="宋体" w:hAnsi="宋体" w:cs="宋体" w:eastAsia="宋体" w:hint="default"/>
        </w:rPr>
        <w:t>2019</w:t>
      </w:r>
      <w:r>
        <w:rPr/>
        <w:t>年度不低于 </w:t>
      </w:r>
      <w:r>
        <w:rPr>
          <w:rFonts w:ascii="宋体" w:hAnsi="宋体" w:cs="宋体" w:eastAsia="宋体" w:hint="default"/>
        </w:rPr>
        <w:t>6,000</w:t>
      </w:r>
      <w:r>
        <w:rPr/>
        <w:t>万元，合计不低于</w:t>
      </w:r>
      <w:r>
        <w:rPr>
          <w:rFonts w:ascii="宋体" w:hAnsi="宋体" w:cs="宋体" w:eastAsia="宋体" w:hint="default"/>
        </w:rPr>
        <w:t>15,000</w:t>
      </w:r>
      <w:r>
        <w:rPr/>
        <w:t>万元。</w:t>
      </w:r>
      <w:r>
        <w:rPr>
          <w:rFonts w:ascii="宋体" w:hAnsi="宋体" w:cs="宋体" w:eastAsia="宋体" w:hint="default"/>
        </w:rPr>
        <w:t>2018</w:t>
      </w:r>
      <w:r>
        <w:rPr/>
        <w:t>年泡椒思志扣除非经常性损益后归属于母公司所有者权益的净利润为</w:t>
      </w:r>
      <w:r>
        <w:rPr>
          <w:rFonts w:ascii="宋体" w:hAnsi="宋体" w:cs="宋体" w:eastAsia="宋体" w:hint="default"/>
        </w:rPr>
        <w:t>3,083.83</w:t>
      </w:r>
      <w:r>
        <w:rPr/>
        <w:t>万 元</w:t>
      </w:r>
      <w:r>
        <w:rPr>
          <w:rFonts w:ascii="宋体" w:hAnsi="宋体" w:cs="宋体" w:eastAsia="宋体" w:hint="default"/>
        </w:rPr>
        <w:t>,</w:t>
      </w:r>
      <w:r>
        <w:rPr/>
        <w:t>完成率为</w:t>
      </w:r>
      <w:r>
        <w:rPr>
          <w:rFonts w:ascii="宋体" w:hAnsi="宋体" w:cs="宋体" w:eastAsia="宋体" w:hint="default"/>
        </w:rPr>
        <w:t>61.68%</w:t>
      </w:r>
      <w:r>
        <w:rPr/>
        <w:t>，</w:t>
      </w:r>
      <w:r>
        <w:rPr>
          <w:rFonts w:ascii="宋体" w:hAnsi="宋体" w:cs="宋体" w:eastAsia="宋体" w:hint="default"/>
        </w:rPr>
        <w:t>2018</w:t>
      </w:r>
      <w:r>
        <w:rPr/>
        <w:t>年业绩承诺人应对公司给予的现金补偿</w:t>
      </w:r>
      <w:r>
        <w:rPr>
          <w:rFonts w:ascii="宋体" w:hAnsi="宋体" w:cs="宋体" w:eastAsia="宋体" w:hint="default"/>
        </w:rPr>
        <w:t>5,237.54</w:t>
      </w:r>
      <w:r>
        <w:rPr/>
        <w:t>万元。</w:t>
      </w:r>
    </w:p>
    <w:p>
      <w:pPr>
        <w:spacing w:line="477" w:lineRule="auto" w:before="54"/>
        <w:ind w:left="154" w:right="9042" w:firstLine="0"/>
        <w:jc w:val="left"/>
        <w:rPr>
          <w:rFonts w:ascii="宋体" w:hAnsi="宋体" w:cs="宋体" w:eastAsia="宋体" w:hint="default"/>
          <w:sz w:val="18"/>
          <w:szCs w:val="18"/>
        </w:rPr>
      </w:pPr>
      <w:r>
        <w:rPr>
          <w:rFonts w:ascii="宋体" w:hAnsi="宋体" w:cs="宋体" w:eastAsia="宋体" w:hint="default"/>
          <w:b/>
          <w:bCs/>
          <w:sz w:val="18"/>
          <w:szCs w:val="18"/>
        </w:rPr>
        <w:t>（二）投资方面</w:t>
      </w:r>
      <w:r>
        <w:rPr>
          <w:rFonts w:ascii="宋体" w:hAnsi="宋体" w:cs="宋体" w:eastAsia="宋体" w:hint="default"/>
          <w:b/>
          <w:bCs/>
          <w:w w:val="99"/>
          <w:sz w:val="18"/>
          <w:szCs w:val="18"/>
        </w:rPr>
        <w:t> </w:t>
      </w:r>
      <w:r>
        <w:rPr>
          <w:rFonts w:ascii="宋体" w:hAnsi="宋体" w:cs="宋体" w:eastAsia="宋体" w:hint="default"/>
          <w:sz w:val="18"/>
          <w:szCs w:val="18"/>
        </w:rPr>
        <w:t>1</w:t>
      </w:r>
      <w:r>
        <w:rPr>
          <w:rFonts w:ascii="宋体" w:hAnsi="宋体" w:cs="宋体" w:eastAsia="宋体" w:hint="default"/>
          <w:sz w:val="18"/>
          <w:szCs w:val="18"/>
        </w:rPr>
        <w:t>、设立基金管理公司</w:t>
      </w:r>
    </w:p>
    <w:p>
      <w:pPr>
        <w:pStyle w:val="BodyText"/>
        <w:spacing w:line="477" w:lineRule="auto" w:before="54"/>
        <w:ind w:right="1130" w:firstLine="360"/>
        <w:jc w:val="both"/>
        <w:rPr>
          <w:rFonts w:ascii="宋体" w:hAnsi="宋体" w:cs="宋体" w:eastAsia="宋体" w:hint="default"/>
        </w:rPr>
      </w:pPr>
      <w:r>
        <w:rPr>
          <w:spacing w:val="-2"/>
        </w:rPr>
        <w:t>为充分发挥金融服务实体经济作用，通过市场化、专业化运作，助推深圳战略性新兴产业、未来产业发展，促进产业转</w:t>
      </w:r>
      <w:r>
        <w:rPr>
          <w:spacing w:val="1"/>
        </w:rPr>
        <w:t> </w:t>
      </w:r>
      <w:r>
        <w:rPr>
          <w:spacing w:val="-2"/>
        </w:rPr>
        <w:t>型升级，助力深圳打造创新引领型全球城市，公司与北京国富资本有限公司、丁香汇（北京）投资管理有限公司、共青城国</w:t>
      </w:r>
      <w:r>
        <w:rPr>
          <w:spacing w:val="-68"/>
        </w:rPr>
        <w:t> </w:t>
      </w:r>
      <w:r>
        <w:rPr>
          <w:spacing w:val="-68"/>
        </w:rPr>
      </w:r>
      <w:r>
        <w:rPr>
          <w:spacing w:val="-2"/>
        </w:rPr>
        <w:t>富动能投资管理合伙企业（有限合伙）共同发起设立基金管理公司深圳国富丁香股权投资管理合伙企业（有限合伙），重点</w:t>
      </w:r>
      <w:r>
        <w:rPr>
          <w:spacing w:val="-67"/>
        </w:rPr>
        <w:t> </w:t>
      </w:r>
      <w:r>
        <w:rPr>
          <w:spacing w:val="-67"/>
        </w:rPr>
      </w:r>
      <w:r>
        <w:rPr>
          <w:spacing w:val="-2"/>
        </w:rPr>
        <w:t>投资前沿信息科技领域，包括大数据、人工智能、区块链、信息安全等行业。该有限合伙企业认缴出资总额为人民币</w:t>
      </w:r>
      <w:r>
        <w:rPr>
          <w:spacing w:val="18"/>
        </w:rPr>
        <w:t> </w:t>
      </w:r>
      <w:r>
        <w:rPr>
          <w:rFonts w:ascii="宋体" w:hAnsi="宋体" w:cs="宋体" w:eastAsia="宋体" w:hint="default"/>
        </w:rPr>
        <w:t>1,000</w:t>
      </w:r>
    </w:p>
    <w:p>
      <w:pPr>
        <w:pStyle w:val="BodyText"/>
        <w:spacing w:line="477" w:lineRule="auto" w:before="54"/>
        <w:ind w:right="1032"/>
        <w:jc w:val="left"/>
      </w:pPr>
      <w:r>
        <w:rPr/>
        <w:t>万元，其中公司作为有限合伙人以自有资金出资人民币 </w:t>
      </w:r>
      <w:r>
        <w:rPr>
          <w:rFonts w:ascii="宋体" w:hAnsi="宋体" w:cs="宋体" w:eastAsia="宋体" w:hint="default"/>
        </w:rPr>
        <w:t>300 </w:t>
      </w:r>
      <w:r>
        <w:rPr/>
        <w:t>万元。 </w:t>
      </w:r>
      <w:r>
        <w:rPr>
          <w:rFonts w:ascii="宋体" w:hAnsi="宋体" w:cs="宋体" w:eastAsia="宋体" w:hint="default"/>
          <w:spacing w:val="-6"/>
        </w:rPr>
        <w:t>2</w:t>
      </w:r>
      <w:r>
        <w:rPr>
          <w:spacing w:val="-6"/>
        </w:rPr>
        <w:t>、</w:t>
      </w:r>
      <w:r>
        <w:rPr>
          <w:rFonts w:ascii="宋体" w:hAnsi="宋体" w:cs="宋体" w:eastAsia="宋体" w:hint="default"/>
          <w:spacing w:val="-6"/>
        </w:rPr>
        <w:t>2018</w:t>
      </w:r>
      <w:r>
        <w:rPr>
          <w:spacing w:val="-6"/>
        </w:rPr>
        <w:t>年</w:t>
      </w:r>
      <w:r>
        <w:rPr>
          <w:rFonts w:ascii="宋体" w:hAnsi="宋体" w:cs="宋体" w:eastAsia="宋体" w:hint="default"/>
          <w:spacing w:val="-6"/>
        </w:rPr>
        <w:t>6</w:t>
      </w:r>
      <w:r>
        <w:rPr>
          <w:spacing w:val="-6"/>
        </w:rPr>
        <w:t>月</w:t>
      </w:r>
      <w:r>
        <w:rPr>
          <w:rFonts w:ascii="宋体" w:hAnsi="宋体" w:cs="宋体" w:eastAsia="宋体" w:hint="default"/>
          <w:spacing w:val="-6"/>
        </w:rPr>
        <w:t>30</w:t>
      </w:r>
      <w:r>
        <w:rPr>
          <w:spacing w:val="-6"/>
        </w:rPr>
        <w:t>日，公司与海南省工信厅签署了《海南省工业和信息化厅、任子行网络技术股份有限公司战略合作框架协议》。</w:t>
      </w:r>
      <w:r>
        <w:rPr>
          <w:spacing w:val="-84"/>
        </w:rPr>
        <w:t> </w:t>
      </w:r>
      <w:r>
        <w:rPr>
          <w:spacing w:val="-84"/>
        </w:rPr>
      </w:r>
      <w:r>
        <w:rPr>
          <w:spacing w:val="-2"/>
        </w:rPr>
        <w:t>为推动落实“百亿级人工智能和大数据产业集群”项目工作，海南省工信厅与公司双方本着互利互惠、优势互补、共同发展</w:t>
      </w:r>
      <w:r>
        <w:rPr>
          <w:spacing w:val="-66"/>
        </w:rPr>
        <w:t> </w:t>
      </w:r>
      <w:r>
        <w:rPr>
          <w:spacing w:val="-66"/>
        </w:rPr>
      </w:r>
      <w:r>
        <w:rPr>
          <w:spacing w:val="-2"/>
        </w:rPr>
        <w:t>的原则，在网络内容与行为审计和网络信息解决方案等方面开展紧密合作，经友好协商，达成战略合作框架协议，目前暂无</w:t>
      </w:r>
      <w:r>
        <w:rPr>
          <w:spacing w:val="-66"/>
        </w:rPr>
        <w:t> </w:t>
      </w:r>
      <w:r>
        <w:rPr>
          <w:spacing w:val="-66"/>
        </w:rPr>
      </w:r>
      <w:r>
        <w:rPr/>
        <w:t>实质性项目进展。</w:t>
      </w:r>
    </w:p>
    <w:p>
      <w:pPr>
        <w:pStyle w:val="BodyText"/>
        <w:spacing w:line="477" w:lineRule="auto" w:before="54"/>
        <w:ind w:left="514" w:right="0" w:hanging="360"/>
        <w:jc w:val="left"/>
      </w:pPr>
      <w:r>
        <w:rPr>
          <w:rFonts w:ascii="宋体" w:hAnsi="宋体" w:cs="宋体" w:eastAsia="宋体" w:hint="default"/>
        </w:rPr>
        <w:t>3</w:t>
      </w:r>
      <w:r>
        <w:rPr/>
        <w:t>、成立香港子公司 </w:t>
      </w:r>
      <w:r>
        <w:rPr>
          <w:spacing w:val="-2"/>
        </w:rPr>
        <w:t>基于公司海外业务发展的需求，公司投资</w:t>
      </w:r>
      <w:r>
        <w:rPr>
          <w:rFonts w:ascii="宋体" w:hAnsi="宋体" w:cs="宋体" w:eastAsia="宋体" w:hint="default"/>
          <w:spacing w:val="-2"/>
        </w:rPr>
        <w:t>100</w:t>
      </w:r>
      <w:r>
        <w:rPr>
          <w:spacing w:val="-2"/>
        </w:rPr>
        <w:t>万美元在香港设立全资子公司“任子行網路技術（香港）股份有限公司”。</w:t>
      </w:r>
    </w:p>
    <w:p>
      <w:pPr>
        <w:pStyle w:val="BodyText"/>
        <w:spacing w:line="477" w:lineRule="auto" w:before="54"/>
        <w:ind w:left="514" w:right="1122" w:hanging="360"/>
        <w:jc w:val="left"/>
      </w:pPr>
      <w:r>
        <w:rPr>
          <w:rFonts w:ascii="宋体" w:hAnsi="宋体" w:cs="宋体" w:eastAsia="宋体" w:hint="default"/>
        </w:rPr>
        <w:t>4</w:t>
      </w:r>
      <w:r>
        <w:rPr/>
        <w:t>、产业投资基金进展情况 报告期内，公司参与的产业投资基金进展情况为：信息安全产业基金新增投资项目</w:t>
      </w:r>
      <w:r>
        <w:rPr>
          <w:rFonts w:ascii="宋体" w:hAnsi="宋体" w:cs="宋体" w:eastAsia="宋体" w:hint="default"/>
        </w:rPr>
        <w:t>2</w:t>
      </w:r>
      <w:r>
        <w:rPr/>
        <w:t>个，投资额为</w:t>
      </w:r>
      <w:r>
        <w:rPr>
          <w:rFonts w:ascii="宋体" w:hAnsi="宋体" w:cs="宋体" w:eastAsia="宋体" w:hint="default"/>
        </w:rPr>
        <w:t>4,312.26</w:t>
      </w:r>
      <w:r>
        <w:rPr/>
        <w:t>万元；创稷</w:t>
      </w:r>
    </w:p>
    <w:p>
      <w:pPr>
        <w:pStyle w:val="BodyText"/>
        <w:spacing w:line="477" w:lineRule="auto" w:before="54"/>
        <w:ind w:right="1114"/>
        <w:jc w:val="left"/>
      </w:pPr>
      <w:r>
        <w:rPr/>
        <w:t>投资没有新增投资项目；富海永成追加</w:t>
      </w:r>
      <w:r>
        <w:rPr>
          <w:rFonts w:ascii="宋体" w:hAnsi="宋体" w:cs="宋体" w:eastAsia="宋体" w:hint="default"/>
        </w:rPr>
        <w:t>1</w:t>
      </w:r>
      <w:r>
        <w:rPr/>
        <w:t>个投资项目，投资额为</w:t>
      </w:r>
      <w:r>
        <w:rPr>
          <w:rFonts w:ascii="宋体" w:hAnsi="宋体" w:cs="宋体" w:eastAsia="宋体" w:hint="default"/>
        </w:rPr>
        <w:t>2,900</w:t>
      </w:r>
      <w:r>
        <w:rPr/>
        <w:t>万元。具体内容详见“第五节</w:t>
      </w:r>
      <w:r>
        <w:rPr>
          <w:spacing w:val="-41"/>
        </w:rPr>
        <w:t> </w:t>
      </w:r>
      <w:r>
        <w:rPr/>
        <w:t>重要事项”“十八</w:t>
      </w:r>
      <w:r>
        <w:rPr>
          <w:spacing w:val="-41"/>
        </w:rPr>
        <w:t> </w:t>
      </w:r>
      <w:r>
        <w:rPr/>
        <w:t>其他</w:t>
      </w:r>
      <w:r>
        <w:rPr/>
        <w:t> 重大事项的说明”。</w:t>
      </w:r>
    </w:p>
    <w:p>
      <w:pPr>
        <w:pStyle w:val="BodyText"/>
        <w:spacing w:line="477" w:lineRule="auto" w:before="54"/>
        <w:ind w:right="1133"/>
        <w:jc w:val="both"/>
      </w:pPr>
      <w:r>
        <w:rPr>
          <w:rFonts w:ascii="宋体" w:hAnsi="宋体" w:cs="宋体" w:eastAsia="宋体" w:hint="default"/>
        </w:rPr>
        <w:t>5</w:t>
      </w:r>
      <w:r>
        <w:rPr/>
        <w:t>、</w:t>
      </w:r>
      <w:r>
        <w:rPr>
          <w:rFonts w:ascii="宋体" w:hAnsi="宋体" w:cs="宋体" w:eastAsia="宋体" w:hint="default"/>
        </w:rPr>
        <w:t>2019</w:t>
      </w:r>
      <w:r>
        <w:rPr/>
        <w:t>年</w:t>
      </w:r>
      <w:r>
        <w:rPr>
          <w:rFonts w:ascii="宋体" w:hAnsi="宋体" w:cs="宋体" w:eastAsia="宋体" w:hint="default"/>
        </w:rPr>
        <w:t>2</w:t>
      </w:r>
      <w:r>
        <w:rPr/>
        <w:t>月，公司联合其余</w:t>
      </w:r>
      <w:r>
        <w:rPr>
          <w:rFonts w:ascii="宋体" w:hAnsi="宋体" w:cs="宋体" w:eastAsia="宋体" w:hint="default"/>
        </w:rPr>
        <w:t>14</w:t>
      </w:r>
      <w:r>
        <w:rPr/>
        <w:t>家企业组成联合体成功竞买留仙洞二街坊</w:t>
      </w:r>
      <w:r>
        <w:rPr>
          <w:rFonts w:ascii="宋体" w:hAnsi="宋体" w:cs="宋体" w:eastAsia="宋体" w:hint="default"/>
        </w:rPr>
        <w:t>T501-0096</w:t>
      </w:r>
      <w:r>
        <w:rPr/>
        <w:t>地块国有建设用地使用权。该建设用地 </w:t>
      </w:r>
      <w:r>
        <w:rPr>
          <w:spacing w:val="-2"/>
        </w:rPr>
        <w:t>将作为公司未来办公场地储备资源，满足未来发展对经营用地的需求，为公司员工提供稳定集中的经营办公场所，增强公司</w:t>
      </w:r>
      <w:r>
        <w:rPr>
          <w:spacing w:val="-66"/>
        </w:rPr>
        <w:t> </w:t>
      </w:r>
      <w:r>
        <w:rPr>
          <w:spacing w:val="-66"/>
        </w:rPr>
      </w:r>
      <w:r>
        <w:rPr/>
        <w:t>持续发展能力。</w:t>
      </w:r>
    </w:p>
    <w:p>
      <w:pPr>
        <w:pStyle w:val="BodyText"/>
        <w:spacing w:line="477" w:lineRule="auto" w:before="54"/>
        <w:ind w:right="0"/>
        <w:jc w:val="left"/>
      </w:pPr>
      <w:r>
        <w:rPr>
          <w:rFonts w:ascii="宋体" w:hAnsi="宋体" w:cs="宋体" w:eastAsia="宋体" w:hint="default"/>
          <w:b/>
          <w:bCs/>
        </w:rPr>
        <w:t>（三）公司新增荣誉</w:t>
      </w:r>
      <w:r>
        <w:rPr>
          <w:rFonts w:ascii="宋体" w:hAnsi="宋体" w:cs="宋体" w:eastAsia="宋体" w:hint="default"/>
          <w:b/>
          <w:bCs/>
          <w:w w:val="99"/>
        </w:rPr>
        <w:t> </w:t>
      </w: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1</w:t>
      </w:r>
      <w:r>
        <w:rPr>
          <w:spacing w:val="-2"/>
        </w:rPr>
        <w:t>月，公司获批建设了“网络空间治理技术国家地方联合工程研究中心（深圳）”，实现了近年来公司在国家级重</w:t>
      </w:r>
      <w:r>
        <w:rPr>
          <w:spacing w:val="-59"/>
        </w:rPr>
        <w:t> </w:t>
      </w:r>
      <w:r>
        <w:rPr>
          <w:spacing w:val="-59"/>
        </w:rPr>
      </w:r>
      <w:r>
        <w:rPr>
          <w:spacing w:val="-2"/>
        </w:rPr>
        <w:t>大科技创新平台的重大突破，有助于公司进一步推进产学研合作机制，积极参与和推动国家网络空间安全建设，提升公司的</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before="0"/>
        <w:ind w:right="1124"/>
        <w:jc w:val="left"/>
      </w:pPr>
      <w:r>
        <w:rPr/>
        <w:t>自主创新能力，增强公司核心竞争力，促进公司可持续发展。 </w:t>
      </w:r>
      <w:r>
        <w:rPr>
          <w:rFonts w:ascii="宋体" w:hAnsi="宋体" w:cs="宋体" w:eastAsia="宋体" w:hint="default"/>
          <w:spacing w:val="-1"/>
        </w:rPr>
        <w:t>2</w:t>
      </w:r>
      <w:r>
        <w:rPr>
          <w:spacing w:val="-1"/>
        </w:rPr>
        <w:t>、</w:t>
      </w:r>
      <w:r>
        <w:rPr>
          <w:rFonts w:ascii="宋体" w:hAnsi="宋体" w:cs="宋体" w:eastAsia="宋体" w:hint="default"/>
          <w:spacing w:val="-1"/>
        </w:rPr>
        <w:t>2018</w:t>
      </w:r>
      <w:r>
        <w:rPr>
          <w:spacing w:val="-1"/>
        </w:rPr>
        <w:t>年</w:t>
      </w:r>
      <w:r>
        <w:rPr>
          <w:rFonts w:ascii="宋体" w:hAnsi="宋体" w:cs="宋体" w:eastAsia="宋体" w:hint="default"/>
          <w:spacing w:val="-1"/>
        </w:rPr>
        <w:t>1</w:t>
      </w:r>
      <w:r>
        <w:rPr>
          <w:spacing w:val="-1"/>
        </w:rPr>
        <w:t>月，任子行态势感知系统（网络空间安全态势感知与预警系统</w:t>
      </w:r>
      <w:r>
        <w:rPr>
          <w:rFonts w:ascii="宋体" w:hAnsi="宋体" w:cs="宋体" w:eastAsia="宋体" w:hint="default"/>
          <w:spacing w:val="-1"/>
        </w:rPr>
        <w:t>NSSA</w:t>
      </w:r>
      <w:r>
        <w:rPr>
          <w:rFonts w:ascii="宋体" w:hAnsi="宋体" w:cs="宋体" w:eastAsia="宋体" w:hint="default"/>
          <w:spacing w:val="-29"/>
        </w:rPr>
        <w:t> </w:t>
      </w:r>
      <w:r>
        <w:rPr>
          <w:rFonts w:ascii="宋体" w:hAnsi="宋体" w:cs="宋体" w:eastAsia="宋体" w:hint="default"/>
          <w:spacing w:val="-1"/>
        </w:rPr>
        <w:t>V6.0</w:t>
      </w:r>
      <w:r>
        <w:rPr>
          <w:spacing w:val="-1"/>
        </w:rPr>
        <w:t>）通过</w:t>
      </w:r>
      <w:r>
        <w:rPr>
          <w:rFonts w:ascii="宋体" w:hAnsi="宋体" w:cs="宋体" w:eastAsia="宋体" w:hint="default"/>
          <w:spacing w:val="-1"/>
        </w:rPr>
        <w:t>CNNVD</w:t>
      </w:r>
      <w:r>
        <w:rPr>
          <w:spacing w:val="-1"/>
        </w:rPr>
        <w:t>的兼容性认证，这标志着任</w:t>
      </w:r>
      <w:r>
        <w:rPr>
          <w:spacing w:val="-86"/>
        </w:rPr>
        <w:t> </w:t>
      </w:r>
      <w:r>
        <w:rPr>
          <w:spacing w:val="-86"/>
        </w:rPr>
      </w:r>
      <w:r>
        <w:rPr/>
        <w:t>子行及态势感知系统在获得</w:t>
      </w:r>
      <w:r>
        <w:rPr>
          <w:rFonts w:ascii="宋体" w:hAnsi="宋体" w:cs="宋体" w:eastAsia="宋体" w:hint="default"/>
        </w:rPr>
        <w:t>CNNVD</w:t>
      </w:r>
      <w:r>
        <w:rPr/>
        <w:t>兼容性服务资质同时，其信息安全领域的技术实力得到了国家权威机构的认可。</w:t>
      </w:r>
      <w:r>
        <w:rPr>
          <w:rFonts w:ascii="宋体" w:hAnsi="宋体" w:cs="宋体" w:eastAsia="宋体" w:hint="default"/>
        </w:rPr>
        <w:t>2018</w:t>
      </w:r>
      <w:r>
        <w:rPr/>
        <w:t>年</w:t>
      </w:r>
      <w:r>
        <w:rPr>
          <w:rFonts w:ascii="宋体" w:hAnsi="宋体" w:cs="宋体" w:eastAsia="宋体" w:hint="default"/>
        </w:rPr>
        <w:t>9 </w:t>
      </w:r>
      <w:r>
        <w:rPr/>
        <w:t>月， </w:t>
      </w:r>
      <w:r>
        <w:rPr>
          <w:rFonts w:ascii="宋体" w:hAnsi="宋体" w:cs="宋体" w:eastAsia="宋体" w:hint="default"/>
        </w:rPr>
        <w:t>CNNVD</w:t>
      </w:r>
      <w:r>
        <w:rPr/>
        <w:t>授予公司“中国国家信息安全漏洞库</w:t>
      </w:r>
      <w:r>
        <w:rPr>
          <w:rFonts w:ascii="宋体" w:hAnsi="宋体" w:cs="宋体" w:eastAsia="宋体" w:hint="default"/>
        </w:rPr>
        <w:t>(CNNVD)</w:t>
      </w:r>
      <w:r>
        <w:rPr/>
        <w:t>支撑单位”称号。 </w:t>
      </w:r>
      <w:r>
        <w:rPr>
          <w:rFonts w:ascii="宋体" w:hAnsi="宋体" w:cs="宋体" w:eastAsia="宋体" w:hint="default"/>
        </w:rPr>
        <w:t>3</w:t>
      </w:r>
      <w:r>
        <w:rPr/>
        <w:t>、</w:t>
      </w:r>
      <w:r>
        <w:rPr>
          <w:rFonts w:ascii="宋体" w:hAnsi="宋体" w:cs="宋体" w:eastAsia="宋体" w:hint="default"/>
        </w:rPr>
        <w:t>2018</w:t>
      </w:r>
      <w:r>
        <w:rPr/>
        <w:t>年</w:t>
      </w:r>
      <w:r>
        <w:rPr>
          <w:rFonts w:ascii="宋体" w:hAnsi="宋体" w:cs="宋体" w:eastAsia="宋体" w:hint="default"/>
        </w:rPr>
        <w:t>1</w:t>
      </w:r>
      <w:r>
        <w:rPr/>
        <w:t>月，公司申报的《移动互联网应用审计与综合数据处理平台》项目，荣获</w:t>
      </w:r>
      <w:r>
        <w:rPr>
          <w:rFonts w:ascii="宋体" w:hAnsi="宋体" w:cs="宋体" w:eastAsia="宋体" w:hint="default"/>
        </w:rPr>
        <w:t>2017</w:t>
      </w:r>
      <w:r>
        <w:rPr/>
        <w:t>年度深圳市科技进步奖一等奖。</w:t>
      </w:r>
    </w:p>
    <w:p>
      <w:pPr>
        <w:pStyle w:val="BodyText"/>
        <w:spacing w:line="477" w:lineRule="auto" w:before="54"/>
        <w:ind w:right="1032"/>
        <w:jc w:val="left"/>
      </w:pPr>
      <w:r>
        <w:rPr>
          <w:rFonts w:ascii="宋体" w:hAnsi="宋体" w:cs="宋体" w:eastAsia="宋体" w:hint="default"/>
        </w:rPr>
        <w:t>4</w:t>
      </w:r>
      <w:r>
        <w:rPr/>
        <w:t>、</w:t>
      </w:r>
      <w:r>
        <w:rPr>
          <w:rFonts w:ascii="宋体" w:hAnsi="宋体" w:cs="宋体" w:eastAsia="宋体" w:hint="default"/>
        </w:rPr>
        <w:t>2018</w:t>
      </w:r>
      <w:r>
        <w:rPr/>
        <w:t>年</w:t>
      </w:r>
      <w:r>
        <w:rPr>
          <w:rFonts w:ascii="宋体" w:hAnsi="宋体" w:cs="宋体" w:eastAsia="宋体" w:hint="default"/>
        </w:rPr>
        <w:t>6</w:t>
      </w:r>
      <w:r>
        <w:rPr/>
        <w:t>月，公司通过了</w:t>
      </w:r>
      <w:r>
        <w:rPr>
          <w:rFonts w:ascii="宋体" w:hAnsi="宋体" w:cs="宋体" w:eastAsia="宋体" w:hint="default"/>
        </w:rPr>
        <w:t>CMMI3</w:t>
      </w:r>
      <w:r>
        <w:rPr/>
        <w:t>级评估认证，标志着公司在过程组织能力、软件技术研发能力、项目管理能力、方案交付 能力等方面达到了一个新高度，为公司产品的持续创新和升级奠定了坚实的技术基础，未来将更好的支撑公司业务的发展， 进一步促进公司产品竞争力，增强公司竞争实力。 </w:t>
      </w:r>
      <w:r>
        <w:rPr>
          <w:rFonts w:ascii="宋体" w:hAnsi="宋体" w:cs="宋体" w:eastAsia="宋体" w:hint="default"/>
          <w:spacing w:val="-2"/>
        </w:rPr>
        <w:t>5</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月，公司荣获“信息安全等级保护安全建设服务机构能力评估合格证书”，信息安全等级保护理念和技术保障能</w:t>
      </w:r>
      <w:r>
        <w:rPr>
          <w:spacing w:val="-61"/>
        </w:rPr>
        <w:t> </w:t>
      </w:r>
      <w:r>
        <w:rPr>
          <w:spacing w:val="-61"/>
        </w:rPr>
      </w:r>
      <w:r>
        <w:rPr/>
        <w:t>力获得了国家级权威认可。 </w:t>
      </w:r>
      <w:r>
        <w:rPr>
          <w:rFonts w:ascii="宋体" w:hAnsi="宋体" w:cs="宋体" w:eastAsia="宋体" w:hint="default"/>
          <w:spacing w:val="-5"/>
        </w:rPr>
        <w:t>6</w:t>
      </w:r>
      <w:r>
        <w:rPr>
          <w:spacing w:val="-5"/>
        </w:rPr>
        <w:t>、</w:t>
      </w:r>
      <w:r>
        <w:rPr>
          <w:rFonts w:ascii="宋体" w:hAnsi="宋体" w:cs="宋体" w:eastAsia="宋体" w:hint="default"/>
          <w:spacing w:val="-5"/>
        </w:rPr>
        <w:t>2018</w:t>
      </w:r>
      <w:r>
        <w:rPr>
          <w:spacing w:val="-5"/>
        </w:rPr>
        <w:t>年</w:t>
      </w:r>
      <w:r>
        <w:rPr>
          <w:rFonts w:ascii="宋体" w:hAnsi="宋体" w:cs="宋体" w:eastAsia="宋体" w:hint="default"/>
          <w:spacing w:val="-5"/>
        </w:rPr>
        <w:t>6</w:t>
      </w:r>
      <w:r>
        <w:rPr>
          <w:spacing w:val="-5"/>
        </w:rPr>
        <w:t>月，公司连续第五年入围中央国家机关信息类产品（硬件）和空调产品协议供货采购项目。同时首次实现了</w:t>
      </w:r>
      <w:r>
        <w:rPr>
          <w:spacing w:val="3"/>
        </w:rPr>
        <w:t> </w:t>
      </w:r>
      <w:r>
        <w:rPr>
          <w:rFonts w:ascii="宋体" w:hAnsi="宋体" w:cs="宋体" w:eastAsia="宋体" w:hint="default"/>
        </w:rPr>
        <w:t>12</w:t>
      </w:r>
      <w:r>
        <w:rPr>
          <w:rFonts w:ascii="宋体" w:hAnsi="宋体" w:cs="宋体" w:eastAsia="宋体" w:hint="default"/>
          <w:spacing w:val="3"/>
        </w:rPr>
        <w:t> </w:t>
      </w:r>
      <w:r>
        <w:rPr/>
        <w:t>大</w:t>
      </w:r>
      <w:r>
        <w:rPr>
          <w:spacing w:val="-86"/>
        </w:rPr>
        <w:t> </w:t>
      </w:r>
      <w:r>
        <w:rPr/>
        <w:t>类 </w:t>
      </w:r>
      <w:r>
        <w:rPr>
          <w:rFonts w:ascii="宋体" w:hAnsi="宋体" w:cs="宋体" w:eastAsia="宋体" w:hint="default"/>
        </w:rPr>
        <w:t>36</w:t>
      </w:r>
      <w:r>
        <w:rPr/>
        <w:t>款安全产品全线中标。标志着任子行产品获得了国家权威机构认定，进一步巩固了公司在政府部门的影响力。 </w:t>
      </w:r>
      <w:r>
        <w:rPr>
          <w:rFonts w:ascii="宋体" w:hAnsi="宋体" w:cs="宋体" w:eastAsia="宋体" w:hint="default"/>
        </w:rPr>
        <w:t>7</w:t>
      </w:r>
      <w:r>
        <w:rPr/>
        <w:t>、</w:t>
      </w:r>
      <w:r>
        <w:rPr>
          <w:rFonts w:ascii="宋体" w:hAnsi="宋体" w:cs="宋体" w:eastAsia="宋体" w:hint="default"/>
        </w:rPr>
        <w:t>2018</w:t>
      </w:r>
      <w:r>
        <w:rPr/>
        <w:t>年</w:t>
      </w:r>
      <w:r>
        <w:rPr>
          <w:rFonts w:ascii="宋体" w:hAnsi="宋体" w:cs="宋体" w:eastAsia="宋体" w:hint="default"/>
        </w:rPr>
        <w:t>11</w:t>
      </w:r>
      <w:r>
        <w:rPr/>
        <w:t>月举办的</w:t>
      </w:r>
      <w:r>
        <w:rPr>
          <w:rFonts w:ascii="宋体" w:hAnsi="宋体" w:cs="宋体" w:eastAsia="宋体" w:hint="default"/>
        </w:rPr>
        <w:t>2018</w:t>
      </w:r>
      <w:r>
        <w:rPr/>
        <w:t>广东互联网大会分论坛——</w:t>
      </w:r>
      <w:r>
        <w:rPr>
          <w:rFonts w:ascii="宋体" w:hAnsi="宋体" w:cs="宋体" w:eastAsia="宋体" w:hint="default"/>
        </w:rPr>
        <w:t>2018AI</w:t>
      </w:r>
      <w:r>
        <w:rPr/>
        <w:t>时代的移动应用安全防护分论坛上，凭借</w:t>
      </w:r>
      <w:r>
        <w:rPr>
          <w:rFonts w:ascii="宋体" w:hAnsi="宋体" w:cs="宋体" w:eastAsia="宋体" w:hint="default"/>
        </w:rPr>
        <w:t>2017</w:t>
      </w:r>
      <w:r>
        <w:rPr/>
        <w:t>—</w:t>
      </w:r>
      <w:r>
        <w:rPr>
          <w:rFonts w:ascii="宋体" w:hAnsi="宋体" w:cs="宋体" w:eastAsia="宋体" w:hint="default"/>
        </w:rPr>
        <w:t>2018</w:t>
      </w:r>
      <w:r>
        <w:rPr/>
        <w:t>年度在支 撑</w:t>
      </w:r>
      <w:r>
        <w:rPr>
          <w:rFonts w:ascii="宋体" w:hAnsi="宋体" w:cs="宋体" w:eastAsia="宋体" w:hint="default"/>
        </w:rPr>
        <w:t>CNCERT</w:t>
      </w:r>
      <w:r>
        <w:rPr/>
        <w:t>广东分中心就移动应用监测管理，保障移动应用安全生态，以及 广东省移动互联网应用安全发展联盟平台建设、 </w:t>
      </w:r>
      <w:r>
        <w:rPr>
          <w:spacing w:val="-2"/>
        </w:rPr>
        <w:t>技术分享等领域所做出的积极贡献，公司荣获广东省互联网协会、广东省移动互联网应用安全发展联盟联合颁发的“杰出安</w:t>
      </w:r>
      <w:r>
        <w:rPr>
          <w:spacing w:val="-64"/>
        </w:rPr>
        <w:t> </w:t>
      </w:r>
      <w:r>
        <w:rPr>
          <w:spacing w:val="-64"/>
        </w:rPr>
      </w:r>
      <w:r>
        <w:rPr/>
        <w:t>全企业”荣誉称号。 </w:t>
      </w:r>
      <w:r>
        <w:rPr>
          <w:rFonts w:ascii="宋体" w:hAnsi="宋体" w:cs="宋体" w:eastAsia="宋体" w:hint="default"/>
        </w:rPr>
        <w:t>8</w:t>
      </w:r>
      <w:r>
        <w:rPr/>
        <w:t>、</w:t>
      </w:r>
      <w:r>
        <w:rPr>
          <w:rFonts w:ascii="宋体" w:hAnsi="宋体" w:cs="宋体" w:eastAsia="宋体" w:hint="default"/>
        </w:rPr>
        <w:t>2018</w:t>
      </w:r>
      <w:r>
        <w:rPr/>
        <w:t>年</w:t>
      </w:r>
      <w:r>
        <w:rPr>
          <w:rFonts w:ascii="宋体" w:hAnsi="宋体" w:cs="宋体" w:eastAsia="宋体" w:hint="default"/>
        </w:rPr>
        <w:t>12</w:t>
      </w:r>
      <w:r>
        <w:rPr/>
        <w:t>月，公安部在南宁召开全国互联网企业网络安全管理优秀团队及个人表彰会，凭借“两会”期间安保突出贡献 和网络安全检查工作中的卓越表现，任子行被评为“</w:t>
      </w:r>
      <w:r>
        <w:rPr>
          <w:rFonts w:ascii="宋体" w:hAnsi="宋体" w:cs="宋体" w:eastAsia="宋体" w:hint="default"/>
        </w:rPr>
        <w:t>2018</w:t>
      </w:r>
      <w:r>
        <w:rPr/>
        <w:t>年网络安全管理优秀团队”，任子行一名员工被评选为优秀个人。 </w:t>
      </w:r>
      <w:r>
        <w:rPr>
          <w:rFonts w:ascii="宋体" w:hAnsi="宋体" w:cs="宋体" w:eastAsia="宋体" w:hint="default"/>
        </w:rPr>
        <w:t>9</w:t>
      </w:r>
      <w:r>
        <w:rPr/>
        <w:t>、</w:t>
      </w:r>
      <w:r>
        <w:rPr>
          <w:rFonts w:ascii="宋体" w:hAnsi="宋体" w:cs="宋体" w:eastAsia="宋体" w:hint="default"/>
        </w:rPr>
        <w:t>2019</w:t>
      </w:r>
      <w:r>
        <w:rPr/>
        <w:t>年</w:t>
      </w:r>
      <w:r>
        <w:rPr>
          <w:rFonts w:ascii="宋体" w:hAnsi="宋体" w:cs="宋体" w:eastAsia="宋体" w:hint="default"/>
        </w:rPr>
        <w:t>1</w:t>
      </w:r>
      <w:r>
        <w:rPr/>
        <w:t>月，公司作为主要参研单位、景晓军董事长作为主要参与人完成的“大规模网络安全态势分析关键技术及系统 </w:t>
      </w:r>
      <w:r>
        <w:rPr>
          <w:rFonts w:ascii="宋体" w:hAnsi="宋体" w:cs="宋体" w:eastAsia="宋体" w:hint="default"/>
          <w:spacing w:val="-2"/>
        </w:rPr>
        <w:t>YHSAS</w:t>
      </w:r>
      <w:r>
        <w:rPr>
          <w:spacing w:val="-2"/>
        </w:rPr>
        <w:t>”荣获</w:t>
      </w:r>
      <w:r>
        <w:rPr>
          <w:rFonts w:ascii="宋体" w:hAnsi="宋体" w:cs="宋体" w:eastAsia="宋体" w:hint="default"/>
          <w:spacing w:val="-2"/>
        </w:rPr>
        <w:t>2018</w:t>
      </w:r>
      <w:r>
        <w:rPr>
          <w:spacing w:val="-2"/>
        </w:rPr>
        <w:t>年度国家科学技术进步奖二等奖。公司在研发过程中，与第一完成单位中国人民解放军国防科技大学合作，</w:t>
      </w:r>
      <w:r>
        <w:rPr>
          <w:spacing w:val="-56"/>
        </w:rPr>
        <w:t> </w:t>
      </w:r>
      <w:r>
        <w:rPr>
          <w:spacing w:val="-56"/>
        </w:rPr>
      </w:r>
      <w:r>
        <w:rPr/>
        <w:t>及时对大规模网络安全态势分析关键技术及系统</w:t>
      </w:r>
      <w:r>
        <w:rPr>
          <w:rFonts w:ascii="宋体" w:hAnsi="宋体" w:cs="宋体" w:eastAsia="宋体" w:hint="default"/>
        </w:rPr>
        <w:t>YHSAS</w:t>
      </w:r>
      <w:r>
        <w:rPr/>
        <w:t>进行成果转化，在运营商、网信办、公安行业、通信管理局、教育行 业、军工行业等各行业安全监管部门广泛应用，取得了显著的经济效益和社会效益。</w:t>
      </w:r>
    </w:p>
    <w:p>
      <w:pPr>
        <w:pStyle w:val="BodyText"/>
        <w:spacing w:line="477" w:lineRule="auto" w:before="54"/>
        <w:ind w:left="514" w:right="0" w:hanging="360"/>
        <w:jc w:val="left"/>
      </w:pPr>
      <w:r>
        <w:rPr>
          <w:rFonts w:ascii="宋体" w:hAnsi="宋体" w:cs="宋体" w:eastAsia="宋体" w:hint="default"/>
          <w:b/>
          <w:bCs/>
        </w:rPr>
        <w:t>（四）公司的员工激励</w:t>
      </w:r>
      <w:r>
        <w:rPr>
          <w:rFonts w:ascii="宋体" w:hAnsi="宋体" w:cs="宋体" w:eastAsia="宋体" w:hint="default"/>
          <w:b/>
          <w:bCs/>
          <w:w w:val="99"/>
        </w:rPr>
        <w:t> </w:t>
      </w:r>
      <w:r>
        <w:rPr>
          <w:rFonts w:ascii="宋体" w:hAnsi="宋体" w:cs="宋体" w:eastAsia="宋体" w:hint="default"/>
          <w:spacing w:val="-2"/>
        </w:rPr>
        <w:t>2017</w:t>
      </w:r>
      <w:r>
        <w:rPr>
          <w:spacing w:val="-2"/>
        </w:rPr>
        <w:t>年</w:t>
      </w:r>
      <w:r>
        <w:rPr>
          <w:rFonts w:ascii="宋体" w:hAnsi="宋体" w:cs="宋体" w:eastAsia="宋体" w:hint="default"/>
          <w:spacing w:val="-2"/>
        </w:rPr>
        <w:t>6</w:t>
      </w:r>
      <w:r>
        <w:rPr>
          <w:spacing w:val="-2"/>
        </w:rPr>
        <w:t>月，公司设立员工持股计划，</w:t>
      </w:r>
      <w:r>
        <w:rPr>
          <w:rFonts w:ascii="宋体" w:hAnsi="宋体" w:cs="宋体" w:eastAsia="宋体" w:hint="default"/>
          <w:spacing w:val="-2"/>
        </w:rPr>
        <w:t>2018</w:t>
      </w:r>
      <w:r>
        <w:rPr>
          <w:spacing w:val="-2"/>
        </w:rPr>
        <w:t>年</w:t>
      </w:r>
      <w:r>
        <w:rPr>
          <w:rFonts w:ascii="宋体" w:hAnsi="宋体" w:cs="宋体" w:eastAsia="宋体" w:hint="default"/>
          <w:spacing w:val="-2"/>
        </w:rPr>
        <w:t>9</w:t>
      </w:r>
      <w:r>
        <w:rPr>
          <w:spacing w:val="-2"/>
        </w:rPr>
        <w:t>月，公司员工持股计划所持有的公司股票已全部出售完毕，公司根据员工</w:t>
      </w:r>
    </w:p>
    <w:p>
      <w:pPr>
        <w:pStyle w:val="BodyText"/>
        <w:spacing w:line="477" w:lineRule="auto" w:before="54"/>
        <w:ind w:right="0"/>
        <w:jc w:val="left"/>
      </w:pPr>
      <w:r>
        <w:rPr>
          <w:spacing w:val="-2"/>
        </w:rPr>
        <w:t>持股计划方案的相关规定，进行财产清算和分配工作。景晓军先生以其自有资金向员工持股计划提供</w:t>
      </w:r>
      <w:r>
        <w:rPr>
          <w:rFonts w:ascii="宋体" w:hAnsi="宋体" w:cs="宋体" w:eastAsia="宋体" w:hint="default"/>
          <w:spacing w:val="-2"/>
        </w:rPr>
        <w:t>5000</w:t>
      </w:r>
      <w:r>
        <w:rPr>
          <w:spacing w:val="-2"/>
        </w:rPr>
        <w:t>万元借款，景晓军</w:t>
      </w:r>
      <w:r>
        <w:rPr>
          <w:spacing w:val="-61"/>
        </w:rPr>
        <w:t> </w:t>
      </w:r>
      <w:r>
        <w:rPr>
          <w:spacing w:val="-61"/>
        </w:rPr>
      </w:r>
      <w:r>
        <w:rPr/>
        <w:t>先生对员工出资部分的本金回收提供差额补足。</w:t>
      </w:r>
    </w:p>
    <w:p>
      <w:pPr>
        <w:pStyle w:val="BodyText"/>
        <w:spacing w:line="477" w:lineRule="auto" w:before="54"/>
        <w:ind w:right="1032" w:firstLine="360"/>
        <w:jc w:val="left"/>
      </w:pPr>
      <w:r>
        <w:rPr>
          <w:spacing w:val="-2"/>
        </w:rPr>
        <w:t>为进一步完善公司治理结构，建立、健全公司长效激励机制，完善公司薪酬考核体系，增强公司管理团队和业务骨干对</w:t>
      </w:r>
      <w:r>
        <w:rPr/>
        <w:t> 实现公司持续、健康发展的责任感、使命感，充分调动其积极性，提升公司的核心竞争力，在充分保障股东权益的前提下， </w:t>
      </w:r>
      <w:r>
        <w:rPr>
          <w:spacing w:val="-2"/>
        </w:rPr>
        <w:t>公司推出</w:t>
      </w:r>
      <w:r>
        <w:rPr>
          <w:rFonts w:ascii="宋体" w:hAnsi="宋体" w:cs="宋体" w:eastAsia="宋体" w:hint="default"/>
          <w:spacing w:val="-2"/>
        </w:rPr>
        <w:t>2018</w:t>
      </w:r>
      <w:r>
        <w:rPr>
          <w:spacing w:val="-2"/>
        </w:rPr>
        <w:t>年限制性股票激励计划，授予覆盖</w:t>
      </w:r>
      <w:r>
        <w:rPr>
          <w:rFonts w:ascii="宋体" w:hAnsi="宋体" w:cs="宋体" w:eastAsia="宋体" w:hint="default"/>
          <w:spacing w:val="-2"/>
        </w:rPr>
        <w:t>266</w:t>
      </w:r>
      <w:r>
        <w:rPr>
          <w:spacing w:val="-2"/>
        </w:rPr>
        <w:t>名员工</w:t>
      </w:r>
      <w:r>
        <w:rPr>
          <w:rFonts w:ascii="宋体" w:hAnsi="宋体" w:cs="宋体" w:eastAsia="宋体" w:hint="default"/>
          <w:spacing w:val="-2"/>
        </w:rPr>
        <w:t>1336.0039</w:t>
      </w:r>
      <w:r>
        <w:rPr>
          <w:spacing w:val="-2"/>
        </w:rPr>
        <w:t>万股限制性股票，有效吸引和保留了优秀管理人才和业</w:t>
      </w:r>
      <w:r>
        <w:rPr>
          <w:spacing w:val="-48"/>
        </w:rPr>
        <w:t> </w:t>
      </w:r>
      <w:r>
        <w:rPr>
          <w:spacing w:val="-48"/>
        </w:rPr>
      </w:r>
      <w:r>
        <w:rPr/>
        <w:t>务骨干，有助于进一步建立公司的人力资源优势。</w:t>
      </w:r>
    </w:p>
    <w:p>
      <w:pPr>
        <w:spacing w:after="0" w:line="47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ind w:left="514" w:right="1933" w:hanging="360"/>
        <w:jc w:val="left"/>
      </w:pPr>
      <w:r>
        <w:rPr/>
        <w:t>公司需遵守《深圳证券交易所创业板行业信息披露指引第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报告期内游戏平台新增运营游戏数量为</w:t>
      </w:r>
      <w:r>
        <w:rPr>
          <w:rFonts w:ascii="Times New Roman" w:hAnsi="Times New Roman" w:cs="Times New Roman" w:eastAsia="Times New Roman" w:hint="default"/>
        </w:rPr>
        <w:t>31</w:t>
      </w:r>
      <w:r>
        <w:rPr/>
        <w:t>款，报告期末运营的游戏数量为</w:t>
      </w:r>
      <w:r>
        <w:rPr>
          <w:rFonts w:ascii="Times New Roman" w:hAnsi="Times New Roman" w:cs="Times New Roman" w:eastAsia="Times New Roman" w:hint="default"/>
        </w:rPr>
        <w:t>239</w:t>
      </w:r>
      <w:r>
        <w:rPr/>
        <w:t>款。</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spacing w:line="547" w:lineRule="auto" w:before="0"/>
        <w:ind w:left="154" w:right="647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6"/>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是</w:t>
      </w:r>
    </w:p>
    <w:p>
      <w:pPr>
        <w:pStyle w:val="BodyText"/>
        <w:spacing w:line="240" w:lineRule="auto" w:before="42"/>
        <w:ind w:right="0"/>
        <w:jc w:val="left"/>
      </w:pPr>
      <w:r>
        <w:rPr/>
        <w:t>主要游戏基本情况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85"/>
        <w:gridCol w:w="1090"/>
        <w:gridCol w:w="1088"/>
        <w:gridCol w:w="1090"/>
        <w:gridCol w:w="1088"/>
        <w:gridCol w:w="1090"/>
        <w:gridCol w:w="1013"/>
        <w:gridCol w:w="1013"/>
        <w:gridCol w:w="1013"/>
      </w:tblGrid>
      <w:tr>
        <w:trPr>
          <w:trHeight w:val="1338" w:hRule="exact"/>
        </w:trPr>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游戏类型</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78" w:right="0"/>
              <w:jc w:val="left"/>
              <w:rPr>
                <w:rFonts w:ascii="宋体" w:hAnsi="宋体" w:cs="宋体" w:eastAsia="宋体" w:hint="default"/>
                <w:sz w:val="18"/>
                <w:szCs w:val="18"/>
              </w:rPr>
            </w:pPr>
            <w:r>
              <w:rPr>
                <w:rFonts w:ascii="宋体" w:hAnsi="宋体" w:cs="宋体" w:eastAsia="宋体" w:hint="default"/>
                <w:sz w:val="18"/>
                <w:szCs w:val="18"/>
              </w:rPr>
              <w:t>收费方式</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9"/>
              <w:jc w:val="center"/>
              <w:rPr>
                <w:rFonts w:ascii="宋体" w:hAnsi="宋体" w:cs="宋体" w:eastAsia="宋体" w:hint="default"/>
                <w:sz w:val="18"/>
                <w:szCs w:val="18"/>
              </w:rPr>
            </w:pPr>
            <w:r>
              <w:rPr>
                <w:rFonts w:ascii="宋体" w:hAnsi="宋体" w:cs="宋体" w:eastAsia="宋体" w:hint="default"/>
                <w:sz w:val="18"/>
                <w:szCs w:val="18"/>
              </w:rPr>
              <w:t>收入占游戏 业务收入的 比例</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78"/>
              <w:jc w:val="left"/>
              <w:rPr>
                <w:rFonts w:ascii="宋体" w:hAnsi="宋体" w:cs="宋体" w:eastAsia="宋体" w:hint="default"/>
                <w:sz w:val="18"/>
                <w:szCs w:val="18"/>
              </w:rPr>
            </w:pPr>
            <w:r>
              <w:rPr>
                <w:rFonts w:ascii="宋体" w:hAnsi="宋体" w:cs="宋体" w:eastAsia="宋体" w:hint="default"/>
                <w:sz w:val="18"/>
                <w:szCs w:val="18"/>
              </w:rPr>
              <w:t>推广营销费 用</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推广营销费 用占游戏推 广营销费用 总额的比例</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推广营销费 用占主要游 戏收入总额 的比例</w:t>
            </w:r>
          </w:p>
        </w:tc>
      </w:tr>
      <w:tr>
        <w:trPr>
          <w:trHeight w:val="71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唐人游</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棋牌游戏</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平台运营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39,529,741.7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11.76%</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40,380.98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r>
      <w:tr>
        <w:trPr>
          <w:trHeight w:val="71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青云诀</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ARPG</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联运</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玩家充值</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56,465,871.0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19,351,742.7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14.05%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5.76%</w:t>
            </w:r>
          </w:p>
        </w:tc>
      </w:tr>
      <w:tr>
        <w:trPr>
          <w:trHeight w:val="71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百战天下</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ARPG</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联运</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玩家充值</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51,568,785.0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25,797,735.5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7.67%</w:t>
            </w:r>
          </w:p>
        </w:tc>
      </w:tr>
      <w:tr>
        <w:trPr>
          <w:trHeight w:val="71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剑龙三国</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放置类卡牌</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联运</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玩家充值</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17,098,472.6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7,304,131.13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w:t>
            </w:r>
          </w:p>
        </w:tc>
      </w:tr>
      <w:tr>
        <w:trPr>
          <w:trHeight w:val="714" w:hRule="exact"/>
        </w:trPr>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武动九天</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ARPG</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联运</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玩家充值</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15,303,309.3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11,426,425.3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3.40%</w:t>
            </w:r>
          </w:p>
        </w:tc>
      </w:tr>
    </w:tbl>
    <w:p>
      <w:pPr>
        <w:pStyle w:val="BodyText"/>
        <w:spacing w:line="240" w:lineRule="auto" w:before="51"/>
        <w:ind w:right="0"/>
        <w:jc w:val="left"/>
      </w:pPr>
      <w:r>
        <w:rPr/>
        <w:t>主要游戏分季度运营数据</w:t>
      </w:r>
    </w:p>
    <w:p>
      <w:pPr>
        <w:pStyle w:val="BodyText"/>
        <w:spacing w:line="240" w:lineRule="auto" w:before="117"/>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1"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游戏名称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季度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用户数量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活跃用户数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付费用户数量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ARPU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充值流水</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唐人游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132,008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31,602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15,215,311.14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唐人游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129,949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11,328,676.26</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唐人游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8,709,800.17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唐人游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246,166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13,837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5,301,861.03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青云诀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190,285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1,319,896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171,855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18,327,754.00</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青云诀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131,733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957,800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117,755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11,511,334.00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青云诀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702,657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88,887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10,897,314.00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青云诀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101,327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11,100,693.00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百战天下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437,949.00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百战天下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1,089,962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138,697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14,412,105.00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百战天下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464,932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2,221,587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242,016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27,043,069.20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百战天下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64,235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1,175,977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13,612,185.00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剑龙三国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剑龙三国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26,891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248,152.00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剑龙三国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3,167,659.00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剑龙三国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889,184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14,750,423.20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武动九天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武动九天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武动九天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122,987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293,746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3,507,010.00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武动九天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202,955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1,008,446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3"/>
                <w:sz w:val="18"/>
              </w:rPr>
              <w:t>114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12,113,242.00</w:t>
            </w:r>
          </w:p>
        </w:tc>
      </w:tr>
    </w:tbl>
    <w:p>
      <w:pPr>
        <w:pStyle w:val="BodyText"/>
        <w:spacing w:line="302" w:lineRule="auto" w:before="51"/>
        <w:ind w:right="1118" w:firstLine="420"/>
        <w:jc w:val="left"/>
      </w:pPr>
      <w:r>
        <w:rPr/>
        <w:t>注：用户数量为季度新增注册用户量，活跃用户数为季度登录用户量，</w:t>
      </w:r>
      <w:r>
        <w:rPr>
          <w:rFonts w:ascii="Times New Roman" w:hAnsi="Times New Roman" w:cs="Times New Roman" w:eastAsia="Times New Roman" w:hint="default"/>
        </w:rPr>
        <w:t>ARPU</w:t>
      </w:r>
      <w:r>
        <w:rPr>
          <w:rFonts w:ascii="Times New Roman" w:hAnsi="Times New Roman" w:cs="Times New Roman" w:eastAsia="Times New Roman" w:hint="default"/>
          <w:spacing w:val="-1"/>
        </w:rPr>
        <w:t> </w:t>
      </w:r>
      <w:r>
        <w:rPr/>
        <w:t>值为季度付费总额</w:t>
      </w:r>
      <w:r>
        <w:rPr>
          <w:rFonts w:ascii="Times New Roman" w:hAnsi="Times New Roman" w:cs="Times New Roman" w:eastAsia="Times New Roman" w:hint="default"/>
        </w:rPr>
        <w:t>/</w:t>
      </w:r>
      <w:r>
        <w:rPr/>
        <w:t>付费用户数，充值流 水为季度付费总额。</w:t>
      </w:r>
    </w:p>
    <w:p>
      <w:pPr>
        <w:pStyle w:val="BodyText"/>
        <w:spacing w:line="338" w:lineRule="auto" w:before="69"/>
        <w:ind w:right="166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是</w:t>
      </w: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96"/>
        <w:gridCol w:w="1019"/>
        <w:gridCol w:w="1010"/>
        <w:gridCol w:w="1011"/>
        <w:gridCol w:w="1012"/>
        <w:gridCol w:w="1003"/>
        <w:gridCol w:w="1005"/>
        <w:gridCol w:w="1002"/>
        <w:gridCol w:w="1002"/>
      </w:tblGrid>
      <w:tr>
        <w:trPr>
          <w:trHeight w:val="206"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405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4012"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191" w:hRule="exact"/>
        </w:trPr>
        <w:tc>
          <w:tcPr>
            <w:tcW w:w="1496" w:type="dxa"/>
            <w:vMerge w:val="restart"/>
            <w:tcBorders>
              <w:top w:val="nil" w:sz="6" w:space="0" w:color="auto"/>
              <w:left w:val="single" w:sz="4" w:space="0" w:color="000000"/>
              <w:right w:val="single" w:sz="4" w:space="0" w:color="000000"/>
            </w:tcBorders>
            <w:shd w:val="clear" w:color="auto" w:fill="D2D2D2"/>
          </w:tcPr>
          <w:p>
            <w:pPr/>
          </w:p>
        </w:tc>
        <w:tc>
          <w:tcPr>
            <w:tcW w:w="4052" w:type="dxa"/>
            <w:gridSpan w:val="4"/>
            <w:vMerge/>
            <w:tcBorders>
              <w:left w:val="single" w:sz="4" w:space="0" w:color="000000"/>
              <w:bottom w:val="single" w:sz="4" w:space="0" w:color="000000"/>
              <w:right w:val="single" w:sz="4" w:space="0" w:color="000000"/>
            </w:tcBorders>
            <w:shd w:val="clear" w:color="auto" w:fill="D2D2D2"/>
          </w:tcPr>
          <w:p>
            <w:pPr/>
          </w:p>
        </w:tc>
        <w:tc>
          <w:tcPr>
            <w:tcW w:w="4012"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496" w:type="dxa"/>
            <w:vMerge/>
            <w:tcBorders>
              <w:left w:val="single" w:sz="4" w:space="0" w:color="000000"/>
              <w:bottom w:val="nil" w:sz="6" w:space="0" w:color="auto"/>
              <w:right w:val="single" w:sz="4" w:space="0" w:color="000000"/>
            </w:tcBorders>
            <w:shd w:val="clear" w:color="auto" w:fill="D2D2D2"/>
          </w:tcPr>
          <w:p>
            <w:pPr/>
          </w:p>
        </w:tc>
        <w:tc>
          <w:tcPr>
            <w:tcW w:w="10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35"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6"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9"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1003" w:type="dxa"/>
            <w:vMerge/>
            <w:tcBorders>
              <w:left w:val="single" w:sz="4" w:space="0" w:color="000000"/>
              <w:bottom w:val="single" w:sz="4" w:space="0" w:color="000000"/>
              <w:right w:val="single" w:sz="4" w:space="0" w:color="000000"/>
            </w:tcBorders>
            <w:shd w:val="clear" w:color="auto" w:fill="D2D2D2"/>
          </w:tcPr>
          <w:p>
            <w:pPr/>
          </w:p>
        </w:tc>
        <w:tc>
          <w:tcPr>
            <w:tcW w:w="1005"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c>
          <w:tcPr>
            <w:tcW w:w="100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19"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214,070,386.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334,581,308.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10</w:t>
            </w:r>
          </w:p>
        </w:tc>
        <w:tc>
          <w:tcPr>
            <w:tcW w:w="1011"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295,584,630.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30</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358,477,975.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220,078,426.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26</w:t>
            </w:r>
          </w:p>
        </w:tc>
        <w:tc>
          <w:tcPr>
            <w:tcW w:w="100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239,761,691.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190,545,913.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426,522,033.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r>
      <w:tr>
        <w:trPr>
          <w:trHeight w:val="392" w:hRule="exact"/>
        </w:trPr>
        <w:tc>
          <w:tcPr>
            <w:tcW w:w="14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19" w:type="dxa"/>
            <w:vMerge/>
            <w:tcBorders>
              <w:left w:val="single" w:sz="9" w:space="0" w:color="D2D2D2"/>
              <w:right w:val="single" w:sz="4" w:space="0" w:color="000000"/>
            </w:tcBorders>
          </w:tcPr>
          <w:p>
            <w:pPr/>
          </w:p>
        </w:tc>
        <w:tc>
          <w:tcPr>
            <w:tcW w:w="1010" w:type="dxa"/>
            <w:vMerge/>
            <w:tcBorders>
              <w:left w:val="single" w:sz="4" w:space="0" w:color="000000"/>
              <w:right w:val="single" w:sz="4" w:space="0" w:color="000000"/>
            </w:tcBorders>
          </w:tcPr>
          <w:p>
            <w:pPr/>
          </w:p>
        </w:tc>
        <w:tc>
          <w:tcPr>
            <w:tcW w:w="1011"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5"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r>
      <w:tr>
        <w:trPr>
          <w:trHeight w:val="161" w:hRule="exact"/>
        </w:trPr>
        <w:tc>
          <w:tcPr>
            <w:tcW w:w="14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19" w:type="dxa"/>
            <w:vMerge/>
            <w:tcBorders>
              <w:left w:val="single" w:sz="9" w:space="0" w:color="D2D2D2"/>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1"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5"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r>
      <w:tr>
        <w:trPr>
          <w:trHeight w:val="714"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2"/>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11,541,160.5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63,166,374.2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35,776,734.1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28,681,152.2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10,611,172.0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35,319,680.0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39,248,695.2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64,088,545.1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360" w:lineRule="auto" w:before="51"/>
        <w:ind w:right="-20"/>
        <w:jc w:val="left"/>
      </w:pPr>
      <w:r>
        <w:rPr/>
        <w:t>说明经营季节性（或周期性）发生的原因及波动风险 营业收入整体情况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2" w:equalWidth="0">
            <w:col w:w="4295" w:space="462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600"/>
        <w:gridCol w:w="1589"/>
        <w:gridCol w:w="1600"/>
        <w:gridCol w:w="1583"/>
        <w:gridCol w:w="1601"/>
      </w:tblGrid>
      <w:tr>
        <w:trPr>
          <w:trHeight w:val="205"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0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8" w:type="dxa"/>
            <w:gridSpan w:val="2"/>
            <w:vMerge/>
            <w:tcBorders>
              <w:left w:val="single" w:sz="4" w:space="0" w:color="000000"/>
              <w:bottom w:val="single" w:sz="4" w:space="0" w:color="000000"/>
              <w:right w:val="single" w:sz="4" w:space="0" w:color="000000"/>
            </w:tcBorders>
            <w:shd w:val="clear" w:color="auto" w:fill="D2D2D2"/>
          </w:tcPr>
          <w:p>
            <w:pPr/>
          </w:p>
        </w:tc>
        <w:tc>
          <w:tcPr>
            <w:tcW w:w="3182" w:type="dxa"/>
            <w:gridSpan w:val="2"/>
            <w:vMerge/>
            <w:tcBorders>
              <w:left w:val="single" w:sz="4" w:space="0" w:color="000000"/>
              <w:bottom w:val="single" w:sz="4" w:space="0" w:color="000000"/>
              <w:right w:val="single" w:sz="4" w:space="0" w:color="000000"/>
            </w:tcBorders>
            <w:shd w:val="clear" w:color="auto" w:fill="D2D2D2"/>
          </w:tcPr>
          <w:p>
            <w:pPr/>
          </w:p>
        </w:tc>
        <w:tc>
          <w:tcPr>
            <w:tcW w:w="16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6"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9" w:type="dxa"/>
            <w:vMerge/>
            <w:tcBorders>
              <w:left w:val="single" w:sz="4" w:space="0" w:color="000000"/>
              <w:bottom w:val="single" w:sz="4" w:space="0" w:color="000000"/>
              <w:right w:val="single" w:sz="4" w:space="0" w:color="000000"/>
            </w:tcBorders>
            <w:shd w:val="clear" w:color="auto" w:fill="D2D2D2"/>
          </w:tcPr>
          <w:p>
            <w:pPr/>
          </w:p>
        </w:tc>
        <w:tc>
          <w:tcPr>
            <w:tcW w:w="1600" w:type="dxa"/>
            <w:vMerge/>
            <w:tcBorders>
              <w:left w:val="single" w:sz="4" w:space="0" w:color="000000"/>
              <w:bottom w:val="single" w:sz="4" w:space="0" w:color="000000"/>
              <w:right w:val="single" w:sz="4" w:space="0" w:color="000000"/>
            </w:tcBorders>
            <w:shd w:val="clear" w:color="auto" w:fill="D2D2D2"/>
          </w:tcPr>
          <w:p>
            <w:pPr/>
          </w:p>
        </w:tc>
        <w:tc>
          <w:tcPr>
            <w:tcW w:w="1583" w:type="dxa"/>
            <w:vMerge/>
            <w:tcBorders>
              <w:left w:val="single" w:sz="4" w:space="0" w:color="000000"/>
              <w:bottom w:val="single" w:sz="4" w:space="0" w:color="000000"/>
              <w:right w:val="single" w:sz="4" w:space="0" w:color="000000"/>
            </w:tcBorders>
            <w:shd w:val="clear" w:color="auto" w:fill="D2D2D2"/>
          </w:tcPr>
          <w:p>
            <w:pPr/>
          </w:p>
        </w:tc>
        <w:tc>
          <w:tcPr>
            <w:tcW w:w="160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1,202,714,300.55</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0"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1,076,908,064.59</w:t>
            </w:r>
          </w:p>
        </w:tc>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11.68%</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公共安全</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255,988,019.70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21.28%</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291,561,514.43</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27.07%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59,424,280.13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32,133,597.60</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232,541,712.13</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19.33%</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113,570,969.07</w:t>
            </w:r>
          </w:p>
        </w:tc>
        <w:tc>
          <w:tcPr>
            <w:tcW w:w="1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10.55%</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322,783,262.01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235,692,229.36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326,146,588.97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399,262,504.19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5,830,437.61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4,687,249.94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公共安全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255,988,019.70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291,561,514.43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59,424,280.13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32,133,597.60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232,541,712.13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113,570,969.07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322,783,262.01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235,692,229.36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326,146,588.97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399,262,504.19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5,830,437.61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4,687,249.94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24.39%</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27,619,062.09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36,117,229.26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64,870,505.00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75,791,971.92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300,193,917.90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222,704,909.21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244,288,886.41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227,617,278.98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187,060,282.80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170,390,193.58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144,523,042.70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150,289,385.59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54,899,915.55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72,856,809.34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179,258,688.10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121,140,286.71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2" w:lineRule="auto"/>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是 软件与信息技术服务业</w:t>
      </w:r>
      <w:r>
        <w:rPr>
          <w:rFonts w:ascii="Times New Roman" w:hAnsi="Times New Roman" w:cs="Times New Roman" w:eastAsia="Times New Roman" w:hint="default"/>
        </w:rPr>
        <w:t>;</w:t>
      </w:r>
      <w:r>
        <w:rPr/>
        <w:t>互联网游戏业</w:t>
      </w:r>
    </w:p>
    <w:p>
      <w:pPr>
        <w:pStyle w:val="BodyText"/>
        <w:spacing w:line="240" w:lineRule="auto" w:before="10"/>
        <w:ind w:right="-18"/>
        <w:jc w:val="left"/>
      </w:pPr>
      <w:r>
        <w:rPr/>
        <w:t>公司需遵守《深圳证券交易所行业信息披露指引第</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公共安全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255,988,019.70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162,453,120.21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59,424,280.13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26,396,944.67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232,541,712.13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108,177,754.87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322,783,262.01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160,363,377.41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-3.48%</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326,146,588.97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128,534,685.25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5,830,437.61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1,545,230.61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公共安全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255,988,019.70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162,453,120.21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59,424,280.13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26,396,944.67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232,541,712.13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108,177,754.87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322,783,262.01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160,363,377.41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326,146,588.97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128,534,685.25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5,830,437.61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1,545,230.61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27,619,062.09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7,717,443.02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64,870,505.00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30,669,954.04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300,193,917.90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205,688,053.80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244,288,886.41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67,562,764.63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187,060,282.80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68,374,920.77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144,523,042.70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74,986,054.06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54,899,915.55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26,553,490.53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179,258,688.10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105,918,432.20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2" w:equalWidth="0">
            <w:col w:w="8795" w:space="124"/>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公共安全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255,988,019.70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162,453,120.21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59,424,280.13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26,396,944.67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232,541,712.13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108,177,754.87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322,783,262.01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160,363,377.41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326,146,588.97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128,534,685.25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5,830,437.61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1,545,230.61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公共安全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255,988,019.70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162,453,120.21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59,424,280.13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26,396,944.67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232,541,712.13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108,177,754.87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322,783,262.01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160,363,377.41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326,146,588.97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128,534,685.25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-33.19%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5,830,437.61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1,545,230.61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27,619,062.09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7,717,443.02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64,870,505.00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30,669,954.04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300,193,917.90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205,688,053.80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244,288,886.41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67,562,764.63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187,060,282.80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68,374,920.77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144,523,042.70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74,986,054.06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54,899,915.55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26,553,490.53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-39.80%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179,258,688.10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105,918,432.20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-7.80%</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公共安全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162,453,120.21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154,832,736.32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26,396,944.67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15,344,239.85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72.03%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108,177,754.87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47,885,684.43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125.91%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160,363,377.41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108,894,791.96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128,534,685.25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192,396,022.70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36.94%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-33.19%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1,545,230.61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1,453,198.79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6.33%</w:t>
            </w:r>
          </w:p>
        </w:tc>
      </w:tr>
    </w:tbl>
    <w:p>
      <w:pPr>
        <w:pStyle w:val="BodyText"/>
        <w:spacing w:line="240" w:lineRule="auto" w:before="51"/>
        <w:ind w:right="0"/>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公共安全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162,453,120.21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154,832,736.32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26,396,944.67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15,344,239.85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72.03%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108,177,754.87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47,885,684.43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125.91%</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160,363,377.41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108,894,791.96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47.26%</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文化娱乐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分成及信息服务 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128,534,685.25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192,396,022.70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-33.19%</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1,545,230.61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1,453,198.79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6.33%</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587,471,113.02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520,806,674.05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316" w:lineRule="auto" w:before="101"/>
        <w:ind w:right="0" w:firstLine="360"/>
        <w:jc w:val="left"/>
      </w:pPr>
      <w:r>
        <w:rPr>
          <w:spacing w:val="-2"/>
        </w:rPr>
        <w:t>的子公司：深圳市任知聚科技有限公司、北京任子行网络安全技术有限公司。本期因失去控制权，不再合并的子公司包</w:t>
      </w:r>
      <w:r>
        <w:rPr/>
        <w:t> 括：惠州市任网安科技发展有限公司、武汉任子行软件技术有限公司。</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191,888,333.50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15.99%</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49,916,034.55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38,689,416.60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38,798,793.10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36,441,900.00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28,042,189.25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191,888,333.50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15.95%</w:t>
            </w:r>
          </w:p>
        </w:tc>
      </w:tr>
    </w:tbl>
    <w:p>
      <w:pPr>
        <w:pStyle w:val="BodyText"/>
        <w:spacing w:line="240" w:lineRule="auto" w:before="51"/>
        <w:ind w:right="0"/>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after="0" w:line="338"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84,141,556.50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14.32%</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47,347,868.55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11,537,277.20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10,989,081.20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7,789,311.06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6,478,018.49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84,141,556.50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14.32%</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225,965,368.06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0" w:right="0"/>
              <w:jc w:val="left"/>
              <w:rPr>
                <w:rFonts w:ascii="Times New Roman" w:hAnsi="Times New Roman" w:cs="Times New Roman" w:eastAsia="Times New Roman" w:hint="default"/>
                <w:sz w:val="18"/>
                <w:szCs w:val="18"/>
              </w:rPr>
            </w:pPr>
            <w:r>
              <w:rPr>
                <w:rFonts w:ascii="Times New Roman"/>
                <w:sz w:val="18"/>
              </w:rPr>
              <w:t>168,384,715.54</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34.20%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主要系销售人员人力成本及信息技 术服务费增加所致。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2" w:right="0"/>
              <w:jc w:val="left"/>
              <w:rPr>
                <w:rFonts w:ascii="Times New Roman" w:hAnsi="Times New Roman" w:cs="Times New Roman" w:eastAsia="Times New Roman" w:hint="default"/>
                <w:sz w:val="18"/>
                <w:szCs w:val="18"/>
              </w:rPr>
            </w:pPr>
            <w:r>
              <w:rPr>
                <w:rFonts w:ascii="Times New Roman"/>
                <w:sz w:val="18"/>
              </w:rPr>
              <w:t>123,206,762.43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87,299,606.48</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41.13%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主要系管理人员人工成本及股权激 励费用摊销增加所致。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6,780,035.82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4,240,228.10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73" w:right="0"/>
              <w:jc w:val="left"/>
              <w:rPr>
                <w:rFonts w:ascii="Times New Roman" w:hAnsi="Times New Roman" w:cs="Times New Roman" w:eastAsia="Times New Roman" w:hint="default"/>
                <w:sz w:val="18"/>
                <w:szCs w:val="18"/>
              </w:rPr>
            </w:pPr>
            <w:r>
              <w:rPr>
                <w:rFonts w:ascii="Times New Roman"/>
                <w:sz w:val="18"/>
              </w:rPr>
              <w:t>59.90%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主要系利息支出增加所致。</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168,506,692.84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136,866,039.64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主要系研发人员人工成本增加所致。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both"/>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412" w:lineRule="auto" w:before="0"/>
        <w:ind w:left="444" w:right="1102"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研发能力是保持企业核心竞争优势的重要因素之一，公司一贯高度重视技术研发，不断提升研发综合实力。报告期内，</w:t>
      </w:r>
    </w:p>
    <w:p>
      <w:pPr>
        <w:pStyle w:val="BodyText"/>
        <w:spacing w:line="477" w:lineRule="auto" w:before="103"/>
        <w:ind w:right="1131"/>
        <w:jc w:val="both"/>
      </w:pPr>
      <w:r>
        <w:rPr>
          <w:spacing w:val="-1"/>
        </w:rPr>
        <w:t>公司研发投入为</w:t>
      </w:r>
      <w:r>
        <w:rPr>
          <w:rFonts w:ascii="宋体" w:hAnsi="宋体" w:cs="宋体" w:eastAsia="宋体" w:hint="default"/>
          <w:spacing w:val="-1"/>
        </w:rPr>
        <w:t>16,850.67</w:t>
      </w:r>
      <w:r>
        <w:rPr>
          <w:spacing w:val="-1"/>
        </w:rPr>
        <w:t>万元，同比上涨</w:t>
      </w:r>
      <w:r>
        <w:rPr>
          <w:rFonts w:ascii="宋体" w:hAnsi="宋体" w:cs="宋体" w:eastAsia="宋体" w:hint="default"/>
          <w:spacing w:val="-1"/>
        </w:rPr>
        <w:t>23.12%</w:t>
      </w:r>
      <w:r>
        <w:rPr>
          <w:spacing w:val="-1"/>
        </w:rPr>
        <w:t>，占公司营业收入的</w:t>
      </w:r>
      <w:r>
        <w:rPr>
          <w:rFonts w:ascii="宋体" w:hAnsi="宋体" w:cs="宋体" w:eastAsia="宋体" w:hint="default"/>
          <w:spacing w:val="-1"/>
        </w:rPr>
        <w:t>14.01%</w:t>
      </w:r>
      <w:r>
        <w:rPr>
          <w:spacing w:val="-1"/>
        </w:rPr>
        <w:t>。</w:t>
      </w:r>
      <w:r>
        <w:rPr>
          <w:spacing w:val="-6"/>
        </w:rPr>
        <w:t> </w:t>
      </w:r>
      <w:r>
        <w:rPr>
          <w:spacing w:val="-2"/>
        </w:rPr>
        <w:t>在移动安全领域，公司独立设立移动应用监</w:t>
      </w:r>
      <w:r>
        <w:rPr>
          <w:spacing w:val="-88"/>
        </w:rPr>
        <w:t> </w:t>
      </w:r>
      <w:r>
        <w:rPr>
          <w:spacing w:val="-88"/>
        </w:rPr>
      </w:r>
      <w:r>
        <w:rPr>
          <w:spacing w:val="-2"/>
        </w:rPr>
        <w:t>管产品中心，立项移动互联网应用安全管理平台项目，为移动互联网安全监管部门提供一个可视化应用市场以及移动应用安</w:t>
      </w:r>
      <w:r>
        <w:rPr>
          <w:spacing w:val="-64"/>
        </w:rPr>
        <w:t> </w:t>
      </w:r>
      <w:r>
        <w:rPr>
          <w:spacing w:val="-64"/>
        </w:rPr>
      </w:r>
      <w:r>
        <w:rPr/>
        <w:t>全监管平台，以及时发现恶意</w:t>
      </w:r>
      <w:r>
        <w:rPr>
          <w:rFonts w:ascii="宋体" w:hAnsi="宋体" w:cs="宋体" w:eastAsia="宋体" w:hint="default"/>
        </w:rPr>
        <w:t>APP</w:t>
      </w:r>
      <w:r>
        <w:rPr/>
        <w:t>和制作发布人信息，并提供相应措施规避风险发生；在企业审计领域，公司设立网络审计 产品中心，并立项</w:t>
      </w:r>
      <w:r>
        <w:rPr>
          <w:rFonts w:ascii="宋体" w:hAnsi="宋体" w:cs="宋体" w:eastAsia="宋体" w:hint="default"/>
        </w:rPr>
        <w:t>SURF-SA-BA v3.0</w:t>
      </w:r>
      <w:r>
        <w:rPr/>
        <w:t>项目，为面向企业、教育，配套上网行为管理和网络安全审计设备，提供集中式日志安 全审计和</w:t>
      </w:r>
      <w:r>
        <w:rPr>
          <w:rFonts w:ascii="宋体" w:hAnsi="宋体" w:cs="宋体" w:eastAsia="宋体" w:hint="default"/>
        </w:rPr>
        <w:t>UBA</w:t>
      </w:r>
      <w:r>
        <w:rPr/>
        <w:t>分析功能的软件产品；同时立项</w:t>
      </w:r>
      <w:r>
        <w:rPr>
          <w:rFonts w:ascii="宋体" w:hAnsi="宋体" w:cs="宋体" w:eastAsia="宋体" w:hint="default"/>
        </w:rPr>
        <w:t>SAG</w:t>
      </w:r>
      <w:r>
        <w:rPr/>
        <w:t>项目</w:t>
      </w:r>
      <w:r>
        <w:rPr>
          <w:rFonts w:ascii="宋体" w:hAnsi="宋体" w:cs="宋体" w:eastAsia="宋体" w:hint="default"/>
        </w:rPr>
        <w:t>V2.0</w:t>
      </w:r>
      <w:r>
        <w:rPr/>
        <w:t>项目，为等保</w:t>
      </w:r>
      <w:r>
        <w:rPr>
          <w:rFonts w:ascii="宋体" w:hAnsi="宋体" w:cs="宋体" w:eastAsia="宋体" w:hint="default"/>
        </w:rPr>
        <w:t>2.0</w:t>
      </w:r>
      <w:r>
        <w:rPr/>
        <w:t>的到来，打造国产化自主可控的硬件网关设备。</w:t>
      </w:r>
    </w:p>
    <w:p>
      <w:pPr>
        <w:pStyle w:val="BodyText"/>
        <w:spacing w:line="240" w:lineRule="auto" w:before="95"/>
        <w:ind w:right="0"/>
        <w:jc w:val="both"/>
      </w:pPr>
      <w:r>
        <w:rPr/>
        <w:t>近三年公司研发投入金额及占营业收入的比例</w:t>
      </w:r>
    </w:p>
    <w:p>
      <w:pPr>
        <w:spacing w:after="0" w:line="240" w:lineRule="auto"/>
        <w:jc w:val="both"/>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645</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56.83%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168,506,692.84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136,866,039.64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77,137,478.20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1,688,345.19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18"/>
        <w:jc w:val="left"/>
      </w:pPr>
      <w:r>
        <w:rPr/>
        <w:t>研发投入总额占营业收入的比重较上年发生显著变化的原因</w:t>
      </w:r>
    </w:p>
    <w:p>
      <w:pPr>
        <w:pStyle w:val="BodyText"/>
        <w:spacing w:line="338" w:lineRule="auto" w:before="117"/>
        <w:ind w:right="49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58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left="-32" w:right="0"/>
        <w:jc w:val="left"/>
      </w:pPr>
      <w:r>
        <w:rPr/>
        <w:t>单位：元</w:t>
      </w:r>
    </w:p>
    <w:p>
      <w:pPr>
        <w:spacing w:after="0" w:line="240" w:lineRule="auto"/>
        <w:jc w:val="left"/>
        <w:sectPr>
          <w:type w:val="continuous"/>
          <w:pgSz w:w="11910" w:h="16840"/>
          <w:pgMar w:top="1060" w:bottom="1160" w:left="980" w:right="0"/>
          <w:cols w:num="2" w:equalWidth="0">
            <w:col w:w="9065" w:space="40"/>
            <w:col w:w="1825"/>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1,315,742,892.08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1,288,850,421.42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1,385,613,519.02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1,087,227,687.41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-69,870,626.94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201,622,734.01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-134.65%</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437,538,949.89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241,015,628.27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81.54%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393,536,018.66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470,942,699.73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-16.44%</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44,002,931.23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-229,927,071.46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119.14%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338,156,850.60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335,205,694.41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296,739,069.86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12.96%</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2,951,156.19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17,260,930.14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-82.90%</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-22,916,539.52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-11,043,407.31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107.51%</w:t>
            </w:r>
          </w:p>
        </w:tc>
      </w:tr>
    </w:tbl>
    <w:p>
      <w:pPr>
        <w:pStyle w:val="BodyText"/>
        <w:spacing w:line="240" w:lineRule="auto" w:before="51"/>
        <w:ind w:right="0"/>
        <w:jc w:val="left"/>
      </w:pPr>
      <w:r>
        <w:rPr/>
        <w:t>相关数据同比发生重大变动的主要影响因素说明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1125"/>
        <w:jc w:val="left"/>
      </w:pPr>
      <w:r>
        <w:rPr>
          <w:rFonts w:ascii="Times New Roman" w:hAnsi="Times New Roman" w:cs="Times New Roman" w:eastAsia="Times New Roman" w:hint="default"/>
        </w:rPr>
        <w:t>1</w:t>
      </w:r>
      <w:r>
        <w:rPr/>
        <w:t>、经营活动产生的现金流量净额（流出）较上年同期增加</w:t>
      </w:r>
      <w:r>
        <w:rPr>
          <w:spacing w:val="-18"/>
        </w:rPr>
        <w:t> </w:t>
      </w:r>
      <w:r>
        <w:rPr>
          <w:rFonts w:ascii="Times New Roman" w:hAnsi="Times New Roman" w:cs="Times New Roman" w:eastAsia="Times New Roman" w:hint="default"/>
        </w:rPr>
        <w:t>134.65%</w:t>
      </w:r>
      <w:r>
        <w:rPr/>
        <w:t>，主要系报告期采购付款增加以及支付职工薪酬增加所 致；</w:t>
      </w:r>
    </w:p>
    <w:p>
      <w:pPr>
        <w:pStyle w:val="BodyText"/>
        <w:spacing w:line="240" w:lineRule="auto" w:before="31"/>
        <w:ind w:right="0"/>
        <w:jc w:val="left"/>
      </w:pPr>
      <w:r>
        <w:rPr>
          <w:rFonts w:ascii="Times New Roman" w:hAnsi="Times New Roman" w:cs="Times New Roman" w:eastAsia="Times New Roman" w:hint="default"/>
        </w:rPr>
        <w:t>2</w:t>
      </w:r>
      <w:r>
        <w:rPr/>
        <w:t>、投资活动产生的现金流量净额（流入）较上年同期增</w:t>
      </w:r>
      <w:r>
        <w:rPr>
          <w:rFonts w:ascii="Times New Roman" w:hAnsi="Times New Roman" w:cs="Times New Roman" w:eastAsia="Times New Roman" w:hint="default"/>
        </w:rPr>
        <w:t>119.14%</w:t>
      </w:r>
      <w:r>
        <w:rPr/>
        <w:t>，主要系公司处置中新赛克股票所致；</w:t>
      </w:r>
    </w:p>
    <w:p>
      <w:pPr>
        <w:pStyle w:val="BodyText"/>
        <w:spacing w:line="340" w:lineRule="auto" w:before="63"/>
        <w:ind w:right="1917"/>
        <w:jc w:val="left"/>
      </w:pPr>
      <w:r>
        <w:rPr>
          <w:rFonts w:ascii="Times New Roman" w:hAnsi="Times New Roman" w:cs="Times New Roman" w:eastAsia="Times New Roman" w:hint="default"/>
        </w:rPr>
        <w:t>3</w:t>
      </w:r>
      <w:r>
        <w:rPr/>
        <w:t>、筹资活动产生的现金流量净额（流入）较上年同期减少</w:t>
      </w:r>
      <w:r>
        <w:rPr>
          <w:rFonts w:ascii="Times New Roman" w:hAnsi="Times New Roman" w:cs="Times New Roman" w:eastAsia="Times New Roman" w:hint="default"/>
        </w:rPr>
        <w:t>82.9%</w:t>
      </w:r>
      <w:r>
        <w:rPr/>
        <w:t>，主要系偿还银行短期借款导致资金流出所致。 报告期内公司经营活动产生的现金净流量与本年度净利润存在重大差异的原因说明</w:t>
      </w:r>
    </w:p>
    <w:p>
      <w:pPr>
        <w:pStyle w:val="BodyText"/>
        <w:spacing w:line="338" w:lineRule="auto" w:before="41"/>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报告期内公司经营活动产生的现金净流量与本年度净利润差异较大主要原因为项目验收在年末相对集中，报告期内尚未</w:t>
      </w:r>
    </w:p>
    <w:p>
      <w:pPr>
        <w:pStyle w:val="BodyText"/>
        <w:spacing w:line="240" w:lineRule="auto" w:before="4"/>
        <w:ind w:right="0"/>
        <w:jc w:val="left"/>
      </w:pPr>
      <w:r>
        <w:rPr/>
        <w:t>回款及研发投入加大所致。</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23"/>
        <w:gridCol w:w="1313"/>
        <w:gridCol w:w="1560"/>
        <w:gridCol w:w="3684"/>
        <w:gridCol w:w="1560"/>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3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150,379,484.12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93.25%</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主要系公司处置中新赛克股票产生收益所致。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3684"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r>
      <w:tr>
        <w:trPr>
          <w:trHeight w:val="473"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3"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207,642,108.44</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81" w:right="0"/>
              <w:jc w:val="left"/>
              <w:rPr>
                <w:rFonts w:ascii="Times New Roman" w:hAnsi="Times New Roman" w:cs="Times New Roman" w:eastAsia="Times New Roman" w:hint="default"/>
                <w:sz w:val="18"/>
                <w:szCs w:val="18"/>
              </w:rPr>
            </w:pPr>
            <w:r>
              <w:rPr>
                <w:rFonts w:ascii="Times New Roman"/>
                <w:sz w:val="18"/>
              </w:rPr>
              <w:t>128.76%</w:t>
            </w:r>
          </w:p>
        </w:tc>
        <w:tc>
          <w:tcPr>
            <w:tcW w:w="3684" w:type="dxa"/>
            <w:vMerge w:val="restart"/>
            <w:tcBorders>
              <w:top w:val="single" w:sz="4" w:space="0" w:color="000000"/>
              <w:left w:val="single" w:sz="4" w:space="0" w:color="000000"/>
              <w:right w:val="single" w:sz="4" w:space="0" w:color="000000"/>
            </w:tcBorders>
          </w:tcPr>
          <w:p>
            <w:pPr>
              <w:pStyle w:val="TableParagraph"/>
              <w:spacing w:line="312"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主要系泡椒思志和唐人数码经商誉减值测试后 计提商誉减值准备所致。其中泡椒思志商誉减 值</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6,276.81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万元，唐人数码商誉减值</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11,130.36 </w:t>
            </w:r>
            <w:r>
              <w:rPr>
                <w:rFonts w:ascii="宋体" w:hAnsi="宋体" w:cs="宋体" w:eastAsia="宋体" w:hint="default"/>
                <w:sz w:val="18"/>
                <w:szCs w:val="18"/>
              </w:rPr>
              <w:t>万元。</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313"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3684"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r>
      <w:tr>
        <w:trPr>
          <w:trHeight w:val="473"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3"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68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161" w:hRule="exact"/>
        </w:trPr>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1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66,615,833.85</w:t>
            </w:r>
          </w:p>
        </w:tc>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2" w:right="0"/>
              <w:jc w:val="left"/>
              <w:rPr>
                <w:rFonts w:ascii="Times New Roman" w:hAnsi="Times New Roman" w:cs="Times New Roman" w:eastAsia="Times New Roman" w:hint="default"/>
                <w:sz w:val="18"/>
                <w:szCs w:val="18"/>
              </w:rPr>
            </w:pPr>
            <w:r>
              <w:rPr>
                <w:rFonts w:ascii="Times New Roman"/>
                <w:sz w:val="18"/>
              </w:rPr>
              <w:t>41.31%</w:t>
            </w:r>
          </w:p>
        </w:tc>
        <w:tc>
          <w:tcPr>
            <w:tcW w:w="3684"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主要系泡椒思志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年对赌业绩未 </w:t>
            </w:r>
            <w:r>
              <w:rPr>
                <w:rFonts w:ascii="宋体" w:hAnsi="宋体" w:cs="宋体" w:eastAsia="宋体" w:hint="default"/>
                <w:spacing w:val="-4"/>
                <w:sz w:val="18"/>
                <w:szCs w:val="18"/>
              </w:rPr>
              <w:t>完成，按照补偿协议确认对应的业绩补偿所致</w:t>
            </w:r>
          </w:p>
        </w:tc>
        <w:tc>
          <w:tcPr>
            <w:tcW w:w="1560" w:type="dxa"/>
            <w:tcBorders>
              <w:top w:val="single" w:sz="4" w:space="0" w:color="000000"/>
              <w:left w:val="single" w:sz="4" w:space="0" w:color="000000"/>
              <w:bottom w:val="nil" w:sz="6" w:space="0" w:color="auto"/>
              <w:right w:val="single" w:sz="4" w:space="0" w:color="000000"/>
            </w:tcBorders>
          </w:tcPr>
          <w:p>
            <w:pPr/>
          </w:p>
        </w:tc>
      </w:tr>
      <w:tr>
        <w:trPr>
          <w:trHeight w:val="393" w:hRule="exact"/>
        </w:trPr>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313" w:type="dxa"/>
            <w:vMerge/>
            <w:tcBorders>
              <w:left w:val="single" w:sz="9" w:space="0" w:color="D2D2D2"/>
              <w:right w:val="single" w:sz="4" w:space="0" w:color="000000"/>
            </w:tcBorders>
          </w:tcPr>
          <w:p>
            <w:pPr/>
          </w:p>
        </w:tc>
        <w:tc>
          <w:tcPr>
            <w:tcW w:w="1560" w:type="dxa"/>
            <w:vMerge/>
            <w:tcBorders>
              <w:left w:val="single" w:sz="4" w:space="0" w:color="000000"/>
              <w:right w:val="single" w:sz="4" w:space="0" w:color="000000"/>
            </w:tcBorders>
          </w:tcPr>
          <w:p>
            <w:pPr/>
          </w:p>
        </w:tc>
        <w:tc>
          <w:tcPr>
            <w:tcW w:w="3684" w:type="dxa"/>
            <w:vMerge/>
            <w:tcBorders>
              <w:left w:val="single" w:sz="4" w:space="0" w:color="000000"/>
              <w:right w:val="single" w:sz="4" w:space="0" w:color="000000"/>
            </w:tcBorders>
          </w:tcPr>
          <w:p>
            <w:pPr/>
          </w:p>
        </w:tc>
        <w:tc>
          <w:tcPr>
            <w:tcW w:w="1560" w:type="dxa"/>
            <w:vMerge w:val="restart"/>
            <w:tcBorders>
              <w:top w:val="nil" w:sz="6" w:space="0" w:color="auto"/>
              <w:left w:val="single" w:sz="4" w:space="0" w:color="000000"/>
              <w:right w:val="single" w:sz="4" w:space="0" w:color="000000"/>
            </w:tcBorders>
          </w:tcPr>
          <w:p>
            <w:pPr>
              <w:pStyle w:val="TableParagraph"/>
              <w:spacing w:line="196" w:lineRule="exact"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61" w:hRule="exact"/>
        </w:trPr>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3" w:type="dxa"/>
            <w:vMerge/>
            <w:tcBorders>
              <w:left w:val="single" w:sz="9" w:space="0" w:color="D2D2D2"/>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3684"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393,697.13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0.24%</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主要系产生行政罚款所致。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74,147,016.28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45.98%</w:t>
            </w:r>
          </w:p>
        </w:tc>
        <w:tc>
          <w:tcPr>
            <w:tcW w:w="3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主要系政府补助和增值税即征即退所致。</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pict>
          <v:group style="position:absolute;margin-left:460.980011pt;margin-top:-80.584373pt;width:77.5pt;height:28.05pt;mso-position-horizontal-relative:page;mso-position-vertical-relative:paragraph;z-index:-1058032" coordorigin="9220,-1612" coordsize="1550,561">
            <v:group style="position:absolute;left:9232;top:-1600;width:2;height:393" coordorigin="9232,-1600" coordsize="2,393">
              <v:shape style="position:absolute;left:9232;top:-1600;width:2;height:393" coordorigin="9232,-1600" coordsize="0,393" path="m9232,-1600l9232,-1207e" filled="false" stroked="true" strokeweight="1.2pt" strokecolor="#ffffff">
                <v:path arrowok="t"/>
              </v:shape>
            </v:group>
            <v:group style="position:absolute;left:9220;top:-1207;width:1550;height:156" coordorigin="9220,-1207" coordsize="1550,156">
              <v:shape style="position:absolute;left:9220;top:-1207;width:1550;height:156" coordorigin="9220,-1207" coordsize="1550,156" path="m9220,-1051l10769,-1051,10769,-1207,9220,-1207,9220,-1051xe" filled="true" fillcolor="#ffffff" stroked="false">
                <v:path arrowok="t"/>
                <v:fill type="solid"/>
              </v:shape>
            </v:group>
            <v:group style="position:absolute;left:9244;top:-1600;width:1503;height:393" coordorigin="9244,-1600" coordsize="1503,393">
              <v:shape style="position:absolute;left:9244;top:-1600;width:1503;height:393" coordorigin="9244,-1600" coordsize="1503,393" path="m9244,-1207l10746,-1207,10746,-1600,9244,-1600,9244,-1207xe" filled="true" fillcolor="#ffffff" stroked="false">
                <v:path arrowok="t"/>
                <v:fill type="solid"/>
              </v:shape>
            </v:group>
            <w10:wrap type="none"/>
          </v:group>
        </w:pict>
      </w: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63"/>
        <w:gridCol w:w="1196"/>
        <w:gridCol w:w="1063"/>
        <w:gridCol w:w="798"/>
        <w:gridCol w:w="2918"/>
      </w:tblGrid>
      <w:tr>
        <w:trPr>
          <w:trHeight w:val="379"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1"/>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5"/>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306,197,814.6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12.84%</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321,262,001.31</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14.04%</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-1.20%</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主要系公司支付唐人数码和泡椒思 志的并购款所致。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469,067,642.2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19.67%</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368,671,700.79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18"/>
                <w:szCs w:val="18"/>
              </w:rPr>
            </w:pPr>
            <w:r>
              <w:rPr>
                <w:rFonts w:ascii="Times New Roman"/>
                <w:sz w:val="18"/>
              </w:rPr>
              <w:t>16.11%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3.56%</w:t>
            </w:r>
          </w:p>
        </w:tc>
        <w:tc>
          <w:tcPr>
            <w:tcW w:w="2918"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主要系公司业务增长但部分客户回 款减少所致。</w:t>
            </w:r>
          </w:p>
        </w:tc>
      </w:tr>
      <w:tr>
        <w:trPr>
          <w:trHeight w:val="392"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168,834,572.6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7.08%</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176,997,233.69</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7.73%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-0.65%</w:t>
            </w:r>
          </w:p>
        </w:tc>
        <w:tc>
          <w:tcPr>
            <w:tcW w:w="29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主要系公司备货减少所致。</w:t>
            </w:r>
          </w:p>
        </w:tc>
      </w:tr>
      <w:tr>
        <w:trPr>
          <w:trHeight w:val="391" w:hRule="exact"/>
        </w:trPr>
        <w:tc>
          <w:tcPr>
            <w:tcW w:w="13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 w:right="0"/>
              <w:jc w:val="left"/>
              <w:rPr>
                <w:rFonts w:ascii="Times New Roman" w:hAnsi="Times New Roman" w:cs="Times New Roman" w:eastAsia="Times New Roman" w:hint="default"/>
                <w:sz w:val="18"/>
                <w:szCs w:val="18"/>
              </w:rPr>
            </w:pPr>
            <w:r>
              <w:rPr>
                <w:rFonts w:ascii="Times New Roman"/>
                <w:sz w:val="18"/>
              </w:rPr>
              <w:t>75,182,784.57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3.15%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7" w:right="0"/>
              <w:jc w:val="left"/>
              <w:rPr>
                <w:rFonts w:ascii="Times New Roman" w:hAnsi="Times New Roman" w:cs="Times New Roman" w:eastAsia="Times New Roman" w:hint="default"/>
                <w:sz w:val="18"/>
                <w:szCs w:val="18"/>
              </w:rPr>
            </w:pPr>
            <w:r>
              <w:rPr>
                <w:rFonts w:ascii="Times New Roman"/>
                <w:sz w:val="18"/>
              </w:rPr>
              <w:t>75,725,047.86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65" w:right="0"/>
              <w:jc w:val="left"/>
              <w:rPr>
                <w:rFonts w:ascii="Times New Roman" w:hAnsi="Times New Roman" w:cs="Times New Roman" w:eastAsia="Times New Roman" w:hint="default"/>
                <w:sz w:val="18"/>
                <w:szCs w:val="18"/>
              </w:rPr>
            </w:pPr>
            <w:r>
              <w:rPr>
                <w:rFonts w:ascii="Times New Roman"/>
                <w:sz w:val="18"/>
              </w:rPr>
              <w:t>3.31%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9" w:right="0"/>
              <w:jc w:val="left"/>
              <w:rPr>
                <w:rFonts w:ascii="Times New Roman" w:hAnsi="Times New Roman" w:cs="Times New Roman" w:eastAsia="Times New Roman" w:hint="default"/>
                <w:sz w:val="18"/>
                <w:szCs w:val="18"/>
              </w:rPr>
            </w:pPr>
            <w:r>
              <w:rPr>
                <w:rFonts w:ascii="Times New Roman"/>
                <w:sz w:val="18"/>
              </w:rPr>
              <w:t>-0.16%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主要系投资性房地产折旧摊销所致。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22,998,517.23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17,962,308.16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主要系公司股权投资增加所致。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173,735,098.2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178,980,308.68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主要系固定资产处置所致。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主要系公司短期银行借款减少所致。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主要系公司取得长期借款置换自有 资金投入并购项目所致。</w:t>
            </w:r>
          </w:p>
        </w:tc>
      </w:tr>
      <w:tr>
        <w:trPr>
          <w:trHeight w:val="16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674,691,462.5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848,763,184.87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主要系泡椒思志和唐人数码经商誉 减值测试后计提商誉减值准备所致。 其中泡椒思志商誉减值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6,276.81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302" w:lineRule="auto"/>
              <w:ind w:left="22" w:right="101"/>
              <w:jc w:val="left"/>
              <w:rPr>
                <w:rFonts w:ascii="宋体" w:hAnsi="宋体" w:cs="宋体" w:eastAsia="宋体" w:hint="default"/>
                <w:sz w:val="18"/>
                <w:szCs w:val="18"/>
              </w:rPr>
            </w:pPr>
            <w:r>
              <w:rPr>
                <w:rFonts w:ascii="宋体" w:hAnsi="宋体" w:cs="宋体" w:eastAsia="宋体" w:hint="default"/>
                <w:sz w:val="18"/>
                <w:szCs w:val="18"/>
              </w:rPr>
              <w:t>元，唐人数码商誉减值</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11,130.36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 元 。</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6522"/>
        <w:jc w:val="left"/>
      </w:pPr>
      <w:r>
        <w:rPr/>
        <w:t>期末其他货币资金中</w:t>
      </w:r>
      <w:r>
        <w:rPr>
          <w:rFonts w:ascii="宋体" w:hAnsi="宋体" w:cs="宋体" w:eastAsia="宋体" w:hint="default"/>
        </w:rPr>
        <w:t>15,142,422.84</w:t>
      </w:r>
      <w:r>
        <w:rPr/>
        <w:t>元系保函保证金。 北京亚鸿股权受限系银行借款质押担保</w:t>
      </w:r>
      <w:r>
        <w:rPr>
          <w:rFonts w:ascii="宋体" w:hAnsi="宋体" w:cs="宋体" w:eastAsia="宋体" w:hint="default"/>
        </w:rPr>
        <w:t>5,000</w:t>
      </w:r>
      <w:r>
        <w:rPr/>
        <w:t>万元。</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625,920,000.00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7"/>
          <w:szCs w:val="17"/>
        </w:rPr>
      </w:pPr>
    </w:p>
    <w:p>
      <w:pPr>
        <w:pStyle w:val="BodyText"/>
        <w:spacing w:line="240" w:lineRule="auto"/>
        <w:ind w:left="0" w:right="1157"/>
        <w:jc w:val="right"/>
      </w:pPr>
      <w:r>
        <w:rPr/>
        <w:pict>
          <v:shape style="position:absolute;margin-left:56.459999pt;margin-top:-241.708298pt;width:478.95pt;height:386.3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首次公开 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23,108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1,062.01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 专用账户 已注销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2"/>
                          <w:jc w:val="center"/>
                          <w:rPr>
                            <w:rFonts w:ascii="宋体" w:hAnsi="宋体" w:cs="宋体" w:eastAsia="宋体" w:hint="default"/>
                            <w:sz w:val="18"/>
                            <w:szCs w:val="18"/>
                          </w:rPr>
                        </w:pPr>
                        <w:r>
                          <w:rPr>
                            <w:rFonts w:ascii="宋体" w:hAnsi="宋体" w:cs="宋体" w:eastAsia="宋体" w:hint="default"/>
                            <w:sz w:val="18"/>
                            <w:szCs w:val="18"/>
                          </w:rPr>
                          <w:t>定向增发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19,685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19,685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 专用账户 已注销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42,793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1,062.01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52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、首次公开发行募集资金使用及结余情况经中国证券监督管理委员会证监许可</w:t>
                        </w:r>
                        <w:r>
                          <w:rPr>
                            <w:rFonts w:ascii="Times New Roman" w:hAnsi="Times New Roman" w:cs="Times New Roman" w:eastAsia="Times New Roman" w:hint="default"/>
                            <w:sz w:val="18"/>
                            <w:szCs w:val="18"/>
                          </w:rPr>
                          <w:t>[2012]411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号文核准，并经深圳证券交易所 同意，由承销商国信证券于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日向社会公众公开发行普通股（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1,770 </w:t>
                        </w:r>
                        <w:r>
                          <w:rPr>
                            <w:rFonts w:ascii="宋体" w:hAnsi="宋体" w:cs="宋体" w:eastAsia="宋体" w:hint="default"/>
                            <w:sz w:val="18"/>
                            <w:szCs w:val="18"/>
                          </w:rPr>
                          <w:t>万股，每股面值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元，每股发行</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价为人民币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日止，本公司共募集资金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265,500,000.00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元，扣除发行费用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34,420,013.00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募集资金净额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231,079,987.00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元，业经北京永拓以</w:t>
                        </w:r>
                        <w:r>
                          <w:rPr>
                            <w:rFonts w:ascii="Times New Roman" w:hAnsi="Times New Roman" w:cs="Times New Roman" w:eastAsia="Times New Roman" w:hint="default"/>
                            <w:sz w:val="18"/>
                            <w:szCs w:val="18"/>
                          </w:rPr>
                          <w:t>“</w:t>
                        </w:r>
                        <w:r>
                          <w:rPr>
                            <w:rFonts w:ascii="宋体" w:hAnsi="宋体" w:cs="宋体" w:eastAsia="宋体" w:hint="default"/>
                            <w:sz w:val="18"/>
                            <w:szCs w:val="18"/>
                          </w:rPr>
                          <w:t>京永验字（</w:t>
                        </w:r>
                        <w:r>
                          <w:rPr>
                            <w:rFonts w:ascii="Times New Roman" w:hAnsi="Times New Roman" w:cs="Times New Roman" w:eastAsia="Times New Roman" w:hint="default"/>
                            <w:sz w:val="18"/>
                            <w:szCs w:val="18"/>
                          </w:rPr>
                          <w:t>2012</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验资报告验证确认，本公司上述发行募</w:t>
                        </w:r>
                      </w:p>
                      <w:p>
                        <w:pPr>
                          <w:pStyle w:val="TableParagraph"/>
                          <w:spacing w:line="300"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集的资金已经全部到位。截至</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日，本公司首次公开发行募集资金已按照规定全部使用完毕。</w:t>
                        </w:r>
                        <w:r>
                          <w:rPr>
                            <w:rFonts w:ascii="Times New Roman" w:hAnsi="Times New Roman" w:cs="Times New Roman" w:eastAsia="Times New Roman" w:hint="default"/>
                            <w:sz w:val="18"/>
                            <w:szCs w:val="18"/>
                          </w:rPr>
                          <w:t>2</w:t>
                        </w:r>
                        <w:r>
                          <w:rPr>
                            <w:rFonts w:ascii="宋体" w:hAnsi="宋体" w:cs="宋体" w:eastAsia="宋体" w:hint="default"/>
                            <w:sz w:val="18"/>
                            <w:szCs w:val="18"/>
                          </w:rPr>
                          <w:t>、向特定投 资者非公开发行股份募集资金使用及结余情况经中国证券监督管理委员会证监许可</w:t>
                        </w:r>
                        <w:r>
                          <w:rPr>
                            <w:rFonts w:ascii="Times New Roman" w:hAnsi="Times New Roman" w:cs="Times New Roman" w:eastAsia="Times New Roman" w:hint="default"/>
                            <w:sz w:val="18"/>
                            <w:szCs w:val="18"/>
                          </w:rPr>
                          <w:t>[2015]1913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号文核准，同意公司非公开 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22,242,522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股募集本次发行股份购买资产的配套资金。公司向配售对象定价发行人民币普通股</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22,242,522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股，每股面值人民币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元，发行价格为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9.03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股，募集配套资金总额人民币</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200,849,977.49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元，扣除</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与券商相关的发行交易费用人民币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元后募集资金净额为人民币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196,849,977.49</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元。截止到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2" w:lineRule="auto" w:before="63"/>
                          <w:ind w:left="22" w:right="97"/>
                          <w:jc w:val="both"/>
                          <w:rPr>
                            <w:rFonts w:ascii="宋体" w:hAnsi="宋体" w:cs="宋体" w:eastAsia="宋体" w:hint="default"/>
                            <w:sz w:val="18"/>
                            <w:szCs w:val="18"/>
                          </w:rPr>
                        </w:pPr>
                        <w:r>
                          <w:rPr>
                            <w:rFonts w:ascii="宋体" w:hAnsi="宋体" w:cs="宋体" w:eastAsia="宋体" w:hint="default"/>
                            <w:sz w:val="18"/>
                            <w:szCs w:val="18"/>
                          </w:rPr>
                          <w:t>上述募集资金全部到位，业经北京永拓以</w:t>
                        </w:r>
                        <w:r>
                          <w:rPr>
                            <w:rFonts w:ascii="Times New Roman" w:hAnsi="Times New Roman" w:cs="Times New Roman" w:eastAsia="Times New Roman" w:hint="default"/>
                            <w:sz w:val="18"/>
                            <w:szCs w:val="18"/>
                          </w:rPr>
                          <w:t>“</w:t>
                        </w:r>
                        <w:r>
                          <w:rPr>
                            <w:rFonts w:ascii="宋体" w:hAnsi="宋体" w:cs="宋体" w:eastAsia="宋体" w:hint="default"/>
                            <w:sz w:val="18"/>
                            <w:szCs w:val="18"/>
                          </w:rPr>
                          <w:t>京永验字（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验资报告验证确认。截至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本公司向特定投资者非公开发行股份募集资金已按照规定全部使用完毕。</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ind w:left="0" w:right="114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
        <w:gridCol w:w="722"/>
        <w:gridCol w:w="720"/>
        <w:gridCol w:w="722"/>
        <w:gridCol w:w="721"/>
        <w:gridCol w:w="721"/>
        <w:gridCol w:w="723"/>
        <w:gridCol w:w="722"/>
        <w:gridCol w:w="721"/>
        <w:gridCol w:w="722"/>
      </w:tblGrid>
      <w:tr>
        <w:trPr>
          <w:trHeight w:val="1650"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61" w:right="93"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5" w:right="54"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6"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4"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6"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4.6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914"/>
                    <w:gridCol w:w="721"/>
                    <w:gridCol w:w="721"/>
                    <w:gridCol w:w="722"/>
                    <w:gridCol w:w="720"/>
                    <w:gridCol w:w="722"/>
                    <w:gridCol w:w="721"/>
                    <w:gridCol w:w="721"/>
                    <w:gridCol w:w="723"/>
                    <w:gridCol w:w="722"/>
                    <w:gridCol w:w="721"/>
                    <w:gridCol w:w="722"/>
                  </w:tblGrid>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网络内容与行为审 计产品升级优化项 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7,532.45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7,532.45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7,533.89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5,942.43</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16,736.5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网络信息安全监管 平台建设项目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5,652.47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5,652.47</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5,651.11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23,254.1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48,380.8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研发中心扩建项目</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3,299.55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3,299.55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3,220.01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97.59%</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收购唐人数码支付 现金对价</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19,685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19,685</w:t>
                        </w: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19,685</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6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vMerge w:val="restart"/>
                        <w:tcBorders>
                          <w:top w:val="single" w:sz="4" w:space="0" w:color="000000"/>
                          <w:left w:val="single" w:sz="9"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36,169.4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36,169.4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w:t>
                        </w:r>
                      </w:p>
                    </w:tc>
                    <w:tc>
                      <w:tcPr>
                        <w:tcW w:w="720"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36,090.0</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1</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29,196.6</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65,117.3</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1" w:type="dxa"/>
                        <w:vMerge/>
                        <w:tcBorders>
                          <w:left w:val="single" w:sz="9" w:space="0" w:color="D2D2D2"/>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6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500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购置固定资产</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4,281.54</w:t>
                        </w:r>
                      </w:p>
                    </w:tc>
                    <w:tc>
                      <w:tcPr>
                        <w:tcW w:w="721"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支付亚鸿并购款</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2,281.74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2,281.74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1,063.49</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2,290.83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100.40%</w:t>
                        </w:r>
                      </w:p>
                    </w:tc>
                    <w:tc>
                      <w:tcPr>
                        <w:tcW w:w="721"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
                    </w:tc>
                    <w:tc>
                      <w:tcPr>
                        <w:tcW w:w="720" w:type="dxa"/>
                        <w:vMerge w:val="restart"/>
                        <w:tcBorders>
                          <w:top w:val="single" w:sz="4" w:space="0" w:color="000000"/>
                          <w:left w:val="single" w:sz="4" w:space="0" w:color="000000"/>
                          <w:right w:val="single" w:sz="4" w:space="0" w:color="000000"/>
                        </w:tcBorders>
                      </w:tcPr>
                      <w:p>
                        <w:pP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4" w:right="0"/>
                          <w:jc w:val="left"/>
                          <w:rPr>
                            <w:rFonts w:ascii="Times New Roman" w:hAnsi="Times New Roman" w:cs="Times New Roman" w:eastAsia="Times New Roman" w:hint="default"/>
                            <w:sz w:val="18"/>
                            <w:szCs w:val="18"/>
                          </w:rPr>
                        </w:pPr>
                        <w:r>
                          <w:rPr>
                            <w:rFonts w:ascii="Times New Roman"/>
                            <w:sz w:val="18"/>
                          </w:rPr>
                          <w:t>3.29</w:t>
                        </w:r>
                      </w:p>
                    </w:tc>
                    <w:tc>
                      <w:tcPr>
                        <w:tcW w:w="721" w:type="dxa"/>
                        <w:vMerge w:val="restart"/>
                        <w:tcBorders>
                          <w:top w:val="single" w:sz="4" w:space="0" w:color="000000"/>
                          <w:left w:val="single" w:sz="4" w:space="0" w:color="000000"/>
                          <w:right w:val="single" w:sz="9" w:space="0" w:color="D2D2D2"/>
                        </w:tcBorders>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1"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2,281.74</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2,281.74</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left"/>
                          <w:rPr>
                            <w:rFonts w:ascii="Times New Roman" w:hAnsi="Times New Roman" w:cs="Times New Roman" w:eastAsia="Times New Roman" w:hint="default"/>
                            <w:sz w:val="18"/>
                            <w:szCs w:val="18"/>
                          </w:rPr>
                        </w:pPr>
                        <w:r>
                          <w:rPr>
                            <w:rFonts w:ascii="Times New Roman"/>
                            <w:sz w:val="18"/>
                          </w:rPr>
                          <w:t>1,063.49</w:t>
                        </w:r>
                      </w:p>
                    </w:tc>
                    <w:tc>
                      <w:tcPr>
                        <w:tcW w:w="72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7,075.66</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tcBorders>
                          <w:top w:val="single" w:sz="4" w:space="0" w:color="000000"/>
                          <w:left w:val="single" w:sz="13" w:space="0" w:color="D2D2D2"/>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9" w:space="0" w:color="D2D2D2"/>
                        </w:tcBorders>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1"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38,451.2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2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38,451.2</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1</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1,063.49</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43,165.6</w:t>
                        </w:r>
                      </w:p>
                      <w:p>
                        <w:pPr>
                          <w:pStyle w:val="TableParagraph"/>
                          <w:spacing w:line="240" w:lineRule="auto" w:before="106"/>
                          <w:ind w:right="15"/>
                          <w:jc w:val="right"/>
                          <w:rPr>
                            <w:rFonts w:ascii="Times New Roman" w:hAnsi="Times New Roman" w:cs="Times New Roman" w:eastAsia="Times New Roman" w:hint="default"/>
                            <w:sz w:val="18"/>
                            <w:szCs w:val="18"/>
                          </w:rPr>
                        </w:pPr>
                        <w:r>
                          <w:rPr>
                            <w:rFonts w:ascii="Times New Roman"/>
                            <w:sz w:val="18"/>
                          </w:rPr>
                          <w:t>7</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29,196.6</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65,117.3</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635" w:type="dxa"/>
                        <w:gridSpan w:val="2"/>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shd w:val="clear" w:color="auto" w:fill="D2D2D2"/>
                      </w:tcPr>
                      <w:p>
                        <w:pPr/>
                      </w:p>
                    </w:tc>
                    <w:tc>
                      <w:tcPr>
                        <w:tcW w:w="721" w:type="dxa"/>
                        <w:vMerge/>
                        <w:tcBorders>
                          <w:left w:val="single" w:sz="4" w:space="0" w:color="000000"/>
                          <w:right w:val="single" w:sz="4" w:space="0" w:color="000000"/>
                        </w:tcBorders>
                      </w:tcPr>
                      <w:p>
                        <w:pPr/>
                      </w:p>
                    </w:tc>
                    <w:tc>
                      <w:tcPr>
                        <w:tcW w:w="722" w:type="dxa"/>
                        <w:vMerge/>
                        <w:tcBorders>
                          <w:left w:val="single" w:sz="4" w:space="0" w:color="000000"/>
                          <w:right w:val="single" w:sz="4" w:space="0" w:color="000000"/>
                        </w:tcBorders>
                      </w:tcPr>
                      <w:p>
                        <w:pPr/>
                      </w:p>
                    </w:tc>
                    <w:tc>
                      <w:tcPr>
                        <w:tcW w:w="720" w:type="dxa"/>
                        <w:vMerge/>
                        <w:tcBorders>
                          <w:left w:val="single" w:sz="4" w:space="0" w:color="000000"/>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96" w:right="0"/>
                          <w:jc w:val="left"/>
                          <w:rPr>
                            <w:rFonts w:ascii="Times New Roman" w:hAnsi="Times New Roman" w:cs="Times New Roman" w:eastAsia="Times New Roman" w:hint="default"/>
                            <w:sz w:val="18"/>
                            <w:szCs w:val="18"/>
                          </w:rPr>
                        </w:pPr>
                        <w:r>
                          <w:rPr>
                            <w:rFonts w:ascii="Times New Roman"/>
                            <w:sz w:val="18"/>
                          </w:rPr>
                          <w:t>--</w:t>
                        </w:r>
                      </w:p>
                    </w:tc>
                    <w:tc>
                      <w:tcPr>
                        <w:tcW w:w="723"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shd w:val="clear" w:color="auto" w:fill="D2D2D2"/>
                      </w:tcPr>
                      <w:p>
                        <w:pPr/>
                      </w:p>
                    </w:tc>
                    <w:tc>
                      <w:tcPr>
                        <w:tcW w:w="721"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3"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43"/>
                          <w:ind w:left="22" w:right="22"/>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途及使用进展情况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795" w:hRule="exact"/>
                    </w:trPr>
                    <w:tc>
                      <w:tcPr>
                        <w:tcW w:w="1635" w:type="dxa"/>
                        <w:gridSpan w:val="2"/>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公司首次公开发行股票实际募集资金净额人民币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23,108.00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万元，其中超额募集资金为</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6,623.53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年第三次临时股东大会审议通过了关于使用</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万元向北京中天信安科技有限责任公司（以下简称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中天信安</w:t>
                        </w:r>
                        <w:r>
                          <w:rPr>
                            <w:rFonts w:ascii="Times New Roman" w:hAnsi="Times New Roman" w:cs="Times New Roman" w:eastAsia="Times New Roman" w:hint="default"/>
                            <w:sz w:val="18"/>
                            <w:szCs w:val="18"/>
                          </w:rPr>
                          <w:t>”</w:t>
                        </w:r>
                        <w:r>
                          <w:rPr>
                            <w:rFonts w:ascii="宋体" w:hAnsi="宋体" w:cs="宋体" w:eastAsia="宋体" w:hint="default"/>
                            <w:sz w:val="18"/>
                            <w:szCs w:val="18"/>
                          </w:rPr>
                          <w:t>）增资的议案。</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日，本公司与中天信安及其股东刘宏伟、刘健签订增资扩股协议，以人民币</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万元向中天信安增资，增资完成后本公司占中天信安</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的股权比例，中天信安的注册</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资本由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万变为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日，完成了相关的工商变更登记手续。</w:t>
                        </w:r>
                        <w:r>
                          <w:rPr>
                            <w:rFonts w:ascii="Times New Roman" w:hAnsi="Times New Roman" w:cs="Times New Roman" w:eastAsia="Times New Roman" w:hint="default"/>
                            <w:sz w:val="18"/>
                            <w:szCs w:val="18"/>
                          </w:rPr>
                          <w:t>2013</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日，本公司第二届董事会第二次会议审批通过《关于对外投资设立武汉子公司的议</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21"/>
                            <w:sz w:val="18"/>
                            <w:szCs w:val="18"/>
                          </w:rPr>
                          <w:t>，</w:t>
                        </w:r>
                        <w:r>
                          <w:rPr>
                            <w:rFonts w:ascii="宋体" w:hAnsi="宋体" w:cs="宋体" w:eastAsia="宋体" w:hint="default"/>
                            <w:sz w:val="18"/>
                            <w:szCs w:val="18"/>
                          </w:rPr>
                          <w:t>同意使用超募资金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万元在武汉设立全资子公司武汉任子行</w:t>
                        </w:r>
                        <w:r>
                          <w:rPr>
                            <w:rFonts w:ascii="宋体" w:hAnsi="宋体" w:cs="宋体" w:eastAsia="宋体" w:hint="default"/>
                            <w:spacing w:val="-21"/>
                            <w:sz w:val="18"/>
                            <w:szCs w:val="18"/>
                          </w:rPr>
                          <w:t>，</w:t>
                        </w:r>
                        <w:r>
                          <w:rPr>
                            <w:rFonts w:ascii="宋体" w:hAnsi="宋体" w:cs="宋体" w:eastAsia="宋体" w:hint="default"/>
                            <w:sz w:val="18"/>
                            <w:szCs w:val="18"/>
                          </w:rPr>
                          <w:t>注册资本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p>
                        <w:pPr>
                          <w:pStyle w:val="TableParagraph"/>
                          <w:spacing w:line="309" w:lineRule="auto" w:before="63"/>
                          <w:ind w:left="23" w:right="21"/>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日，完成了相关的工商注册登记手续。</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日本公司第二届董事 </w:t>
                        </w:r>
                        <w:r>
                          <w:rPr>
                            <w:rFonts w:ascii="宋体" w:hAnsi="宋体" w:cs="宋体" w:eastAsia="宋体" w:hint="default"/>
                            <w:spacing w:val="-2"/>
                            <w:sz w:val="18"/>
                            <w:szCs w:val="18"/>
                          </w:rPr>
                          <w:t>会第六次会议、第二届监事会第四次会议审议通过了《关于使用超募资金购置办公场所的议</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案》</w:t>
                        </w:r>
                        <w:r>
                          <w:rPr>
                            <w:rFonts w:ascii="Times New Roman" w:hAnsi="Times New Roman" w:cs="Times New Roman" w:eastAsia="Times New Roman" w:hint="default"/>
                            <w:sz w:val="18"/>
                            <w:szCs w:val="18"/>
                          </w:rPr>
                          <w:t>,</w:t>
                        </w:r>
                        <w:r>
                          <w:rPr>
                            <w:rFonts w:ascii="宋体" w:hAnsi="宋体" w:cs="宋体" w:eastAsia="宋体" w:hint="default"/>
                            <w:sz w:val="18"/>
                            <w:szCs w:val="18"/>
                          </w:rPr>
                          <w:t>董事会同意预计以不超过人民币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万元的超募资金购置办公场所。截至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4"/>
                            <w:sz w:val="18"/>
                            <w:szCs w:val="18"/>
                          </w:rPr>
                          <w:t>日，公司已付清全部购房款。</w:t>
                        </w:r>
                        <w:r>
                          <w:rPr>
                            <w:rFonts w:ascii="Times New Roman" w:hAnsi="Times New Roman" w:cs="Times New Roman" w:eastAsia="Times New Roman" w:hint="default"/>
                            <w:spacing w:val="-4"/>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日，公司召开第三届董事会第十九次会议</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BodyText"/>
        <w:spacing w:line="240" w:lineRule="auto"/>
        <w:ind w:left="0" w:right="1135"/>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35pt;height:690.2pt;mso-position-horizontal-relative:page;mso-position-vertical-relative:page;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5"/>
                    <w:gridCol w:w="721"/>
                    <w:gridCol w:w="7216"/>
                  </w:tblGrid>
                  <w:tr>
                    <w:trPr>
                      <w:trHeight w:val="254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1"/>
                          <w:jc w:val="both"/>
                          <w:rPr>
                            <w:rFonts w:ascii="宋体" w:hAnsi="宋体" w:cs="宋体" w:eastAsia="宋体" w:hint="default"/>
                            <w:sz w:val="18"/>
                            <w:szCs w:val="18"/>
                          </w:rPr>
                        </w:pPr>
                        <w:r>
                          <w:rPr>
                            <w:rFonts w:ascii="宋体" w:hAnsi="宋体" w:cs="宋体" w:eastAsia="宋体" w:hint="default"/>
                            <w:spacing w:val="-2"/>
                            <w:sz w:val="18"/>
                            <w:szCs w:val="18"/>
                          </w:rPr>
                          <w:t>及第三届监事会议第十七次会议，审议通过了《关于变更超募资金投资项目暨使用剩余超募</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3"/>
                            <w:sz w:val="18"/>
                            <w:szCs w:val="18"/>
                          </w:rPr>
                          <w:t>资金支付北京亚鸿世纪科技发展有限公司部分股权转让款的议案》，同意注销武汉任子行，</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将原计划投入项目的超募资金进行变更，并将全部剩余超募资金及利息</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2,281.7416</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万元用于</w:t>
                        </w:r>
                      </w:p>
                      <w:p>
                        <w:pPr>
                          <w:pStyle w:val="TableParagraph"/>
                          <w:spacing w:line="248" w:lineRule="exact"/>
                          <w:ind w:left="23" w:right="0"/>
                          <w:jc w:val="both"/>
                          <w:rPr>
                            <w:rFonts w:ascii="宋体" w:hAnsi="宋体" w:cs="宋体" w:eastAsia="宋体" w:hint="default"/>
                            <w:sz w:val="18"/>
                            <w:szCs w:val="18"/>
                          </w:rPr>
                        </w:pPr>
                        <w:r>
                          <w:rPr>
                            <w:rFonts w:ascii="宋体" w:hAnsi="宋体" w:cs="宋体" w:eastAsia="宋体" w:hint="default"/>
                            <w:sz w:val="18"/>
                            <w:szCs w:val="18"/>
                          </w:rPr>
                          <w:t>支付北京亚鸿世纪科技发展有限公司部分股权转让款，议案已在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第七次临时股东大会</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审议通过。</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日，本公司将中国建设银行股份有限公司武汉光谷支行中的</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10,634,000.00 </w:t>
                        </w:r>
                        <w:r>
                          <w:rPr>
                            <w:rFonts w:ascii="宋体" w:hAnsi="宋体" w:cs="宋体" w:eastAsia="宋体" w:hint="default"/>
                            <w:sz w:val="18"/>
                            <w:szCs w:val="18"/>
                          </w:rPr>
                          <w:t>元分别支付给天津任鸿科技发展中心（有限合伙）</w:t>
                        </w:r>
                        <w:r>
                          <w:rPr>
                            <w:rFonts w:ascii="Times New Roman" w:hAnsi="Times New Roman" w:cs="Times New Roman" w:eastAsia="Times New Roman" w:hint="default"/>
                            <w:sz w:val="18"/>
                            <w:szCs w:val="18"/>
                          </w:rPr>
                          <w:t>4,591,761.20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元、天津云鲁</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7"/>
                            <w:sz w:val="18"/>
                            <w:szCs w:val="18"/>
                          </w:rPr>
                          <w:t>冀科技发展中心（有限合伙）</w:t>
                        </w:r>
                        <w:r>
                          <w:rPr>
                            <w:rFonts w:ascii="Times New Roman" w:hAnsi="Times New Roman" w:cs="Times New Roman" w:eastAsia="Times New Roman" w:hint="default"/>
                            <w:spacing w:val="-7"/>
                            <w:sz w:val="18"/>
                            <w:szCs w:val="18"/>
                          </w:rPr>
                          <w:t>6,042,238.80</w:t>
                        </w:r>
                        <w:r>
                          <w:rPr>
                            <w:rFonts w:ascii="宋体" w:hAnsi="宋体" w:cs="宋体" w:eastAsia="宋体" w:hint="default"/>
                            <w:spacing w:val="-7"/>
                            <w:sz w:val="18"/>
                            <w:szCs w:val="18"/>
                          </w:rPr>
                          <w:t>，并在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日对该账户进行了销户处理</w:t>
                        </w:r>
                      </w:p>
                      <w:p>
                        <w:pPr>
                          <w:pStyle w:val="TableParagraph"/>
                          <w:spacing w:line="240" w:lineRule="auto" w:before="64"/>
                          <w:ind w:left="23"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日，募集资金账户已全部销户完成。</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2" w:right="160"/>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日，公司募集资金投资项目自筹资金实际已投入的资金总额为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5,380.75</w:t>
                        </w:r>
                      </w:p>
                      <w:p>
                        <w:pPr>
                          <w:pStyle w:val="TableParagraph"/>
                          <w:spacing w:line="240" w:lineRule="auto" w:before="61"/>
                          <w:ind w:left="23" w:right="0"/>
                          <w:jc w:val="both"/>
                          <w:rPr>
                            <w:rFonts w:ascii="宋体" w:hAnsi="宋体" w:cs="宋体" w:eastAsia="宋体" w:hint="default"/>
                            <w:sz w:val="18"/>
                            <w:szCs w:val="18"/>
                          </w:rPr>
                        </w:pPr>
                        <w:r>
                          <w:rPr>
                            <w:rFonts w:ascii="宋体" w:hAnsi="宋体" w:cs="宋体" w:eastAsia="宋体" w:hint="default"/>
                            <w:sz w:val="18"/>
                            <w:szCs w:val="18"/>
                          </w:rPr>
                          <w:t>万元。其中网络内容与行为审计产品升级优化项目先期投入</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2,077.64</w:t>
                        </w:r>
                        <w:r>
                          <w:rPr>
                            <w:rFonts w:ascii="Times New Roman" w:hAnsi="Times New Roman" w:cs="Times New Roman" w:eastAsia="Times New Roman" w:hint="default"/>
                            <w:spacing w:val="18"/>
                            <w:sz w:val="18"/>
                            <w:szCs w:val="18"/>
                          </w:rPr>
                          <w:t> </w:t>
                        </w:r>
                        <w:r>
                          <w:rPr>
                            <w:rFonts w:ascii="宋体" w:hAnsi="宋体" w:cs="宋体" w:eastAsia="宋体" w:hint="default"/>
                            <w:spacing w:val="-5"/>
                            <w:sz w:val="18"/>
                            <w:szCs w:val="18"/>
                          </w:rPr>
                          <w:t>万元，网络信息安全监</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管平台建设项目先期投入 </w:t>
                        </w:r>
                        <w:r>
                          <w:rPr>
                            <w:rFonts w:ascii="Times New Roman" w:hAnsi="Times New Roman" w:cs="Times New Roman" w:eastAsia="Times New Roman" w:hint="default"/>
                            <w:sz w:val="18"/>
                            <w:szCs w:val="18"/>
                          </w:rPr>
                          <w:t>1,954.85 </w:t>
                        </w:r>
                        <w:r>
                          <w:rPr>
                            <w:rFonts w:ascii="宋体" w:hAnsi="宋体" w:cs="宋体" w:eastAsia="宋体" w:hint="default"/>
                            <w:sz w:val="18"/>
                            <w:szCs w:val="18"/>
                          </w:rPr>
                          <w:t>万元，研发中心扩建项目先期投入 </w:t>
                        </w:r>
                        <w:r>
                          <w:rPr>
                            <w:rFonts w:ascii="Times New Roman" w:hAnsi="Times New Roman" w:cs="Times New Roman" w:eastAsia="Times New Roman" w:hint="default"/>
                            <w:sz w:val="18"/>
                            <w:szCs w:val="18"/>
                          </w:rPr>
                          <w:t>1,348.26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万元。北京</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永拓对本公司上述募集资金投资项目预先已投入的实际情况进行了审核并于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pacing w:val="-5"/>
                            <w:sz w:val="18"/>
                            <w:szCs w:val="18"/>
                          </w:rPr>
                          <w:t>日出具京永专字（</w:t>
                        </w:r>
                        <w:r>
                          <w:rPr>
                            <w:rFonts w:ascii="Times New Roman" w:hAnsi="Times New Roman" w:cs="Times New Roman" w:eastAsia="Times New Roman" w:hint="default"/>
                            <w:spacing w:val="-5"/>
                            <w:sz w:val="18"/>
                            <w:szCs w:val="18"/>
                          </w:rPr>
                          <w:t>2012</w:t>
                        </w:r>
                        <w:r>
                          <w:rPr>
                            <w:rFonts w:ascii="宋体" w:hAnsi="宋体" w:cs="宋体" w:eastAsia="宋体" w:hint="default"/>
                            <w:spacing w:val="-5"/>
                            <w:sz w:val="18"/>
                            <w:szCs w:val="18"/>
                          </w:rPr>
                          <w:t>）第 </w:t>
                        </w:r>
                        <w:r>
                          <w:rPr>
                            <w:rFonts w:ascii="Times New Roman" w:hAnsi="Times New Roman" w:cs="Times New Roman" w:eastAsia="Times New Roman" w:hint="default"/>
                            <w:sz w:val="18"/>
                            <w:szCs w:val="18"/>
                          </w:rPr>
                          <w:t>31063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号《关于任子行网络技术股份有限公司以募集资金置换预</w:t>
                        </w:r>
                      </w:p>
                      <w:p>
                        <w:pPr>
                          <w:pStyle w:val="TableParagraph"/>
                          <w:spacing w:line="312" w:lineRule="auto" w:before="63"/>
                          <w:ind w:left="23" w:right="21"/>
                          <w:jc w:val="both"/>
                          <w:rPr>
                            <w:rFonts w:ascii="宋体" w:hAnsi="宋体" w:cs="宋体" w:eastAsia="宋体" w:hint="default"/>
                            <w:sz w:val="18"/>
                            <w:szCs w:val="18"/>
                          </w:rPr>
                        </w:pPr>
                        <w:r>
                          <w:rPr>
                            <w:rFonts w:ascii="宋体" w:hAnsi="宋体" w:cs="宋体" w:eastAsia="宋体" w:hint="default"/>
                            <w:spacing w:val="-4"/>
                            <w:sz w:val="18"/>
                            <w:szCs w:val="18"/>
                          </w:rPr>
                          <w:t>先投入募集资金投资项目的自筹资金的鉴证报告》。</w:t>
                        </w:r>
                        <w:r>
                          <w:rPr>
                            <w:rFonts w:ascii="Times New Roman" w:hAnsi="Times New Roman" w:cs="Times New Roman" w:eastAsia="Times New Roman" w:hint="default"/>
                            <w:spacing w:val="-4"/>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日，本公司第一届董事 </w:t>
                        </w:r>
                        <w:r>
                          <w:rPr>
                            <w:rFonts w:ascii="宋体" w:hAnsi="宋体" w:cs="宋体" w:eastAsia="宋体" w:hint="default"/>
                            <w:spacing w:val="-2"/>
                            <w:sz w:val="18"/>
                            <w:szCs w:val="18"/>
                          </w:rPr>
                          <w:t>会第十四次会议和第一届监事会第七次会议，审议通过了《关于使用募集资金置换预先已投</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4"/>
                            <w:sz w:val="18"/>
                            <w:szCs w:val="18"/>
                          </w:rPr>
                          <w:t>入募投资项目自筹资金》的议案，同意公司使用募集资金 </w:t>
                        </w:r>
                        <w:r>
                          <w:rPr>
                            <w:rFonts w:ascii="Times New Roman" w:hAnsi="Times New Roman" w:cs="Times New Roman" w:eastAsia="Times New Roman" w:hint="default"/>
                            <w:sz w:val="18"/>
                            <w:szCs w:val="18"/>
                          </w:rPr>
                          <w:t>5,380.75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万元置换预先已投入募集 </w:t>
                        </w:r>
                        <w:r>
                          <w:rPr>
                            <w:rFonts w:ascii="宋体" w:hAnsi="宋体" w:cs="宋体" w:eastAsia="宋体" w:hint="default"/>
                            <w:spacing w:val="-2"/>
                            <w:sz w:val="18"/>
                            <w:szCs w:val="18"/>
                          </w:rPr>
                          <w:t>资金投资项目的同等金额自筹资金。保荐机构国信证券股份有限公司进行了核查，对公司本</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pacing w:val="-2"/>
                            <w:sz w:val="18"/>
                            <w:szCs w:val="18"/>
                          </w:rPr>
                          <w:t>次募集资金置换预先已投入募集资金投资项目的自筹资金事项发表无异议核查意见。公司已</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经在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年上半年完成募集资金投资项目先期投入的置换工作。</w:t>
                        </w: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316" w:lineRule="auto"/>
                          <w:ind w:left="22" w:right="160"/>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48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网络信息安全监管平台建设项目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研发中心扩建</w:t>
                        </w:r>
                      </w:p>
                      <w:p>
                        <w:pPr>
                          <w:pStyle w:val="TableParagraph"/>
                          <w:spacing w:line="312" w:lineRule="auto" w:before="61"/>
                          <w:ind w:left="23" w:right="19"/>
                          <w:jc w:val="left"/>
                          <w:rPr>
                            <w:rFonts w:ascii="宋体" w:hAnsi="宋体" w:cs="宋体" w:eastAsia="宋体" w:hint="default"/>
                            <w:sz w:val="18"/>
                            <w:szCs w:val="18"/>
                          </w:rPr>
                        </w:pPr>
                        <w:r>
                          <w:rPr>
                            <w:rFonts w:ascii="宋体" w:hAnsi="宋体" w:cs="宋体" w:eastAsia="宋体" w:hint="default"/>
                            <w:spacing w:val="-3"/>
                            <w:sz w:val="18"/>
                            <w:szCs w:val="18"/>
                          </w:rPr>
                          <w:t>项目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已经完成投资，累计使用募集资金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8,871.07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万元，募集资金专户节余余额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257.34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spacing w:val="-85"/>
                            <w:sz w:val="18"/>
                            <w:szCs w:val="18"/>
                          </w:rPr>
                          <w:t> </w:t>
                        </w:r>
                        <w:r>
                          <w:rPr>
                            <w:rFonts w:ascii="宋体" w:hAnsi="宋体" w:cs="宋体" w:eastAsia="宋体" w:hint="default"/>
                            <w:spacing w:val="-2"/>
                            <w:sz w:val="18"/>
                            <w:szCs w:val="18"/>
                          </w:rPr>
                          <w:t>募投项目产生节余资金主要原因是募集资金的利息收入以及募投项目建设过程中，公司坚持</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谨慎、节约的原则，对部分设备集中采购，降低了采购成本。</w:t>
                        </w:r>
                        <w:r>
                          <w:rPr>
                            <w:rFonts w:ascii="Times New Roman" w:hAnsi="Times New Roman" w:cs="Times New Roman" w:eastAsia="Times New Roman" w:hint="default"/>
                            <w:spacing w:val="-3"/>
                            <w:sz w:val="18"/>
                            <w:szCs w:val="18"/>
                          </w:rPr>
                          <w:t>2014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日，公司第二</w:t>
                        </w:r>
                        <w:r>
                          <w:rPr>
                            <w:rFonts w:ascii="宋体" w:hAnsi="宋体" w:cs="宋体" w:eastAsia="宋体" w:hint="default"/>
                            <w:sz w:val="18"/>
                            <w:szCs w:val="18"/>
                          </w:rPr>
                          <w:t> </w:t>
                        </w:r>
                        <w:r>
                          <w:rPr>
                            <w:rFonts w:ascii="宋体" w:hAnsi="宋体" w:cs="宋体" w:eastAsia="宋体" w:hint="default"/>
                            <w:spacing w:val="-3"/>
                            <w:sz w:val="18"/>
                            <w:szCs w:val="18"/>
                          </w:rPr>
                          <w:t>届董事会第十五次会议审议通过了《关于使用节余募集资金永久补充流动资金的议案》，全</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体董事一致同意使用节余募集资金永久补充流动资金，资金利息永久补充流动资金后，公司</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将注销相应的募集资金专项账户。详见公司于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日在巨潮资讯网</w:t>
                        </w:r>
                      </w:p>
                      <w:p>
                        <w:pPr>
                          <w:pStyle w:val="TableParagraph"/>
                          <w:spacing w:line="300" w:lineRule="auto" w:before="3"/>
                          <w:ind w:left="23" w:right="22"/>
                          <w:jc w:val="left"/>
                          <w:rPr>
                            <w:rFonts w:ascii="宋体" w:hAnsi="宋体" w:cs="宋体" w:eastAsia="宋体" w:hint="default"/>
                            <w:sz w:val="18"/>
                            <w:szCs w:val="18"/>
                          </w:rPr>
                        </w:pPr>
                        <w:r>
                          <w:rPr>
                            <w:rFonts w:ascii="宋体" w:hAnsi="宋体" w:cs="宋体" w:eastAsia="宋体" w:hint="default"/>
                            <w:spacing w:val="-3"/>
                            <w:w w:val="99"/>
                            <w:sz w:val="18"/>
                            <w:szCs w:val="18"/>
                          </w:rPr>
                          <w:t>（</w:t>
                        </w:r>
                        <w:hyperlink r:id="rId12">
                          <w:r>
                            <w:rPr>
                              <w:rFonts w:ascii="Times New Roman" w:hAnsi="Times New Roman" w:cs="Times New Roman" w:eastAsia="Times New Roman" w:hint="default"/>
                              <w:spacing w:val="-3"/>
                              <w:w w:val="99"/>
                              <w:sz w:val="18"/>
                              <w:szCs w:val="18"/>
                            </w:rPr>
                            <w:t>www.cninfo.com.cn</w:t>
                          </w:r>
                        </w:hyperlink>
                        <w:r>
                          <w:rPr>
                            <w:rFonts w:ascii="宋体" w:hAnsi="宋体" w:cs="宋体" w:eastAsia="宋体" w:hint="default"/>
                            <w:spacing w:val="-3"/>
                            <w:w w:val="99"/>
                            <w:sz w:val="18"/>
                            <w:szCs w:val="18"/>
                          </w:rPr>
                          <w:t>）披露的公告（公告编码：</w:t>
                        </w:r>
                        <w:r>
                          <w:rPr>
                            <w:rFonts w:ascii="Times New Roman" w:hAnsi="Times New Roman" w:cs="Times New Roman" w:eastAsia="Times New Roman" w:hint="default"/>
                            <w:spacing w:val="-3"/>
                            <w:w w:val="99"/>
                            <w:sz w:val="18"/>
                            <w:szCs w:val="18"/>
                          </w:rPr>
                          <w:t>2014-084</w:t>
                        </w:r>
                        <w:r>
                          <w:rPr>
                            <w:rFonts w:ascii="宋体" w:hAnsi="宋体" w:cs="宋体" w:eastAsia="宋体" w:hint="default"/>
                            <w:spacing w:val="-3"/>
                            <w:w w:val="99"/>
                            <w:sz w:val="18"/>
                            <w:szCs w:val="18"/>
                          </w:rPr>
                          <w:t>）。截至</w:t>
                        </w:r>
                        <w:r>
                          <w:rPr>
                            <w:rFonts w:ascii="宋体" w:hAnsi="宋体" w:cs="宋体" w:eastAsia="宋体" w:hint="default"/>
                            <w:spacing w:val="-44"/>
                            <w:w w:val="9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网络内容与行为审计产品升级优化项目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已经完成投资，累计使用募集资金 </w:t>
                        </w:r>
                        <w:r>
                          <w:rPr>
                            <w:rFonts w:ascii="Times New Roman" w:hAnsi="Times New Roman" w:cs="Times New Roman" w:eastAsia="Times New Roman" w:hint="default"/>
                            <w:sz w:val="18"/>
                            <w:szCs w:val="18"/>
                          </w:rPr>
                          <w:t>7,533.89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万元，募集资金专户节余余额</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110.43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万元，募投项目产生节余资金主要原因是募集</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pacing w:val="-3"/>
                            <w:sz w:val="18"/>
                            <w:szCs w:val="18"/>
                          </w:rPr>
                          <w:t>资金的利息收入。</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日，公司第二届董事会第二十六次会议审议通过了《关于将</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0" w:right="113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3"/>
          <w:szCs w:val="13"/>
        </w:rPr>
      </w:pPr>
    </w:p>
    <w:p>
      <w:pPr>
        <w:pStyle w:val="BodyText"/>
        <w:spacing w:line="240" w:lineRule="auto" w:before="0"/>
        <w:ind w:left="0" w:right="1136"/>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5"/>
        <w:gridCol w:w="721"/>
        <w:gridCol w:w="7216"/>
      </w:tblGrid>
      <w:tr>
        <w:trPr>
          <w:trHeight w:val="2547"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0"/>
              <w:jc w:val="both"/>
              <w:rPr>
                <w:rFonts w:ascii="宋体" w:hAnsi="宋体" w:cs="宋体" w:eastAsia="宋体" w:hint="default"/>
                <w:sz w:val="18"/>
                <w:szCs w:val="18"/>
              </w:rPr>
            </w:pPr>
            <w:r>
              <w:rPr>
                <w:rFonts w:ascii="宋体" w:hAnsi="宋体" w:cs="宋体" w:eastAsia="宋体" w:hint="default"/>
                <w:spacing w:val="-3"/>
                <w:sz w:val="18"/>
                <w:szCs w:val="18"/>
              </w:rPr>
              <w:t>节余募集资金永久补充流动资金的议案》，全体董事一致同意使用上述募投项目节余利息永</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久补充流动资金，资金利息永久补充流动资金后，公司将注销相应的募集资金专项账户。详</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见公司于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日在巨潮资讯网（</w:t>
            </w:r>
            <w:hyperlink r:id="rId12">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）披露的公告（公告编码</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2015-057</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日，公司办理了三个募集资金账户的销户手续，资金余额合计</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369.01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万元已全部转基本户补充流动资金。详见公司于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日在巨潮资讯网</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w:t>
            </w:r>
            <w:hyperlink r:id="rId12">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.cninfo.</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z w:val="18"/>
                  <w:szCs w:val="18"/>
                </w:rPr>
                <w:t>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n</w:t>
              </w:r>
            </w:hyperlink>
            <w:r>
              <w:rPr>
                <w:rFonts w:ascii="宋体" w:hAnsi="宋体" w:cs="宋体" w:eastAsia="宋体" w:hint="default"/>
                <w:spacing w:val="-13"/>
                <w:sz w:val="18"/>
                <w:szCs w:val="18"/>
              </w:rPr>
              <w:t>）</w:t>
            </w:r>
            <w:r>
              <w:rPr>
                <w:rFonts w:ascii="宋体" w:hAnsi="宋体" w:cs="宋体" w:eastAsia="宋体" w:hint="default"/>
                <w:sz w:val="18"/>
                <w:szCs w:val="18"/>
              </w:rPr>
              <w:t>披露</w:t>
            </w:r>
            <w:r>
              <w:rPr>
                <w:rFonts w:ascii="宋体" w:hAnsi="宋体" w:cs="宋体" w:eastAsia="宋体" w:hint="default"/>
                <w:spacing w:val="-2"/>
                <w:sz w:val="18"/>
                <w:szCs w:val="18"/>
              </w:rPr>
              <w:t>的</w:t>
            </w:r>
            <w:r>
              <w:rPr>
                <w:rFonts w:ascii="宋体" w:hAnsi="宋体" w:cs="宋体" w:eastAsia="宋体" w:hint="default"/>
                <w:sz w:val="18"/>
                <w:szCs w:val="18"/>
              </w:rPr>
              <w:t>公</w:t>
            </w:r>
            <w:r>
              <w:rPr>
                <w:rFonts w:ascii="宋体" w:hAnsi="宋体" w:cs="宋体" w:eastAsia="宋体" w:hint="default"/>
                <w:spacing w:val="-13"/>
                <w:sz w:val="18"/>
                <w:szCs w:val="18"/>
              </w:rPr>
              <w:t>告</w:t>
            </w:r>
            <w:r>
              <w:rPr>
                <w:rFonts w:ascii="宋体" w:hAnsi="宋体" w:cs="宋体" w:eastAsia="宋体" w:hint="default"/>
                <w:sz w:val="18"/>
                <w:szCs w:val="18"/>
              </w:rPr>
              <w:t>（公告编码</w:t>
            </w:r>
            <w:r>
              <w:rPr>
                <w:rFonts w:ascii="宋体" w:hAnsi="宋体" w:cs="宋体" w:eastAsia="宋体" w:hint="default"/>
                <w:spacing w:val="-12"/>
                <w:sz w:val="18"/>
                <w:szCs w:val="18"/>
              </w:rPr>
              <w:t>：</w:t>
            </w:r>
            <w:r>
              <w:rPr>
                <w:rFonts w:ascii="Times New Roman" w:hAnsi="Times New Roman" w:cs="Times New Roman" w:eastAsia="Times New Roman" w:hint="default"/>
                <w:sz w:val="18"/>
                <w:szCs w:val="18"/>
              </w:rPr>
              <w:t>2015-066</w:t>
            </w:r>
            <w:r>
              <w:rPr>
                <w:rFonts w:ascii="宋体" w:hAnsi="宋体" w:cs="宋体" w:eastAsia="宋体" w:hint="default"/>
                <w:spacing w:val="-90"/>
                <w:sz w:val="18"/>
                <w:szCs w:val="18"/>
              </w:rPr>
              <w:t>）</w:t>
            </w:r>
            <w:r>
              <w:rPr>
                <w:rFonts w:ascii="宋体" w:hAnsi="宋体" w:cs="宋体" w:eastAsia="宋体" w:hint="default"/>
                <w:spacing w:val="-12"/>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3"/>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办理了</w:t>
            </w:r>
          </w:p>
          <w:p>
            <w:pPr>
              <w:pStyle w:val="TableParagraph"/>
              <w:spacing w:line="302" w:lineRule="auto" w:before="63"/>
              <w:ind w:left="23" w:right="23"/>
              <w:jc w:val="both"/>
              <w:rPr>
                <w:rFonts w:ascii="宋体" w:hAnsi="宋体" w:cs="宋体" w:eastAsia="宋体" w:hint="default"/>
                <w:sz w:val="18"/>
                <w:szCs w:val="18"/>
              </w:rPr>
            </w:pPr>
            <w:r>
              <w:rPr>
                <w:rFonts w:ascii="宋体" w:hAnsi="宋体" w:cs="宋体" w:eastAsia="宋体" w:hint="default"/>
                <w:spacing w:val="-4"/>
                <w:sz w:val="18"/>
                <w:szCs w:val="18"/>
              </w:rPr>
              <w:t>收购唐人数码配套募集资金账户的销户手续，资金余额</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万元已全部转基本户补充流动资 金。</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ind w:left="0" w:right="1138"/>
        <w:jc w:val="right"/>
      </w:pPr>
      <w:r>
        <w:rPr/>
        <w:pict>
          <v:shape style="position:absolute;margin-left:56.459999pt;margin-top:-232.708282pt;width:479.3pt;height:401.9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并购投资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1,062.01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1,063.49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1,063.49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1,062.01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1,063.49</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458"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武汉任子行的设立经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日公司第二届董事会第二次会议审议通过，并于</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日完成工商注册登记手续。主旨是改善公司研发基础环境。公司原计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划使用超募资金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万元用于武汉任子行成立初期固定资产投资，开办费及铺底流</w:t>
                        </w:r>
                      </w:p>
                      <w:p>
                        <w:pPr>
                          <w:pStyle w:val="TableParagraph"/>
                          <w:spacing w:line="312" w:lineRule="auto" w:before="63"/>
                          <w:ind w:left="23" w:right="2"/>
                          <w:jc w:val="left"/>
                          <w:rPr>
                            <w:rFonts w:ascii="宋体" w:hAnsi="宋体" w:cs="宋体" w:eastAsia="宋体" w:hint="default"/>
                            <w:sz w:val="18"/>
                            <w:szCs w:val="18"/>
                          </w:rPr>
                        </w:pPr>
                        <w:r>
                          <w:rPr>
                            <w:rFonts w:ascii="宋体" w:hAnsi="宋体" w:cs="宋体" w:eastAsia="宋体" w:hint="default"/>
                            <w:sz w:val="18"/>
                            <w:szCs w:val="18"/>
                          </w:rPr>
                          <w:t>动资金。但由于考虑到公司于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月购置了位于武汉市东湖开发区光谷软件园 的房产，为了提高办公设施的利用率，降低成本，该办公场所主要用于公司武汉研发 中心办公及华中地区业务发展及武汉任子行的办公使用。由于公司战略调整，母公司 直接设立运营了武汉研发基地，武汉任子行项目一直没有推进。截止目前，该项目已 使用的超募资金投入金额为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万元。为了进一步整合公司资源，提高资产的运营效率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公司拟注销全资子公司武汉任子行，并将原计划投入上述项目的超募资金进行变更。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日，公司召开第三届董事会第十九次会议及第三届监事会议第十七次 会议，审议通过了《关于变更超募资金投资项目暨使用剩余超募资金支付北京亚鸿世 </w:t>
                        </w:r>
                        <w:r>
                          <w:rPr>
                            <w:rFonts w:ascii="宋体" w:hAnsi="宋体" w:cs="宋体" w:eastAsia="宋体" w:hint="default"/>
                            <w:spacing w:val="-5"/>
                            <w:sz w:val="18"/>
                            <w:szCs w:val="18"/>
                          </w:rPr>
                          <w:t>纪科技发展有限公司部分股权转让款的议案》，且议案已在</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第七次临时股东大会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审议通过。具体内容详见创业板指定信息披露网站巨潮资讯网相关公告（公告编号： </w:t>
                        </w:r>
                        <w:r>
                          <w:rPr>
                            <w:rFonts w:ascii="Times New Roman" w:hAnsi="Times New Roman" w:cs="Times New Roman" w:eastAsia="Times New Roman" w:hint="default"/>
                            <w:spacing w:val="-18"/>
                            <w:sz w:val="18"/>
                            <w:szCs w:val="18"/>
                          </w:rPr>
                          <w:t>2017-099</w:t>
                        </w:r>
                        <w:r>
                          <w:rPr>
                            <w:rFonts w:ascii="宋体" w:hAnsi="宋体" w:cs="宋体" w:eastAsia="宋体" w:hint="default"/>
                            <w:spacing w:val="-18"/>
                            <w:sz w:val="18"/>
                            <w:szCs w:val="18"/>
                          </w:rPr>
                          <w:t>）。</w:t>
                        </w:r>
                        <w:r>
                          <w:rPr>
                            <w:rFonts w:ascii="宋体" w:hAnsi="宋体" w:cs="宋体" w:eastAsia="宋体" w:hint="default"/>
                            <w:sz w:val="18"/>
                            <w:szCs w:val="18"/>
                          </w:rPr>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2"/>
        <w:rPr>
          <w:rFonts w:ascii="宋体" w:hAnsi="宋体" w:cs="宋体" w:eastAsia="宋体" w:hint="default"/>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21;top:14;width:2;height:353" coordorigin="21,14" coordsize="2,353">
              <v:shape style="position:absolute;left:21;top:14;width:2;height:353" coordorigin="21,14" coordsize="0,353" path="m21,14l21,367e" filled="false" stroked="true" strokeweight="1.140pt" strokecolor="#d2d2d2">
                <v:path arrowok="t"/>
              </v:shape>
            </v:group>
            <v:group style="position:absolute;left:2861;top:14;width:2;height:353" coordorigin="2861,14" coordsize="2,353">
              <v:shape style="position:absolute;left:2861;top:14;width:2;height:353" coordorigin="2861,14" coordsize="0,353" path="m2861,14l2861,367e" filled="false" stroked="true" strokeweight="1.140pt" strokecolor="#d2d2d2">
                <v:path arrowok="t"/>
              </v:shape>
            </v:group>
            <v:group style="position:absolute;left:32;top:14;width:2817;height:353" coordorigin="32,14" coordsize="2817,353">
              <v:shape style="position:absolute;left:32;top:14;width:2817;height:353" coordorigin="32,14" coordsize="2817,353" path="m32,367l2849,367,2849,14,32,14,32,367xe" filled="true" fillcolor="#d2d2d2" stroked="false">
                <v:path arrowok="t"/>
                <v:fill type="solid"/>
              </v:shape>
            </v:group>
            <v:group style="position:absolute;left:10;top:10;width:2863;height:2" coordorigin="10,10" coordsize="2863,2">
              <v:shape style="position:absolute;left:10;top:10;width:2863;height:2" coordorigin="10,10" coordsize="2863,0" path="m10,10l2872,10e" filled="false" stroked="true" strokeweight=".48pt" strokecolor="#000000">
                <v:path arrowok="t"/>
              </v:shape>
            </v:group>
            <v:group style="position:absolute;left:2882;top:10;width:6690;height:2" coordorigin="2882,10" coordsize="6690,2">
              <v:shape style="position:absolute;left:2882;top:10;width:6690;height:2" coordorigin="2882,10" coordsize="6690,0" path="m2882,10l9571,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2863;height:2" coordorigin="10,372" coordsize="2863,2">
              <v:shape style="position:absolute;left:10;top:372;width:2863;height:2" coordorigin="10,372" coordsize="2863,0" path="m10,372l2872,372e" filled="false" stroked="true" strokeweight=".48pt" strokecolor="#000000">
                <v:path arrowok="t"/>
              </v:shape>
            </v:group>
            <v:group style="position:absolute;left:2877;top:5;width:2;height:372" coordorigin="2877,5" coordsize="2,372">
              <v:shape style="position:absolute;left:2877;top:5;width:2;height:372" coordorigin="2877,5" coordsize="0,372" path="m2877,5l2877,377e" filled="false" stroked="true" strokeweight=".48pt" strokecolor="#000000">
                <v:path arrowok="t"/>
              </v:shape>
            </v:group>
            <v:group style="position:absolute;left:2882;top:372;width:6690;height:2" coordorigin="2882,372" coordsize="6690,2">
              <v:shape style="position:absolute;left:2882;top:372;width:6690;height:2" coordorigin="2882,372" coordsize="6690,0" path="m2882,372l9571,372e" filled="false" stroked="true" strokeweight=".48pt" strokecolor="#000000">
                <v:path arrowok="t"/>
              </v:shape>
            </v:group>
            <v:group style="position:absolute;left:9576;top:5;width:2;height:372" coordorigin="9576,5" coordsize="2,372">
              <v:shape style="position:absolute;left:9576;top:5;width:2;height:372" coordorigin="9576,5" coordsize="0,372" path="m9576,5l9576,377e" filled="false" stroked="true" strokeweight=".48004pt" strokecolor="#000000">
                <v:path arrowok="t"/>
              </v:shape>
              <v:shape style="position:absolute;left:5;top:10;width:2872;height:363" type="#_x0000_t202" filled="false" stroked="false">
                <v:textbox inset="0,0,0,0">
                  <w:txbxContent>
                    <w:p>
                      <w:pPr>
                        <w:spacing w:before="16"/>
                        <w:ind w:left="27" w:right="0" w:firstLine="0"/>
                        <w:jc w:val="left"/>
                        <w:rPr>
                          <w:rFonts w:ascii="宋体" w:hAnsi="宋体" w:cs="宋体" w:eastAsia="宋体" w:hint="default"/>
                          <w:sz w:val="18"/>
                          <w:szCs w:val="18"/>
                        </w:rPr>
                      </w:pPr>
                      <w:r>
                        <w:rPr>
                          <w:rFonts w:ascii="宋体" w:hAnsi="宋体" w:cs="宋体" w:eastAsia="宋体" w:hint="default"/>
                          <w:sz w:val="18"/>
                          <w:szCs w:val="18"/>
                        </w:rPr>
                        <w:t>的情况说明</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7"/>
          <w:szCs w:val="17"/>
        </w:rPr>
      </w:pPr>
    </w:p>
    <w:p>
      <w:pPr>
        <w:pStyle w:val="Heading2"/>
        <w:spacing w:line="240" w:lineRule="auto" w:before="26"/>
        <w:ind w:right="0"/>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94"/>
        <w:gridCol w:w="850"/>
        <w:gridCol w:w="992"/>
        <w:gridCol w:w="1276"/>
        <w:gridCol w:w="1274"/>
        <w:gridCol w:w="1045"/>
        <w:gridCol w:w="1046"/>
        <w:gridCol w:w="1045"/>
        <w:gridCol w:w="1046"/>
      </w:tblGrid>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亚鸿世纪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运营商业务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407,375,586.06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206,008,664.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321,278,213.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57,930,742.8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56,986,394.9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唐人数码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棋牌游戏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5" w:right="0"/>
              <w:jc w:val="center"/>
              <w:rPr>
                <w:rFonts w:ascii="Times New Roman" w:hAnsi="Times New Roman" w:cs="Times New Roman" w:eastAsia="Times New Roman" w:hint="default"/>
                <w:sz w:val="18"/>
                <w:szCs w:val="18"/>
              </w:rPr>
            </w:pPr>
            <w:r>
              <w:rPr>
                <w:rFonts w:ascii="Times New Roman"/>
                <w:sz w:val="18"/>
              </w:rPr>
              <w:t>64,688,618.88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55,297,598.2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53,274,285.3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31,272,539.1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26,661,014.9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泡椒思志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游戏运营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11,694,737.00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136,018,494.64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91,246,132.2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262,369,204.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37,359,047.6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31,161,820.1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科技开发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50,000,000.00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345,924,260.93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139,857,419.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317,064,046.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70,651,610.3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65,421,501.4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报告期内取得和处置子公司的情况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惠州任网安</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报告期产生净利润</w:t>
            </w:r>
            <w:r>
              <w:rPr>
                <w:rFonts w:ascii="Times New Roman" w:hAnsi="Times New Roman" w:cs="Times New Roman" w:eastAsia="Times New Roman" w:hint="default"/>
                <w:sz w:val="18"/>
                <w:szCs w:val="18"/>
              </w:rPr>
              <w:t>-7.19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武汉任子行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报告期产生净利润</w:t>
            </w:r>
            <w:r>
              <w:rPr>
                <w:rFonts w:ascii="Times New Roman" w:hAnsi="Times New Roman" w:cs="Times New Roman" w:eastAsia="Times New Roman" w:hint="default"/>
                <w:sz w:val="18"/>
                <w:szCs w:val="18"/>
              </w:rPr>
              <w:t>-36.99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深圳任知聚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报告期产生净利润</w:t>
            </w:r>
            <w:r>
              <w:rPr>
                <w:rFonts w:ascii="Times New Roman" w:hAnsi="Times New Roman" w:cs="Times New Roman" w:eastAsia="Times New Roman" w:hint="default"/>
                <w:sz w:val="18"/>
                <w:szCs w:val="18"/>
              </w:rPr>
              <w:t>-0.01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北京任子行</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报告期产生净利润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pStyle w:val="BodyText"/>
        <w:spacing w:line="240" w:lineRule="auto" w:before="51"/>
        <w:ind w:right="0"/>
        <w:jc w:val="both"/>
      </w:pPr>
      <w:r>
        <w:rPr/>
        <w:t>主要控股参股公司情况说明</w:t>
      </w:r>
    </w:p>
    <w:p>
      <w:pPr>
        <w:pStyle w:val="BodyText"/>
        <w:spacing w:line="302" w:lineRule="auto" w:before="116"/>
        <w:ind w:right="1170"/>
        <w:jc w:val="both"/>
      </w:pPr>
      <w:r>
        <w:rPr>
          <w:rFonts w:ascii="Times New Roman" w:hAnsi="Times New Roman" w:cs="Times New Roman" w:eastAsia="Times New Roman" w:hint="default"/>
        </w:rPr>
        <w:t>1</w:t>
      </w:r>
      <w:r>
        <w:rPr/>
        <w:t>、报告期内亚鸿世纪实现营业收入</w:t>
      </w:r>
      <w:r>
        <w:rPr>
          <w:spacing w:val="-47"/>
        </w:rPr>
        <w:t> </w:t>
      </w:r>
      <w:r>
        <w:rPr>
          <w:rFonts w:ascii="Times New Roman" w:hAnsi="Times New Roman" w:cs="Times New Roman" w:eastAsia="Times New Roman" w:hint="default"/>
        </w:rPr>
        <w:t>32,127.82</w:t>
      </w:r>
      <w:r>
        <w:rPr>
          <w:rFonts w:ascii="Times New Roman" w:hAnsi="Times New Roman" w:cs="Times New Roman" w:eastAsia="Times New Roman" w:hint="default"/>
          <w:spacing w:val="-2"/>
        </w:rPr>
        <w:t> </w:t>
      </w:r>
      <w:r>
        <w:rPr/>
        <w:t>万元，较上年同期增长</w:t>
      </w:r>
      <w:r>
        <w:rPr>
          <w:spacing w:val="-47"/>
        </w:rPr>
        <w:t> </w:t>
      </w:r>
      <w:r>
        <w:rPr>
          <w:rFonts w:ascii="Times New Roman" w:hAnsi="Times New Roman" w:cs="Times New Roman" w:eastAsia="Times New Roman" w:hint="default"/>
        </w:rPr>
        <w:t>37.78%</w:t>
      </w:r>
      <w:r>
        <w:rPr/>
        <w:t>，实现净利润</w:t>
      </w:r>
      <w:r>
        <w:rPr>
          <w:spacing w:val="-47"/>
        </w:rPr>
        <w:t> </w:t>
      </w:r>
      <w:r>
        <w:rPr>
          <w:rFonts w:ascii="Times New Roman" w:hAnsi="Times New Roman" w:cs="Times New Roman" w:eastAsia="Times New Roman" w:hint="default"/>
        </w:rPr>
        <w:t>5,698.64</w:t>
      </w:r>
      <w:r>
        <w:rPr>
          <w:rFonts w:ascii="Times New Roman" w:hAnsi="Times New Roman" w:cs="Times New Roman" w:eastAsia="Times New Roman" w:hint="default"/>
          <w:spacing w:val="-2"/>
        </w:rPr>
        <w:t> </w:t>
      </w:r>
      <w:r>
        <w:rPr/>
        <w:t>万元，较上年同期净利 润增长</w:t>
      </w:r>
      <w:r>
        <w:rPr>
          <w:spacing w:val="-46"/>
        </w:rPr>
        <w:t> </w:t>
      </w:r>
      <w:r>
        <w:rPr>
          <w:rFonts w:ascii="Times New Roman" w:hAnsi="Times New Roman" w:cs="Times New Roman" w:eastAsia="Times New Roman" w:hint="default"/>
        </w:rPr>
        <w:t>51.79%</w:t>
      </w:r>
      <w:r>
        <w:rPr/>
        <w:t>，主要系公司的战略产品反诈骗系统以及分级系统、成熟产品</w:t>
      </w:r>
      <w:r>
        <w:rPr>
          <w:spacing w:val="-46"/>
        </w:rPr>
        <w:t> </w:t>
      </w:r>
      <w:r>
        <w:rPr>
          <w:rFonts w:ascii="Times New Roman" w:hAnsi="Times New Roman" w:cs="Times New Roman" w:eastAsia="Times New Roman" w:hint="default"/>
        </w:rPr>
        <w:t>IDC/ISP</w:t>
      </w:r>
      <w:r>
        <w:rPr>
          <w:rFonts w:ascii="Times New Roman" w:hAnsi="Times New Roman" w:cs="Times New Roman" w:eastAsia="Times New Roman" w:hint="default"/>
          <w:spacing w:val="-1"/>
        </w:rPr>
        <w:t> </w:t>
      </w:r>
      <w:r>
        <w:rPr/>
        <w:t>信息安全管理系统在市场上取得大幅 增长。</w:t>
      </w:r>
    </w:p>
    <w:p>
      <w:pPr>
        <w:pStyle w:val="BodyText"/>
        <w:spacing w:line="240" w:lineRule="auto" w:before="68"/>
        <w:ind w:right="0"/>
        <w:jc w:val="both"/>
      </w:pPr>
      <w:r>
        <w:rPr>
          <w:rFonts w:ascii="Times New Roman" w:hAnsi="Times New Roman" w:cs="Times New Roman" w:eastAsia="Times New Roman" w:hint="default"/>
        </w:rPr>
        <w:t>2</w:t>
      </w:r>
      <w:r>
        <w:rPr/>
        <w:t>、报告期内，唐人数码实现营业收入</w:t>
      </w:r>
      <w:r>
        <w:rPr>
          <w:spacing w:val="-57"/>
        </w:rPr>
        <w:t> </w:t>
      </w:r>
      <w:r>
        <w:rPr>
          <w:rFonts w:ascii="Times New Roman" w:hAnsi="Times New Roman" w:cs="Times New Roman" w:eastAsia="Times New Roman" w:hint="default"/>
        </w:rPr>
        <w:t>5,327.43</w:t>
      </w:r>
      <w:r>
        <w:rPr>
          <w:rFonts w:ascii="Times New Roman" w:hAnsi="Times New Roman" w:cs="Times New Roman" w:eastAsia="Times New Roman" w:hint="default"/>
          <w:spacing w:val="-12"/>
        </w:rPr>
        <w:t> </w:t>
      </w:r>
      <w:r>
        <w:rPr/>
        <w:t>万元，较上年同期下降</w:t>
      </w:r>
      <w:r>
        <w:rPr>
          <w:spacing w:val="-57"/>
        </w:rPr>
        <w:t> </w:t>
      </w:r>
      <w:r>
        <w:rPr>
          <w:rFonts w:ascii="Times New Roman" w:hAnsi="Times New Roman" w:cs="Times New Roman" w:eastAsia="Times New Roman" w:hint="default"/>
        </w:rPr>
        <w:t>51.22%</w:t>
      </w:r>
      <w:r>
        <w:rPr/>
        <w:t>，实现净利润</w:t>
      </w:r>
      <w:r>
        <w:rPr>
          <w:spacing w:val="-57"/>
        </w:rPr>
        <w:t> </w:t>
      </w:r>
      <w:r>
        <w:rPr>
          <w:rFonts w:ascii="Times New Roman" w:hAnsi="Times New Roman" w:cs="Times New Roman" w:eastAsia="Times New Roman" w:hint="default"/>
        </w:rPr>
        <w:t>2,666.10</w:t>
      </w:r>
      <w:r>
        <w:rPr>
          <w:rFonts w:ascii="Times New Roman" w:hAnsi="Times New Roman" w:cs="Times New Roman" w:eastAsia="Times New Roman" w:hint="default"/>
          <w:spacing w:val="-12"/>
        </w:rPr>
        <w:t> </w:t>
      </w:r>
      <w:r>
        <w:rPr/>
        <w:t>万元，较上年同期下降</w:t>
      </w:r>
    </w:p>
    <w:p>
      <w:pPr>
        <w:pStyle w:val="BodyText"/>
        <w:spacing w:line="240" w:lineRule="auto" w:before="63"/>
        <w:ind w:right="0"/>
        <w:jc w:val="both"/>
      </w:pPr>
      <w:r>
        <w:rPr>
          <w:rFonts w:ascii="Times New Roman" w:hAnsi="Times New Roman" w:cs="Times New Roman" w:eastAsia="Times New Roman" w:hint="default"/>
        </w:rPr>
        <w:t>63.05%</w:t>
      </w:r>
      <w:r>
        <w:rPr/>
        <w:t>，主要系下属子公司争渡业务取消；</w:t>
      </w:r>
      <w:r>
        <w:rPr>
          <w:rFonts w:ascii="Times New Roman" w:hAnsi="Times New Roman" w:cs="Times New Roman" w:eastAsia="Times New Roman" w:hint="default"/>
        </w:rPr>
        <w:t>PC</w:t>
      </w:r>
      <w:r>
        <w:rPr>
          <w:rFonts w:ascii="Times New Roman" w:hAnsi="Times New Roman" w:cs="Times New Roman" w:eastAsia="Times New Roman" w:hint="default"/>
          <w:spacing w:val="-2"/>
        </w:rPr>
        <w:t> </w:t>
      </w:r>
      <w:r>
        <w:rPr/>
        <w:t>棋牌日趋下滑，移动棋牌进入</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月份以后虽有小幅度增长，但是未到达预</w:t>
      </w:r>
    </w:p>
    <w:p>
      <w:pPr>
        <w:spacing w:after="0" w:line="240" w:lineRule="auto"/>
        <w:jc w:val="both"/>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both"/>
      </w:pPr>
      <w:r>
        <w:rPr/>
        <w:t>期。</w:t>
      </w:r>
    </w:p>
    <w:p>
      <w:pPr>
        <w:pStyle w:val="BodyText"/>
        <w:spacing w:line="302" w:lineRule="auto" w:before="115"/>
        <w:ind w:right="1121"/>
        <w:jc w:val="left"/>
      </w:pPr>
      <w:r>
        <w:rPr>
          <w:rFonts w:ascii="Times New Roman" w:hAnsi="Times New Roman" w:cs="Times New Roman" w:eastAsia="Times New Roman" w:hint="default"/>
        </w:rPr>
        <w:t>3</w:t>
      </w:r>
      <w:r>
        <w:rPr/>
        <w:t>、报告期内，科技开发实现营业收入</w:t>
      </w:r>
      <w:r>
        <w:rPr>
          <w:spacing w:val="-57"/>
        </w:rPr>
        <w:t> </w:t>
      </w:r>
      <w:r>
        <w:rPr>
          <w:rFonts w:ascii="Times New Roman" w:hAnsi="Times New Roman" w:cs="Times New Roman" w:eastAsia="Times New Roman" w:hint="default"/>
        </w:rPr>
        <w:t>31,706.40</w:t>
      </w:r>
      <w:r>
        <w:rPr>
          <w:rFonts w:ascii="Times New Roman" w:hAnsi="Times New Roman" w:cs="Times New Roman" w:eastAsia="Times New Roman" w:hint="default"/>
          <w:spacing w:val="-11"/>
        </w:rPr>
        <w:t> </w:t>
      </w:r>
      <w:r>
        <w:rPr/>
        <w:t>万元，较上年同期增长</w:t>
      </w:r>
      <w:r>
        <w:rPr>
          <w:spacing w:val="-57"/>
        </w:rPr>
        <w:t> </w:t>
      </w:r>
      <w:r>
        <w:rPr>
          <w:rFonts w:ascii="Times New Roman" w:hAnsi="Times New Roman" w:cs="Times New Roman" w:eastAsia="Times New Roman" w:hint="default"/>
        </w:rPr>
        <w:t>157.18%</w:t>
      </w:r>
      <w:r>
        <w:rPr/>
        <w:t>，实现净利润</w:t>
      </w:r>
      <w:r>
        <w:rPr>
          <w:spacing w:val="-57"/>
        </w:rPr>
        <w:t> </w:t>
      </w:r>
      <w:r>
        <w:rPr>
          <w:rFonts w:ascii="Times New Roman" w:hAnsi="Times New Roman" w:cs="Times New Roman" w:eastAsia="Times New Roman" w:hint="default"/>
        </w:rPr>
        <w:t>6,542.15</w:t>
      </w:r>
      <w:r>
        <w:rPr>
          <w:rFonts w:ascii="Times New Roman" w:hAnsi="Times New Roman" w:cs="Times New Roman" w:eastAsia="Times New Roman" w:hint="default"/>
          <w:spacing w:val="-12"/>
        </w:rPr>
        <w:t> </w:t>
      </w:r>
      <w:r>
        <w:rPr/>
        <w:t>万元，较上年同期净 利润增长</w:t>
      </w:r>
      <w:r>
        <w:rPr>
          <w:spacing w:val="-46"/>
        </w:rPr>
        <w:t> </w:t>
      </w:r>
      <w:r>
        <w:rPr>
          <w:rFonts w:ascii="Times New Roman" w:hAnsi="Times New Roman" w:cs="Times New Roman" w:eastAsia="Times New Roman" w:hint="default"/>
        </w:rPr>
        <w:t>190.77%</w:t>
      </w:r>
      <w:r>
        <w:rPr/>
        <w:t>，主要系运营商的专用设备项目增加，软件开发业务取得大幅增长。</w:t>
      </w:r>
    </w:p>
    <w:p>
      <w:pPr>
        <w:spacing w:line="240" w:lineRule="auto" w:before="1"/>
        <w:rPr>
          <w:rFonts w:ascii="宋体" w:hAnsi="宋体" w:cs="宋体" w:eastAsia="宋体" w:hint="default"/>
          <w:sz w:val="20"/>
          <w:szCs w:val="20"/>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6"/>
        <w:rPr>
          <w:rFonts w:ascii="宋体" w:hAnsi="宋体" w:cs="宋体" w:eastAsia="宋体" w:hint="default"/>
          <w:b/>
          <w:bCs/>
          <w:sz w:val="32"/>
          <w:szCs w:val="32"/>
        </w:rPr>
      </w:pPr>
    </w:p>
    <w:p>
      <w:pPr>
        <w:pStyle w:val="Heading6"/>
        <w:spacing w:line="477" w:lineRule="auto"/>
        <w:ind w:left="454" w:right="8764" w:hanging="300"/>
        <w:jc w:val="left"/>
        <w:rPr>
          <w:b w:val="0"/>
          <w:bCs w:val="0"/>
        </w:rPr>
      </w:pPr>
      <w:r>
        <w:rPr/>
        <w:t>（一）公司未来发展展望</w:t>
      </w:r>
      <w:r>
        <w:rPr>
          <w:w w:val="99"/>
        </w:rPr>
        <w:t> </w:t>
      </w:r>
      <w:r>
        <w:rPr>
          <w:rFonts w:ascii="宋体" w:hAnsi="宋体" w:cs="宋体" w:eastAsia="宋体" w:hint="default"/>
        </w:rPr>
        <w:t>1</w:t>
      </w:r>
      <w:r>
        <w:rPr/>
        <w:t>、网络安全业务</w:t>
      </w:r>
      <w:r>
        <w:rPr>
          <w:b w:val="0"/>
          <w:bCs w:val="0"/>
        </w:rPr>
      </w:r>
    </w:p>
    <w:p>
      <w:pPr>
        <w:pStyle w:val="BodyText"/>
        <w:spacing w:line="477" w:lineRule="auto" w:before="54"/>
        <w:ind w:left="514" w:right="0" w:hanging="60"/>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）行业发展趋势</w:t>
      </w:r>
      <w:r>
        <w:rPr>
          <w:rFonts w:ascii="宋体" w:hAnsi="宋体" w:cs="宋体" w:eastAsia="宋体" w:hint="default"/>
          <w:b/>
          <w:bCs/>
          <w:spacing w:val="1"/>
          <w:w w:val="99"/>
        </w:rPr>
        <w:t> </w:t>
      </w:r>
      <w:r>
        <w:rPr>
          <w:rFonts w:ascii="宋体" w:hAnsi="宋体" w:cs="宋体" w:eastAsia="宋体" w:hint="default"/>
          <w:spacing w:val="-2"/>
        </w:rPr>
        <w:t>2018</w:t>
      </w:r>
      <w:r>
        <w:rPr>
          <w:spacing w:val="-2"/>
        </w:rPr>
        <w:t>年世界经济论坛《全球风险报告》，阐述了全球企业所面临的风险，网络攻击和数据泄露排在最有可能发生的前五</w:t>
      </w:r>
    </w:p>
    <w:p>
      <w:pPr>
        <w:pStyle w:val="BodyText"/>
        <w:spacing w:line="477" w:lineRule="auto" w:before="54"/>
        <w:ind w:right="0"/>
        <w:jc w:val="left"/>
      </w:pPr>
      <w:r>
        <w:rPr>
          <w:spacing w:val="-2"/>
        </w:rPr>
        <w:t>大风险第三位、第四位。</w:t>
      </w:r>
      <w:r>
        <w:rPr>
          <w:rFonts w:ascii="宋体" w:hAnsi="宋体" w:cs="宋体" w:eastAsia="宋体" w:hint="default"/>
          <w:spacing w:val="-2"/>
        </w:rPr>
        <w:t>Facebook</w:t>
      </w:r>
      <w:r>
        <w:rPr>
          <w:spacing w:val="-2"/>
        </w:rPr>
        <w:t>泄露门事件、特斯拉数据泄露事件、黑客攻击事件及勒索病毒事件的发生，也预示着用户</w:t>
      </w:r>
      <w:r>
        <w:rPr>
          <w:spacing w:val="-58"/>
        </w:rPr>
        <w:t> </w:t>
      </w:r>
      <w:r>
        <w:rPr>
          <w:spacing w:val="-58"/>
        </w:rPr>
      </w:r>
      <w:r>
        <w:rPr/>
        <w:t>面临更加严峻的网络安全挑战。</w:t>
      </w:r>
    </w:p>
    <w:p>
      <w:pPr>
        <w:pStyle w:val="BodyText"/>
        <w:spacing w:line="477" w:lineRule="auto" w:before="54"/>
        <w:ind w:right="1129" w:firstLine="360"/>
        <w:jc w:val="both"/>
      </w:pPr>
      <w:r>
        <w:rPr/>
        <w:t>网络安全已经成为事关国家安全的重大战略问题，国家对网络安全高度重视，网络安全产业有望重要发展机遇。</w:t>
      </w:r>
      <w:r>
        <w:rPr>
          <w:rFonts w:ascii="宋体" w:hAnsi="宋体" w:cs="宋体" w:eastAsia="宋体" w:hint="default"/>
        </w:rPr>
        <w:t>2018 </w:t>
      </w:r>
      <w:r>
        <w:rPr/>
        <w:t>年</w:t>
      </w:r>
      <w:r>
        <w:rPr>
          <w:rFonts w:ascii="宋体" w:hAnsi="宋体" w:cs="宋体" w:eastAsia="宋体" w:hint="default"/>
        </w:rPr>
        <w:t>6</w:t>
      </w:r>
      <w:r>
        <w:rPr/>
        <w:t>月，公安部发布《网络安全等级保护条例（征求意见稿）》，等级保护</w:t>
      </w:r>
      <w:r>
        <w:rPr>
          <w:rFonts w:ascii="宋体" w:hAnsi="宋体" w:cs="宋体" w:eastAsia="宋体" w:hint="default"/>
        </w:rPr>
        <w:t>2.0</w:t>
      </w:r>
      <w:r>
        <w:rPr/>
        <w:t>标准有望加速出台，为符合等级保护</w:t>
      </w:r>
      <w:r>
        <w:rPr>
          <w:rFonts w:ascii="宋体" w:hAnsi="宋体" w:cs="宋体" w:eastAsia="宋体" w:hint="default"/>
        </w:rPr>
        <w:t>2.0</w:t>
      </w:r>
      <w:r>
        <w:rPr/>
        <w:t>时代</w:t>
      </w:r>
      <w:r>
        <w:rPr>
          <w:spacing w:val="-82"/>
        </w:rPr>
        <w:t> </w:t>
      </w:r>
      <w:r>
        <w:rPr>
          <w:spacing w:val="-2"/>
        </w:rPr>
        <w:t>国家网络安全等级保护政策的新要求，相关行业有望进一步加大信息安全产品和服务的投入，将有望促进我国信息安全产业</w:t>
      </w:r>
      <w:r>
        <w:rPr>
          <w:spacing w:val="-64"/>
        </w:rPr>
        <w:t> </w:t>
      </w:r>
      <w:r>
        <w:rPr>
          <w:spacing w:val="-64"/>
        </w:rPr>
      </w:r>
      <w:r>
        <w:rPr/>
        <w:t>的发展，将催生国内信息安全市场释放新需求。</w:t>
      </w:r>
    </w:p>
    <w:p>
      <w:pPr>
        <w:spacing w:line="477" w:lineRule="auto" w:before="54"/>
        <w:ind w:left="454"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z w:val="18"/>
          <w:szCs w:val="18"/>
        </w:rPr>
        <w:t>2019</w:t>
      </w:r>
      <w:r>
        <w:rPr>
          <w:rFonts w:ascii="宋体" w:hAnsi="宋体" w:cs="宋体" w:eastAsia="宋体" w:hint="default"/>
          <w:b/>
          <w:bCs/>
          <w:sz w:val="18"/>
          <w:szCs w:val="18"/>
        </w:rPr>
        <w:t>年度发展规划</w:t>
      </w:r>
      <w:r>
        <w:rPr>
          <w:rFonts w:ascii="宋体" w:hAnsi="宋体" w:cs="宋体" w:eastAsia="宋体" w:hint="default"/>
          <w:b/>
          <w:bCs/>
          <w:w w:val="99"/>
          <w:sz w:val="18"/>
          <w:szCs w:val="18"/>
        </w:rPr>
        <w:t> </w:t>
      </w:r>
      <w:r>
        <w:rPr>
          <w:rFonts w:ascii="宋体" w:hAnsi="宋体" w:cs="宋体" w:eastAsia="宋体" w:hint="default"/>
          <w:spacing w:val="-1"/>
          <w:sz w:val="18"/>
          <w:szCs w:val="18"/>
        </w:rPr>
        <w:t>经过多年的发展与积累，公司的网络安全产品在各行各业得到广泛的应用。为了满足客户需求，更好的顺应行业的发展</w:t>
      </w:r>
    </w:p>
    <w:p>
      <w:pPr>
        <w:pStyle w:val="BodyText"/>
        <w:spacing w:line="477" w:lineRule="auto" w:before="54"/>
        <w:ind w:right="1131"/>
        <w:jc w:val="both"/>
      </w:pPr>
      <w:r>
        <w:rPr>
          <w:spacing w:val="-2"/>
        </w:rPr>
        <w:t>趋势，</w:t>
      </w:r>
      <w:r>
        <w:rPr>
          <w:rFonts w:ascii="宋体" w:hAnsi="宋体" w:cs="宋体" w:eastAsia="宋体" w:hint="default"/>
          <w:spacing w:val="-2"/>
        </w:rPr>
        <w:t>2019</w:t>
      </w:r>
      <w:r>
        <w:rPr>
          <w:spacing w:val="-2"/>
        </w:rPr>
        <w:t>年初，公司调整了集团组织架构，将网安业务群原来事业部的形式调整为产品平台和销售平台的组织结构，产品</w:t>
      </w:r>
      <w:r>
        <w:rPr>
          <w:spacing w:val="-61"/>
        </w:rPr>
        <w:t> </w:t>
      </w:r>
      <w:r>
        <w:rPr>
          <w:spacing w:val="-61"/>
        </w:rPr>
      </w:r>
      <w:r>
        <w:rPr/>
        <w:t>平台包括</w:t>
      </w:r>
      <w:r>
        <w:rPr>
          <w:rFonts w:ascii="宋体" w:hAnsi="宋体" w:cs="宋体" w:eastAsia="宋体" w:hint="default"/>
        </w:rPr>
        <w:t>7</w:t>
      </w:r>
      <w:r>
        <w:rPr/>
        <w:t>个主要产品系列：网络空间感知产品中心、网络审计产品中心、开源情报分析产品中心、大规模网络监管产品中</w:t>
      </w:r>
      <w:r>
        <w:rPr>
          <w:spacing w:val="-83"/>
        </w:rPr>
        <w:t> </w:t>
      </w:r>
      <w:r>
        <w:rPr>
          <w:spacing w:val="-83"/>
        </w:rPr>
      </w:r>
      <w:r>
        <w:rPr>
          <w:spacing w:val="-2"/>
        </w:rPr>
        <w:t>心、网络应急产品中心、移动应用监管产品中心、警务大数据产品中心。统一销售平台有利于加强整合公司网安业务群的销</w:t>
      </w:r>
      <w:r>
        <w:rPr>
          <w:spacing w:val="-66"/>
        </w:rPr>
        <w:t> </w:t>
      </w:r>
      <w:r>
        <w:rPr>
          <w:spacing w:val="-66"/>
        </w:rPr>
      </w:r>
      <w:r>
        <w:rPr>
          <w:spacing w:val="-2"/>
        </w:rPr>
        <w:t>售体系，推出更加符合客户需求的网络安全整体解决方案。此次组织结构调整将有利于促进公司长期战略的实施落地，管理</w:t>
      </w:r>
      <w:r>
        <w:rPr>
          <w:spacing w:val="-66"/>
        </w:rPr>
        <w:t> </w:t>
      </w:r>
      <w:r>
        <w:rPr>
          <w:spacing w:val="-66"/>
        </w:rPr>
      </w:r>
      <w:r>
        <w:rPr/>
        <w:t>模式的扁平化也有利于提高公司组织效率。</w:t>
      </w:r>
    </w:p>
    <w:p>
      <w:pPr>
        <w:pStyle w:val="BodyText"/>
        <w:spacing w:line="477" w:lineRule="auto" w:before="95"/>
        <w:ind w:right="1032" w:firstLine="360"/>
        <w:jc w:val="left"/>
      </w:pPr>
      <w:r>
        <w:rPr/>
        <w:t>未来公司将继续研究发展网络安全核心关键性技术，以网络强国建设为根本目标，加大网络空间治理产品的研发投入， </w:t>
      </w:r>
      <w:r>
        <w:rPr>
          <w:spacing w:val="-2"/>
        </w:rPr>
        <w:t>辅助政府和企业落实国家网络安全监管要求，让网络空间更晴朗。公司还将顺应工业互联网和</w:t>
      </w:r>
      <w:r>
        <w:rPr>
          <w:rFonts w:ascii="宋体" w:hAnsi="宋体" w:cs="宋体" w:eastAsia="宋体" w:hint="default"/>
          <w:spacing w:val="-2"/>
        </w:rPr>
        <w:t>5G</w:t>
      </w:r>
      <w:r>
        <w:rPr>
          <w:spacing w:val="-2"/>
        </w:rPr>
        <w:t>时代的发展，在工业互联网</w:t>
      </w:r>
      <w:r>
        <w:rPr>
          <w:spacing w:val="-63"/>
        </w:rPr>
        <w:t> </w:t>
      </w:r>
      <w:r>
        <w:rPr>
          <w:spacing w:val="-63"/>
        </w:rPr>
      </w:r>
      <w:r>
        <w:rPr/>
        <w:t>安全监测及态势感知、</w:t>
      </w:r>
      <w:r>
        <w:rPr>
          <w:rFonts w:ascii="宋体" w:hAnsi="宋体" w:cs="宋体" w:eastAsia="宋体" w:hint="default"/>
        </w:rPr>
        <w:t>5G</w:t>
      </w:r>
      <w:r>
        <w:rPr/>
        <w:t>网络及信息安全管理、物联网的资源及网络信息安全管理等方面进行战略性投入，研究并推动</w:t>
      </w:r>
      <w:r>
        <w:rPr>
          <w:rFonts w:ascii="宋体" w:hAnsi="宋体" w:cs="宋体" w:eastAsia="宋体" w:hint="default"/>
        </w:rPr>
        <w:t>5G</w:t>
      </w:r>
      <w:r>
        <w:rPr>
          <w:rFonts w:ascii="宋体" w:hAnsi="宋体" w:cs="宋体" w:eastAsia="宋体" w:hint="default"/>
          <w:spacing w:val="2"/>
        </w:rPr>
        <w:t> </w:t>
      </w:r>
      <w:r>
        <w:rPr/>
        <w:t>与工业控制、工业互联网、物联网等新业务场景的融合发展</w:t>
      </w:r>
      <w:r>
        <w:rPr>
          <w:rFonts w:ascii="宋体" w:hAnsi="宋体" w:cs="宋体" w:eastAsia="宋体" w:hint="default"/>
        </w:rPr>
        <w:t>,</w:t>
      </w:r>
      <w:r>
        <w:rPr/>
        <w:t>为工业互联网及</w:t>
      </w:r>
      <w:r>
        <w:rPr>
          <w:rFonts w:ascii="宋体" w:hAnsi="宋体" w:cs="宋体" w:eastAsia="宋体" w:hint="default"/>
        </w:rPr>
        <w:t>5G</w:t>
      </w:r>
      <w:r>
        <w:rPr/>
        <w:t>的发展提供安全保障。</w:t>
      </w:r>
    </w:p>
    <w:p>
      <w:pPr>
        <w:pStyle w:val="Heading6"/>
        <w:spacing w:line="240" w:lineRule="auto" w:before="92"/>
        <w:ind w:left="515" w:right="0"/>
        <w:jc w:val="left"/>
        <w:rPr>
          <w:b w:val="0"/>
          <w:bCs w:val="0"/>
        </w:rPr>
      </w:pPr>
      <w:r>
        <w:rPr>
          <w:rFonts w:ascii="宋体" w:hAnsi="宋体" w:cs="宋体" w:eastAsia="宋体" w:hint="default"/>
        </w:rPr>
        <w:t>2</w:t>
      </w:r>
      <w:r>
        <w:rPr/>
        <w:t>、互联网游戏业务</w:t>
      </w:r>
      <w:r>
        <w:rPr>
          <w:b w:val="0"/>
          <w:bCs w:val="0"/>
        </w:rPr>
      </w:r>
    </w:p>
    <w:p>
      <w:pPr>
        <w:spacing w:line="240" w:lineRule="auto" w:before="10"/>
        <w:rPr>
          <w:rFonts w:ascii="宋体" w:hAnsi="宋体" w:cs="宋体" w:eastAsia="宋体" w:hint="default"/>
          <w:b/>
          <w:bCs/>
          <w:sz w:val="17"/>
          <w:szCs w:val="17"/>
        </w:rPr>
      </w:pPr>
    </w:p>
    <w:p>
      <w:pPr>
        <w:pStyle w:val="Heading6"/>
        <w:spacing w:line="240" w:lineRule="auto"/>
        <w:ind w:left="515" w:right="0"/>
        <w:jc w:val="left"/>
        <w:rPr>
          <w:b w:val="0"/>
          <w:bCs w:val="0"/>
        </w:rPr>
      </w:pPr>
      <w:r>
        <w:rPr/>
        <w:t>（</w:t>
      </w:r>
      <w:r>
        <w:rPr>
          <w:rFonts w:ascii="宋体" w:hAnsi="宋体" w:cs="宋体" w:eastAsia="宋体" w:hint="default"/>
        </w:rPr>
        <w:t>1</w:t>
      </w:r>
      <w:r>
        <w:rPr/>
        <w:t>）行业发展趋势</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BodyText"/>
        <w:spacing w:line="477" w:lineRule="auto" w:before="0"/>
        <w:ind w:right="1130" w:firstLine="360"/>
        <w:jc w:val="both"/>
      </w:pPr>
      <w:r>
        <w:rPr>
          <w:spacing w:val="-2"/>
        </w:rPr>
        <w:t>根据中国音数协游戏工委《</w:t>
      </w:r>
      <w:r>
        <w:rPr>
          <w:rFonts w:ascii="宋体" w:hAnsi="宋体" w:cs="宋体" w:eastAsia="宋体" w:hint="default"/>
          <w:spacing w:val="-2"/>
        </w:rPr>
        <w:t>2018</w:t>
      </w:r>
      <w:r>
        <w:rPr>
          <w:spacing w:val="-2"/>
        </w:rPr>
        <w:t>年中国游戏产业报告》，</w:t>
      </w:r>
      <w:r>
        <w:rPr>
          <w:rFonts w:ascii="宋体" w:hAnsi="宋体" w:cs="宋体" w:eastAsia="宋体" w:hint="default"/>
          <w:spacing w:val="-2"/>
        </w:rPr>
        <w:t>2018</w:t>
      </w:r>
      <w:r>
        <w:rPr>
          <w:spacing w:val="-2"/>
        </w:rPr>
        <w:t>年，中国游戏产业在整体收入上的增幅明显放缓。报告显</w:t>
      </w:r>
      <w:r>
        <w:rPr/>
        <w:t> </w:t>
      </w:r>
      <w:r>
        <w:rPr>
          <w:spacing w:val="-2"/>
        </w:rPr>
        <w:t>示，中国游戏市场实际销售收入达</w:t>
      </w:r>
      <w:r>
        <w:rPr>
          <w:rFonts w:ascii="宋体" w:hAnsi="宋体" w:cs="宋体" w:eastAsia="宋体" w:hint="default"/>
          <w:spacing w:val="-2"/>
        </w:rPr>
        <w:t>2144.4</w:t>
      </w:r>
      <w:r>
        <w:rPr>
          <w:spacing w:val="-2"/>
        </w:rPr>
        <w:t>亿元，同比增长</w:t>
      </w:r>
      <w:r>
        <w:rPr>
          <w:rFonts w:ascii="宋体" w:hAnsi="宋体" w:cs="宋体" w:eastAsia="宋体" w:hint="default"/>
          <w:spacing w:val="-2"/>
        </w:rPr>
        <w:t>5.3%</w:t>
      </w:r>
      <w:r>
        <w:rPr>
          <w:spacing w:val="-2"/>
        </w:rPr>
        <w:t>。</w:t>
      </w:r>
      <w:r>
        <w:rPr>
          <w:rFonts w:ascii="宋体" w:hAnsi="宋体" w:cs="宋体" w:eastAsia="宋体" w:hint="default"/>
          <w:spacing w:val="-2"/>
        </w:rPr>
        <w:t>2018</w:t>
      </w:r>
      <w:r>
        <w:rPr>
          <w:spacing w:val="-2"/>
        </w:rPr>
        <w:t>年中国游戏市场实际销售收入占全球游戏市场比例约为</w:t>
      </w:r>
      <w:r>
        <w:rPr>
          <w:spacing w:val="-52"/>
        </w:rPr>
        <w:t> </w:t>
      </w:r>
      <w:r>
        <w:rPr>
          <w:rFonts w:ascii="宋体" w:hAnsi="宋体" w:cs="宋体" w:eastAsia="宋体" w:hint="default"/>
        </w:rPr>
        <w:t>23.6%</w:t>
      </w:r>
      <w:r>
        <w:rPr/>
        <w:t>。</w:t>
      </w:r>
      <w:r>
        <w:rPr>
          <w:rFonts w:ascii="宋体" w:hAnsi="宋体" w:cs="宋体" w:eastAsia="宋体" w:hint="default"/>
        </w:rPr>
        <w:t>2018</w:t>
      </w:r>
      <w:r>
        <w:rPr/>
        <w:t>年中国游戏用户规模已达</w:t>
      </w:r>
      <w:r>
        <w:rPr>
          <w:rFonts w:ascii="宋体" w:hAnsi="宋体" w:cs="宋体" w:eastAsia="宋体" w:hint="default"/>
        </w:rPr>
        <w:t>6.26</w:t>
      </w:r>
      <w:r>
        <w:rPr/>
        <w:t>亿人，同比增长</w:t>
      </w:r>
      <w:r>
        <w:rPr>
          <w:rFonts w:ascii="宋体" w:hAnsi="宋体" w:cs="宋体" w:eastAsia="宋体" w:hint="default"/>
        </w:rPr>
        <w:t>7.3%</w:t>
      </w:r>
      <w:r>
        <w:rPr/>
        <w:t>。从各细分领域来看，移动游戏依然占据了市场的大部分份</w:t>
      </w:r>
      <w:r>
        <w:rPr>
          <w:spacing w:val="-85"/>
        </w:rPr>
        <w:t> </w:t>
      </w:r>
      <w:r>
        <w:rPr>
          <w:spacing w:val="-85"/>
        </w:rPr>
      </w:r>
      <w:r>
        <w:rPr>
          <w:spacing w:val="-2"/>
        </w:rPr>
        <w:t>额，销售量为</w:t>
      </w:r>
      <w:r>
        <w:rPr>
          <w:rFonts w:ascii="宋体" w:hAnsi="宋体" w:cs="宋体" w:eastAsia="宋体" w:hint="default"/>
          <w:spacing w:val="-2"/>
        </w:rPr>
        <w:t>1339.6</w:t>
      </w:r>
      <w:r>
        <w:rPr>
          <w:spacing w:val="-2"/>
        </w:rPr>
        <w:t>亿元，份额达到了</w:t>
      </w:r>
      <w:r>
        <w:rPr>
          <w:rFonts w:ascii="宋体" w:hAnsi="宋体" w:cs="宋体" w:eastAsia="宋体" w:hint="default"/>
          <w:spacing w:val="-2"/>
        </w:rPr>
        <w:t>62.5%</w:t>
      </w:r>
      <w:r>
        <w:rPr>
          <w:spacing w:val="-2"/>
        </w:rPr>
        <w:t>；昔日曾占据中国游戏大半江山的网络客户端游戏市场份额不足</w:t>
      </w:r>
      <w:r>
        <w:rPr>
          <w:rFonts w:ascii="宋体" w:hAnsi="宋体" w:cs="宋体" w:eastAsia="宋体" w:hint="default"/>
          <w:spacing w:val="-2"/>
        </w:rPr>
        <w:t>30%</w:t>
      </w:r>
      <w:r>
        <w:rPr>
          <w:spacing w:val="-2"/>
        </w:rPr>
        <w:t>，实际销售</w:t>
      </w:r>
      <w:r>
        <w:rPr>
          <w:spacing w:val="-53"/>
        </w:rPr>
        <w:t> </w:t>
      </w:r>
      <w:r>
        <w:rPr>
          <w:spacing w:val="-53"/>
        </w:rPr>
      </w:r>
      <w:r>
        <w:rPr>
          <w:spacing w:val="-2"/>
        </w:rPr>
        <w:t>量</w:t>
      </w:r>
      <w:r>
        <w:rPr>
          <w:rFonts w:ascii="宋体" w:hAnsi="宋体" w:cs="宋体" w:eastAsia="宋体" w:hint="default"/>
          <w:spacing w:val="-2"/>
        </w:rPr>
        <w:t>619.6</w:t>
      </w:r>
      <w:r>
        <w:rPr>
          <w:spacing w:val="-2"/>
        </w:rPr>
        <w:t>亿；网页游戏份额持续大幅度下滑，以</w:t>
      </w:r>
      <w:r>
        <w:rPr>
          <w:rFonts w:ascii="宋体" w:hAnsi="宋体" w:cs="宋体" w:eastAsia="宋体" w:hint="default"/>
          <w:spacing w:val="-2"/>
        </w:rPr>
        <w:t>126.5</w:t>
      </w:r>
      <w:r>
        <w:rPr>
          <w:spacing w:val="-2"/>
        </w:rPr>
        <w:t>亿的市场销售量占据</w:t>
      </w:r>
      <w:r>
        <w:rPr>
          <w:rFonts w:ascii="宋体" w:hAnsi="宋体" w:cs="宋体" w:eastAsia="宋体" w:hint="default"/>
          <w:spacing w:val="-2"/>
        </w:rPr>
        <w:t>5.9%</w:t>
      </w:r>
      <w:r>
        <w:rPr>
          <w:spacing w:val="-2"/>
        </w:rPr>
        <w:t>。核心玩家较为集中的家用主机游戏、单机游</w:t>
      </w:r>
      <w:r>
        <w:rPr>
          <w:spacing w:val="-53"/>
        </w:rPr>
        <w:t> </w:t>
      </w:r>
      <w:r>
        <w:rPr>
          <w:spacing w:val="-53"/>
        </w:rPr>
      </w:r>
      <w:r>
        <w:rPr/>
        <w:t>戏份额不足</w:t>
      </w:r>
      <w:r>
        <w:rPr>
          <w:rFonts w:ascii="宋体" w:hAnsi="宋体" w:cs="宋体" w:eastAsia="宋体" w:hint="default"/>
        </w:rPr>
        <w:t>1%</w:t>
      </w:r>
      <w:r>
        <w:rPr/>
        <w:t>。移动游戏发展仍然是未来发展趋势。</w:t>
      </w:r>
    </w:p>
    <w:p>
      <w:pPr>
        <w:pStyle w:val="BodyText"/>
        <w:spacing w:line="477" w:lineRule="auto" w:before="54"/>
        <w:ind w:right="1130" w:firstLine="360"/>
        <w:jc w:val="both"/>
      </w:pPr>
      <w:r>
        <w:rPr>
          <w:rFonts w:ascii="宋体" w:hAnsi="宋体" w:cs="宋体" w:eastAsia="宋体" w:hint="default"/>
          <w:spacing w:val="-2"/>
        </w:rPr>
        <w:t>2018</w:t>
      </w:r>
      <w:r>
        <w:rPr>
          <w:spacing w:val="-2"/>
        </w:rPr>
        <w:t>年</w:t>
      </w:r>
      <w:r>
        <w:rPr>
          <w:rFonts w:ascii="宋体" w:hAnsi="宋体" w:cs="宋体" w:eastAsia="宋体" w:hint="default"/>
          <w:spacing w:val="-2"/>
        </w:rPr>
        <w:t>3</w:t>
      </w:r>
      <w:r>
        <w:rPr>
          <w:spacing w:val="-2"/>
        </w:rPr>
        <w:t>月，广电总局下发通知，因为机构改革等原因游戏审批的相关工作将受到延误。</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19</w:t>
      </w:r>
      <w:r>
        <w:rPr>
          <w:spacing w:val="-2"/>
        </w:rPr>
        <w:t>日，广电总局发布</w:t>
      </w:r>
      <w:r>
        <w:rPr/>
        <w:t> </w:t>
      </w:r>
      <w:r>
        <w:rPr>
          <w:spacing w:val="-2"/>
        </w:rPr>
        <w:t>了《出版国产电脑网络游戏作品申请书》《出版国产移动游戏作品申请表》及《出版境外著作权人授权互联网游戏作品申请</w:t>
      </w:r>
      <w:r>
        <w:rPr>
          <w:spacing w:val="-64"/>
        </w:rPr>
        <w:t> </w:t>
      </w:r>
      <w:r>
        <w:rPr>
          <w:spacing w:val="-64"/>
        </w:rPr>
      </w:r>
      <w:r>
        <w:rPr/>
        <w:t>书》三份文件，标志着游戏版号申报工作正式重启，游戏版号的重开将在</w:t>
      </w:r>
      <w:r>
        <w:rPr>
          <w:rFonts w:ascii="宋体" w:hAnsi="宋体" w:cs="宋体" w:eastAsia="宋体" w:hint="default"/>
        </w:rPr>
        <w:t>2019</w:t>
      </w:r>
      <w:r>
        <w:rPr/>
        <w:t>年促进游戏行业的发展。</w:t>
      </w:r>
    </w:p>
    <w:p>
      <w:pPr>
        <w:spacing w:line="477" w:lineRule="auto" w:before="54"/>
        <w:ind w:left="514" w:right="0" w:hanging="60"/>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w:t>
      </w:r>
      <w:r>
        <w:rPr>
          <w:rFonts w:ascii="宋体" w:hAnsi="宋体" w:cs="宋体" w:eastAsia="宋体" w:hint="default"/>
          <w:b/>
          <w:bCs/>
          <w:sz w:val="18"/>
          <w:szCs w:val="18"/>
        </w:rPr>
        <w:t>2019</w:t>
      </w:r>
      <w:r>
        <w:rPr>
          <w:rFonts w:ascii="宋体" w:hAnsi="宋体" w:cs="宋体" w:eastAsia="宋体" w:hint="default"/>
          <w:b/>
          <w:bCs/>
          <w:sz w:val="18"/>
          <w:szCs w:val="18"/>
        </w:rPr>
        <w:t>年度发展规划</w:t>
      </w:r>
      <w:r>
        <w:rPr>
          <w:rFonts w:ascii="宋体" w:hAnsi="宋体" w:cs="宋体" w:eastAsia="宋体" w:hint="default"/>
          <w:b/>
          <w:bCs/>
          <w:w w:val="99"/>
          <w:sz w:val="18"/>
          <w:szCs w:val="18"/>
        </w:rPr>
        <w:t> </w:t>
      </w:r>
      <w:r>
        <w:rPr>
          <w:rFonts w:ascii="宋体" w:hAnsi="宋体" w:cs="宋体" w:eastAsia="宋体" w:hint="default"/>
          <w:spacing w:val="-2"/>
          <w:sz w:val="18"/>
          <w:szCs w:val="18"/>
        </w:rPr>
        <w:t>在</w:t>
      </w:r>
      <w:r>
        <w:rPr>
          <w:rFonts w:ascii="宋体" w:hAnsi="宋体" w:cs="宋体" w:eastAsia="宋体" w:hint="default"/>
          <w:spacing w:val="-2"/>
          <w:sz w:val="18"/>
          <w:szCs w:val="18"/>
        </w:rPr>
        <w:t>PC</w:t>
      </w:r>
      <w:r>
        <w:rPr>
          <w:rFonts w:ascii="宋体" w:hAnsi="宋体" w:cs="宋体" w:eastAsia="宋体" w:hint="default"/>
          <w:spacing w:val="-2"/>
          <w:sz w:val="18"/>
          <w:szCs w:val="18"/>
        </w:rPr>
        <w:t>端游下滑的趋势下，唐人数码</w:t>
      </w:r>
      <w:r>
        <w:rPr>
          <w:rFonts w:ascii="宋体" w:hAnsi="宋体" w:cs="宋体" w:eastAsia="宋体" w:hint="default"/>
          <w:spacing w:val="-2"/>
          <w:sz w:val="18"/>
          <w:szCs w:val="18"/>
        </w:rPr>
        <w:t>PC</w:t>
      </w:r>
      <w:r>
        <w:rPr>
          <w:rFonts w:ascii="宋体" w:hAnsi="宋体" w:cs="宋体" w:eastAsia="宋体" w:hint="default"/>
          <w:spacing w:val="-2"/>
          <w:sz w:val="18"/>
          <w:szCs w:val="18"/>
        </w:rPr>
        <w:t>棋牌游戏将重点进行渠道拓展，吸引更多用户，促使</w:t>
      </w:r>
      <w:r>
        <w:rPr>
          <w:rFonts w:ascii="宋体" w:hAnsi="宋体" w:cs="宋体" w:eastAsia="宋体" w:hint="default"/>
          <w:spacing w:val="-2"/>
          <w:sz w:val="18"/>
          <w:szCs w:val="18"/>
        </w:rPr>
        <w:t>PC</w:t>
      </w:r>
      <w:r>
        <w:rPr>
          <w:rFonts w:ascii="宋体" w:hAnsi="宋体" w:cs="宋体" w:eastAsia="宋体" w:hint="default"/>
          <w:spacing w:val="-2"/>
          <w:sz w:val="18"/>
          <w:szCs w:val="18"/>
        </w:rPr>
        <w:t>棋牌类游戏稳定发展。同时</w:t>
      </w:r>
    </w:p>
    <w:p>
      <w:pPr>
        <w:pStyle w:val="BodyText"/>
        <w:spacing w:line="477" w:lineRule="auto" w:before="54"/>
        <w:ind w:right="1130"/>
        <w:jc w:val="both"/>
      </w:pPr>
      <w:r>
        <w:rPr/>
        <w:t>还将持续加速推出更多移动棋牌类游戏</w:t>
      </w:r>
      <w:r>
        <w:rPr>
          <w:rFonts w:ascii="宋体" w:hAnsi="宋体" w:cs="宋体" w:eastAsia="宋体" w:hint="default"/>
        </w:rPr>
        <w:t>APP</w:t>
      </w:r>
      <w:r>
        <w:rPr/>
        <w:t>，以在线棋牌为核心产品，结合线上线下多方位发行渠道，利用自身品牌优势、</w:t>
      </w:r>
      <w:r>
        <w:rPr>
          <w:spacing w:val="-83"/>
        </w:rPr>
        <w:t> </w:t>
      </w:r>
      <w:r>
        <w:rPr>
          <w:spacing w:val="-83"/>
        </w:rPr>
      </w:r>
      <w:r>
        <w:rPr>
          <w:spacing w:val="-2"/>
        </w:rPr>
        <w:t>管理优势及人才优势，发展成为以休闲娱乐互动内容为核心的多终端垂直型交互社区。公司未来也将积极引入专业人才、导</w:t>
      </w:r>
      <w:r>
        <w:rPr>
          <w:spacing w:val="-65"/>
        </w:rPr>
        <w:t> </w:t>
      </w:r>
      <w:r>
        <w:rPr>
          <w:spacing w:val="-65"/>
        </w:rPr>
      </w:r>
      <w:r>
        <w:rPr>
          <w:spacing w:val="-2"/>
        </w:rPr>
        <w:t>入更多资源支持唐人数码更好的发展。泡椒思志将继续加深与游戏研发商的良好互惠合作关系，引入推广优质游戏产品，增</w:t>
      </w:r>
      <w:r>
        <w:rPr>
          <w:spacing w:val="-66"/>
        </w:rPr>
        <w:t> </w:t>
      </w:r>
      <w:r>
        <w:rPr>
          <w:spacing w:val="-66"/>
        </w:rPr>
      </w:r>
      <w:r>
        <w:rPr/>
        <w:t>强平台用户黏性，提高平台收入。任网游通过设立创新业务线，下设</w:t>
      </w:r>
      <w:r>
        <w:rPr>
          <w:rFonts w:ascii="宋体" w:hAnsi="宋体" w:cs="宋体" w:eastAsia="宋体" w:hint="default"/>
        </w:rPr>
        <w:t>APP</w:t>
      </w:r>
      <w:r>
        <w:rPr/>
        <w:t>业务组与新媒体业务组的方式，以求进一步拓展网</w:t>
      </w:r>
      <w:r>
        <w:rPr>
          <w:spacing w:val="-82"/>
        </w:rPr>
        <w:t> </w:t>
      </w:r>
      <w:r>
        <w:rPr>
          <w:spacing w:val="-82"/>
        </w:rPr>
      </w:r>
      <w:r>
        <w:rPr/>
        <w:t>吧业务，进一步探索以“头条”运营及售卖为核心的新盈利模式。</w:t>
      </w:r>
    </w:p>
    <w:p>
      <w:pPr>
        <w:pStyle w:val="BodyText"/>
        <w:spacing w:line="477" w:lineRule="auto" w:before="54"/>
        <w:ind w:right="1130" w:firstLine="360"/>
        <w:jc w:val="both"/>
      </w:pPr>
      <w:r>
        <w:rPr>
          <w:spacing w:val="-2"/>
        </w:rPr>
        <w:t>公司将调整组织架构，强化内部控制，加强对子公司的管理，积极引进人才、开展多层次的合作，积极拓展业务，促使</w:t>
      </w:r>
      <w:r>
        <w:rPr/>
        <w:t> 双方实现互利共盈</w:t>
      </w:r>
    </w:p>
    <w:p>
      <w:pPr>
        <w:pStyle w:val="Heading6"/>
        <w:spacing w:line="518" w:lineRule="auto" w:before="54"/>
        <w:ind w:left="515" w:right="7770"/>
        <w:jc w:val="left"/>
        <w:rPr>
          <w:b w:val="0"/>
          <w:bCs w:val="0"/>
        </w:rPr>
      </w:pPr>
      <w:r>
        <w:rPr/>
        <w:t>（二）公司面临的主要风险</w:t>
      </w:r>
      <w:r>
        <w:rPr>
          <w:w w:val="99"/>
        </w:rPr>
        <w:t> </w:t>
      </w:r>
      <w:r>
        <w:rPr>
          <w:rFonts w:ascii="宋体" w:hAnsi="宋体" w:cs="宋体" w:eastAsia="宋体" w:hint="default"/>
        </w:rPr>
        <w:t>1</w:t>
      </w:r>
      <w:r>
        <w:rPr/>
        <w:t>、产品与服务销售的季节性风险</w:t>
      </w:r>
      <w:r>
        <w:rPr>
          <w:b w:val="0"/>
          <w:bCs w:val="0"/>
        </w:rPr>
      </w:r>
    </w:p>
    <w:p>
      <w:pPr>
        <w:pStyle w:val="BodyText"/>
        <w:spacing w:line="477" w:lineRule="auto" w:before="63"/>
        <w:ind w:right="1130" w:firstLine="360"/>
        <w:jc w:val="both"/>
      </w:pPr>
      <w:r>
        <w:rPr>
          <w:spacing w:val="-2"/>
        </w:rPr>
        <w:t>目前我国信息安全产品的主要用户仍较集中于政府以及金融、电信、广电、高校等等大型企事业单位，这些用户通常采</w:t>
      </w:r>
      <w:r>
        <w:rPr/>
        <w:t> </w:t>
      </w:r>
      <w:r>
        <w:rPr>
          <w:spacing w:val="-2"/>
        </w:rPr>
        <w:t>取预算管理制度和集中采购制度。一般上半年进行项目预算立项、审批流程，下半年进行招标、采购和建设流程，用户市场</w:t>
      </w:r>
      <w:r>
        <w:rPr>
          <w:spacing w:val="-66"/>
        </w:rPr>
        <w:t> </w:t>
      </w:r>
      <w:r>
        <w:rPr>
          <w:spacing w:val="-66"/>
        </w:rPr>
      </w:r>
      <w:r>
        <w:rPr>
          <w:spacing w:val="-2"/>
        </w:rPr>
        <w:t>的需求高峰通常出现在下半年。基于客户市场需求因素的影响，公司的销售呈现较明显的上下半年不均衡的分布特征，公司</w:t>
      </w:r>
      <w:r>
        <w:rPr>
          <w:spacing w:val="-66"/>
        </w:rPr>
        <w:t> </w:t>
      </w:r>
      <w:r>
        <w:rPr>
          <w:spacing w:val="-66"/>
        </w:rPr>
      </w:r>
      <w:r>
        <w:rPr>
          <w:spacing w:val="-2"/>
        </w:rPr>
        <w:t>网络安全产品和服务销售收入的实现主要体现在下半年。公司提醒投资者不宜以公司某季度或中期的财务数据简单推算公司</w:t>
      </w:r>
      <w:r>
        <w:rPr>
          <w:spacing w:val="-64"/>
        </w:rPr>
        <w:t> </w:t>
      </w:r>
      <w:r>
        <w:rPr>
          <w:spacing w:val="-64"/>
        </w:rPr>
      </w:r>
      <w:r>
        <w:rPr/>
        <w:t>全年的财务状况和经营成果。</w:t>
      </w:r>
    </w:p>
    <w:p>
      <w:pPr>
        <w:spacing w:line="477" w:lineRule="auto" w:before="92"/>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、投资并购后的整合风险、商誉减值的风险</w:t>
      </w:r>
      <w:r>
        <w:rPr>
          <w:rFonts w:ascii="宋体" w:hAnsi="宋体" w:cs="宋体" w:eastAsia="宋体" w:hint="default"/>
          <w:b/>
          <w:bCs/>
          <w:w w:val="99"/>
          <w:sz w:val="18"/>
          <w:szCs w:val="18"/>
        </w:rPr>
        <w:t> </w:t>
      </w:r>
      <w:r>
        <w:rPr>
          <w:rFonts w:ascii="宋体" w:hAnsi="宋体" w:cs="宋体" w:eastAsia="宋体" w:hint="default"/>
          <w:spacing w:val="-2"/>
          <w:sz w:val="18"/>
          <w:szCs w:val="18"/>
        </w:rPr>
        <w:t>公司已经完成对唐人数码、泡椒思志和北京亚鸿的并购且唐人数码已完成所有业绩承诺。唐人数码、泡椒思志与公司处</w:t>
      </w:r>
    </w:p>
    <w:p>
      <w:pPr>
        <w:pStyle w:val="BodyText"/>
        <w:spacing w:line="477" w:lineRule="auto" w:before="54"/>
        <w:ind w:left="514" w:right="1122" w:hanging="360"/>
        <w:jc w:val="left"/>
      </w:pPr>
      <w:r>
        <w:rPr/>
        <w:t>于不同的行业，在并购整合后仍存在战略协调风险、财务协同风险、组织机构协同风险、文化协同风险等。 根据《企业会计准则第</w:t>
      </w:r>
      <w:r>
        <w:rPr>
          <w:rFonts w:ascii="宋体" w:hAnsi="宋体" w:cs="宋体" w:eastAsia="宋体" w:hint="default"/>
        </w:rPr>
        <w:t>8</w:t>
      </w:r>
      <w:r>
        <w:rPr/>
        <w:t>号——资产减值》的规定，公司应当在资产负债表日判断是否存在可能发生资产减值的迹象，</w:t>
      </w:r>
    </w:p>
    <w:p>
      <w:pPr>
        <w:spacing w:after="0" w:line="47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477" w:lineRule="auto" w:before="0"/>
        <w:ind w:right="1132"/>
        <w:jc w:val="both"/>
      </w:pPr>
      <w:r>
        <w:rPr>
          <w:spacing w:val="-2"/>
        </w:rPr>
        <w:t>对企业合并所形成的商誉，公司应当至少在每年年度终了进行减值测试。如果未来被收购资产所处行业不景气、自身业务下</w:t>
      </w:r>
      <w:r>
        <w:rPr>
          <w:spacing w:val="-66"/>
        </w:rPr>
        <w:t> </w:t>
      </w:r>
      <w:r>
        <w:rPr>
          <w:spacing w:val="-66"/>
        </w:rPr>
      </w:r>
      <w:r>
        <w:rPr>
          <w:spacing w:val="-2"/>
        </w:rPr>
        <w:t>降或者其他因素导致未来经营状况和盈利能力未达预期，则上市公司存在商誉减值的风险，从而对上市公司当期损益造成不</w:t>
      </w:r>
      <w:r>
        <w:rPr>
          <w:spacing w:val="-64"/>
        </w:rPr>
        <w:t> </w:t>
      </w:r>
      <w:r>
        <w:rPr>
          <w:spacing w:val="-64"/>
        </w:rPr>
      </w:r>
      <w:r>
        <w:rPr/>
        <w:t>利影响，若一旦集中计提大额的商誉减值，将对上市公司净利润产生较大的不利影响，提请投资者注意相应风险。</w:t>
      </w:r>
    </w:p>
    <w:p>
      <w:pPr>
        <w:pStyle w:val="BodyText"/>
        <w:spacing w:line="477" w:lineRule="auto" w:before="54"/>
        <w:ind w:right="0" w:firstLine="360"/>
        <w:jc w:val="left"/>
      </w:pPr>
      <w:r>
        <w:rPr>
          <w:spacing w:val="-2"/>
        </w:rPr>
        <w:t>公司将加强对唐人数码和泡椒思志的投后管理，指导和协助其健全各项流程制度和落实集团相关管理要求，确保重大信</w:t>
      </w:r>
      <w:r>
        <w:rPr/>
        <w:t> 息能够快速传递至集团。</w:t>
      </w:r>
    </w:p>
    <w:p>
      <w:pPr>
        <w:pStyle w:val="BodyText"/>
        <w:spacing w:line="477" w:lineRule="auto" w:before="54"/>
        <w:ind w:left="514" w:right="0" w:firstLine="1"/>
        <w:jc w:val="left"/>
      </w:pPr>
      <w:r>
        <w:rPr>
          <w:rFonts w:ascii="宋体" w:hAnsi="宋体" w:cs="宋体" w:eastAsia="宋体" w:hint="default"/>
          <w:b/>
          <w:bCs/>
        </w:rPr>
        <w:t>3</w:t>
      </w:r>
      <w:r>
        <w:rPr>
          <w:rFonts w:ascii="宋体" w:hAnsi="宋体" w:cs="宋体" w:eastAsia="宋体" w:hint="default"/>
          <w:b/>
          <w:bCs/>
        </w:rPr>
        <w:t>、核心人才流失风险</w:t>
      </w:r>
      <w:r>
        <w:rPr>
          <w:rFonts w:ascii="宋体" w:hAnsi="宋体" w:cs="宋体" w:eastAsia="宋体" w:hint="default"/>
          <w:b/>
          <w:bCs/>
          <w:w w:val="99"/>
        </w:rPr>
        <w:t> </w:t>
      </w:r>
      <w:r>
        <w:rPr/>
        <w:t>随着国家在网络安全行业政策不断落地以及政府部门对网络安全的日趋重视，我国网络安全行业正在迎来新的发展机</w:t>
      </w:r>
    </w:p>
    <w:p>
      <w:pPr>
        <w:pStyle w:val="BodyText"/>
        <w:spacing w:line="477" w:lineRule="auto" w:before="54"/>
        <w:ind w:right="1050"/>
        <w:jc w:val="both"/>
      </w:pPr>
      <w:r>
        <w:rPr/>
        <w:t>遇。另外一方面，互联网公司不断进军网络安全行业，对行业人才的争夺日趋激烈，公司需要不断增强企业凝聚力，引进、 培养、留住、储备一批中高级人才，才能满足公司快速发展的需要。</w:t>
      </w:r>
    </w:p>
    <w:p>
      <w:pPr>
        <w:pStyle w:val="BodyText"/>
        <w:spacing w:line="477" w:lineRule="auto" w:before="54"/>
        <w:ind w:right="1032" w:firstLine="360"/>
        <w:jc w:val="left"/>
      </w:pPr>
      <w:r>
        <w:rPr/>
        <w:t>公司积极完善和优化员工薪酬福利制度、企业文化环境、股权激励等激励措施。</w:t>
      </w:r>
      <w:r>
        <w:rPr>
          <w:rFonts w:ascii="宋体" w:hAnsi="宋体" w:cs="宋体" w:eastAsia="宋体" w:hint="default"/>
        </w:rPr>
        <w:t>2018</w:t>
      </w:r>
      <w:r>
        <w:rPr/>
        <w:t>年公司推出限制性股票激励计划， </w:t>
      </w:r>
      <w:r>
        <w:rPr>
          <w:spacing w:val="-2"/>
        </w:rPr>
        <w:t>授予覆盖</w:t>
      </w:r>
      <w:r>
        <w:rPr>
          <w:rFonts w:ascii="宋体" w:hAnsi="宋体" w:cs="宋体" w:eastAsia="宋体" w:hint="default"/>
          <w:spacing w:val="-2"/>
        </w:rPr>
        <w:t>266</w:t>
      </w:r>
      <w:r>
        <w:rPr>
          <w:spacing w:val="-2"/>
        </w:rPr>
        <w:t>名员工</w:t>
      </w:r>
      <w:r>
        <w:rPr>
          <w:rFonts w:ascii="宋体" w:hAnsi="宋体" w:cs="宋体" w:eastAsia="宋体" w:hint="default"/>
          <w:spacing w:val="-2"/>
        </w:rPr>
        <w:t>1336.0039</w:t>
      </w:r>
      <w:r>
        <w:rPr>
          <w:spacing w:val="-2"/>
        </w:rPr>
        <w:t>万股限制性股票，有效吸引和保留了优秀管理人才和业务骨干，有助于进一步建立公司的人力</w:t>
      </w:r>
      <w:r>
        <w:rPr>
          <w:spacing w:val="-52"/>
        </w:rPr>
        <w:t> </w:t>
      </w:r>
      <w:r>
        <w:rPr>
          <w:spacing w:val="-52"/>
        </w:rPr>
      </w:r>
      <w:r>
        <w:rPr/>
        <w:t>资源优势。</w:t>
      </w:r>
    </w:p>
    <w:p>
      <w:pPr>
        <w:spacing w:line="477" w:lineRule="auto" w:before="54"/>
        <w:ind w:left="514" w:right="0" w:firstLine="1"/>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、云计算等新技术应用催化行业变革的风险</w:t>
      </w:r>
      <w:r>
        <w:rPr>
          <w:rFonts w:ascii="宋体" w:hAnsi="宋体" w:cs="宋体" w:eastAsia="宋体" w:hint="default"/>
          <w:b/>
          <w:bCs/>
          <w:w w:val="99"/>
          <w:sz w:val="18"/>
          <w:szCs w:val="18"/>
        </w:rPr>
        <w:t> </w:t>
      </w:r>
      <w:r>
        <w:rPr>
          <w:rFonts w:ascii="宋体" w:hAnsi="宋体" w:cs="宋体" w:eastAsia="宋体" w:hint="default"/>
          <w:spacing w:val="-4"/>
          <w:sz w:val="18"/>
          <w:szCs w:val="18"/>
        </w:rPr>
        <w:t>云计算、大数据、物联网、移动互联网等新兴</w:t>
      </w:r>
      <w:r>
        <w:rPr>
          <w:rFonts w:ascii="宋体" w:hAnsi="宋体" w:cs="宋体" w:eastAsia="宋体" w:hint="default"/>
          <w:spacing w:val="-4"/>
          <w:sz w:val="18"/>
          <w:szCs w:val="18"/>
        </w:rPr>
        <w:t>IT</w:t>
      </w:r>
      <w:r>
        <w:rPr>
          <w:rFonts w:ascii="宋体" w:hAnsi="宋体" w:cs="宋体" w:eastAsia="宋体" w:hint="default"/>
          <w:spacing w:val="-4"/>
          <w:sz w:val="18"/>
          <w:szCs w:val="18"/>
        </w:rPr>
        <w:t>技术的不断涌现，使得传统</w:t>
      </w:r>
      <w:r>
        <w:rPr>
          <w:rFonts w:ascii="宋体" w:hAnsi="宋体" w:cs="宋体" w:eastAsia="宋体" w:hint="default"/>
          <w:spacing w:val="-4"/>
          <w:sz w:val="18"/>
          <w:szCs w:val="18"/>
        </w:rPr>
        <w:t>IT</w:t>
      </w:r>
      <w:r>
        <w:rPr>
          <w:rFonts w:ascii="宋体" w:hAnsi="宋体" w:cs="宋体" w:eastAsia="宋体" w:hint="default"/>
          <w:spacing w:val="-4"/>
          <w:sz w:val="18"/>
          <w:szCs w:val="18"/>
        </w:rPr>
        <w:t>企业的发展面临重大变化。以云计算为例，</w:t>
      </w:r>
    </w:p>
    <w:p>
      <w:pPr>
        <w:pStyle w:val="BodyText"/>
        <w:spacing w:line="477" w:lineRule="auto" w:before="54"/>
        <w:ind w:right="1132"/>
        <w:jc w:val="both"/>
      </w:pPr>
      <w:r>
        <w:rPr>
          <w:spacing w:val="-2"/>
        </w:rPr>
        <w:t>随着企业</w:t>
      </w:r>
      <w:r>
        <w:rPr>
          <w:rFonts w:ascii="宋体" w:hAnsi="宋体" w:cs="宋体" w:eastAsia="宋体" w:hint="default"/>
          <w:spacing w:val="-2"/>
        </w:rPr>
        <w:t>IT</w:t>
      </w:r>
      <w:r>
        <w:rPr>
          <w:spacing w:val="-2"/>
        </w:rPr>
        <w:t>业务不断迁移到云平台，云计算业务在</w:t>
      </w:r>
      <w:r>
        <w:rPr>
          <w:rFonts w:ascii="宋体" w:hAnsi="宋体" w:cs="宋体" w:eastAsia="宋体" w:hint="default"/>
          <w:spacing w:val="-2"/>
        </w:rPr>
        <w:t>IT</w:t>
      </w:r>
      <w:r>
        <w:rPr>
          <w:spacing w:val="-2"/>
        </w:rPr>
        <w:t>支出中比例越来越高，传统</w:t>
      </w:r>
      <w:r>
        <w:rPr>
          <w:rFonts w:ascii="宋体" w:hAnsi="宋体" w:cs="宋体" w:eastAsia="宋体" w:hint="default"/>
          <w:spacing w:val="-2"/>
        </w:rPr>
        <w:t>IT</w:t>
      </w:r>
      <w:r>
        <w:rPr>
          <w:spacing w:val="-2"/>
        </w:rPr>
        <w:t>企业面临的压力不断增大。如果公司业务</w:t>
      </w:r>
      <w:r>
        <w:rPr>
          <w:spacing w:val="-61"/>
        </w:rPr>
        <w:t> </w:t>
      </w:r>
      <w:r>
        <w:rPr>
          <w:spacing w:val="-61"/>
        </w:rPr>
      </w:r>
      <w:r>
        <w:rPr/>
        <w:t>不能紧跟行业趋势，将存在被新技术逐渐替代的风险。</w:t>
      </w:r>
    </w:p>
    <w:p>
      <w:pPr>
        <w:pStyle w:val="BodyText"/>
        <w:spacing w:line="477" w:lineRule="auto" w:before="54"/>
        <w:ind w:left="514" w:right="0" w:firstLine="1"/>
        <w:jc w:val="left"/>
      </w:pPr>
      <w:r>
        <w:rPr>
          <w:rFonts w:ascii="宋体" w:hAnsi="宋体" w:cs="宋体" w:eastAsia="宋体" w:hint="default"/>
          <w:b/>
          <w:bCs/>
        </w:rPr>
        <w:t>5</w:t>
      </w:r>
      <w:r>
        <w:rPr>
          <w:rFonts w:ascii="宋体" w:hAnsi="宋体" w:cs="宋体" w:eastAsia="宋体" w:hint="default"/>
          <w:b/>
          <w:bCs/>
        </w:rPr>
        <w:t>、游戏行业风险</w:t>
      </w:r>
      <w:r>
        <w:rPr>
          <w:rFonts w:ascii="宋体" w:hAnsi="宋体" w:cs="宋体" w:eastAsia="宋体" w:hint="default"/>
          <w:b/>
          <w:bCs/>
          <w:w w:val="99"/>
        </w:rPr>
        <w:t> </w:t>
      </w:r>
      <w:r>
        <w:rPr>
          <w:spacing w:val="-2"/>
        </w:rPr>
        <w:t>我国游戏行业竞争日趋激烈，行业形态、热点快速转换，公司游戏行业的子公司必须紧跟行业和技术发展趋势，精准进</w:t>
      </w:r>
    </w:p>
    <w:p>
      <w:pPr>
        <w:pStyle w:val="BodyText"/>
        <w:spacing w:line="477" w:lineRule="auto" w:before="54"/>
        <w:ind w:right="1132"/>
        <w:jc w:val="both"/>
      </w:pPr>
      <w:r>
        <w:rPr>
          <w:spacing w:val="-2"/>
        </w:rPr>
        <w:t>行市场调研、产品开发及运营，若游戏行业子公司在游戏的研发及运营过程中对市场需求偏好的理解出现偏差或将直接影响</w:t>
      </w:r>
      <w:r>
        <w:rPr>
          <w:spacing w:val="-64"/>
        </w:rPr>
        <w:t> </w:t>
      </w:r>
      <w:r>
        <w:rPr>
          <w:spacing w:val="-64"/>
        </w:rPr>
      </w:r>
      <w:r>
        <w:rPr>
          <w:spacing w:val="-2"/>
        </w:rPr>
        <w:t>游戏产品的最终品质或游戏产品不符合用户口味，可能导致新游戏产品的盈利水平不能达到预期水平，进而对公司的经营业</w:t>
      </w:r>
      <w:r>
        <w:rPr>
          <w:spacing w:val="-64"/>
        </w:rPr>
        <w:t> </w:t>
      </w:r>
      <w:r>
        <w:rPr>
          <w:spacing w:val="-64"/>
        </w:rPr>
      </w:r>
      <w:r>
        <w:rPr>
          <w:spacing w:val="-2"/>
        </w:rPr>
        <w:t>绩造成不利影响。与此同时，游戏行业子公司也可能面临知识产权风险、单一游戏依赖风险、游戏产品生命周期风险、新游</w:t>
      </w:r>
      <w:r>
        <w:rPr>
          <w:spacing w:val="-66"/>
        </w:rPr>
        <w:t> </w:t>
      </w:r>
      <w:r>
        <w:rPr>
          <w:spacing w:val="-66"/>
        </w:rPr>
      </w:r>
      <w:r>
        <w:rPr/>
        <w:t>戏开发和运营失败风险、游戏平台吸引力下降、游戏行业监管收紧等风险。</w:t>
      </w:r>
    </w:p>
    <w:p>
      <w:pPr>
        <w:pStyle w:val="BodyText"/>
        <w:spacing w:line="477" w:lineRule="auto" w:before="54"/>
        <w:ind w:right="0" w:firstLine="360"/>
        <w:jc w:val="left"/>
      </w:pPr>
      <w:r>
        <w:rPr>
          <w:spacing w:val="-2"/>
        </w:rPr>
        <w:t>针对上述情况，公司要求游戏行业子公司深挖现有市场并积极拓展新的市场，加大移动游戏布局，深挖社交流量，丰富</w:t>
      </w:r>
      <w:r>
        <w:rPr/>
        <w:t> 推广渠道，降低运营风险；同时，积极加强平台用户服务，确保持续盈利能力和经营业绩。</w:t>
      </w:r>
    </w:p>
    <w:p>
      <w:pPr>
        <w:spacing w:line="240" w:lineRule="auto" w:before="7"/>
        <w:rPr>
          <w:rFonts w:ascii="宋体" w:hAnsi="宋体" w:cs="宋体" w:eastAsia="宋体" w:hint="default"/>
          <w:sz w:val="17"/>
          <w:szCs w:val="17"/>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2"/>
              <w:jc w:val="right"/>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403"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6"/>
          <w:szCs w:val="26"/>
        </w:rPr>
      </w:pPr>
    </w:p>
    <w:p>
      <w:pPr>
        <w:pStyle w:val="BodyText"/>
        <w:spacing w:line="240" w:lineRule="auto"/>
        <w:ind w:left="0" w:right="1165"/>
        <w:jc w:val="right"/>
      </w:pPr>
      <w:r>
        <w:rPr/>
        <w:pict>
          <v:shape style="position:absolute;margin-left:56.459999pt;margin-top:1.131746pt;width:479.25pt;height:18.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78"/>
                    <w:gridCol w:w="2177"/>
                    <w:gridCol w:w="2177"/>
                    <w:gridCol w:w="3038"/>
                  </w:tblGrid>
                  <w:tr>
                    <w:trPr>
                      <w:trHeight w:val="362" w:hRule="exact"/>
                    </w:trPr>
                    <w:tc>
                      <w:tcPr>
                        <w:tcW w:w="2178"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11">
                          <w:r>
                            <w:rPr>
                              <w:rFonts w:ascii="Times New Roman" w:hAnsi="Times New Roman" w:cs="Times New Roman" w:eastAsia="Times New Roman" w:hint="default"/>
                              <w:sz w:val="18"/>
                              <w:szCs w:val="18"/>
                            </w:rPr>
                            <w:t>http://www.cninfo.com.cn/new/index</w:t>
                          </w:r>
                        </w:hyperlink>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839996pt;margin-top:692.579956pt;width:290.95pt;height:20.8pt;mso-position-horizontal-relative:page;mso-position-vertical-relative:page;z-index:-1057840" coordorigin="4857,13852" coordsize="5819,416">
            <v:group style="position:absolute;left:4868;top:13863;width:2;height:393" coordorigin="4868,13863" coordsize="2,393">
              <v:shape style="position:absolute;left:4868;top:13863;width:2;height:393" coordorigin="4868,13863" coordsize="0,393" path="m4868,13863l4868,14256e" filled="false" stroked="true" strokeweight="1.160pt" strokecolor="#ffffff">
                <v:path arrowok="t"/>
              </v:shape>
            </v:group>
            <v:group style="position:absolute;left:4880;top:13863;width:5796;height:393" coordorigin="4880,13863" coordsize="5796,393">
              <v:shape style="position:absolute;left:4880;top:13863;width:5796;height:393" coordorigin="4880,13863" coordsize="5796,393" path="m4880,14256l10675,14256,10675,13863,4880,13863,4880,14256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57"/>
        <w:jc w:val="center"/>
        <w:rPr>
          <w:b w:val="0"/>
          <w:bCs w:val="0"/>
        </w:rPr>
      </w:pPr>
      <w:bookmarkStart w:name="_TOC_250007" w:id="61"/>
      <w:bookmarkStart w:name="第五节 重要事项" w:id="62"/>
      <w:r>
        <w:rPr>
          <w:b w:val="0"/>
          <w:bCs w:val="0"/>
        </w:rPr>
      </w:r>
      <w:r>
        <w:rPr/>
        <w:t>第五节</w:t>
      </w:r>
      <w:r>
        <w:rPr>
          <w:spacing w:val="-5"/>
        </w:rPr>
        <w:t> </w:t>
      </w:r>
      <w:r>
        <w:rPr/>
        <w:t>重要事项</w:t>
      </w:r>
      <w:bookmarkEnd w:id="61"/>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报告期内普通股利润分配政策，特别是现金分红政策的制定、执行或调整情况</w:t>
      </w:r>
    </w:p>
    <w:p>
      <w:pPr>
        <w:pStyle w:val="BodyText"/>
        <w:spacing w:line="338" w:lineRule="auto" w:before="117"/>
        <w:ind w:left="444" w:right="1028" w:hanging="29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报告期内，公司严格按照《公司章程》相关利润分配政策和审议程序实施利润分配方案，分红标准和分红比例明确清晰，</w:t>
      </w:r>
    </w:p>
    <w:p>
      <w:pPr>
        <w:pStyle w:val="BodyText"/>
        <w:spacing w:line="316" w:lineRule="auto" w:before="2"/>
        <w:ind w:right="0"/>
        <w:jc w:val="left"/>
      </w:pPr>
      <w:r>
        <w:rPr>
          <w:spacing w:val="-2"/>
        </w:rPr>
        <w:t>相关的决策程序和机制完备。公司利润分配方案经由董事会、监事会审议过后提交股东大会审议，并由独立董事发表独立意</w:t>
      </w:r>
      <w:r>
        <w:rPr>
          <w:spacing w:val="-66"/>
        </w:rPr>
        <w:t> </w:t>
      </w:r>
      <w:r>
        <w:rPr>
          <w:spacing w:val="-66"/>
        </w:rPr>
      </w:r>
      <w:r>
        <w:rPr/>
        <w:t>见，审议通过后在规定时间内进行实施，切实保证了全体股东的利益。</w:t>
      </w:r>
    </w:p>
    <w:p>
      <w:pPr>
        <w:pStyle w:val="BodyText"/>
        <w:spacing w:line="300" w:lineRule="auto" w:before="19"/>
        <w:ind w:right="1032" w:firstLine="290"/>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14</w:t>
      </w:r>
      <w:r>
        <w:rPr>
          <w:spacing w:val="-2"/>
        </w:rPr>
        <w:t>日，公司</w:t>
      </w:r>
      <w:r>
        <w:rPr>
          <w:rFonts w:ascii="Times New Roman" w:hAnsi="Times New Roman" w:cs="Times New Roman" w:eastAsia="Times New Roman" w:hint="default"/>
          <w:spacing w:val="-2"/>
        </w:rPr>
        <w:t>2017</w:t>
      </w:r>
      <w:r>
        <w:rPr>
          <w:spacing w:val="-2"/>
        </w:rPr>
        <w:t>年度股东大会审议通过</w:t>
      </w:r>
      <w:r>
        <w:rPr>
          <w:rFonts w:ascii="Times New Roman" w:hAnsi="Times New Roman" w:cs="Times New Roman" w:eastAsia="Times New Roman" w:hint="default"/>
          <w:spacing w:val="-2"/>
        </w:rPr>
        <w:t>2017</w:t>
      </w:r>
      <w:r>
        <w:rPr>
          <w:spacing w:val="-2"/>
        </w:rPr>
        <w:t>年度利润分派方案：以截至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日公司总股本</w:t>
      </w:r>
      <w:r>
        <w:rPr>
          <w:rFonts w:ascii="Times New Roman" w:hAnsi="Times New Roman" w:cs="Times New Roman" w:eastAsia="Times New Roman" w:hint="default"/>
          <w:spacing w:val="-2"/>
        </w:rPr>
        <w:t>447,930,709</w:t>
      </w:r>
      <w:r>
        <w:rPr>
          <w:rFonts w:ascii="Times New Roman" w:hAnsi="Times New Roman" w:cs="Times New Roman" w:eastAsia="Times New Roman" w:hint="default"/>
        </w:rPr>
        <w:t> </w:t>
      </w:r>
      <w:r>
        <w:rPr/>
        <w:t>股为基数，向全体股东每</w:t>
      </w:r>
      <w:r>
        <w:rPr>
          <w:rFonts w:ascii="Times New Roman" w:hAnsi="Times New Roman" w:cs="Times New Roman" w:eastAsia="Times New Roman" w:hint="default"/>
        </w:rPr>
        <w:t>10</w:t>
      </w:r>
      <w:r>
        <w:rPr/>
        <w:t>股派发现金股利</w:t>
      </w:r>
      <w:r>
        <w:rPr>
          <w:rFonts w:ascii="Times New Roman" w:hAnsi="Times New Roman" w:cs="Times New Roman" w:eastAsia="Times New Roman" w:hint="default"/>
        </w:rPr>
        <w:t>0.3</w:t>
      </w:r>
      <w:r>
        <w:rPr/>
        <w:t>元人民币（含税），同时进行资本公积金转增股本，以</w:t>
      </w:r>
      <w:r>
        <w:rPr>
          <w:rFonts w:ascii="Times New Roman" w:hAnsi="Times New Roman" w:cs="Times New Roman" w:eastAsia="Times New Roman" w:hint="default"/>
        </w:rPr>
        <w:t>447,930,709</w:t>
      </w:r>
      <w:r>
        <w:rPr/>
        <w:t>股为基数 </w:t>
      </w:r>
      <w:r>
        <w:rPr>
          <w:spacing w:val="-2"/>
        </w:rPr>
        <w:t>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5</w:t>
      </w:r>
      <w:r>
        <w:rPr>
          <w:spacing w:val="-2"/>
        </w:rPr>
        <w:t>股。</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25</w:t>
      </w:r>
      <w:r>
        <w:rPr>
          <w:spacing w:val="-2"/>
        </w:rPr>
        <w:t>日，公司在中国证监会创业板指定信息披露网站巨潮资讯网发布《</w:t>
      </w:r>
      <w:r>
        <w:rPr>
          <w:rFonts w:ascii="Times New Roman" w:hAnsi="Times New Roman" w:cs="Times New Roman" w:eastAsia="Times New Roman" w:hint="default"/>
          <w:spacing w:val="-2"/>
        </w:rPr>
        <w:t>2017</w:t>
      </w:r>
      <w:r>
        <w:rPr>
          <w:spacing w:val="-2"/>
        </w:rPr>
        <w:t>年年度权益</w:t>
      </w:r>
      <w:r>
        <w:rPr>
          <w:spacing w:val="-52"/>
        </w:rPr>
        <w:t> </w:t>
      </w:r>
      <w:r>
        <w:rPr/>
        <w:t>分派实施公告》，因公司完成了</w:t>
      </w:r>
      <w:r>
        <w:rPr>
          <w:rFonts w:ascii="Times New Roman" w:hAnsi="Times New Roman" w:cs="Times New Roman" w:eastAsia="Times New Roman" w:hint="default"/>
        </w:rPr>
        <w:t>2018</w:t>
      </w:r>
      <w:r>
        <w:rPr/>
        <w:t>年限制性股票激励计划首次授予登记工作，调整后的公司</w:t>
      </w:r>
      <w:r>
        <w:rPr>
          <w:rFonts w:ascii="Times New Roman" w:hAnsi="Times New Roman" w:cs="Times New Roman" w:eastAsia="Times New Roman" w:hint="default"/>
        </w:rPr>
        <w:t>2017</w:t>
      </w:r>
      <w:r>
        <w:rPr/>
        <w:t>年年度权益分派方案为： 以公司现有总股本</w:t>
      </w:r>
      <w:r>
        <w:rPr>
          <w:rFonts w:ascii="Times New Roman" w:hAnsi="Times New Roman" w:cs="Times New Roman" w:eastAsia="Times New Roman" w:hint="default"/>
        </w:rPr>
        <w:t>456,070,709</w:t>
      </w:r>
      <w:r>
        <w:rPr/>
        <w:t>股为基数，向全体股东每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0.294645</w:t>
      </w:r>
      <w:r>
        <w:rPr/>
        <w:t>元人民币现金（含税），同时，以资本公积金向全体 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4.910759</w:t>
      </w:r>
      <w:r>
        <w:rPr/>
        <w:t>股。权益分派股权登记日为：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w:t>
      </w: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3"/>
        <w:ind w:right="0"/>
        <w:jc w:val="left"/>
      </w:pPr>
      <w:r>
        <w:rPr/>
        <w:t>公司报告期利润分配预案及资本公积金转增股本预案与公司章程和分红管理办法等的相关规定一致</w:t>
      </w:r>
    </w:p>
    <w:p>
      <w:pPr>
        <w:pStyle w:val="BodyText"/>
        <w:spacing w:line="348" w:lineRule="auto" w:before="117"/>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680,036,042</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20,401,081.26</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tabs>
                <w:tab w:pos="5504" w:val="left" w:leader="none"/>
              </w:tabs>
              <w:spacing w:line="240" w:lineRule="auto" w:before="51"/>
              <w:ind w:left="-123" w:right="1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20,401,081.26</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369,145,053.76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06"/>
        <w:gridCol w:w="5863"/>
      </w:tblGrid>
      <w:tr>
        <w:trPr>
          <w:trHeight w:val="714" w:hRule="exact"/>
        </w:trPr>
        <w:tc>
          <w:tcPr>
            <w:tcW w:w="3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公司发展阶段不易区分但有重大资金支出安排的，进行利润分配时，现金分红在本次利润分配中所占比例最低应达到</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650"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pacing w:val="-4"/>
                <w:sz w:val="18"/>
                <w:szCs w:val="18"/>
              </w:rPr>
              <w:t>经北京永拓审计，公司</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年实现归属于母公司股东的净利润为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139,165,421.00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元，报告期末归属于上市公司的累计</w:t>
            </w:r>
          </w:p>
          <w:p>
            <w:pPr>
              <w:pStyle w:val="TableParagraph"/>
              <w:spacing w:line="240" w:lineRule="auto" w:before="63"/>
              <w:ind w:left="22" w:right="-43"/>
              <w:jc w:val="left"/>
              <w:rPr>
                <w:rFonts w:ascii="宋体" w:hAnsi="宋体" w:cs="宋体" w:eastAsia="宋体" w:hint="default"/>
                <w:sz w:val="18"/>
                <w:szCs w:val="18"/>
              </w:rPr>
            </w:pPr>
            <w:r>
              <w:rPr>
                <w:rFonts w:ascii="宋体" w:hAnsi="宋体" w:cs="宋体" w:eastAsia="宋体" w:hint="default"/>
                <w:sz w:val="18"/>
                <w:szCs w:val="18"/>
              </w:rPr>
              <w:t>未分配利润为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515,563,600.35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元，资本公积金余额为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180,154,396.11</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年母公司实现的净利润为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67,639,007.70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pStyle w:val="TableParagraph"/>
              <w:tabs>
                <w:tab w:pos="8572" w:val="left" w:leader="none"/>
              </w:tabs>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报告期末母公司累计未分配利润为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369,145,053.76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元，母公司年末资本公积金余额为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350,821,182.52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tab/>
              <w:t>根据《公司</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pacing w:val="-11"/>
                <w:sz w:val="18"/>
                <w:szCs w:val="18"/>
              </w:rPr>
              <w:t>法》及《公司章程》的相关规定，现拟定公司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pacing w:val="-4"/>
                <w:sz w:val="18"/>
                <w:szCs w:val="18"/>
              </w:rPr>
              <w:t>年度利润分配预案为：以截至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680,036,042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股为基数，向全体股东每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元人民币（含税</w:t>
            </w:r>
            <w:r>
              <w:rPr>
                <w:rFonts w:ascii="宋体" w:hAnsi="宋体" w:cs="宋体" w:eastAsia="宋体" w:hint="default"/>
                <w:spacing w:val="-90"/>
                <w:sz w:val="18"/>
                <w:szCs w:val="18"/>
              </w:rPr>
              <w:t>）</w:t>
            </w:r>
            <w:r>
              <w:rPr>
                <w:rFonts w:ascii="宋体" w:hAnsi="宋体" w:cs="宋体" w:eastAsia="宋体" w:hint="default"/>
                <w:sz w:val="18"/>
                <w:szCs w:val="18"/>
              </w:rPr>
              <w:t>，本次利润分配不送红股，不以资本公积金转增股本。</w:t>
            </w:r>
          </w:p>
        </w:tc>
      </w:tr>
    </w:tbl>
    <w:p>
      <w:pPr>
        <w:pStyle w:val="BodyText"/>
        <w:spacing w:line="319" w:lineRule="auto" w:before="51"/>
        <w:ind w:right="1118"/>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rFonts w:ascii="Times New Roman" w:hAnsi="Times New Roman" w:cs="Times New Roman" w:eastAsia="Times New Roman" w:hint="default"/>
          <w:spacing w:val="-1"/>
        </w:rPr>
        <w:t>1</w:t>
      </w:r>
      <w:r>
        <w:rPr>
          <w:spacing w:val="-1"/>
        </w:rPr>
        <w:t>、公司</w:t>
      </w:r>
      <w:r>
        <w:rPr>
          <w:rFonts w:ascii="Times New Roman" w:hAnsi="Times New Roman" w:cs="Times New Roman" w:eastAsia="Times New Roman" w:hint="default"/>
          <w:spacing w:val="-1"/>
        </w:rPr>
        <w:t>2018</w:t>
      </w:r>
      <w:r>
        <w:rPr>
          <w:spacing w:val="-1"/>
        </w:rPr>
        <w:t>年年度利润分配预案：以截止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日公司总股本</w:t>
      </w:r>
      <w:r>
        <w:rPr>
          <w:rFonts w:ascii="Times New Roman" w:hAnsi="Times New Roman" w:cs="Times New Roman" w:eastAsia="Times New Roman" w:hint="default"/>
          <w:spacing w:val="-1"/>
        </w:rPr>
        <w:t>680,036,042</w:t>
      </w:r>
      <w:r>
        <w:rPr>
          <w:spacing w:val="-1"/>
        </w:rPr>
        <w:t>股为基数，向全体股东每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0.3</w:t>
      </w:r>
      <w:r>
        <w:rPr>
          <w:spacing w:val="-1"/>
        </w:rPr>
        <w:t>元人民</w:t>
      </w:r>
      <w:r>
        <w:rPr>
          <w:spacing w:val="-64"/>
        </w:rPr>
        <w:t> </w:t>
      </w:r>
      <w:r>
        <w:rPr/>
        <w:t>币（含税）。</w:t>
      </w:r>
    </w:p>
    <w:p>
      <w:pPr>
        <w:spacing w:line="278" w:lineRule="auto" w:before="1"/>
        <w:ind w:left="154" w:right="1122"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年年度利润分配预案：以公司现有总股本</w:t>
      </w:r>
      <w:r>
        <w:rPr>
          <w:rFonts w:ascii="Times New Roman" w:hAnsi="Times New Roman" w:cs="Times New Roman" w:eastAsia="Times New Roman" w:hint="default"/>
          <w:spacing w:val="-1"/>
          <w:sz w:val="18"/>
          <w:szCs w:val="18"/>
        </w:rPr>
        <w:t>456,070,709</w:t>
      </w:r>
      <w:r>
        <w:rPr>
          <w:rFonts w:ascii="宋体" w:hAnsi="宋体" w:cs="宋体" w:eastAsia="宋体" w:hint="default"/>
          <w:spacing w:val="-1"/>
          <w:sz w:val="20"/>
          <w:szCs w:val="20"/>
        </w:rPr>
        <w:t>股为基数，向全体股东每</w:t>
      </w:r>
      <w:r>
        <w:rPr>
          <w:rFonts w:ascii="Times New Roman" w:hAnsi="Times New Roman" w:cs="Times New Roman" w:eastAsia="Times New Roman" w:hint="default"/>
          <w:spacing w:val="-1"/>
          <w:sz w:val="20"/>
          <w:szCs w:val="20"/>
        </w:rPr>
        <w:t>10</w:t>
      </w:r>
      <w:r>
        <w:rPr>
          <w:rFonts w:ascii="宋体" w:hAnsi="宋体" w:cs="宋体" w:eastAsia="宋体" w:hint="default"/>
          <w:spacing w:val="-1"/>
          <w:sz w:val="20"/>
          <w:szCs w:val="20"/>
        </w:rPr>
        <w:t>股派</w:t>
      </w:r>
      <w:r>
        <w:rPr>
          <w:rFonts w:ascii="Times New Roman" w:hAnsi="Times New Roman" w:cs="Times New Roman" w:eastAsia="Times New Roman" w:hint="default"/>
          <w:spacing w:val="-1"/>
          <w:sz w:val="20"/>
          <w:szCs w:val="20"/>
        </w:rPr>
        <w:t>0.294645</w:t>
      </w:r>
      <w:r>
        <w:rPr>
          <w:rFonts w:ascii="宋体" w:hAnsi="宋体" w:cs="宋体" w:eastAsia="宋体" w:hint="default"/>
          <w:spacing w:val="-1"/>
          <w:sz w:val="20"/>
          <w:szCs w:val="20"/>
        </w:rPr>
        <w:t>元人民币现</w:t>
      </w:r>
      <w:r>
        <w:rPr>
          <w:rFonts w:ascii="宋体" w:hAnsi="宋体" w:cs="宋体" w:eastAsia="宋体" w:hint="default"/>
          <w:spacing w:val="-87"/>
          <w:sz w:val="20"/>
          <w:szCs w:val="20"/>
        </w:rPr>
        <w:t> </w:t>
      </w:r>
      <w:r>
        <w:rPr>
          <w:rFonts w:ascii="宋体" w:hAnsi="宋体" w:cs="宋体" w:eastAsia="宋体" w:hint="default"/>
          <w:spacing w:val="-87"/>
          <w:sz w:val="20"/>
          <w:szCs w:val="20"/>
        </w:rPr>
      </w:r>
      <w:r>
        <w:rPr>
          <w:rFonts w:ascii="宋体" w:hAnsi="宋体" w:cs="宋体" w:eastAsia="宋体" w:hint="default"/>
          <w:sz w:val="20"/>
          <w:szCs w:val="20"/>
        </w:rPr>
        <w:t>金（含税），同时，以资本公积金向全体股东每</w:t>
      </w:r>
      <w:r>
        <w:rPr>
          <w:rFonts w:ascii="Times New Roman" w:hAnsi="Times New Roman" w:cs="Times New Roman" w:eastAsia="Times New Roman" w:hint="default"/>
          <w:sz w:val="20"/>
          <w:szCs w:val="20"/>
        </w:rPr>
        <w:t>10</w:t>
      </w:r>
      <w:r>
        <w:rPr>
          <w:rFonts w:ascii="宋体" w:hAnsi="宋体" w:cs="宋体" w:eastAsia="宋体" w:hint="default"/>
          <w:sz w:val="20"/>
          <w:szCs w:val="20"/>
        </w:rPr>
        <w:t>股转增</w:t>
      </w:r>
      <w:r>
        <w:rPr>
          <w:rFonts w:ascii="Times New Roman" w:hAnsi="Times New Roman" w:cs="Times New Roman" w:eastAsia="Times New Roman" w:hint="default"/>
          <w:sz w:val="20"/>
          <w:szCs w:val="20"/>
        </w:rPr>
        <w:t>4.910759</w:t>
      </w:r>
      <w:r>
        <w:rPr>
          <w:rFonts w:ascii="宋体" w:hAnsi="宋体" w:cs="宋体" w:eastAsia="宋体" w:hint="default"/>
          <w:sz w:val="20"/>
          <w:szCs w:val="20"/>
        </w:rPr>
        <w:t>股。</w:t>
      </w:r>
      <w:r>
        <w:rPr>
          <w:rFonts w:ascii="宋体" w:hAnsi="宋体" w:cs="宋体" w:eastAsia="宋体" w:hint="default"/>
          <w:spacing w:val="-2"/>
          <w:w w:val="100"/>
          <w:sz w:val="20"/>
          <w:szCs w:val="20"/>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年年度利润分配预案：以截止</w:t>
      </w: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日公司总股本</w:t>
      </w:r>
      <w:r>
        <w:rPr>
          <w:rFonts w:ascii="Times New Roman" w:hAnsi="Times New Roman" w:cs="Times New Roman" w:eastAsia="Times New Roman" w:hint="default"/>
          <w:sz w:val="18"/>
          <w:szCs w:val="18"/>
        </w:rPr>
        <w:t>448,331,331</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w:t>
      </w:r>
    </w:p>
    <w:p>
      <w:pPr>
        <w:pStyle w:val="BodyText"/>
        <w:spacing w:line="340" w:lineRule="auto" w:before="31"/>
        <w:ind w:right="6612"/>
        <w:jc w:val="left"/>
      </w:pPr>
      <w:r>
        <w:rPr>
          <w:rFonts w:ascii="Times New Roman" w:hAnsi="Times New Roman" w:cs="Times New Roman" w:eastAsia="Times New Roman" w:hint="default"/>
        </w:rPr>
        <w:t>0.50</w:t>
      </w:r>
      <w:r>
        <w:rPr/>
        <w:t>元人民币（含税）。 公司近三年（包括本报告期）普通股现金分红情况表</w:t>
      </w:r>
    </w:p>
    <w:p>
      <w:pPr>
        <w:pStyle w:val="BodyText"/>
        <w:spacing w:line="240" w:lineRule="auto" w:before="41"/>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85"/>
        <w:gridCol w:w="1208"/>
        <w:gridCol w:w="1185"/>
        <w:gridCol w:w="1219"/>
        <w:gridCol w:w="1172"/>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7"/>
              <w:ind w:left="41"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5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right w:val="single" w:sz="4" w:space="0" w:color="000000"/>
            </w:tcBorders>
            <w:shd w:val="clear" w:color="auto" w:fill="D2D2D2"/>
          </w:tcPr>
          <w:p>
            <w:pPr/>
          </w:p>
        </w:tc>
        <w:tc>
          <w:tcPr>
            <w:tcW w:w="1172"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20,401,081.26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139,165,421.00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14.66%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20,401,081.26</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14.66%</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13,437,921.27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149,268,092.48</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9.00%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13,437,921.27</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9.00%</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22,416,566.55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109,549,436.73</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20.46%</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22,416,566.55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20.46%</w:t>
            </w:r>
          </w:p>
        </w:tc>
      </w:tr>
    </w:tbl>
    <w:p>
      <w:pPr>
        <w:pStyle w:val="BodyText"/>
        <w:spacing w:line="240" w:lineRule="auto" w:before="51"/>
        <w:ind w:right="0"/>
        <w:jc w:val="left"/>
      </w:pPr>
      <w:r>
        <w:rPr/>
        <w:t>公司报告期内盈利且母公司可供普通股股东分配利润为正但未提出普通股现金红利分配预案</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982"/>
        <w:gridCol w:w="1146"/>
        <w:gridCol w:w="991"/>
        <w:gridCol w:w="3686"/>
        <w:gridCol w:w="994"/>
        <w:gridCol w:w="850"/>
        <w:gridCol w:w="920"/>
      </w:tblGrid>
      <w:tr>
        <w:trPr>
          <w:trHeight w:val="402"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4"/>
              <w:jc w:val="center"/>
              <w:rPr>
                <w:rFonts w:ascii="宋体" w:hAnsi="宋体" w:cs="宋体" w:eastAsia="宋体" w:hint="default"/>
                <w:sz w:val="18"/>
                <w:szCs w:val="18"/>
              </w:rPr>
            </w:pPr>
            <w:r>
              <w:rPr>
                <w:rFonts w:ascii="宋体" w:hAnsi="宋体" w:cs="宋体" w:eastAsia="宋体" w:hint="default"/>
                <w:sz w:val="18"/>
                <w:szCs w:val="18"/>
              </w:rPr>
              <w:t>收购报告书</w:t>
            </w:r>
          </w:p>
        </w:tc>
        <w:tc>
          <w:tcPr>
            <w:tcW w:w="1146" w:type="dxa"/>
            <w:tcBorders>
              <w:top w:val="single" w:sz="4" w:space="0" w:color="000000"/>
              <w:left w:val="single" w:sz="13"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8pt;margin-top:121.79998pt;width:118.35pt;height:179.45pt;mso-position-horizontal-relative:page;mso-position-vertical-relative:page;z-index:-1057792" type="#_x0000_t202" filled="false" stroked="false">
            <v:textbox inset="0,0,0,0">
              <w:txbxContent>
                <w:p>
                  <w:pPr>
                    <w:pStyle w:val="BodyText"/>
                    <w:spacing w:line="240" w:lineRule="auto" w:before="51"/>
                    <w:ind w:left="721" w:right="0"/>
                    <w:jc w:val="left"/>
                  </w:pPr>
                  <w:r>
                    <w:rPr/>
                    <w:t>蒋利琴、</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5"/>
                      <w:szCs w:val="25"/>
                    </w:rPr>
                  </w:pPr>
                </w:p>
                <w:p>
                  <w:pPr>
                    <w:pStyle w:val="BodyText"/>
                    <w:spacing w:line="240" w:lineRule="auto" w:before="0"/>
                    <w:ind w:left="0" w:right="0"/>
                    <w:jc w:val="left"/>
                  </w:pPr>
                  <w:r>
                    <w:rPr/>
                    <w:t>《专项审核报告》</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135"/>
        <w:gridCol w:w="991"/>
        <w:gridCol w:w="3686"/>
        <w:gridCol w:w="994"/>
        <w:gridCol w:w="850"/>
        <w:gridCol w:w="920"/>
      </w:tblGrid>
      <w:tr>
        <w:trPr>
          <w:trHeight w:val="986"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60"/>
              <w:jc w:val="both"/>
              <w:rPr>
                <w:rFonts w:ascii="宋体" w:hAnsi="宋体" w:cs="宋体" w:eastAsia="宋体" w:hint="default"/>
                <w:sz w:val="18"/>
                <w:szCs w:val="18"/>
              </w:rPr>
            </w:pPr>
            <w:r>
              <w:rPr>
                <w:rFonts w:ascii="宋体" w:hAnsi="宋体" w:cs="宋体" w:eastAsia="宋体" w:hint="default"/>
                <w:sz w:val="18"/>
                <w:szCs w:val="18"/>
              </w:rPr>
              <w:t>或权益变动 报告书中所 作承诺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7891"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60"/>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3" w:right="19"/>
              <w:jc w:val="both"/>
              <w:rPr>
                <w:rFonts w:ascii="宋体" w:hAnsi="宋体" w:cs="宋体" w:eastAsia="宋体" w:hint="default"/>
                <w:sz w:val="18"/>
                <w:szCs w:val="18"/>
              </w:rPr>
            </w:pPr>
            <w:r>
              <w:rPr>
                <w:rFonts w:ascii="宋体" w:hAnsi="宋体" w:cs="宋体" w:eastAsia="宋体" w:hint="default"/>
                <w:sz w:val="18"/>
                <w:szCs w:val="18"/>
              </w:rPr>
              <w:t>丁伟国、蒋利 琴、刘泉、朱 瑶、华信行、 龙象之本、杨 敏、水向东、 周益斌</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tabs>
                <w:tab w:pos="2333" w:val="left" w:leader="none"/>
              </w:tabs>
              <w:spacing w:line="307" w:lineRule="auto" w:before="51"/>
              <w:ind w:left="22" w:right="36"/>
              <w:jc w:val="left"/>
              <w:rPr>
                <w:rFonts w:ascii="宋体" w:hAnsi="宋体" w:cs="宋体" w:eastAsia="宋体" w:hint="default"/>
                <w:sz w:val="18"/>
                <w:szCs w:val="18"/>
              </w:rPr>
            </w:pPr>
            <w:r>
              <w:rPr>
                <w:rFonts w:ascii="宋体" w:hAnsi="宋体" w:cs="宋体" w:eastAsia="宋体" w:hint="default"/>
                <w:spacing w:val="-3"/>
                <w:sz w:val="18"/>
                <w:szCs w:val="18"/>
              </w:rPr>
              <w:t>（一）发行股份购买资产</w:t>
              <w:tab/>
            </w:r>
            <w:r>
              <w:rPr>
                <w:rFonts w:ascii="宋体" w:hAnsi="宋体" w:cs="宋体" w:eastAsia="宋体" w:hint="default"/>
                <w:sz w:val="18"/>
                <w:szCs w:val="18"/>
              </w:rPr>
              <w:t>丁伟国、</w:t>
            </w:r>
            <w:r>
              <w:rPr>
                <w:rFonts w:ascii="宋体" w:hAnsi="宋体" w:cs="宋体" w:eastAsia="宋体" w:hint="default"/>
                <w:sz w:val="18"/>
                <w:szCs w:val="18"/>
              </w:rPr>
              <w:t> 刘泉、朱瑶分别承诺，自发行结束之日起因本 次交易所获得的股份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个月的限售期满后，取得的股票按照以下约定 </w:t>
            </w:r>
            <w:r>
              <w:rPr>
                <w:rFonts w:ascii="宋体" w:hAnsi="宋体" w:cs="宋体" w:eastAsia="宋体" w:hint="default"/>
                <w:spacing w:val="-5"/>
                <w:sz w:val="18"/>
                <w:szCs w:val="18"/>
              </w:rPr>
              <w:t>分批解除限售：（</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）第一期股份：在持股期满</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个月且标的公司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 披露后，补偿义务人可解锁股份占其本次交易 所获得任子行股份的</w:t>
            </w:r>
            <w:r>
              <w:rPr>
                <w:rFonts w:ascii="宋体" w:hAnsi="宋体" w:cs="宋体" w:eastAsia="宋体" w:hint="default"/>
                <w:spacing w:val="-46"/>
                <w:sz w:val="18"/>
                <w:szCs w:val="18"/>
              </w:rPr>
              <w:t> </w:t>
            </w:r>
            <w:r>
              <w:rPr>
                <w:rFonts w:ascii="Times New Roman" w:hAnsi="Times New Roman" w:cs="Times New Roman" w:eastAsia="Times New Roman" w:hint="default"/>
                <w:spacing w:val="-7"/>
                <w:sz w:val="18"/>
                <w:szCs w:val="18"/>
              </w:rPr>
              <w:t>20%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）第二期股份：</w:t>
            </w:r>
            <w:r>
              <w:rPr>
                <w:rFonts w:ascii="宋体" w:hAnsi="宋体" w:cs="宋体" w:eastAsia="宋体" w:hint="default"/>
                <w:sz w:val="18"/>
                <w:szCs w:val="18"/>
              </w:rPr>
              <w:t> 在持股期满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个月且标的公司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年度《专 项审核报告》披露后，补偿义务人可解锁股份 占其本次交易所获得任子行股份的</w:t>
            </w:r>
            <w:r>
              <w:rPr>
                <w:rFonts w:ascii="宋体" w:hAnsi="宋体" w:cs="宋体" w:eastAsia="宋体" w:hint="default"/>
                <w:spacing w:val="-46"/>
                <w:sz w:val="18"/>
                <w:szCs w:val="18"/>
              </w:rPr>
              <w:t> </w:t>
            </w:r>
            <w:r>
              <w:rPr>
                <w:rFonts w:ascii="Times New Roman" w:hAnsi="Times New Roman" w:cs="Times New Roman" w:eastAsia="Times New Roman" w:hint="default"/>
                <w:spacing w:val="-13"/>
                <w:sz w:val="18"/>
                <w:szCs w:val="18"/>
              </w:rPr>
              <w:t>20%</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w:t>
            </w:r>
            <w:r>
              <w:rPr>
                <w:rFonts w:ascii="宋体" w:hAnsi="宋体" w:cs="宋体" w:eastAsia="宋体" w:hint="default"/>
                <w:sz w:val="18"/>
                <w:szCs w:val="18"/>
              </w:rPr>
              <w:t> 第三期股份：在持股期满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个月且标的公司</w:t>
            </w:r>
          </w:p>
          <w:p>
            <w:pPr>
              <w:pStyle w:val="TableParagraph"/>
              <w:tabs>
                <w:tab w:pos="2237" w:val="left" w:leader="none"/>
              </w:tabs>
              <w:spacing w:line="312" w:lineRule="auto" w:before="7"/>
              <w:ind w:left="2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年度《专项审核报告》披露后，补偿义务 人可解锁股份占其本次交易所获得任子行股份 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）第四期股份：在标的公司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年度《专项审核报告》及《减值测试报告》披 露后，补偿义务人可解锁股份占其本次交易所 获得任子行股份的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w:t>
              <w:tab/>
            </w:r>
            <w:r>
              <w:rPr>
                <w:rFonts w:ascii="宋体" w:hAnsi="宋体" w:cs="宋体" w:eastAsia="宋体" w:hint="default"/>
                <w:spacing w:val="-4"/>
                <w:sz w:val="18"/>
                <w:szCs w:val="18"/>
              </w:rPr>
              <w:t>（二）募集配套资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 华信行、龙象之本、杨敏、水向东、周益 斌分别承诺：本人本次认购的任子行股份自股 票上市之日起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5"/>
                <w:sz w:val="18"/>
                <w:szCs w:val="18"/>
              </w:rPr>
              <w:t>个月内不得转让。本次发行结</w:t>
            </w:r>
            <w:r>
              <w:rPr>
                <w:rFonts w:ascii="宋体" w:hAnsi="宋体" w:cs="宋体" w:eastAsia="宋体" w:hint="default"/>
                <w:sz w:val="18"/>
                <w:szCs w:val="18"/>
              </w:rPr>
              <w:t> 束后，前述股份由于上市公司送股、转增股本 等原因增加的股份，亦应遵守上述约定。锁定 期结束后，将按中国证监会及深圳证券交易所 的有关规定执行。</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58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1"/>
                <w:sz w:val="20"/>
                <w:szCs w:val="20"/>
              </w:rPr>
              <w:pict>
                <v:group style="width:49.2pt;height:179.45pt;mso-position-horizontal-relative:char;mso-position-vertical-relative:line" coordorigin="0,0" coordsize="984,3589">
                  <v:group style="position:absolute;left:0;top:0;width:984;height:3589" coordorigin="0,0" coordsize="984,3589">
                    <v:shape style="position:absolute;left:0;top:0;width:984;height:3589" coordorigin="0,0" coordsize="984,3589" path="m0,3588l983,3588,983,0,0,0,0,3588xe" filled="true" fillcolor="#ffffff" stroked="false">
                      <v:path arrowok="t"/>
                      <v:fill type="solid"/>
                    </v:shape>
                  </v:group>
                </v:group>
              </w:pict>
            </w:r>
            <w:r>
              <w:rPr>
                <w:rFonts w:ascii="Times New Roman" w:hAnsi="Times New Roman" w:cs="Times New Roman" w:eastAsia="Times New Roman" w:hint="default"/>
                <w:position w:val="-71"/>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5"/>
                <w:szCs w:val="25"/>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5043"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3" w:right="21"/>
              <w:jc w:val="both"/>
              <w:rPr>
                <w:rFonts w:ascii="宋体" w:hAnsi="宋体" w:cs="宋体" w:eastAsia="宋体" w:hint="default"/>
                <w:sz w:val="18"/>
                <w:szCs w:val="18"/>
              </w:rPr>
            </w:pPr>
            <w:r>
              <w:rPr>
                <w:rFonts w:ascii="宋体" w:hAnsi="宋体" w:cs="宋体" w:eastAsia="宋体" w:hint="default"/>
                <w:sz w:val="18"/>
                <w:szCs w:val="18"/>
              </w:rPr>
              <w:t>丁伟国、蒋利 琴、刘泉、朱 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为保护任子行及其股东特别是中小股东的利 益，丁伟国、蒋利琴、刘泉、朱瑶分别对避免 </w:t>
            </w:r>
            <w:r>
              <w:rPr>
                <w:rFonts w:ascii="宋体" w:hAnsi="宋体" w:cs="宋体" w:eastAsia="宋体" w:hint="default"/>
                <w:spacing w:val="-3"/>
                <w:sz w:val="18"/>
                <w:szCs w:val="18"/>
              </w:rPr>
              <w:t>同业竞争做出如下承诺：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、本人在唐人数码及</w:t>
            </w:r>
            <w:r>
              <w:rPr>
                <w:rFonts w:ascii="宋体" w:hAnsi="宋体" w:cs="宋体" w:eastAsia="宋体" w:hint="default"/>
                <w:sz w:val="18"/>
                <w:szCs w:val="18"/>
              </w:rPr>
              <w:t> 其子公司的任职期间以及自唐人数码离职之日 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年内，不投资与唐人数码业务相同或者相 类似的其他企业，不在任子行及其子公司、唐 人数码及其子公司以外，从事与该等公司同类 或存在竞争的业务或通过直接或间接控制的其 他经营主体从事该等业务；不在其他与任子行 及其子公司、唐人数码及其子公司有竞争关系 </w:t>
            </w:r>
            <w:r>
              <w:rPr>
                <w:rFonts w:ascii="宋体" w:hAnsi="宋体" w:cs="宋体" w:eastAsia="宋体" w:hint="default"/>
                <w:spacing w:val="-3"/>
                <w:sz w:val="18"/>
                <w:szCs w:val="18"/>
              </w:rPr>
              <w:t>的任何企业或组织任职。</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、如任子行进一步拓</w:t>
            </w:r>
            <w:r>
              <w:rPr>
                <w:rFonts w:ascii="宋体" w:hAnsi="宋体" w:cs="宋体" w:eastAsia="宋体" w:hint="default"/>
                <w:sz w:val="18"/>
                <w:szCs w:val="18"/>
              </w:rPr>
              <w:t> 展其业务范围，本人及本人控制的其他企业将 不与任子行拓展后的业务相竞争；可能与任子 行拓展后的业务产生竞争的，本人及本人控制 的其他企业将按照如下方式退出与任子行的竞 争：</w:t>
            </w:r>
            <w:r>
              <w:rPr>
                <w:rFonts w:ascii="Times New Roman" w:hAnsi="Times New Roman" w:cs="Times New Roman" w:eastAsia="Times New Roman" w:hint="default"/>
                <w:sz w:val="18"/>
                <w:szCs w:val="18"/>
              </w:rPr>
              <w:t>A</w:t>
            </w:r>
            <w:r>
              <w:rPr>
                <w:rFonts w:ascii="宋体" w:hAnsi="宋体" w:cs="宋体" w:eastAsia="宋体" w:hint="default"/>
                <w:sz w:val="18"/>
                <w:szCs w:val="18"/>
              </w:rPr>
              <w:t>、停止与任子行构成竞争或可能构成竞</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167"/>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46.979996pt;margin-top:246.61998pt;width:199.4pt;height:210.65pt;mso-position-horizontal-relative:page;mso-position-vertical-relative:page;z-index:-1057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3"/>
                      <w:szCs w:val="23"/>
                    </w:rPr>
                  </w:pPr>
                </w:p>
                <w:p>
                  <w:pPr>
                    <w:pStyle w:val="BodyText"/>
                    <w:spacing w:line="240" w:lineRule="auto" w:before="0"/>
                    <w:ind w:left="0" w:right="0"/>
                    <w:jc w:val="left"/>
                  </w:pPr>
                  <w:r>
                    <w:rPr/>
                    <w:t>交易价格按市场公认的合理价格确定，</w:t>
                  </w:r>
                </w:p>
              </w:txbxContent>
            </v:textbox>
            <w10:wrap type="none"/>
          </v:shape>
        </w:pict>
      </w:r>
      <w:r>
        <w:rPr/>
        <w:pict>
          <v:group style="position:absolute;margin-left:397.179993pt;margin-top:246.61998pt;width:49.2pt;height:210.65pt;mso-position-horizontal-relative:page;mso-position-vertical-relative:page;z-index:-1057744" coordorigin="7944,4932" coordsize="984,4213">
            <v:shape style="position:absolute;left:7944;top:4932;width:984;height:4213" coordorigin="7944,4932" coordsize="984,4213" path="m7944,9145l8927,9145,8927,4932,7944,4932,7944,9145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135"/>
        <w:gridCol w:w="991"/>
        <w:gridCol w:w="3686"/>
        <w:gridCol w:w="994"/>
        <w:gridCol w:w="850"/>
        <w:gridCol w:w="920"/>
      </w:tblGrid>
      <w:tr>
        <w:trPr>
          <w:trHeight w:val="3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争的业务；</w:t>
            </w:r>
            <w:r>
              <w:rPr>
                <w:rFonts w:ascii="Times New Roman" w:hAnsi="Times New Roman" w:cs="Times New Roman" w:eastAsia="Times New Roman" w:hint="default"/>
                <w:sz w:val="18"/>
                <w:szCs w:val="18"/>
              </w:rPr>
              <w:t>B</w:t>
            </w:r>
            <w:r>
              <w:rPr>
                <w:rFonts w:ascii="宋体" w:hAnsi="宋体" w:cs="宋体" w:eastAsia="宋体" w:hint="default"/>
                <w:sz w:val="18"/>
                <w:szCs w:val="18"/>
              </w:rPr>
              <w:t>、将相竞争的业务纳入到任子行</w:t>
            </w:r>
          </w:p>
        </w:tc>
        <w:tc>
          <w:tcPr>
            <w:tcW w:w="994"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来经营；</w:t>
            </w:r>
            <w:r>
              <w:rPr>
                <w:rFonts w:ascii="Times New Roman" w:hAnsi="Times New Roman" w:cs="Times New Roman" w:eastAsia="Times New Roman" w:hint="default"/>
                <w:sz w:val="18"/>
                <w:szCs w:val="18"/>
              </w:rPr>
              <w:t>C</w:t>
            </w:r>
            <w:r>
              <w:rPr>
                <w:rFonts w:ascii="宋体" w:hAnsi="宋体" w:cs="宋体" w:eastAsia="宋体" w:hint="default"/>
                <w:sz w:val="18"/>
                <w:szCs w:val="18"/>
              </w:rPr>
              <w:t>、将相竞争的业务转让给无关联的</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第三方。</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、如本人及本人控制的其他企业有任</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何商业机会可从事、参与任何可能与任子行的</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经营运作构成竞争的活动，则立即将上述商业</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机会通知任子行，在通知中所指定的合理期间</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内，任子行作出愿意利用该商业机会的肯定答</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复的，则尽力将该商业机会给予任子行。</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、如</w:t>
            </w:r>
            <w:r>
              <w:rPr>
                <w:rFonts w:ascii="宋体" w:hAnsi="宋体" w:cs="宋体" w:eastAsia="宋体" w:hint="default"/>
                <w:sz w:val="18"/>
                <w:szCs w:val="18"/>
              </w:rPr>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违反以上承诺，本人愿意承担由此产生的全部</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3"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责任，充分赔偿或补偿由此给任子行造成的所</w:t>
            </w:r>
          </w:p>
        </w:tc>
        <w:tc>
          <w:tcPr>
            <w:tcW w:w="99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有直接或间接损失。</w:t>
            </w:r>
          </w:p>
        </w:tc>
        <w:tc>
          <w:tcPr>
            <w:tcW w:w="99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3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为保护任子行及其股东特别是中小股东的利</w:t>
            </w: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益，丁伟国、蒋利琴、刘泉、朱瑶、华信行投</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资、龙象之本、杨敏、水向东、周益斌分别对</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减少和规范关联交易做出如下承诺：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、在作为</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任子行关联方期间，本人确保其控制的企业等</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关联方将尽量减少并避免与任子行及其控股公</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司发生关联交易；对于确有必要且无法回避的</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关联交易，均按照公平、公允和等价有偿的原</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则进行，</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并依法签订协议，且严格按相关法律、法规以</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及规范性文件的规定履行关联交易审批程序及</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2189"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19"/>
              <w:jc w:val="both"/>
              <w:rPr>
                <w:rFonts w:ascii="宋体" w:hAnsi="宋体" w:cs="宋体" w:eastAsia="宋体" w:hint="default"/>
                <w:sz w:val="18"/>
                <w:szCs w:val="18"/>
              </w:rPr>
            </w:pPr>
            <w:r>
              <w:rPr>
                <w:rFonts w:ascii="宋体" w:hAnsi="宋体" w:cs="宋体" w:eastAsia="宋体" w:hint="default"/>
                <w:sz w:val="18"/>
                <w:szCs w:val="18"/>
              </w:rPr>
              <w:t>丁伟国、蒋利 琴、刘泉、朱 瑶、华信行、 龙象之本、杨 敏、水向东、 周益斌</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7"/>
              <w:ind w:left="22"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314" w:lineRule="auto" w:before="10"/>
              <w:ind w:left="22" w:right="21"/>
              <w:jc w:val="both"/>
              <w:rPr>
                <w:rFonts w:ascii="宋体" w:hAnsi="宋体" w:cs="宋体" w:eastAsia="宋体" w:hint="default"/>
                <w:sz w:val="18"/>
                <w:szCs w:val="18"/>
              </w:rPr>
            </w:pPr>
            <w:r>
              <w:rPr>
                <w:rFonts w:ascii="宋体" w:hAnsi="宋体" w:cs="宋体" w:eastAsia="宋体" w:hint="default"/>
                <w:sz w:val="18"/>
                <w:szCs w:val="18"/>
              </w:rPr>
              <w:t>信息披露义务，切实保护任子行及其中小股东 </w:t>
            </w:r>
            <w:r>
              <w:rPr>
                <w:rFonts w:ascii="宋体" w:hAnsi="宋体" w:cs="宋体" w:eastAsia="宋体" w:hint="default"/>
                <w:spacing w:val="-3"/>
                <w:sz w:val="18"/>
                <w:szCs w:val="18"/>
              </w:rPr>
              <w:t>的利益。</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、在作为任子行股东期间，本人承诺</w:t>
            </w:r>
            <w:r>
              <w:rPr>
                <w:rFonts w:ascii="宋体" w:hAnsi="宋体" w:cs="宋体" w:eastAsia="宋体" w:hint="default"/>
                <w:sz w:val="18"/>
                <w:szCs w:val="18"/>
              </w:rPr>
              <w:t> 严格遵守法律、法规和规范性文件及公司章程 等的相关规定，依照合法程序，与其他股东平 等行使股东权利、履行股东义务，不利用关联 关系谋取不当的利益，不损害任子行及其他股 </w:t>
            </w:r>
            <w:r>
              <w:rPr>
                <w:rFonts w:ascii="宋体" w:hAnsi="宋体" w:cs="宋体" w:eastAsia="宋体" w:hint="default"/>
                <w:spacing w:val="-3"/>
                <w:sz w:val="18"/>
                <w:szCs w:val="18"/>
              </w:rPr>
              <w:t>东的合法权益。</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、本人承诺将杜绝一切非法占</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用任子行资金、资产的行为，在任何情况下，</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均不要求任子行向其及其投资或控制的其他企</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业提供任何形式的担保。</w:t>
            </w: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、本人确认本承诺函</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所载的每一项承诺均为可独立执行之承诺，任</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何一项承诺若被视为无效或终止将不影响其他</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各项承诺的有效性。</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、本人将忠实履行承诺并</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保证确认的真实性，如果违反上述承诺或确认</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不真实，本人将以连带方式承担由此引发的一</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切法律责任。</w:t>
            </w: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、本承诺函自本人签署之日起生</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效，本承诺函所载上述各项由本人作出之承诺</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993" w:type="dxa"/>
            <w:vMerge/>
            <w:tcBorders>
              <w:left w:val="single" w:sz="4" w:space="0" w:color="000000"/>
              <w:right w:val="single" w:sz="4" w:space="0" w:color="000000"/>
            </w:tcBorders>
            <w:shd w:val="clear" w:color="auto" w:fill="D2D2D2"/>
          </w:tcPr>
          <w:p>
            <w:pPr/>
          </w:p>
        </w:tc>
        <w:tc>
          <w:tcPr>
            <w:tcW w:w="1135"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分别在本人作为任子行关联方期间持续有效。</w:t>
            </w: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r>
      <w:tr>
        <w:trPr>
          <w:trHeight w:val="129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3" w:right="21"/>
              <w:jc w:val="both"/>
              <w:rPr>
                <w:rFonts w:ascii="宋体" w:hAnsi="宋体" w:cs="宋体" w:eastAsia="宋体" w:hint="default"/>
                <w:sz w:val="18"/>
                <w:szCs w:val="18"/>
              </w:rPr>
            </w:pPr>
            <w:r>
              <w:rPr>
                <w:rFonts w:ascii="宋体" w:hAnsi="宋体" w:cs="宋体" w:eastAsia="宋体" w:hint="default"/>
                <w:sz w:val="18"/>
                <w:szCs w:val="18"/>
              </w:rPr>
              <w:t>丁伟国、蒋利 琴、刘泉、朱 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交易对方对其持有的标的资产权属的承诺</w:t>
            </w:r>
            <w:r>
              <w:rPr>
                <w:rFonts w:ascii="宋体" w:hAnsi="宋体" w:cs="宋体" w:eastAsia="宋体" w:hint="default"/>
                <w:w w:val="99"/>
                <w:sz w:val="18"/>
                <w:szCs w:val="18"/>
              </w:rPr>
              <w:t> </w:t>
            </w:r>
            <w:r>
              <w:rPr>
                <w:rFonts w:ascii="宋体" w:hAnsi="宋体" w:cs="宋体" w:eastAsia="宋体" w:hint="default"/>
                <w:spacing w:val="-4"/>
                <w:sz w:val="18"/>
                <w:szCs w:val="18"/>
              </w:rPr>
              <w:t>丁伟国、蒋利琴、刘泉、朱瑶承诺如下：</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、已</w:t>
            </w:r>
            <w:r>
              <w:rPr>
                <w:rFonts w:ascii="宋体" w:hAnsi="宋体" w:cs="宋体" w:eastAsia="宋体" w:hint="default"/>
                <w:spacing w:val="-82"/>
                <w:sz w:val="18"/>
                <w:szCs w:val="18"/>
              </w:rPr>
              <w:t> </w:t>
            </w:r>
            <w:r>
              <w:rPr>
                <w:rFonts w:ascii="宋体" w:hAnsi="宋体" w:cs="宋体" w:eastAsia="宋体" w:hint="default"/>
                <w:sz w:val="18"/>
                <w:szCs w:val="18"/>
              </w:rPr>
              <w:t>经依法对唐人数码履行出资义务，不存在任何</w:t>
            </w:r>
            <w:r>
              <w:rPr>
                <w:rFonts w:ascii="宋体" w:hAnsi="宋体" w:cs="宋体" w:eastAsia="宋体" w:hint="default"/>
                <w:w w:val="99"/>
                <w:sz w:val="18"/>
                <w:szCs w:val="18"/>
              </w:rPr>
              <w:t> </w:t>
            </w:r>
            <w:r>
              <w:rPr>
                <w:rFonts w:ascii="宋体" w:hAnsi="宋体" w:cs="宋体" w:eastAsia="宋体" w:hint="default"/>
                <w:sz w:val="18"/>
                <w:szCs w:val="18"/>
              </w:rPr>
              <w:t>虚假出资、延期出资、抽逃出资等违反其作为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7"/>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8.002991pt;margin-top:72.47998pt;width:118.35pt;height:686.5pt;mso-position-horizontal-relative:page;mso-position-vertical-relative:page;z-index:-1057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1"/>
                      <w:szCs w:val="21"/>
                    </w:rPr>
                  </w:pPr>
                </w:p>
                <w:p>
                  <w:pPr>
                    <w:pStyle w:val="BodyText"/>
                    <w:spacing w:line="240" w:lineRule="auto" w:before="0"/>
                    <w:ind w:left="0" w:right="0" w:firstLine="1079"/>
                    <w:jc w:val="left"/>
                  </w:pPr>
                  <w:r>
                    <w:rPr/>
                    <w:t>琴、</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6"/>
                      <w:szCs w:val="26"/>
                    </w:rPr>
                  </w:pPr>
                </w:p>
                <w:p>
                  <w:pPr>
                    <w:pStyle w:val="BodyText"/>
                    <w:spacing w:line="240" w:lineRule="auto" w:before="0"/>
                    <w:ind w:left="0" w:right="0"/>
                    <w:jc w:val="left"/>
                  </w:pPr>
                  <w:r>
                    <w:rPr/>
                    <w:t>离职后竞业禁止。</w:t>
                  </w:r>
                </w:p>
              </w:txbxContent>
            </v:textbox>
            <w10:wrap type="none"/>
          </v:shape>
        </w:pict>
      </w:r>
      <w:r>
        <w:rPr/>
        <w:pict>
          <v:group style="position:absolute;margin-left:397.179993pt;margin-top:72.47998pt;width:49.2pt;height:686.5pt;mso-position-horizontal-relative:page;mso-position-vertical-relative:page;z-index:-1057696" coordorigin="7944,1450" coordsize="984,13730">
            <v:shape style="position:absolute;left:7944;top:1450;width:984;height:13730" coordorigin="7944,1450" coordsize="984,13730" path="m7944,15179l8927,15179,8927,1450,7944,1450,7944,1517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135"/>
        <w:gridCol w:w="991"/>
        <w:gridCol w:w="3686"/>
        <w:gridCol w:w="994"/>
        <w:gridCol w:w="850"/>
        <w:gridCol w:w="920"/>
      </w:tblGrid>
      <w:tr>
        <w:trPr>
          <w:trHeight w:val="322"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135" w:type="dxa"/>
            <w:vMerge w:val="restart"/>
            <w:tcBorders>
              <w:top w:val="single" w:sz="4" w:space="0" w:color="000000"/>
              <w:left w:val="single" w:sz="4" w:space="0" w:color="000000"/>
              <w:right w:val="single" w:sz="4" w:space="0" w:color="000000"/>
            </w:tcBorders>
          </w:tcPr>
          <w:p>
            <w:pPr/>
          </w:p>
        </w:tc>
        <w:tc>
          <w:tcPr>
            <w:tcW w:w="991" w:type="dxa"/>
            <w:vMerge w:val="restart"/>
            <w:tcBorders>
              <w:top w:val="single" w:sz="4" w:space="0" w:color="000000"/>
              <w:left w:val="single" w:sz="4" w:space="0" w:color="000000"/>
              <w:right w:val="single" w:sz="4" w:space="0" w:color="000000"/>
            </w:tcBorders>
          </w:tcPr>
          <w:p>
            <w:pPr/>
          </w:p>
        </w:tc>
        <w:tc>
          <w:tcPr>
            <w:tcW w:w="3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股东所应当承担的义务及责任的行为。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、交易</w:t>
            </w:r>
          </w:p>
        </w:tc>
        <w:tc>
          <w:tcPr>
            <w:tcW w:w="994"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920" w:type="dxa"/>
            <w:vMerge w:val="restart"/>
            <w:tcBorders>
              <w:top w:val="single" w:sz="4" w:space="0" w:color="000000"/>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对方合法持有标的资产，并对标的资产拥有完</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全和排他的所有权和处分权。标的资产不存在</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信托安排及股份代持，不代表其他方的利益，</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且未设定任何抵押、质押等他项权利，亦未被</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执法部门实施扣押、查封、司法冻结等使其权</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利受到限制的任何约束。</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、保证自身及唐人数</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码所签署的所有协议或合同不存在阻碍交易对</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方向任子行转让标的资产的限制性条款。</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、唐</w:t>
            </w:r>
            <w:r>
              <w:rPr>
                <w:rFonts w:ascii="宋体" w:hAnsi="宋体" w:cs="宋体" w:eastAsia="宋体" w:hint="default"/>
                <w:sz w:val="18"/>
                <w:szCs w:val="18"/>
              </w:rPr>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人数码章程、内部管理制度文件及其签署的所</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有合同或协议中不存在阻碍交易对方向任子行</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转让标的资产的限制性条款。</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、保证放弃行使</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本次转让标的资产的优先购买权。  </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关于</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tabs>
                <w:tab w:pos="2273" w:val="left" w:leader="none"/>
              </w:tabs>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任职期限和竞业禁止承诺</w:t>
              <w:tab/>
              <w:t>丁伟国、蒋利琴</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刘泉及朱瑶承诺如下</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）任职期限安排。为</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保证唐人数码及其子公司持续发展和保持持续</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竞争优势，交易对方丁伟国、蒋利琴、刘泉及</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朱瑶承诺，自任子行收到中国证监会核准本次</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4"/>
                <w:sz w:val="18"/>
                <w:szCs w:val="18"/>
              </w:rPr>
              <w:t>交易的正式书面文件之日起，丁伟国、蒋利</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刘泉及朱瑶在唐人数码的任职期限不少于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个月</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）在职期间竞业禁止。交易对方丁伟</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国、蒋利琴、刘泉及朱瑶承诺在唐人数码及其</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附属公司任职期间，不投资与唐人数码业务相</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同或者相类似的其他企业，不在上市公司及其</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子公司、唐人数码及其子公司以外，从事与该</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等公司同类或存在竞争的业务或通过直接或间</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接控制的其他经营主体从事该等业务；不在其</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他与上市公司及其子公司、唐人数码及其子公</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司有竞争关系的任何企业或组织任职。同时为</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保证唐人数码持续发展和保持持续竞争优势，</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唐人数码核心人员在唐人数码任职期限内未经</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唐人数码同意，不得在唐人数码及其下属公司</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以外从事与唐人数码及其下属公司相同或类似</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的业务或通过直接或间接控制的其他经营主题</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从事该等业务，不得在唐人数码及其下属公司</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有竞争关系的公司任职</w:t>
            </w:r>
            <w:r>
              <w:rPr>
                <w:rFonts w:ascii="宋体" w:hAnsi="宋体" w:cs="宋体" w:eastAsia="宋体" w:hint="default"/>
                <w:spacing w:val="-121"/>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交易对方丁伟国、蒋利琴、刘泉及朱瑶承诺自</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唐人数码离职之日起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年内，不投资与唐人数</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07"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码业务相同或者相类似的其他企业，不在上市</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公司及其子公司、唐人数码及其子公司以外，</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从事与该等公司同类或存在竞争的业务或通过</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直接或间接控制的其他经营主体从事该等业</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2" w:hRule="exact"/>
        </w:trPr>
        <w:tc>
          <w:tcPr>
            <w:tcW w:w="993"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3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务；不在其他与上市公司及其子公司、唐人数</w:t>
            </w:r>
          </w:p>
        </w:tc>
        <w:tc>
          <w:tcPr>
            <w:tcW w:w="994"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920" w:type="dxa"/>
            <w:vMerge/>
            <w:tcBorders>
              <w:left w:val="single" w:sz="4" w:space="0" w:color="000000"/>
              <w:right w:val="single" w:sz="4" w:space="0" w:color="000000"/>
            </w:tcBorders>
          </w:tcPr>
          <w:p>
            <w:pPr/>
          </w:p>
        </w:tc>
      </w:tr>
      <w:tr>
        <w:trPr>
          <w:trHeight w:val="3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3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码及其子公司有竞争关系的任何企业或组织任</w:t>
            </w:r>
          </w:p>
        </w:tc>
        <w:tc>
          <w:tcPr>
            <w:tcW w:w="994"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92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8.979996pt;margin-top:516.339966pt;width:217.4pt;height:31.2pt;mso-position-horizontal-relative:page;mso-position-vertical-relative:page;z-index:-1057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公司已按上市公司要求完善公司治理结构、</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135"/>
        <w:gridCol w:w="991"/>
        <w:gridCol w:w="3686"/>
        <w:gridCol w:w="994"/>
        <w:gridCol w:w="850"/>
        <w:gridCol w:w="920"/>
      </w:tblGrid>
      <w:tr>
        <w:trPr>
          <w:trHeight w:val="2859" w:hRule="exact"/>
        </w:trPr>
        <w:tc>
          <w:tcPr>
            <w:tcW w:w="993"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51"/>
              <w:jc w:val="both"/>
              <w:rPr>
                <w:rFonts w:ascii="宋体" w:hAnsi="宋体" w:cs="宋体" w:eastAsia="宋体" w:hint="default"/>
                <w:sz w:val="18"/>
                <w:szCs w:val="18"/>
              </w:rPr>
            </w:pPr>
            <w:r>
              <w:rPr>
                <w:rFonts w:ascii="宋体" w:hAnsi="宋体" w:cs="宋体" w:eastAsia="宋体" w:hint="default"/>
                <w:sz w:val="18"/>
                <w:szCs w:val="18"/>
              </w:rPr>
              <w:t>职。同时，唐人数码核心人员从唐人数码离职 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年内将不会以自营方式、直接或间接通过 其关联人开展经营与唐人数码及其下属公司相 同或类似业务；不在同唐人数码及其下属公司 存在相同或类似业务的任何经营实体中任职或 者担任任何形式的顾问；不以唐人数码及其下 属公司以外的名义为唐人数码及其下属公司现 有及潜在的客户提供游戏开发、运营及维护等 服务；避免产生任何同业竞争情形。</w:t>
            </w: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601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21"/>
              <w:jc w:val="both"/>
              <w:rPr>
                <w:rFonts w:ascii="宋体" w:hAnsi="宋体" w:cs="宋体" w:eastAsia="宋体" w:hint="default"/>
                <w:sz w:val="18"/>
                <w:szCs w:val="18"/>
              </w:rPr>
            </w:pPr>
            <w:r>
              <w:rPr>
                <w:rFonts w:ascii="宋体" w:hAnsi="宋体" w:cs="宋体" w:eastAsia="宋体" w:hint="default"/>
                <w:sz w:val="18"/>
                <w:szCs w:val="18"/>
              </w:rPr>
              <w:t>丁伟国、华信 行投资、蒋利 琴、刘泉、龙 象之本、水向 东、杨敏、周 益斌、朱瑶</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丁伟国、蒋利琴、刘泉、朱瑶、华信行投资、 龙象之本、杨敏、水向东、周益斌对提供资料 </w:t>
            </w:r>
            <w:r>
              <w:rPr>
                <w:rFonts w:ascii="宋体" w:hAnsi="宋体" w:cs="宋体" w:eastAsia="宋体" w:hint="default"/>
                <w:spacing w:val="-3"/>
                <w:sz w:val="18"/>
                <w:szCs w:val="18"/>
              </w:rPr>
              <w:t>和信息分别做出如下承诺：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、本人保证已向上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市公司和参与本次交易的各中介机构提供了本 次交易所必需的原始书面材料、副本材料、复 印件或口头证言和其它信息，并保证为本次交 易所提供的文件材料及有关信息均为真实、准 确、完整的，不存在虚假记载、误导性陈述或 </w:t>
            </w:r>
            <w:r>
              <w:rPr>
                <w:rFonts w:ascii="宋体" w:hAnsi="宋体" w:cs="宋体" w:eastAsia="宋体" w:hint="default"/>
                <w:spacing w:val="-3"/>
                <w:sz w:val="18"/>
                <w:szCs w:val="18"/>
              </w:rPr>
              <w:t>重大遗漏；</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、本人保证向上市公司和参与本次</w:t>
            </w:r>
            <w:r>
              <w:rPr>
                <w:rFonts w:ascii="宋体" w:hAnsi="宋体" w:cs="宋体" w:eastAsia="宋体" w:hint="default"/>
                <w:sz w:val="18"/>
                <w:szCs w:val="18"/>
              </w:rPr>
              <w:t> 交易的各中介机构所提供的副本材料或复印件 与正本材料或原件完全一致，所有文件上的签 名和印章均是真实和有效的，各文件的正本或 原件的效力在其有效期内均未被有关政府部门 </w:t>
            </w:r>
            <w:r>
              <w:rPr>
                <w:rFonts w:ascii="宋体" w:hAnsi="宋体" w:cs="宋体" w:eastAsia="宋体" w:hint="default"/>
                <w:spacing w:val="-3"/>
                <w:sz w:val="18"/>
                <w:szCs w:val="18"/>
              </w:rPr>
              <w:t>撤销。</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、本人保证上市公司在本次交易申请文</w:t>
            </w:r>
            <w:r>
              <w:rPr>
                <w:rFonts w:ascii="宋体" w:hAnsi="宋体" w:cs="宋体" w:eastAsia="宋体" w:hint="default"/>
                <w:sz w:val="18"/>
                <w:szCs w:val="18"/>
              </w:rPr>
              <w:t> 件中引用的由本人所出具的文件以及引用文件 的相关内容已经本人审阅，确认本次交易申请 文件不致因上述内容而出现虚假记载、误导性 陈述或重大遗漏，并对其真实性、准确性和完 整性承担相应的法律责任。</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962"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2" w:right="60"/>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为规范关联交易和杜绝关联方占用资金的隐 患， 内控制度及关联交易批准程序，保证公司在业 务、资产、人员、机构、财务方面独立运作。 </w:t>
            </w:r>
            <w:r>
              <w:rPr>
                <w:rFonts w:ascii="宋体" w:hAnsi="宋体" w:cs="宋体" w:eastAsia="宋体" w:hint="default"/>
                <w:spacing w:val="-8"/>
                <w:sz w:val="18"/>
                <w:szCs w:val="18"/>
              </w:rPr>
              <w:t>公司控股股东、实际控制人景晓军亦出具了《避</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7"/>
                <w:sz w:val="18"/>
                <w:szCs w:val="18"/>
              </w:rPr>
              <w:t>免非经营性资金占用承诺》。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9.2pt;height:31.2pt;mso-position-horizontal-relative:char;mso-position-vertical-relative:line" coordorigin="0,0" coordsize="984,624">
                  <v:group style="position:absolute;left:0;top:0;width:984;height:624" coordorigin="0,0" coordsize="984,624">
                    <v:shape style="position:absolute;left:0;top:0;width:984;height:624" coordorigin="0,0" coordsize="984,624" path="m0,624l983,624,983,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9"/>
                <w:szCs w:val="29"/>
              </w:rPr>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586" w:hRule="exact"/>
        </w:trPr>
        <w:tc>
          <w:tcPr>
            <w:tcW w:w="993"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56"/>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为进一步规范资金往来和对外担保，本公司控 股股东、实际控制人景晓军先生就与公司对外 </w:t>
            </w:r>
            <w:r>
              <w:rPr>
                <w:rFonts w:ascii="宋体" w:hAnsi="宋体" w:cs="宋体" w:eastAsia="宋体" w:hint="default"/>
                <w:spacing w:val="-3"/>
                <w:sz w:val="18"/>
                <w:szCs w:val="18"/>
              </w:rPr>
              <w:t>担保和资金往来作出如下承诺：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在本人作为任</w:t>
            </w:r>
            <w:r>
              <w:rPr>
                <w:rFonts w:ascii="宋体" w:hAnsi="宋体" w:cs="宋体" w:eastAsia="宋体" w:hint="default"/>
                <w:spacing w:val="-78"/>
                <w:sz w:val="18"/>
                <w:szCs w:val="18"/>
              </w:rPr>
              <w:t> </w:t>
            </w:r>
            <w:r>
              <w:rPr>
                <w:rFonts w:ascii="宋体" w:hAnsi="宋体" w:cs="宋体" w:eastAsia="宋体" w:hint="default"/>
                <w:sz w:val="18"/>
                <w:szCs w:val="18"/>
              </w:rPr>
              <w:t>子行股份有限公司的控股股东或主要股东、实 </w:t>
            </w:r>
            <w:r>
              <w:rPr>
                <w:rFonts w:ascii="宋体" w:hAnsi="宋体" w:cs="宋体" w:eastAsia="宋体" w:hint="default"/>
                <w:spacing w:val="-2"/>
                <w:sz w:val="18"/>
                <w:szCs w:val="18"/>
              </w:rPr>
              <w:t>际控制人期间，将严格执行中国证监会</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证监发</w:t>
            </w:r>
          </w:p>
          <w:p>
            <w:pPr>
              <w:pStyle w:val="TableParagraph"/>
              <w:spacing w:line="309" w:lineRule="auto" w:before="1"/>
              <w:ind w:left="22" w:right="21"/>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2003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56</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文《关于规范上市公司与关联方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资金往来及上市公司对外担保若干问题的通 知》的有关规定。</w:t>
            </w:r>
            <w:r>
              <w:rPr>
                <w:rFonts w:ascii="Times New Roman" w:hAnsi="Times New Roman" w:cs="Times New Roman" w:eastAsia="Times New Roman"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402"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为避免对本次发行后发行人新股东的利益造成</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6.033997pt;margin-top:90.11998pt;width:100.35pt;height:78.05pt;mso-position-horizontal-relative:page;mso-position-vertical-relative:page;z-index:-105755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pStyle w:val="BodyText"/>
                    <w:spacing w:line="240" w:lineRule="auto" w:before="0"/>
                    <w:ind w:left="0" w:right="0"/>
                    <w:jc w:val="left"/>
                  </w:pPr>
                  <w:r>
                    <w:rPr/>
                    <w:t>均由其及时、</w:t>
                  </w:r>
                </w:p>
              </w:txbxContent>
            </v:textbox>
            <w10:wrap type="none"/>
          </v:shape>
        </w:pict>
      </w:r>
      <w:r>
        <w:rPr/>
        <w:pict>
          <v:shape style="position:absolute;margin-left:228.979996pt;margin-top:602.859985pt;width:217.4pt;height:93.6pt;mso-position-horizontal-relative:page;mso-position-vertical-relative:page;z-index:-105752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4"/>
                      <w:szCs w:val="24"/>
                    </w:rPr>
                  </w:pPr>
                </w:p>
                <w:p>
                  <w:pPr>
                    <w:pStyle w:val="BodyText"/>
                    <w:spacing w:line="240" w:lineRule="auto" w:before="0"/>
                    <w:ind w:left="0" w:right="0"/>
                    <w:jc w:val="left"/>
                  </w:pPr>
                  <w:r>
                    <w:rPr/>
                    <w:t>明确披露并及时督促承诺方严格遵守承诺，</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93"/>
        <w:gridCol w:w="1135"/>
        <w:gridCol w:w="991"/>
        <w:gridCol w:w="3686"/>
        <w:gridCol w:w="994"/>
        <w:gridCol w:w="850"/>
        <w:gridCol w:w="920"/>
      </w:tblGrid>
      <w:tr>
        <w:trPr>
          <w:trHeight w:val="1923"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损害，发行人控股股东景晓军已于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314" w:lineRule="auto" w:before="63"/>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pacing w:val="-5"/>
                <w:sz w:val="18"/>
                <w:szCs w:val="18"/>
              </w:rPr>
              <w:t>日向公司出具《承诺函》，承诺如今后发行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人因上市前执行社会保险、住房公积金政策事 宜而需要补缴社会保险费用、住房公积金、缴 </w:t>
            </w:r>
            <w:r>
              <w:rPr>
                <w:rFonts w:ascii="宋体" w:hAnsi="宋体" w:cs="宋体" w:eastAsia="宋体" w:hint="default"/>
                <w:spacing w:val="-3"/>
                <w:sz w:val="18"/>
                <w:szCs w:val="18"/>
              </w:rPr>
              <w:t>纳罚款，或因此而遭受任何损失，</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足额对发行人作出赔偿。</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0"/>
                <w:szCs w:val="10"/>
              </w:rPr>
            </w:pPr>
          </w:p>
          <w:p>
            <w:pPr>
              <w:pStyle w:val="TableParagraph"/>
              <w:spacing w:line="156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pict>
                <v:group style="width:49.2pt;height:78.05pt;mso-position-horizontal-relative:char;mso-position-vertical-relative:line" coordorigin="0,0" coordsize="984,1561">
                  <v:group style="position:absolute;left:0;top:0;width:984;height:1561" coordorigin="0,0" coordsize="984,1561">
                    <v:shape style="position:absolute;left:0;top:0;width:984;height:1561" coordorigin="0,0" coordsize="984,1561" path="m0,1560l983,1560,983,0,0,0,0,1560xe" filled="true" fillcolor="#ffffff" stroked="false">
                      <v:path arrowok="t"/>
                      <v:fill type="solid"/>
                    </v:shape>
                  </v:group>
                </v:group>
              </w:pict>
            </w:r>
            <w:r>
              <w:rPr>
                <w:rFonts w:ascii="Times New Roman" w:hAnsi="Times New Roman" w:cs="Times New Roman" w:eastAsia="Times New Roman" w:hint="default"/>
                <w:position w:val="-30"/>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1135"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368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r>
      <w:tr>
        <w:trPr>
          <w:trHeight w:val="5394" w:hRule="exact"/>
        </w:trPr>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7"/>
              <w:ind w:left="22" w:right="60"/>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洪志刚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4"/>
              <w:ind w:left="22" w:right="56"/>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一、本人承诺在未来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个月内使用自有资金以 集中竞价或其他法律、法规许可的方式在二级 市场上购买任子行网络技术股份有限公司股票</w:t>
            </w:r>
          </w:p>
          <w:p>
            <w:pPr>
              <w:pStyle w:val="TableParagraph"/>
              <w:spacing w:line="312" w:lineRule="auto" w:before="24"/>
              <w:ind w:left="22" w:right="21"/>
              <w:jc w:val="left"/>
              <w:rPr>
                <w:rFonts w:ascii="宋体" w:hAnsi="宋体" w:cs="宋体" w:eastAsia="宋体" w:hint="default"/>
                <w:sz w:val="18"/>
                <w:szCs w:val="18"/>
              </w:rPr>
            </w:pPr>
            <w:r>
              <w:rPr>
                <w:rFonts w:ascii="宋体" w:hAnsi="宋体" w:cs="宋体" w:eastAsia="宋体" w:hint="default"/>
                <w:sz w:val="18"/>
                <w:szCs w:val="18"/>
              </w:rPr>
              <w:t>（股票代码：</w:t>
            </w:r>
            <w:r>
              <w:rPr>
                <w:rFonts w:ascii="Times New Roman" w:hAnsi="Times New Roman" w:cs="Times New Roman" w:eastAsia="Times New Roman" w:hint="default"/>
                <w:sz w:val="18"/>
                <w:szCs w:val="18"/>
              </w:rPr>
              <w:t>300311</w:t>
            </w:r>
            <w:r>
              <w:rPr>
                <w:rFonts w:ascii="宋体" w:hAnsi="宋体" w:cs="宋体" w:eastAsia="宋体" w:hint="default"/>
                <w:sz w:val="18"/>
                <w:szCs w:val="18"/>
              </w:rPr>
              <w:t>）不低于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万元，该 等股票必须登记在本人名下；二、自股票全部 购买完成之日起至泡椒思志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年度审计报 告出具日止，在此期间内不转让或委托他人转 让所持有的全部股票；三、本人承诺若泡椒思 志</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年业绩承诺未完成，本人按照《业绩承</w:t>
            </w:r>
            <w:r>
              <w:rPr>
                <w:rFonts w:ascii="宋体" w:hAnsi="宋体" w:cs="宋体" w:eastAsia="宋体" w:hint="default"/>
                <w:sz w:val="18"/>
                <w:szCs w:val="18"/>
              </w:rPr>
              <w:t> 诺与补偿协议》约定的条款进行补偿，若本人 无法以现金补足的情形下，将以本人购买的上 市公司的股份进行补偿。四、在锁定期满，泡 椒思志完成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pacing w:val="-5"/>
                <w:sz w:val="18"/>
                <w:szCs w:val="18"/>
              </w:rPr>
              <w:t>年度业绩承诺后，本人可解锁</w:t>
            </w:r>
            <w:r>
              <w:rPr>
                <w:rFonts w:ascii="宋体" w:hAnsi="宋体" w:cs="宋体" w:eastAsia="宋体" w:hint="default"/>
                <w:sz w:val="18"/>
                <w:szCs w:val="18"/>
              </w:rPr>
              <w:t> 此次锁定的股份数的</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100%</w:t>
            </w:r>
            <w:r>
              <w:rPr>
                <w:rFonts w:ascii="宋体" w:hAnsi="宋体" w:cs="宋体" w:eastAsia="宋体" w:hint="default"/>
                <w:spacing w:val="-6"/>
                <w:sz w:val="18"/>
                <w:szCs w:val="18"/>
              </w:rPr>
              <w:t>；如中国证券监督管</w:t>
            </w:r>
            <w:r>
              <w:rPr>
                <w:rFonts w:ascii="宋体" w:hAnsi="宋体" w:cs="宋体" w:eastAsia="宋体" w:hint="default"/>
                <w:sz w:val="18"/>
                <w:szCs w:val="18"/>
              </w:rPr>
              <w:t> 理委员会或深圳证券交易所对本人所持有任子 行股份的锁定期另有要求，本人将按其提出的 锁定期要求相应作出进一步承诺。</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458" w:hRule="exact"/>
        </w:trPr>
        <w:tc>
          <w:tcPr>
            <w:tcW w:w="993"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天津任鸿、天 津云鲁冀</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7"/>
              <w:jc w:val="left"/>
              <w:rPr>
                <w:rFonts w:ascii="宋体" w:hAnsi="宋体" w:cs="宋体" w:eastAsia="宋体" w:hint="default"/>
                <w:sz w:val="18"/>
                <w:szCs w:val="18"/>
              </w:rPr>
            </w:pPr>
            <w:r>
              <w:rPr>
                <w:rFonts w:ascii="宋体" w:hAnsi="宋体" w:cs="宋体" w:eastAsia="宋体" w:hint="default"/>
                <w:spacing w:val="-5"/>
                <w:sz w:val="18"/>
                <w:szCs w:val="18"/>
              </w:rPr>
              <w:t>根据《支付现金购买资产协议》，天津云鲁冀、</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天津任鸿承诺对其前述方式取得的公司股份进 行锁定，自全部购买完成之日起分三年解锁， </w:t>
            </w:r>
            <w:r>
              <w:rPr>
                <w:rFonts w:ascii="宋体" w:hAnsi="宋体" w:cs="宋体" w:eastAsia="宋体" w:hint="default"/>
                <w:spacing w:val="-5"/>
                <w:sz w:val="18"/>
                <w:szCs w:val="18"/>
              </w:rPr>
              <w:t>具体如下：（</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）自股票全部购买完成之日起满</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个月，解锁购买股份数量的</w:t>
            </w:r>
            <w:r>
              <w:rPr>
                <w:rFonts w:ascii="宋体" w:hAnsi="宋体" w:cs="宋体" w:eastAsia="宋体" w:hint="default"/>
                <w:spacing w:val="-44"/>
                <w:sz w:val="18"/>
                <w:szCs w:val="18"/>
              </w:rPr>
              <w:t> </w:t>
            </w:r>
            <w:r>
              <w:rPr>
                <w:rFonts w:ascii="Times New Roman" w:hAnsi="Times New Roman" w:cs="Times New Roman" w:eastAsia="Times New Roman" w:hint="default"/>
                <w:spacing w:val="-13"/>
                <w:sz w:val="18"/>
                <w:szCs w:val="18"/>
              </w:rPr>
              <w:t>40%</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）自股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票全部购买完成之日起满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pacing w:val="-8"/>
                <w:sz w:val="18"/>
                <w:szCs w:val="18"/>
              </w:rPr>
              <w:t>个月，解锁购买股</w:t>
            </w:r>
            <w:r>
              <w:rPr>
                <w:rFonts w:ascii="宋体" w:hAnsi="宋体" w:cs="宋体" w:eastAsia="宋体" w:hint="default"/>
                <w:sz w:val="18"/>
                <w:szCs w:val="18"/>
              </w:rPr>
              <w:t> 份数量的</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30%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）自股票全部购买完成之日</w:t>
            </w:r>
            <w:r>
              <w:rPr>
                <w:rFonts w:ascii="宋体" w:hAnsi="宋体" w:cs="宋体" w:eastAsia="宋体" w:hint="default"/>
                <w:sz w:val="18"/>
                <w:szCs w:val="18"/>
              </w:rPr>
              <w:t> 起满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个月，解锁购买股份数量的</w:t>
            </w:r>
            <w:r>
              <w:rPr>
                <w:rFonts w:ascii="宋体" w:hAnsi="宋体" w:cs="宋体" w:eastAsia="宋体" w:hint="default"/>
                <w:spacing w:val="-43"/>
                <w:sz w:val="18"/>
                <w:szCs w:val="18"/>
              </w:rPr>
              <w:t> </w:t>
            </w:r>
            <w:r>
              <w:rPr>
                <w:rFonts w:ascii="Times New Roman" w:hAnsi="Times New Roman" w:cs="Times New Roman" w:eastAsia="Times New Roman" w:hint="default"/>
                <w:spacing w:val="-7"/>
                <w:sz w:val="18"/>
                <w:szCs w:val="18"/>
              </w:rPr>
              <w:t>30%</w:t>
            </w:r>
            <w:r>
              <w:rPr>
                <w:rFonts w:ascii="宋体" w:hAnsi="宋体" w:cs="宋体" w:eastAsia="宋体" w:hint="default"/>
                <w:spacing w:val="-7"/>
                <w:sz w:val="18"/>
                <w:szCs w:val="18"/>
              </w:rPr>
              <w:t>。因公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司分配股票股利、资本公积转增股本等情形所 衍生取得的股份亦应遵守上述股份锁定安排。 公司董事会将按照深圳证券交易所的相关规 定， 如有违反相关承诺的情况发生，公司将及时履 行信息披露义务。</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187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49.2pt;height:93.6pt;mso-position-horizontal-relative:char;mso-position-vertical-relative:line" coordorigin="0,0" coordsize="984,1872">
                  <v:group style="position:absolute;left:0;top:0;width:984;height:1872" coordorigin="0,0" coordsize="984,1872">
                    <v:shape style="position:absolute;left:0;top:0;width:984;height:1872" coordorigin="0,0" coordsize="984,1872" path="m0,1872l983,1872,983,0,0,0,0,1872xe" filled="true" fillcolor="#ffffff" stroked="false">
                      <v:path arrowok="t"/>
                      <v:fill type="solid"/>
                    </v:shape>
                  </v:group>
                </v:group>
              </w:pict>
            </w:r>
            <w:r>
              <w:rPr>
                <w:rFonts w:ascii="Times New Roman" w:hAnsi="Times New Roman" w:cs="Times New Roman" w:eastAsia="Times New Roman" w:hint="default"/>
                <w:position w:val="-36"/>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1872"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pict>
                <v:group style="width:49.2pt;height:93.6pt;mso-position-horizontal-relative:char;mso-position-vertical-relative:line" coordorigin="0,0" coordsize="984,1872">
                  <v:group style="position:absolute;left:0;top:0;width:984;height:1872" coordorigin="0,0" coordsize="984,1872">
                    <v:shape style="position:absolute;left:0;top:0;width:984;height:1872" coordorigin="0,0" coordsize="984,1872" path="m0,1872l983,1872,983,0,0,0,0,1872xe" filled="true" fillcolor="#ffffff" stroked="false">
                      <v:path arrowok="t"/>
                      <v:fill type="solid"/>
                    </v:shape>
                  </v:group>
                </v:group>
              </w:pict>
            </w:r>
            <w:r>
              <w:rPr>
                <w:rFonts w:ascii="Times New Roman" w:hAnsi="Times New Roman" w:cs="Times New Roman" w:eastAsia="Times New Roman" w:hint="default"/>
                <w:position w:val="-36"/>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1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承诺是否按 时履行</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74" w:hRule="exact"/>
        </w:trPr>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如承诺超期 未履行完毕</w:t>
            </w:r>
          </w:p>
        </w:tc>
        <w:tc>
          <w:tcPr>
            <w:tcW w:w="85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971"/>
        <w:gridCol w:w="8587"/>
      </w:tblGrid>
      <w:tr>
        <w:trPr>
          <w:trHeight w:val="1923"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47"/>
              <w:jc w:val="both"/>
              <w:rPr>
                <w:rFonts w:ascii="宋体" w:hAnsi="宋体" w:cs="宋体" w:eastAsia="宋体" w:hint="default"/>
                <w:sz w:val="18"/>
                <w:szCs w:val="18"/>
              </w:rPr>
            </w:pPr>
            <w:r>
              <w:rPr>
                <w:rFonts w:ascii="宋体" w:hAnsi="宋体" w:cs="宋体" w:eastAsia="宋体" w:hint="default"/>
                <w:sz w:val="18"/>
                <w:szCs w:val="18"/>
              </w:rPr>
              <w:t>的，应当详 细说明未完 成履行的具 体原因及下 一步的工作 计划</w:t>
            </w:r>
          </w:p>
        </w:tc>
        <w:tc>
          <w:tcPr>
            <w:tcW w:w="8587"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9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8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194"/>
        <w:gridCol w:w="1196"/>
        <w:gridCol w:w="1195"/>
        <w:gridCol w:w="1197"/>
        <w:gridCol w:w="1196"/>
        <w:gridCol w:w="1196"/>
        <w:gridCol w:w="1199"/>
        <w:gridCol w:w="1195"/>
      </w:tblGrid>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1" w:right="51"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1"/>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5" w:right="53"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02" w:right="50"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1338"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泡椒思志</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3,083.83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81"/>
              <w:jc w:val="left"/>
              <w:rPr>
                <w:rFonts w:ascii="宋体" w:hAnsi="宋体" w:cs="宋体" w:eastAsia="宋体" w:hint="default"/>
                <w:sz w:val="18"/>
                <w:szCs w:val="18"/>
              </w:rPr>
            </w:pPr>
            <w:r>
              <w:rPr>
                <w:rFonts w:ascii="宋体" w:hAnsi="宋体" w:cs="宋体" w:eastAsia="宋体" w:hint="default"/>
                <w:sz w:val="18"/>
                <w:szCs w:val="18"/>
              </w:rPr>
              <w:t>游戏发行业务 收入下滑</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8" w:lineRule="auto" w:before="75"/>
              <w:ind w:left="22" w:right="48"/>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http://www.c</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rPr>
              <w:t>ninfo.com.cn/n</w:t>
            </w:r>
            <w:r>
              <w:rPr>
                <w:rFonts w:ascii="Times New Roman" w:hAnsi="Times New Roman" w:cs="Times New Roman" w:eastAsia="Times New Roman" w:hint="default"/>
                <w:sz w:val="18"/>
                <w:szCs w:val="18"/>
              </w:rPr>
              <w:t> ew/index</w:t>
            </w:r>
            <w:r>
              <w:rPr>
                <w:rFonts w:ascii="宋体" w:hAnsi="宋体" w:cs="宋体" w:eastAsia="宋体" w:hint="default"/>
                <w:sz w:val="18"/>
                <w:szCs w:val="18"/>
              </w:rPr>
              <w:t>）</w:t>
            </w:r>
          </w:p>
        </w:tc>
      </w:tr>
      <w:tr>
        <w:trPr>
          <w:trHeight w:val="1340" w:hRule="exact"/>
        </w:trPr>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北京亚鸿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5,698.64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8" w:lineRule="auto" w:before="75"/>
              <w:ind w:left="22" w:right="48"/>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http://www.c</w:t>
            </w:r>
            <w:r>
              <w:rPr>
                <w:rFonts w:ascii="Times New Roman" w:hAnsi="Times New Roman" w:cs="Times New Roman" w:eastAsia="Times New Roman" w:hint="default"/>
                <w:spacing w:val="-34"/>
                <w:sz w:val="18"/>
                <w:szCs w:val="18"/>
              </w:rPr>
              <w:t> </w:t>
            </w:r>
            <w:r>
              <w:rPr>
                <w:rFonts w:ascii="Times New Roman" w:hAnsi="Times New Roman" w:cs="Times New Roman" w:eastAsia="Times New Roman" w:hint="default"/>
                <w:spacing w:val="-34"/>
                <w:sz w:val="18"/>
                <w:szCs w:val="18"/>
              </w:rPr>
            </w:r>
            <w:r>
              <w:rPr>
                <w:rFonts w:ascii="Times New Roman" w:hAnsi="Times New Roman" w:cs="Times New Roman" w:eastAsia="Times New Roman" w:hint="default"/>
                <w:sz w:val="18"/>
                <w:szCs w:val="18"/>
              </w:rPr>
              <w:t>ninfo.com.cn/n</w:t>
            </w:r>
            <w:r>
              <w:rPr>
                <w:rFonts w:ascii="Times New Roman" w:hAnsi="Times New Roman" w:cs="Times New Roman" w:eastAsia="Times New Roman" w:hint="default"/>
                <w:sz w:val="18"/>
                <w:szCs w:val="18"/>
              </w:rPr>
              <w:t> ew/index</w:t>
            </w:r>
            <w:r>
              <w:rPr>
                <w:rFonts w:ascii="宋体" w:hAnsi="宋体" w:cs="宋体" w:eastAsia="宋体" w:hint="default"/>
                <w:sz w:val="18"/>
                <w:szCs w:val="18"/>
              </w:rPr>
              <w:t>）</w:t>
            </w:r>
          </w:p>
        </w:tc>
      </w:tr>
    </w:tbl>
    <w:p>
      <w:pPr>
        <w:pStyle w:val="BodyText"/>
        <w:spacing w:line="240" w:lineRule="auto" w:before="51"/>
        <w:ind w:right="0"/>
        <w:jc w:val="left"/>
      </w:pPr>
      <w:r>
        <w:rPr/>
        <w:t>公司股东、交易对手方对公司或相关资产年度经营业绩作出的承诺情况</w:t>
      </w:r>
    </w:p>
    <w:p>
      <w:pPr>
        <w:pStyle w:val="BodyText"/>
        <w:spacing w:line="319" w:lineRule="auto" w:before="116"/>
        <w:ind w:right="116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、交易对手方承诺泡椒思志</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年度净利润分别不低于人民币</w:t>
      </w:r>
      <w:r>
        <w:rPr>
          <w:rFonts w:ascii="Times New Roman" w:hAnsi="Times New Roman" w:cs="Times New Roman" w:eastAsia="Times New Roman" w:hint="default"/>
        </w:rPr>
        <w:t>4,000</w:t>
      </w:r>
      <w:r>
        <w:rPr/>
        <w:t>万元、</w:t>
      </w:r>
      <w:r>
        <w:rPr>
          <w:rFonts w:ascii="Times New Roman" w:hAnsi="Times New Roman" w:cs="Times New Roman" w:eastAsia="Times New Roman" w:hint="default"/>
        </w:rPr>
        <w:t>5,000</w:t>
      </w:r>
      <w:r>
        <w:rPr/>
        <w:t>万元、</w:t>
      </w:r>
      <w:r>
        <w:rPr>
          <w:rFonts w:ascii="Times New Roman" w:hAnsi="Times New Roman" w:cs="Times New Roman" w:eastAsia="Times New Roman" w:hint="default"/>
        </w:rPr>
        <w:t>6,000</w:t>
      </w:r>
      <w:r>
        <w:rPr/>
        <w:t>万元， 合计不低于</w:t>
      </w:r>
      <w:r>
        <w:rPr>
          <w:rFonts w:ascii="Times New Roman" w:hAnsi="Times New Roman" w:cs="Times New Roman" w:eastAsia="Times New Roman" w:hint="default"/>
        </w:rPr>
        <w:t>15,000</w:t>
      </w:r>
      <w:r>
        <w:rPr/>
        <w:t>万元。</w:t>
      </w:r>
    </w:p>
    <w:p>
      <w:pPr>
        <w:pStyle w:val="BodyText"/>
        <w:spacing w:line="300" w:lineRule="auto" w:before="0"/>
        <w:ind w:right="1167"/>
        <w:jc w:val="left"/>
      </w:pPr>
      <w:r>
        <w:rPr>
          <w:rFonts w:ascii="Times New Roman" w:hAnsi="Times New Roman" w:cs="Times New Roman" w:eastAsia="Times New Roman" w:hint="default"/>
        </w:rPr>
        <w:t>2</w:t>
      </w:r>
      <w:r>
        <w:rPr/>
        <w:t>、交易对手方承诺北京亚鸿</w:t>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w:t>
      </w:r>
      <w:r>
        <w:rPr>
          <w:rFonts w:ascii="Times New Roman" w:hAnsi="Times New Roman" w:cs="Times New Roman" w:eastAsia="Times New Roman" w:hint="default"/>
        </w:rPr>
        <w:t>2019</w:t>
      </w:r>
      <w:r>
        <w:rPr/>
        <w:t>年度净利润分别不低于人民币</w:t>
      </w:r>
      <w:r>
        <w:rPr>
          <w:rFonts w:ascii="Times New Roman" w:hAnsi="Times New Roman" w:cs="Times New Roman" w:eastAsia="Times New Roman" w:hint="default"/>
        </w:rPr>
        <w:t>3,500</w:t>
      </w:r>
      <w:r>
        <w:rPr/>
        <w:t>万元、</w:t>
      </w:r>
      <w:r>
        <w:rPr>
          <w:rFonts w:ascii="Times New Roman" w:hAnsi="Times New Roman" w:cs="Times New Roman" w:eastAsia="Times New Roman" w:hint="default"/>
        </w:rPr>
        <w:t>4,550</w:t>
      </w:r>
      <w:r>
        <w:rPr/>
        <w:t>万元、</w:t>
      </w:r>
      <w:r>
        <w:rPr>
          <w:rFonts w:ascii="Times New Roman" w:hAnsi="Times New Roman" w:cs="Times New Roman" w:eastAsia="Times New Roman" w:hint="default"/>
        </w:rPr>
        <w:t>5,460</w:t>
      </w:r>
      <w:r>
        <w:rPr/>
        <w:t>万元， 合计不低于</w:t>
      </w:r>
      <w:r>
        <w:rPr>
          <w:rFonts w:ascii="Times New Roman" w:hAnsi="Times New Roman" w:cs="Times New Roman" w:eastAsia="Times New Roman" w:hint="default"/>
        </w:rPr>
        <w:t>13,510</w:t>
      </w:r>
      <w:r>
        <w:rPr/>
        <w:t>万元。</w:t>
      </w:r>
    </w:p>
    <w:p>
      <w:pPr>
        <w:pStyle w:val="BodyText"/>
        <w:spacing w:line="357" w:lineRule="auto" w:before="53"/>
        <w:ind w:left="444" w:right="1192" w:hanging="291"/>
        <w:jc w:val="left"/>
      </w:pPr>
      <w:r>
        <w:rPr/>
        <w:t>业绩承诺的完成情况及其对商誉减值测试的影响 泡椒思志在业绩承诺期间内各年度净利润如下：</w:t>
      </w:r>
      <w:r>
        <w:rPr>
          <w:rFonts w:ascii="Times New Roman" w:hAnsi="Times New Roman" w:cs="Times New Roman" w:eastAsia="Times New Roman" w:hint="default"/>
        </w:rPr>
        <w:t>2017</w:t>
      </w:r>
      <w:r>
        <w:rPr/>
        <w:t>年度不低于</w:t>
      </w:r>
      <w:r>
        <w:rPr>
          <w:rFonts w:ascii="Times New Roman" w:hAnsi="Times New Roman" w:cs="Times New Roman" w:eastAsia="Times New Roman" w:hint="default"/>
        </w:rPr>
        <w:t>4,000</w:t>
      </w:r>
      <w:r>
        <w:rPr/>
        <w:t>万元，</w:t>
      </w:r>
      <w:r>
        <w:rPr>
          <w:rFonts w:ascii="Times New Roman" w:hAnsi="Times New Roman" w:cs="Times New Roman" w:eastAsia="Times New Roman" w:hint="default"/>
        </w:rPr>
        <w:t>2018</w:t>
      </w:r>
      <w:r>
        <w:rPr/>
        <w:t>年度不低于</w:t>
      </w:r>
      <w:r>
        <w:rPr>
          <w:rFonts w:ascii="Times New Roman" w:hAnsi="Times New Roman" w:cs="Times New Roman" w:eastAsia="Times New Roman" w:hint="default"/>
        </w:rPr>
        <w:t>5,000</w:t>
      </w:r>
      <w:r>
        <w:rPr/>
        <w:t>万元，</w:t>
      </w:r>
      <w:r>
        <w:rPr>
          <w:rFonts w:ascii="Times New Roman" w:hAnsi="Times New Roman" w:cs="Times New Roman" w:eastAsia="Times New Roman" w:hint="default"/>
        </w:rPr>
        <w:t>2019</w:t>
      </w:r>
      <w:r>
        <w:rPr/>
        <w:t>年度不低</w:t>
      </w:r>
    </w:p>
    <w:p>
      <w:pPr>
        <w:pStyle w:val="BodyText"/>
        <w:spacing w:line="214" w:lineRule="exact" w:before="0"/>
        <w:ind w:right="0"/>
        <w:jc w:val="left"/>
      </w:pPr>
      <w:r>
        <w:rPr/>
        <w:t>于</w:t>
      </w:r>
      <w:r>
        <w:rPr>
          <w:rFonts w:ascii="Times New Roman" w:hAnsi="Times New Roman" w:cs="Times New Roman" w:eastAsia="Times New Roman" w:hint="default"/>
        </w:rPr>
        <w:t>6,000</w:t>
      </w:r>
      <w:r>
        <w:rPr/>
        <w:t>万元，合计不低于</w:t>
      </w:r>
      <w:r>
        <w:rPr>
          <w:rFonts w:ascii="Times New Roman" w:hAnsi="Times New Roman" w:cs="Times New Roman" w:eastAsia="Times New Roman" w:hint="default"/>
        </w:rPr>
        <w:t>15,000</w:t>
      </w:r>
      <w:r>
        <w:rPr/>
        <w:t>万元。</w:t>
      </w:r>
      <w:r>
        <w:rPr>
          <w:rFonts w:ascii="Times New Roman" w:hAnsi="Times New Roman" w:cs="Times New Roman" w:eastAsia="Times New Roman" w:hint="default"/>
        </w:rPr>
        <w:t>2018</w:t>
      </w:r>
      <w:r>
        <w:rPr/>
        <w:t>年泡椒思志扣除非经常性损益后归属于母公司所有者权益的净利润为</w:t>
      </w:r>
      <w:r>
        <w:rPr>
          <w:rFonts w:ascii="Times New Roman" w:hAnsi="Times New Roman" w:cs="Times New Roman" w:eastAsia="Times New Roman" w:hint="default"/>
        </w:rPr>
        <w:t>3,083.83</w:t>
      </w:r>
      <w:r>
        <w:rPr/>
        <w:t>万</w:t>
      </w:r>
    </w:p>
    <w:p>
      <w:pPr>
        <w:pStyle w:val="BodyText"/>
        <w:spacing w:line="300" w:lineRule="auto" w:before="63"/>
        <w:ind w:left="454" w:right="0" w:hanging="300"/>
        <w:jc w:val="left"/>
      </w:pPr>
      <w:r>
        <w:rPr/>
        <w:t>元</w:t>
      </w:r>
      <w:r>
        <w:rPr>
          <w:rFonts w:ascii="Times New Roman" w:hAnsi="Times New Roman" w:cs="Times New Roman" w:eastAsia="Times New Roman" w:hint="default"/>
        </w:rPr>
        <w:t>,</w:t>
      </w:r>
      <w:r>
        <w:rPr/>
        <w:t>完成率为</w:t>
      </w:r>
      <w:r>
        <w:rPr>
          <w:rFonts w:ascii="Times New Roman" w:hAnsi="Times New Roman" w:cs="Times New Roman" w:eastAsia="Times New Roman" w:hint="default"/>
        </w:rPr>
        <w:t>61.68%</w:t>
      </w:r>
      <w:r>
        <w:rPr/>
        <w:t>，</w:t>
      </w:r>
      <w:r>
        <w:rPr>
          <w:rFonts w:ascii="Times New Roman" w:hAnsi="Times New Roman" w:cs="Times New Roman" w:eastAsia="Times New Roman" w:hint="default"/>
        </w:rPr>
        <w:t>2018</w:t>
      </w:r>
      <w:r>
        <w:rPr/>
        <w:t>年业绩承诺人应对公司给予的现金补偿</w:t>
      </w:r>
      <w:r>
        <w:rPr>
          <w:rFonts w:ascii="Times New Roman" w:hAnsi="Times New Roman" w:cs="Times New Roman" w:eastAsia="Times New Roman" w:hint="default"/>
        </w:rPr>
        <w:t>5,237.54</w:t>
      </w:r>
      <w:r>
        <w:rPr/>
        <w:t>万元。 </w:t>
      </w:r>
      <w:r>
        <w:rPr>
          <w:spacing w:val="-1"/>
        </w:rPr>
        <w:t>公司根据深圳市鹏信资产评估土地房地产估价有限公司出具的《任子行网络技术股份有限公司以财务报告为目的所涉及</w:t>
      </w:r>
    </w:p>
    <w:p>
      <w:pPr>
        <w:pStyle w:val="BodyText"/>
        <w:spacing w:line="300" w:lineRule="auto" w:before="31"/>
        <w:ind w:right="1131"/>
        <w:jc w:val="both"/>
      </w:pPr>
      <w:r>
        <w:rPr>
          <w:spacing w:val="-1"/>
        </w:rPr>
        <w:t>的泡椒思志资产组资产评估报告》（鹏信资评报字</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S044</w:t>
      </w:r>
      <w:r>
        <w:rPr>
          <w:spacing w:val="-1"/>
        </w:rPr>
        <w:t>号）的评估结果，确定深圳泡椒思志信息技术有限公司截止</w:t>
      </w:r>
      <w:r>
        <w:rPr>
          <w:spacing w:val="-66"/>
        </w:rPr>
        <w:t> </w:t>
      </w:r>
      <w:r>
        <w:rPr>
          <w:spacing w:val="-66"/>
        </w:rPr>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日与商誉相关的资产组的账面价值为</w:t>
      </w:r>
      <w:r>
        <w:rPr>
          <w:rFonts w:ascii="Times New Roman" w:hAnsi="Times New Roman" w:cs="Times New Roman" w:eastAsia="Times New Roman" w:hint="default"/>
          <w:spacing w:val="-2"/>
        </w:rPr>
        <w:t>17,664,886.77</w:t>
      </w:r>
      <w:r>
        <w:rPr>
          <w:spacing w:val="-2"/>
        </w:rPr>
        <w:t>元、商誉资产组可收回金额为</w:t>
      </w:r>
      <w:r>
        <w:rPr>
          <w:rFonts w:ascii="Times New Roman" w:hAnsi="Times New Roman" w:cs="Times New Roman" w:eastAsia="Times New Roman" w:hint="default"/>
          <w:spacing w:val="-2"/>
        </w:rPr>
        <w:t>296,000,000.00</w:t>
      </w:r>
      <w:r>
        <w:rPr>
          <w:spacing w:val="-2"/>
        </w:rPr>
        <w:t>元，经测试对其</w:t>
      </w:r>
      <w:r>
        <w:rPr>
          <w:spacing w:val="-33"/>
        </w:rPr>
        <w:t> </w:t>
      </w:r>
      <w:r>
        <w:rPr>
          <w:spacing w:val="-33"/>
        </w:rPr>
      </w:r>
      <w:r>
        <w:rPr/>
        <w:t>商誉本期计提减值</w:t>
      </w:r>
      <w:r>
        <w:rPr>
          <w:rFonts w:ascii="Times New Roman" w:hAnsi="Times New Roman" w:cs="Times New Roman" w:eastAsia="Times New Roman" w:hint="default"/>
        </w:rPr>
        <w:t>62,768,121.89</w:t>
      </w:r>
      <w:r>
        <w:rPr/>
        <w:t>元。</w:t>
      </w:r>
    </w:p>
    <w:p>
      <w:pPr>
        <w:pStyle w:val="BodyText"/>
        <w:spacing w:line="240" w:lineRule="auto" w:before="13"/>
        <w:ind w:left="454" w:right="0"/>
        <w:jc w:val="left"/>
      </w:pPr>
      <w:r>
        <w:rPr/>
        <w:t>北京亚鸿在报告期内业绩承诺超额完成。</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before="0"/>
        <w:ind w:right="49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2"/>
        <w:ind w:right="1132" w:firstLine="343"/>
        <w:jc w:val="both"/>
      </w:pPr>
      <w:r>
        <w:rPr/>
        <w:t>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19</w:t>
      </w:r>
      <w:r>
        <w:rPr>
          <w:rFonts w:ascii="Times New Roman" w:hAnsi="Times New Roman" w:cs="Times New Roman" w:eastAsia="Times New Roman" w:hint="default"/>
          <w:spacing w:val="24"/>
        </w:rPr>
        <w:t> </w:t>
      </w:r>
      <w:r>
        <w:rPr/>
        <w:t>日召开第三届董事会第二十七次会议及第三届监事会第二十四次会议，审议通过了《关于会 计政策变更的议案》，公司根据财政部《关于修订印发</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年度一般企业财务报表格式的通知》（财会</w:t>
      </w:r>
      <w:r>
        <w:rPr>
          <w:rFonts w:ascii="Times New Roman" w:hAnsi="Times New Roman" w:cs="Times New Roman" w:eastAsia="Times New Roman" w:hint="default"/>
        </w:rPr>
        <w:t>[2018]15</w:t>
      </w:r>
      <w:r>
        <w:rPr>
          <w:rFonts w:ascii="Times New Roman" w:hAnsi="Times New Roman" w:cs="Times New Roman" w:eastAsia="Times New Roman" w:hint="default"/>
          <w:spacing w:val="-9"/>
        </w:rPr>
        <w:t> </w:t>
      </w:r>
      <w:r>
        <w:rPr/>
        <w:t>号）（以 下简称</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[2018]15 </w:t>
      </w:r>
      <w:r>
        <w:rPr/>
        <w:t>号文件</w:t>
      </w:r>
      <w:r>
        <w:rPr>
          <w:rFonts w:ascii="Times New Roman" w:hAnsi="Times New Roman" w:cs="Times New Roman" w:eastAsia="Times New Roman" w:hint="default"/>
        </w:rPr>
        <w:t>”</w:t>
      </w:r>
      <w:r>
        <w:rPr/>
        <w:t>）的规定，对一般企业财务报表格式进行了修订。根据财会</w:t>
      </w:r>
      <w:r>
        <w:rPr>
          <w:rFonts w:ascii="Times New Roman" w:hAnsi="Times New Roman" w:cs="Times New Roman" w:eastAsia="Times New Roman" w:hint="default"/>
        </w:rPr>
        <w:t>[2018]15</w:t>
      </w:r>
      <w:r>
        <w:rPr>
          <w:rFonts w:ascii="Times New Roman" w:hAnsi="Times New Roman" w:cs="Times New Roman" w:eastAsia="Times New Roman" w:hint="default"/>
          <w:spacing w:val="-35"/>
        </w:rPr>
        <w:t> </w:t>
      </w:r>
      <w:r>
        <w:rPr/>
        <w:t>号文件的要求，公司调整 财务报表列报，同时相应调整比较期间报表项目。</w:t>
      </w:r>
    </w:p>
    <w:p>
      <w:pPr>
        <w:pStyle w:val="BodyText"/>
        <w:spacing w:line="240" w:lineRule="auto" w:before="71"/>
        <w:ind w:left="479" w:right="5109"/>
        <w:jc w:val="center"/>
      </w:pPr>
      <w:r>
        <w:rPr/>
        <w:t>上述会计政策变更对公司</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0"/>
        </w:rPr>
        <w:t> </w:t>
      </w:r>
      <w:r>
        <w:rPr/>
        <w:t>年度的影响列示如下（合并口径）：</w:t>
      </w:r>
    </w:p>
    <w:p>
      <w:pPr>
        <w:spacing w:line="240" w:lineRule="auto" w:before="0"/>
        <w:rPr>
          <w:rFonts w:ascii="宋体" w:hAnsi="宋体" w:cs="宋体" w:eastAsia="宋体" w:hint="default"/>
          <w:sz w:val="18"/>
          <w:szCs w:val="18"/>
        </w:rPr>
      </w:pPr>
    </w:p>
    <w:p>
      <w:pPr>
        <w:spacing w:before="152"/>
        <w:ind w:left="0" w:right="1213" w:firstLine="0"/>
        <w:jc w:val="right"/>
        <w:rPr>
          <w:rFonts w:ascii="宋体" w:hAnsi="宋体" w:cs="宋体" w:eastAsia="宋体" w:hint="default"/>
          <w:sz w:val="21"/>
          <w:szCs w:val="21"/>
        </w:rPr>
      </w:pPr>
      <w:r>
        <w:rPr>
          <w:rFonts w:ascii="宋体" w:hAnsi="宋体" w:cs="宋体" w:eastAsia="宋体" w:hint="default"/>
          <w:sz w:val="21"/>
          <w:szCs w:val="21"/>
        </w:rPr>
        <w:t>单位：元</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580"/>
        <w:gridCol w:w="2561"/>
        <w:gridCol w:w="2020"/>
        <w:gridCol w:w="2020"/>
      </w:tblGrid>
      <w:tr>
        <w:trPr>
          <w:trHeight w:val="342" w:hRule="exact"/>
        </w:trPr>
        <w:tc>
          <w:tcPr>
            <w:tcW w:w="3580"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21"/>
              <w:ind w:left="974" w:right="0"/>
              <w:jc w:val="left"/>
              <w:rPr>
                <w:rFonts w:ascii="宋体" w:hAnsi="宋体" w:cs="宋体" w:eastAsia="宋体" w:hint="default"/>
                <w:sz w:val="18"/>
                <w:szCs w:val="18"/>
              </w:rPr>
            </w:pPr>
            <w:r>
              <w:rPr>
                <w:rFonts w:ascii="宋体" w:hAnsi="宋体" w:cs="宋体" w:eastAsia="宋体" w:hint="default"/>
                <w:sz w:val="18"/>
                <w:szCs w:val="18"/>
              </w:rPr>
              <w:t>会计政策变更的内容</w:t>
            </w:r>
          </w:p>
        </w:tc>
        <w:tc>
          <w:tcPr>
            <w:tcW w:w="2561" w:type="dxa"/>
            <w:vMerge w:val="restart"/>
            <w:tcBorders>
              <w:top w:val="single" w:sz="4" w:space="0" w:color="000000"/>
              <w:left w:val="single" w:sz="4" w:space="0" w:color="000000"/>
              <w:right w:val="single" w:sz="4" w:space="0" w:color="000000"/>
            </w:tcBorders>
            <w:shd w:val="clear" w:color="auto" w:fill="C0C0C0"/>
          </w:tcPr>
          <w:p>
            <w:pPr>
              <w:pStyle w:val="TableParagraph"/>
              <w:spacing w:line="240" w:lineRule="auto" w:before="21"/>
              <w:ind w:left="376" w:right="0"/>
              <w:jc w:val="left"/>
              <w:rPr>
                <w:rFonts w:ascii="宋体" w:hAnsi="宋体" w:cs="宋体" w:eastAsia="宋体" w:hint="default"/>
                <w:sz w:val="18"/>
                <w:szCs w:val="18"/>
              </w:rPr>
            </w:pPr>
            <w:r>
              <w:rPr>
                <w:rFonts w:ascii="宋体" w:hAnsi="宋体" w:cs="宋体" w:eastAsia="宋体" w:hint="default"/>
                <w:sz w:val="18"/>
                <w:szCs w:val="18"/>
              </w:rPr>
              <w:t>受影响的报表项目名称</w:t>
            </w:r>
          </w:p>
        </w:tc>
        <w:tc>
          <w:tcPr>
            <w:tcW w:w="4040" w:type="dxa"/>
            <w:gridSpan w:val="2"/>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z w:val="18"/>
                <w:szCs w:val="18"/>
              </w:rPr>
              <w:t>年</w:t>
            </w:r>
            <w:r>
              <w:rPr>
                <w:rFonts w:ascii="宋体" w:hAnsi="宋体" w:cs="宋体" w:eastAsia="宋体" w:hint="default"/>
                <w:sz w:val="18"/>
                <w:szCs w:val="18"/>
              </w:rPr>
              <w:t>12</w:t>
            </w:r>
            <w:r>
              <w:rPr>
                <w:rFonts w:ascii="宋体" w:hAnsi="宋体" w:cs="宋体" w:eastAsia="宋体" w:hint="default"/>
                <w:sz w:val="18"/>
                <w:szCs w:val="18"/>
              </w:rPr>
              <w:t>月</w:t>
            </w:r>
            <w:r>
              <w:rPr>
                <w:rFonts w:ascii="宋体" w:hAnsi="宋体" w:cs="宋体" w:eastAsia="宋体" w:hint="default"/>
                <w:sz w:val="18"/>
                <w:szCs w:val="18"/>
              </w:rPr>
              <w:t>31</w:t>
            </w:r>
            <w:r>
              <w:rPr>
                <w:rFonts w:ascii="宋体" w:hAnsi="宋体" w:cs="宋体" w:eastAsia="宋体" w:hint="default"/>
                <w:sz w:val="18"/>
                <w:szCs w:val="18"/>
              </w:rPr>
              <w:t>日</w:t>
            </w:r>
          </w:p>
        </w:tc>
      </w:tr>
      <w:tr>
        <w:trPr>
          <w:trHeight w:val="342" w:hRule="exact"/>
        </w:trPr>
        <w:tc>
          <w:tcPr>
            <w:tcW w:w="3580" w:type="dxa"/>
            <w:vMerge/>
            <w:tcBorders>
              <w:left w:val="single" w:sz="4" w:space="0" w:color="000000"/>
              <w:bottom w:val="single" w:sz="4" w:space="0" w:color="000000"/>
              <w:right w:val="single" w:sz="4" w:space="0" w:color="000000"/>
            </w:tcBorders>
            <w:shd w:val="clear" w:color="auto" w:fill="C0C0C0"/>
          </w:tcPr>
          <w:p>
            <w:pPr/>
          </w:p>
        </w:tc>
        <w:tc>
          <w:tcPr>
            <w:tcW w:w="2561" w:type="dxa"/>
            <w:vMerge/>
            <w:tcBorders>
              <w:left w:val="single" w:sz="4" w:space="0" w:color="000000"/>
              <w:bottom w:val="single" w:sz="4" w:space="0" w:color="000000"/>
              <w:right w:val="single" w:sz="4" w:space="0" w:color="000000"/>
            </w:tcBorders>
            <w:shd w:val="clear" w:color="auto" w:fill="C0C0C0"/>
          </w:tcPr>
          <w:p>
            <w:pPr/>
          </w:p>
        </w:tc>
        <w:tc>
          <w:tcPr>
            <w:tcW w:w="20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重述前</w:t>
            </w:r>
          </w:p>
        </w:tc>
        <w:tc>
          <w:tcPr>
            <w:tcW w:w="2020" w:type="dxa"/>
            <w:tcBorders>
              <w:top w:val="single" w:sz="4" w:space="0" w:color="000000"/>
              <w:left w:val="single" w:sz="4" w:space="0" w:color="000000"/>
              <w:bottom w:val="single" w:sz="4" w:space="0" w:color="000000"/>
              <w:right w:val="single" w:sz="4" w:space="0" w:color="000000"/>
            </w:tcBorders>
            <w:shd w:val="clear" w:color="auto" w:fill="C0C0C0"/>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重述后</w:t>
            </w:r>
          </w:p>
        </w:tc>
      </w:tr>
      <w:tr>
        <w:trPr>
          <w:trHeight w:val="342" w:hRule="exact"/>
        </w:trPr>
        <w:tc>
          <w:tcPr>
            <w:tcW w:w="3580" w:type="dxa"/>
            <w:vMerge w:val="restart"/>
            <w:tcBorders>
              <w:top w:val="single" w:sz="4" w:space="0" w:color="000000"/>
              <w:left w:val="single" w:sz="4" w:space="0" w:color="000000"/>
              <w:right w:val="single" w:sz="4" w:space="0" w:color="000000"/>
            </w:tcBorders>
          </w:tcPr>
          <w:p>
            <w:pPr>
              <w:pStyle w:val="TableParagraph"/>
              <w:spacing w:line="316" w:lineRule="auto" w:before="21"/>
              <w:ind w:left="4" w:right="143"/>
              <w:jc w:val="left"/>
              <w:rPr>
                <w:rFonts w:ascii="宋体" w:hAnsi="宋体" w:cs="宋体" w:eastAsia="宋体" w:hint="default"/>
                <w:sz w:val="18"/>
                <w:szCs w:val="18"/>
              </w:rPr>
            </w:pPr>
            <w:r>
              <w:rPr>
                <w:rFonts w:ascii="宋体" w:hAnsi="宋体" w:cs="宋体" w:eastAsia="宋体" w:hint="default"/>
                <w:sz w:val="18"/>
                <w:szCs w:val="18"/>
              </w:rPr>
              <w:t>应收票据和应收账款合并计入应收票据及应 收账款项目</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11,606,753.00</w:t>
            </w: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80" w:type="dxa"/>
            <w:vMerge/>
            <w:tcBorders>
              <w:left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368,671,700.79</w:t>
            </w: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80" w:type="dxa"/>
            <w:vMerge/>
            <w:tcBorders>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020"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380,278,453.79</w:t>
            </w:r>
          </w:p>
        </w:tc>
      </w:tr>
      <w:tr>
        <w:trPr>
          <w:trHeight w:val="342" w:hRule="exact"/>
        </w:trPr>
        <w:tc>
          <w:tcPr>
            <w:tcW w:w="3580" w:type="dxa"/>
            <w:vMerge w:val="restart"/>
            <w:tcBorders>
              <w:top w:val="single" w:sz="4" w:space="0" w:color="000000"/>
              <w:left w:val="single" w:sz="4" w:space="0" w:color="000000"/>
              <w:right w:val="single" w:sz="4" w:space="0" w:color="000000"/>
            </w:tcBorders>
          </w:tcPr>
          <w:p>
            <w:pPr>
              <w:pStyle w:val="TableParagraph"/>
              <w:spacing w:line="316" w:lineRule="auto" w:before="21"/>
              <w:ind w:left="4" w:right="143"/>
              <w:jc w:val="left"/>
              <w:rPr>
                <w:rFonts w:ascii="宋体" w:hAnsi="宋体" w:cs="宋体" w:eastAsia="宋体" w:hint="default"/>
                <w:sz w:val="18"/>
                <w:szCs w:val="18"/>
              </w:rPr>
            </w:pPr>
            <w:r>
              <w:rPr>
                <w:rFonts w:ascii="宋体" w:hAnsi="宋体" w:cs="宋体" w:eastAsia="宋体" w:hint="default"/>
                <w:sz w:val="18"/>
                <w:szCs w:val="18"/>
              </w:rPr>
              <w:t>应付票据和应付账款合并计入应付票据及应 付账款项目</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10,465,470.00</w:t>
            </w: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80" w:type="dxa"/>
            <w:vMerge/>
            <w:tcBorders>
              <w:left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240,189,710.67</w:t>
            </w: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80" w:type="dxa"/>
            <w:vMerge/>
            <w:tcBorders>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20"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250,655,180.67</w:t>
            </w:r>
          </w:p>
        </w:tc>
      </w:tr>
      <w:tr>
        <w:trPr>
          <w:trHeight w:val="342" w:hRule="exact"/>
        </w:trPr>
        <w:tc>
          <w:tcPr>
            <w:tcW w:w="3580" w:type="dxa"/>
            <w:vMerge w:val="restart"/>
            <w:tcBorders>
              <w:top w:val="single" w:sz="4" w:space="0" w:color="000000"/>
              <w:left w:val="single" w:sz="4" w:space="0" w:color="000000"/>
              <w:right w:val="single" w:sz="4" w:space="0" w:color="000000"/>
            </w:tcBorders>
          </w:tcPr>
          <w:p>
            <w:pPr>
              <w:pStyle w:val="TableParagraph"/>
              <w:spacing w:line="316" w:lineRule="auto" w:before="21"/>
              <w:ind w:left="4" w:right="3"/>
              <w:jc w:val="left"/>
              <w:rPr>
                <w:rFonts w:ascii="宋体" w:hAnsi="宋体" w:cs="宋体" w:eastAsia="宋体" w:hint="default"/>
                <w:sz w:val="18"/>
                <w:szCs w:val="18"/>
              </w:rPr>
            </w:pPr>
            <w:r>
              <w:rPr>
                <w:rFonts w:ascii="宋体" w:hAnsi="宋体" w:cs="宋体" w:eastAsia="宋体" w:hint="default"/>
                <w:spacing w:val="-2"/>
                <w:sz w:val="18"/>
                <w:szCs w:val="18"/>
              </w:rPr>
              <w:t>应付利息、应付股利和其他应收款合并计入其</w:t>
            </w:r>
            <w:r>
              <w:rPr>
                <w:rFonts w:ascii="宋体" w:hAnsi="宋体" w:cs="宋体" w:eastAsia="宋体" w:hint="default"/>
                <w:sz w:val="18"/>
                <w:szCs w:val="18"/>
              </w:rPr>
              <w:t> 他应付款项目</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020"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80" w:type="dxa"/>
            <w:vMerge/>
            <w:tcBorders>
              <w:left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20,193.35</w:t>
            </w:r>
          </w:p>
        </w:tc>
        <w:tc>
          <w:tcPr>
            <w:tcW w:w="202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580" w:type="dxa"/>
            <w:vMerge/>
            <w:tcBorders>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58,784,455.22</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58,804,648.57</w:t>
            </w:r>
          </w:p>
        </w:tc>
      </w:tr>
      <w:tr>
        <w:trPr>
          <w:trHeight w:val="342" w:hRule="exact"/>
        </w:trPr>
        <w:tc>
          <w:tcPr>
            <w:tcW w:w="3580" w:type="dxa"/>
            <w:vMerge w:val="restart"/>
            <w:tcBorders>
              <w:top w:val="single" w:sz="4" w:space="0" w:color="000000"/>
              <w:left w:val="single" w:sz="4" w:space="0" w:color="000000"/>
              <w:right w:val="single" w:sz="4" w:space="0" w:color="000000"/>
            </w:tcBorders>
          </w:tcPr>
          <w:p>
            <w:pPr>
              <w:pStyle w:val="TableParagraph"/>
              <w:spacing w:line="316" w:lineRule="auto" w:before="21"/>
              <w:ind w:left="4" w:right="143"/>
              <w:jc w:val="left"/>
              <w:rPr>
                <w:rFonts w:ascii="宋体" w:hAnsi="宋体" w:cs="宋体" w:eastAsia="宋体" w:hint="default"/>
                <w:sz w:val="18"/>
                <w:szCs w:val="18"/>
              </w:rPr>
            </w:pPr>
            <w:r>
              <w:rPr>
                <w:rFonts w:ascii="宋体" w:hAnsi="宋体" w:cs="宋体" w:eastAsia="宋体" w:hint="default"/>
                <w:sz w:val="18"/>
                <w:szCs w:val="18"/>
              </w:rPr>
              <w:t>原计入管理费用项目的研发费用单独列示为 研发费用项目</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3"/>
              <w:jc w:val="right"/>
              <w:rPr>
                <w:rFonts w:ascii="宋体" w:hAnsi="宋体" w:cs="宋体" w:eastAsia="宋体" w:hint="default"/>
                <w:sz w:val="18"/>
                <w:szCs w:val="18"/>
              </w:rPr>
            </w:pPr>
            <w:r>
              <w:rPr>
                <w:rFonts w:ascii="宋体"/>
                <w:sz w:val="18"/>
              </w:rPr>
              <w:t>224,165,646.12</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87,299,606.48</w:t>
            </w:r>
          </w:p>
        </w:tc>
      </w:tr>
      <w:tr>
        <w:trPr>
          <w:trHeight w:val="342" w:hRule="exact"/>
        </w:trPr>
        <w:tc>
          <w:tcPr>
            <w:tcW w:w="3580" w:type="dxa"/>
            <w:vMerge/>
            <w:tcBorders>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020"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136,866,039.64</w:t>
            </w:r>
          </w:p>
        </w:tc>
      </w:tr>
      <w:tr>
        <w:trPr>
          <w:trHeight w:val="342" w:hRule="exact"/>
        </w:trPr>
        <w:tc>
          <w:tcPr>
            <w:tcW w:w="3580" w:type="dxa"/>
            <w:vMerge w:val="restart"/>
            <w:tcBorders>
              <w:top w:val="single" w:sz="4" w:space="0" w:color="000000"/>
              <w:left w:val="single" w:sz="4" w:space="0" w:color="000000"/>
              <w:right w:val="single" w:sz="4" w:space="0" w:color="000000"/>
            </w:tcBorders>
          </w:tcPr>
          <w:p>
            <w:pPr>
              <w:pStyle w:val="TableParagraph"/>
              <w:spacing w:line="316" w:lineRule="auto" w:before="21"/>
              <w:ind w:left="4" w:right="143"/>
              <w:jc w:val="left"/>
              <w:rPr>
                <w:rFonts w:ascii="宋体" w:hAnsi="宋体" w:cs="宋体" w:eastAsia="宋体" w:hint="default"/>
                <w:sz w:val="18"/>
                <w:szCs w:val="18"/>
              </w:rPr>
            </w:pPr>
            <w:r>
              <w:rPr>
                <w:rFonts w:ascii="宋体" w:hAnsi="宋体" w:cs="宋体" w:eastAsia="宋体" w:hint="default"/>
                <w:sz w:val="18"/>
                <w:szCs w:val="18"/>
              </w:rPr>
              <w:t>在财务费用行项目分别列示利息费用和利息 收入明细项目</w:t>
            </w: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4,240,228.10</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4,240,228.10</w:t>
            </w:r>
          </w:p>
        </w:tc>
      </w:tr>
      <w:tr>
        <w:trPr>
          <w:trHeight w:val="342" w:hRule="exact"/>
        </w:trPr>
        <w:tc>
          <w:tcPr>
            <w:tcW w:w="3580" w:type="dxa"/>
            <w:vMerge/>
            <w:tcBorders>
              <w:left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020"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7,127,990.19</w:t>
            </w:r>
          </w:p>
        </w:tc>
      </w:tr>
      <w:tr>
        <w:trPr>
          <w:trHeight w:val="343" w:hRule="exact"/>
        </w:trPr>
        <w:tc>
          <w:tcPr>
            <w:tcW w:w="3580" w:type="dxa"/>
            <w:vMerge/>
            <w:tcBorders>
              <w:left w:val="single" w:sz="4" w:space="0" w:color="000000"/>
              <w:bottom w:val="single" w:sz="4" w:space="0" w:color="000000"/>
              <w:right w:val="single" w:sz="4" w:space="0" w:color="000000"/>
            </w:tcBorders>
          </w:tcPr>
          <w:p>
            <w:pPr/>
          </w:p>
        </w:tc>
        <w:tc>
          <w:tcPr>
            <w:tcW w:w="2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6"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020" w:type="dxa"/>
            <w:tcBorders>
              <w:top w:val="single" w:sz="4" w:space="0" w:color="000000"/>
              <w:left w:val="single" w:sz="4" w:space="0" w:color="000000"/>
              <w:bottom w:val="single" w:sz="4" w:space="0" w:color="000000"/>
              <w:right w:val="single" w:sz="4" w:space="0" w:color="000000"/>
            </w:tcBorders>
          </w:tcPr>
          <w:p>
            <w:pP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2,779,043.39</w:t>
            </w:r>
          </w:p>
        </w:tc>
      </w:tr>
    </w:tbl>
    <w:p>
      <w:pPr>
        <w:pStyle w:val="BodyText"/>
        <w:spacing w:line="316" w:lineRule="auto" w:before="10"/>
        <w:ind w:right="1066" w:firstLine="506"/>
        <w:jc w:val="left"/>
      </w:pPr>
      <w:r>
        <w:rPr/>
        <w:t>本次会计政策变更仅涉及公司财务报表的列报和调整，不存在追溯调整事项，对公司资产总额、净资产、营业收入、 净利润均无影响。</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left="334" w:right="1118" w:hanging="18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出资设立的子公司：深圳市任知聚科技有限公司、北京任子行网络安全技术有限公司。本期因失去控制权，不再合并的子</w:t>
      </w:r>
    </w:p>
    <w:p>
      <w:pPr>
        <w:pStyle w:val="BodyText"/>
        <w:spacing w:line="240" w:lineRule="auto" w:before="2"/>
        <w:ind w:right="0"/>
        <w:jc w:val="left"/>
      </w:pPr>
      <w:r>
        <w:rPr/>
        <w:t>公司包括：惠州市任网安科技发展有限公司、武汉任子行软件技术有限公司。</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吕润波、黄冠伟</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是否改聘会计师事务所</w:t>
      </w:r>
    </w:p>
    <w:p>
      <w:pPr>
        <w:pStyle w:val="BodyText"/>
        <w:spacing w:line="340" w:lineRule="auto" w:before="116"/>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51"/>
        <w:gridCol w:w="1086"/>
        <w:gridCol w:w="1265"/>
        <w:gridCol w:w="954"/>
        <w:gridCol w:w="1392"/>
        <w:gridCol w:w="1266"/>
        <w:gridCol w:w="1080"/>
        <w:gridCol w:w="1076"/>
      </w:tblGrid>
      <w:tr>
        <w:trPr>
          <w:trHeight w:val="714" w:hRule="exact"/>
        </w:trPr>
        <w:tc>
          <w:tcPr>
            <w:tcW w:w="1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630" w:right="29"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7" w:right="23" w:hanging="335"/>
              <w:jc w:val="left"/>
              <w:rPr>
                <w:rFonts w:ascii="宋体" w:hAnsi="宋体" w:cs="宋体" w:eastAsia="宋体" w:hint="default"/>
                <w:sz w:val="18"/>
                <w:szCs w:val="18"/>
              </w:rPr>
            </w:pPr>
            <w:r>
              <w:rPr>
                <w:rFonts w:ascii="宋体" w:hAnsi="宋体" w:cs="宋体" w:eastAsia="宋体" w:hint="default"/>
                <w:spacing w:val="-9"/>
                <w:sz w:val="18"/>
                <w:szCs w:val="18"/>
              </w:rPr>
              <w:t>涉案金额（万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46" w:right="8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92" w:right="49"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41" w:right="89"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67" w:right="2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劳动仲裁</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43.86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等待一审 判决</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暂无重大影响</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暂无重大影响</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26"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56"/>
              <w:jc w:val="left"/>
              <w:rPr>
                <w:rFonts w:ascii="宋体" w:hAnsi="宋体" w:cs="宋体" w:eastAsia="宋体" w:hint="default"/>
                <w:sz w:val="18"/>
                <w:szCs w:val="18"/>
              </w:rPr>
            </w:pPr>
            <w:r>
              <w:rPr>
                <w:rFonts w:ascii="宋体" w:hAnsi="宋体" w:cs="宋体" w:eastAsia="宋体" w:hint="default"/>
                <w:sz w:val="18"/>
                <w:szCs w:val="18"/>
              </w:rPr>
              <w:t>证券虚假陈诉责 任纠纷系列案</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177.91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已进行民 事调解</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已进行民事调 解，景晓军承担 调节赔偿金额</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1"/>
              <w:jc w:val="left"/>
              <w:rPr>
                <w:rFonts w:ascii="宋体" w:hAnsi="宋体" w:cs="宋体" w:eastAsia="宋体" w:hint="default"/>
                <w:sz w:val="18"/>
                <w:szCs w:val="18"/>
              </w:rPr>
            </w:pPr>
            <w:r>
              <w:rPr>
                <w:rFonts w:ascii="宋体" w:hAnsi="宋体" w:cs="宋体" w:eastAsia="宋体" w:hint="default"/>
                <w:sz w:val="18"/>
                <w:szCs w:val="18"/>
              </w:rPr>
              <w:t>已进行民事调 </w:t>
            </w:r>
            <w:r>
              <w:rPr>
                <w:rFonts w:ascii="宋体" w:hAnsi="宋体" w:cs="宋体" w:eastAsia="宋体" w:hint="default"/>
                <w:spacing w:val="-8"/>
                <w:sz w:val="18"/>
                <w:szCs w:val="18"/>
              </w:rPr>
              <w:t>解，景晓军承担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调节赔偿金额</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6"/>
              <w:jc w:val="left"/>
              <w:rPr>
                <w:rFonts w:ascii="宋体" w:hAnsi="宋体" w:cs="宋体" w:eastAsia="宋体" w:hint="default"/>
                <w:sz w:val="18"/>
                <w:szCs w:val="18"/>
              </w:rPr>
            </w:pPr>
            <w:r>
              <w:rPr>
                <w:rFonts w:ascii="宋体" w:hAnsi="宋体" w:cs="宋体" w:eastAsia="宋体" w:hint="default"/>
                <w:sz w:val="18"/>
                <w:szCs w:val="18"/>
              </w:rPr>
              <w:t>证券虚假陈诉责 任纠纷系列案</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662.15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8"/>
              <w:jc w:val="left"/>
              <w:rPr>
                <w:rFonts w:ascii="宋体" w:hAnsi="宋体" w:cs="宋体" w:eastAsia="宋体" w:hint="default"/>
                <w:sz w:val="18"/>
                <w:szCs w:val="18"/>
              </w:rPr>
            </w:pPr>
            <w:r>
              <w:rPr>
                <w:rFonts w:ascii="宋体" w:hAnsi="宋体" w:cs="宋体" w:eastAsia="宋体" w:hint="default"/>
                <w:sz w:val="18"/>
                <w:szCs w:val="18"/>
              </w:rPr>
              <w:t>立案前的 调解阶段</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暂无重大影响</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暂无重大影响</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6"/>
        <w:spacing w:line="240" w:lineRule="auto" w:before="102"/>
        <w:ind w:left="515" w:right="0"/>
        <w:jc w:val="left"/>
        <w:rPr>
          <w:b w:val="0"/>
          <w:bCs w:val="0"/>
        </w:rPr>
      </w:pPr>
      <w:r>
        <w:rPr>
          <w:rFonts w:ascii="Times New Roman" w:hAnsi="Times New Roman" w:cs="Times New Roman" w:eastAsia="Times New Roman" w:hint="default"/>
        </w:rPr>
        <w:t>1</w:t>
      </w:r>
      <w:r>
        <w:rPr/>
        <w:t>、员工持股计划</w:t>
      </w:r>
      <w:r>
        <w:rPr>
          <w:b w:val="0"/>
          <w:bCs w:val="0"/>
        </w:rPr>
      </w:r>
    </w:p>
    <w:p>
      <w:pPr>
        <w:pStyle w:val="BodyText"/>
        <w:spacing w:line="240" w:lineRule="auto" w:before="101"/>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20</w:t>
      </w:r>
      <w:r>
        <w:rPr/>
        <w:t>日，公司第三届董事会第十次会议审计通过了《关于回购公司股份用以实施员工持股计划的议案》，</w:t>
      </w:r>
      <w:r>
        <w:rPr>
          <w:rFonts w:ascii="Times New Roman" w:hAnsi="Times New Roman" w:cs="Times New Roman" w:eastAsia="Times New Roman" w:hint="default"/>
        </w:rPr>
        <w:t>2017</w:t>
      </w:r>
    </w:p>
    <w:p>
      <w:pPr>
        <w:pStyle w:val="BodyText"/>
        <w:spacing w:line="240" w:lineRule="auto" w:before="63"/>
        <w:ind w:right="0"/>
        <w:jc w:val="left"/>
      </w:pP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日，公司召开</w:t>
      </w:r>
      <w:r>
        <w:rPr>
          <w:rFonts w:ascii="Times New Roman" w:hAnsi="Times New Roman" w:cs="Times New Roman" w:eastAsia="Times New Roman" w:hint="default"/>
        </w:rPr>
        <w:t>2017</w:t>
      </w:r>
      <w:r>
        <w:rPr/>
        <w:t>年第二次临时股东大会审议通过了上述议案。</w:t>
      </w:r>
    </w:p>
    <w:p>
      <w:pPr>
        <w:pStyle w:val="BodyText"/>
        <w:spacing w:line="300" w:lineRule="auto" w:before="63"/>
        <w:ind w:right="1042"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日，公司第三届董事会第十五次会议审议通过了《关于</w:t>
      </w:r>
      <w:r>
        <w:rPr>
          <w:rFonts w:ascii="Times New Roman" w:hAnsi="Times New Roman" w:cs="Times New Roman" w:eastAsia="Times New Roman" w:hint="default"/>
        </w:rPr>
        <w:t>&lt;</w:t>
      </w:r>
      <w:r>
        <w:rPr/>
        <w:t>任子行网络技术股份有限公司员工持股计划（草 案）</w:t>
      </w:r>
      <w:r>
        <w:rPr>
          <w:rFonts w:ascii="Times New Roman" w:hAnsi="Times New Roman" w:cs="Times New Roman" w:eastAsia="Times New Roman" w:hint="default"/>
        </w:rPr>
        <w:t>&gt;</w:t>
      </w:r>
      <w:r>
        <w:rPr/>
        <w:t>及其摘要的议案》、《关于</w:t>
      </w:r>
      <w:r>
        <w:rPr>
          <w:rFonts w:ascii="Times New Roman" w:hAnsi="Times New Roman" w:cs="Times New Roman" w:eastAsia="Times New Roman" w:hint="default"/>
        </w:rPr>
        <w:t>&lt;</w:t>
      </w:r>
      <w:r>
        <w:rPr/>
        <w:t>任子行网络技术股份有限公司员工持股计划管理办法</w:t>
      </w:r>
      <w:r>
        <w:rPr>
          <w:rFonts w:ascii="Times New Roman" w:hAnsi="Times New Roman" w:cs="Times New Roman" w:eastAsia="Times New Roman" w:hint="default"/>
        </w:rPr>
        <w:t>&gt;</w:t>
      </w:r>
      <w:r>
        <w:rPr/>
        <w:t>的议案》、《关于提请股东大会授 </w:t>
      </w:r>
      <w:r>
        <w:rPr>
          <w:spacing w:val="-2"/>
        </w:rPr>
        <w:t>权董事会办理公司员工持股计划相关事宜的议案》。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16</w:t>
      </w:r>
      <w:r>
        <w:rPr>
          <w:spacing w:val="-2"/>
        </w:rPr>
        <w:t>日，上述事项经公司</w:t>
      </w:r>
      <w:r>
        <w:rPr>
          <w:rFonts w:ascii="Times New Roman" w:hAnsi="Times New Roman" w:cs="Times New Roman" w:eastAsia="Times New Roman" w:hint="default"/>
          <w:spacing w:val="-2"/>
        </w:rPr>
        <w:t>2017</w:t>
      </w:r>
      <w:r>
        <w:rPr>
          <w:spacing w:val="-2"/>
        </w:rPr>
        <w:t>年第五次临时股东大会审议通过。</w:t>
      </w:r>
    </w:p>
    <w:p>
      <w:pPr>
        <w:pStyle w:val="BodyText"/>
        <w:spacing w:line="300" w:lineRule="auto" w:before="13"/>
        <w:ind w:right="1129" w:firstLine="36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日，结合员工持股计划在实施过程中的实际情况，公司第三届董事会第十六次会议审议通过了《关于</w:t>
      </w:r>
      <w:r>
        <w:rPr>
          <w:rFonts w:ascii="Times New Roman" w:hAnsi="Times New Roman" w:cs="Times New Roman" w:eastAsia="Times New Roman" w:hint="default"/>
        </w:rPr>
        <w:t>&lt;</w:t>
      </w:r>
      <w:r>
        <w:rPr/>
        <w:t>任 子行网络技术股份有限公司员工持股计划（草案修订稿）及其摘要（修订稿）的议案</w:t>
      </w:r>
      <w:r>
        <w:rPr>
          <w:rFonts w:ascii="Times New Roman" w:hAnsi="Times New Roman" w:cs="Times New Roman" w:eastAsia="Times New Roman" w:hint="default"/>
        </w:rPr>
        <w:t>&gt;</w:t>
      </w:r>
      <w:r>
        <w:rPr/>
        <w:t>》、《关于</w:t>
      </w:r>
      <w:r>
        <w:rPr>
          <w:rFonts w:ascii="Times New Roman" w:hAnsi="Times New Roman" w:cs="Times New Roman" w:eastAsia="Times New Roman" w:hint="default"/>
        </w:rPr>
        <w:t>&lt;</w:t>
      </w:r>
      <w:r>
        <w:rPr/>
        <w:t>任子行网络技术股份有</w:t>
      </w:r>
      <w:r>
        <w:rPr>
          <w:spacing w:val="-24"/>
        </w:rPr>
        <w:t> </w:t>
      </w:r>
      <w:r>
        <w:rPr>
          <w:spacing w:val="-24"/>
        </w:rPr>
      </w:r>
      <w:r>
        <w:rPr/>
        <w:t>限公司员工持股计划管理办法（修订稿）</w:t>
      </w:r>
      <w:r>
        <w:rPr>
          <w:rFonts w:ascii="Times New Roman" w:hAnsi="Times New Roman" w:cs="Times New Roman" w:eastAsia="Times New Roman" w:hint="default"/>
        </w:rPr>
        <w:t>&gt;</w:t>
      </w:r>
      <w:r>
        <w:rPr/>
        <w:t>的议案》，公司董事会对员工持股计划的部分条款进行调整。</w:t>
      </w:r>
    </w:p>
    <w:p>
      <w:pPr>
        <w:pStyle w:val="BodyText"/>
        <w:spacing w:line="300" w:lineRule="auto" w:before="13"/>
        <w:ind w:right="1122"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日，公司作为委托人（代公司第一期员工持股计划）与国信证券（管理人）、中信银行股份有限公司深圳 分行（托管人）签署了《国信证券任子行员工持股</w:t>
      </w:r>
      <w:r>
        <w:rPr>
          <w:rFonts w:ascii="Times New Roman" w:hAnsi="Times New Roman" w:cs="Times New Roman" w:eastAsia="Times New Roman" w:hint="default"/>
        </w:rPr>
        <w:t>1</w:t>
      </w:r>
      <w:r>
        <w:rPr/>
        <w:t>号定向资产管理计划资产管理合同》。</w:t>
      </w:r>
    </w:p>
    <w:p>
      <w:pPr>
        <w:pStyle w:val="BodyText"/>
        <w:spacing w:line="300" w:lineRule="auto" w:before="13"/>
        <w:ind w:right="1129" w:firstLine="360"/>
        <w:jc w:val="both"/>
      </w:pPr>
      <w:r>
        <w:rPr>
          <w:rFonts w:ascii="Times New Roman" w:hAnsi="Times New Roman" w:cs="Times New Roman" w:eastAsia="Times New Roman" w:hint="default"/>
          <w:spacing w:val="-2"/>
          <w:w w:val="100"/>
        </w:rPr>
        <w:t>2017</w:t>
      </w:r>
      <w:r>
        <w:rPr>
          <w:spacing w:val="-2"/>
          <w:w w:val="100"/>
        </w:rPr>
        <w:t>年</w:t>
      </w:r>
      <w:r>
        <w:rPr>
          <w:rFonts w:ascii="Times New Roman" w:hAnsi="Times New Roman" w:cs="Times New Roman" w:eastAsia="Times New Roman" w:hint="default"/>
          <w:spacing w:val="-2"/>
          <w:w w:val="100"/>
        </w:rPr>
        <w:t>6</w:t>
      </w:r>
      <w:r>
        <w:rPr>
          <w:spacing w:val="-2"/>
          <w:w w:val="100"/>
        </w:rPr>
        <w:t>月</w:t>
      </w:r>
      <w:r>
        <w:rPr>
          <w:rFonts w:ascii="Times New Roman" w:hAnsi="Times New Roman" w:cs="Times New Roman" w:eastAsia="Times New Roman" w:hint="default"/>
          <w:spacing w:val="-2"/>
          <w:w w:val="100"/>
        </w:rPr>
        <w:t>30</w:t>
      </w:r>
      <w:r>
        <w:rPr>
          <w:spacing w:val="-2"/>
          <w:w w:val="100"/>
        </w:rPr>
        <w:t>日，公司开立的</w:t>
      </w:r>
      <w:r>
        <w:rPr>
          <w:rFonts w:ascii="Times New Roman" w:hAnsi="Times New Roman" w:cs="Times New Roman" w:eastAsia="Times New Roman" w:hint="default"/>
          <w:spacing w:val="-2"/>
          <w:w w:val="100"/>
        </w:rPr>
        <w:t>“</w:t>
      </w:r>
      <w:r>
        <w:rPr>
          <w:spacing w:val="-2"/>
          <w:w w:val="100"/>
        </w:rPr>
        <w:t>任子行网络技术股份有限公司</w:t>
      </w:r>
      <w:r>
        <w:rPr>
          <w:rFonts w:ascii="Times New Roman" w:hAnsi="Times New Roman" w:cs="Times New Roman" w:eastAsia="Times New Roman" w:hint="default"/>
          <w:spacing w:val="-2"/>
          <w:w w:val="100"/>
        </w:rPr>
        <w:t>-</w:t>
      </w:r>
      <w:r>
        <w:rPr>
          <w:spacing w:val="-2"/>
          <w:w w:val="100"/>
        </w:rPr>
        <w:t>第</w:t>
      </w:r>
      <w:r>
        <w:rPr>
          <w:rFonts w:ascii="Times New Roman" w:hAnsi="Times New Roman" w:cs="Times New Roman" w:eastAsia="Times New Roman" w:hint="default"/>
          <w:spacing w:val="-2"/>
          <w:w w:val="100"/>
        </w:rPr>
        <w:t>1</w:t>
      </w:r>
      <w:r>
        <w:rPr>
          <w:spacing w:val="-2"/>
          <w:w w:val="100"/>
        </w:rPr>
        <w:t>期员工持股计划</w:t>
      </w:r>
      <w:r>
        <w:rPr>
          <w:rFonts w:ascii="Times New Roman" w:hAnsi="Times New Roman" w:cs="Times New Roman" w:eastAsia="Times New Roman" w:hint="default"/>
          <w:spacing w:val="-2"/>
          <w:w w:val="100"/>
        </w:rPr>
        <w:t>”</w:t>
      </w:r>
      <w:r>
        <w:rPr>
          <w:spacing w:val="-2"/>
          <w:w w:val="100"/>
        </w:rPr>
        <w:t>专用证券账户以公司回购成本价</w:t>
      </w:r>
      <w:r>
        <w:rPr>
          <w:rFonts w:ascii="Times New Roman" w:hAnsi="Times New Roman" w:cs="Times New Roman" w:eastAsia="Times New Roman" w:hint="default"/>
          <w:spacing w:val="-2"/>
          <w:w w:val="100"/>
        </w:rPr>
        <w:t>17.099</w:t>
      </w:r>
      <w:r>
        <w:rPr>
          <w:rFonts w:ascii="Times New Roman" w:hAnsi="Times New Roman" w:cs="Times New Roman" w:eastAsia="Times New Roman" w:hint="default"/>
        </w:rPr>
        <w:t> </w:t>
      </w:r>
      <w:r>
        <w:rPr/>
        <w:t>元</w:t>
      </w:r>
      <w:r>
        <w:rPr>
          <w:rFonts w:ascii="Times New Roman" w:hAnsi="Times New Roman" w:cs="Times New Roman" w:eastAsia="Times New Roman" w:hint="default"/>
        </w:rPr>
        <w:t>/</w:t>
      </w:r>
      <w:r>
        <w:rPr/>
        <w:t>股受让了公司回购专用账户已回购的</w:t>
      </w:r>
      <w:r>
        <w:rPr>
          <w:rFonts w:ascii="Times New Roman" w:hAnsi="Times New Roman" w:cs="Times New Roman" w:eastAsia="Times New Roman" w:hint="default"/>
        </w:rPr>
        <w:t>5,847,069</w:t>
      </w:r>
      <w:r>
        <w:rPr/>
        <w:t>股标的股票，并通过中国证券登记结算有限责任公司深圳分公司办理完成</w:t>
      </w:r>
      <w:r>
        <w:rPr>
          <w:spacing w:val="-51"/>
        </w:rPr>
        <w:t> </w:t>
      </w:r>
      <w:r>
        <w:rPr>
          <w:spacing w:val="-51"/>
        </w:rPr>
      </w:r>
      <w:r>
        <w:rPr/>
        <w:t>了过户手续，公司员工持股计划的标的股票过户完毕。</w:t>
      </w:r>
    </w:p>
    <w:p>
      <w:pPr>
        <w:pStyle w:val="BodyText"/>
        <w:spacing w:line="300" w:lineRule="auto" w:before="31"/>
        <w:ind w:right="0"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日，公司</w:t>
      </w:r>
      <w:r>
        <w:rPr>
          <w:rFonts w:ascii="Times New Roman" w:hAnsi="Times New Roman" w:cs="Times New Roman" w:eastAsia="Times New Roman" w:hint="default"/>
        </w:rPr>
        <w:t>2017</w:t>
      </w:r>
      <w:r>
        <w:rPr/>
        <w:t>年年度权益分派实施完毕，公司员工持股计划持有的公司股票增加至</w:t>
      </w:r>
      <w:r>
        <w:rPr>
          <w:rFonts w:ascii="Times New Roman" w:hAnsi="Times New Roman" w:cs="Times New Roman" w:eastAsia="Times New Roman" w:hint="default"/>
        </w:rPr>
        <w:t>871.8424</w:t>
      </w:r>
      <w:r>
        <w:rPr/>
        <w:t>万股，占公司</w:t>
      </w:r>
      <w:r>
        <w:rPr>
          <w:spacing w:val="1"/>
        </w:rPr>
        <w:t> </w:t>
      </w:r>
      <w:r>
        <w:rPr/>
        <w:t>总股本的</w:t>
      </w:r>
      <w:r>
        <w:rPr>
          <w:rFonts w:ascii="Times New Roman" w:hAnsi="Times New Roman" w:cs="Times New Roman" w:eastAsia="Times New Roman" w:hint="default"/>
        </w:rPr>
        <w:t>1.28%</w:t>
      </w:r>
      <w:r>
        <w:rPr/>
        <w:t>。</w:t>
      </w:r>
    </w:p>
    <w:p>
      <w:pPr>
        <w:pStyle w:val="BodyText"/>
        <w:spacing w:line="300" w:lineRule="auto" w:before="13"/>
        <w:ind w:right="0" w:firstLine="360"/>
        <w:jc w:val="left"/>
      </w:pPr>
      <w:r>
        <w:rPr>
          <w:spacing w:val="8"/>
        </w:rPr>
        <w:t>截至</w:t>
      </w:r>
      <w:r>
        <w:rPr>
          <w:rFonts w:ascii="Times New Roman" w:hAnsi="Times New Roman" w:cs="Times New Roman" w:eastAsia="Times New Roman" w:hint="default"/>
          <w:spacing w:val="8"/>
        </w:rPr>
        <w:t>2018</w:t>
      </w:r>
      <w:r>
        <w:rPr>
          <w:spacing w:val="8"/>
        </w:rPr>
        <w:t>年</w:t>
      </w:r>
      <w:r>
        <w:rPr>
          <w:rFonts w:ascii="Times New Roman" w:hAnsi="Times New Roman" w:cs="Times New Roman" w:eastAsia="Times New Roman" w:hint="default"/>
          <w:spacing w:val="8"/>
        </w:rPr>
        <w:t>9</w:t>
      </w:r>
      <w:r>
        <w:rPr>
          <w:spacing w:val="8"/>
        </w:rPr>
        <w:t>月</w:t>
      </w:r>
      <w:r>
        <w:rPr>
          <w:rFonts w:ascii="Times New Roman" w:hAnsi="Times New Roman" w:cs="Times New Roman" w:eastAsia="Times New Roman" w:hint="default"/>
          <w:spacing w:val="8"/>
        </w:rPr>
        <w:t>21</w:t>
      </w:r>
      <w:r>
        <w:rPr>
          <w:spacing w:val="8"/>
        </w:rPr>
        <w:t>日，公司员工持股计划</w:t>
      </w:r>
      <w:r>
        <w:rPr>
          <w:rFonts w:ascii="Times New Roman" w:hAnsi="Times New Roman" w:cs="Times New Roman" w:eastAsia="Times New Roman" w:hint="default"/>
          <w:spacing w:val="8"/>
        </w:rPr>
        <w:t>“</w:t>
      </w:r>
      <w:r>
        <w:rPr>
          <w:spacing w:val="8"/>
        </w:rPr>
        <w:t>任子行</w:t>
      </w:r>
      <w:r>
        <w:rPr>
          <w:rFonts w:ascii="Times New Roman" w:hAnsi="Times New Roman" w:cs="Times New Roman" w:eastAsia="Times New Roman" w:hint="default"/>
          <w:spacing w:val="8"/>
        </w:rPr>
        <w:t>1</w:t>
      </w:r>
      <w:r>
        <w:rPr>
          <w:spacing w:val="8"/>
        </w:rPr>
        <w:t>号资管计划</w:t>
      </w:r>
      <w:r>
        <w:rPr>
          <w:rFonts w:ascii="Times New Roman" w:hAnsi="Times New Roman" w:cs="Times New Roman" w:eastAsia="Times New Roman" w:hint="default"/>
          <w:spacing w:val="8"/>
        </w:rPr>
        <w:t>”</w:t>
      </w:r>
      <w:r>
        <w:rPr>
          <w:spacing w:val="8"/>
        </w:rPr>
        <w:t>所持有的公司股票已全部出售完毕，总计卖出股票</w:t>
      </w:r>
      <w:r>
        <w:rPr/>
        <w:t> </w:t>
      </w:r>
      <w:r>
        <w:rPr>
          <w:rFonts w:ascii="Times New Roman" w:hAnsi="Times New Roman" w:cs="Times New Roman" w:eastAsia="Times New Roman" w:hint="default"/>
        </w:rPr>
        <w:t>871.8424</w:t>
      </w:r>
      <w:r>
        <w:rPr/>
        <w:t>万股。根据公司员工持股计划方案的相关规定，本次员工持股计划实施完毕并终止。</w:t>
      </w:r>
    </w:p>
    <w:p>
      <w:pPr>
        <w:pStyle w:val="BodyText"/>
        <w:spacing w:line="240" w:lineRule="auto" w:before="13"/>
        <w:ind w:left="514" w:right="0"/>
        <w:jc w:val="left"/>
      </w:pPr>
      <w:r>
        <w:rPr/>
        <w:t>具体内容详见公司在创业板指定信息披露网站巨潮资讯网（</w:t>
      </w:r>
      <w:hyperlink r:id="rId12">
        <w:r>
          <w:rPr>
            <w:rFonts w:ascii="Times New Roman" w:hAnsi="Times New Roman" w:cs="Times New Roman" w:eastAsia="Times New Roman" w:hint="default"/>
          </w:rPr>
          <w:t>www.cninfo.com.cn</w:t>
        </w:r>
      </w:hyperlink>
      <w:r>
        <w:rPr/>
        <w:t>）上的相关披露。</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6"/>
          <w:szCs w:val="16"/>
        </w:rPr>
      </w:pPr>
    </w:p>
    <w:p>
      <w:pPr>
        <w:pStyle w:val="Heading6"/>
        <w:spacing w:line="240" w:lineRule="auto"/>
        <w:ind w:left="515" w:right="0"/>
        <w:jc w:val="left"/>
        <w:rPr>
          <w:b w:val="0"/>
          <w:bCs w:val="0"/>
        </w:rPr>
      </w:pPr>
      <w:r>
        <w:rPr>
          <w:rFonts w:ascii="Times New Roman" w:hAnsi="Times New Roman" w:cs="Times New Roman" w:eastAsia="Times New Roman" w:hint="default"/>
        </w:rPr>
        <w:t>2</w:t>
      </w:r>
      <w:r>
        <w:rPr/>
        <w:t>、股权激励计划</w:t>
      </w:r>
      <w:r>
        <w:rPr>
          <w:b w:val="0"/>
          <w:bCs w:val="0"/>
        </w:rPr>
      </w:r>
    </w:p>
    <w:p>
      <w:pPr>
        <w:pStyle w:val="BodyText"/>
        <w:spacing w:line="300" w:lineRule="auto" w:before="101"/>
        <w:ind w:right="0"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15</w:t>
      </w:r>
      <w:r>
        <w:rPr/>
        <w:t>日，公司召开第三届董事会第二十二次会议审议通过了《关于</w:t>
      </w:r>
      <w:r>
        <w:rPr>
          <w:rFonts w:ascii="Times New Roman" w:hAnsi="Times New Roman" w:cs="Times New Roman" w:eastAsia="Times New Roman" w:hint="default"/>
        </w:rPr>
        <w:t>&lt;</w:t>
      </w:r>
      <w:r>
        <w:rPr/>
        <w:t>任子行网络技术股份有限公司</w:t>
      </w:r>
      <w:r>
        <w:rPr>
          <w:rFonts w:ascii="Times New Roman" w:hAnsi="Times New Roman" w:cs="Times New Roman" w:eastAsia="Times New Roman" w:hint="default"/>
        </w:rPr>
        <w:t>2018</w:t>
      </w:r>
      <w:r>
        <w:rPr/>
        <w:t>年限制 </w:t>
      </w:r>
      <w:r>
        <w:rPr>
          <w:spacing w:val="-1"/>
        </w:rPr>
        <w:t>性股票激励计划（草案）</w:t>
      </w:r>
      <w:r>
        <w:rPr>
          <w:rFonts w:ascii="Times New Roman" w:hAnsi="Times New Roman" w:cs="Times New Roman" w:eastAsia="Times New Roman" w:hint="default"/>
          <w:spacing w:val="-1"/>
        </w:rPr>
        <w:t>&gt;</w:t>
      </w:r>
      <w:r>
        <w:rPr>
          <w:spacing w:val="-1"/>
        </w:rPr>
        <w:t>及其摘要的议案》等相关议案，同日，公司召开了第三届监事会第二十次会议，审议通过了激励</w:t>
      </w:r>
      <w:r>
        <w:rPr>
          <w:spacing w:val="-44"/>
        </w:rPr>
        <w:t> </w:t>
      </w:r>
      <w:r>
        <w:rPr>
          <w:spacing w:val="-44"/>
        </w:rPr>
      </w:r>
      <w:r>
        <w:rPr/>
        <w:t>计划相关事项的议案，并对激励计划的激励对象名单进行了核实并出具了相关核查意见。</w:t>
      </w:r>
    </w:p>
    <w:p>
      <w:pPr>
        <w:pStyle w:val="BodyText"/>
        <w:spacing w:line="302" w:lineRule="auto" w:before="71"/>
        <w:ind w:right="0" w:firstLine="360"/>
        <w:jc w:val="left"/>
      </w:pP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17</w:t>
      </w:r>
      <w:r>
        <w:rPr>
          <w:spacing w:val="-5"/>
        </w:rPr>
        <w:t>日至</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6</w:t>
      </w:r>
      <w:r>
        <w:rPr>
          <w:spacing w:val="-5"/>
        </w:rPr>
        <w:t>日，公司通过内部网站发布了《关于公司</w:t>
      </w:r>
      <w:r>
        <w:rPr>
          <w:rFonts w:ascii="Times New Roman" w:hAnsi="Times New Roman" w:cs="Times New Roman" w:eastAsia="Times New Roman" w:hint="default"/>
          <w:spacing w:val="-5"/>
        </w:rPr>
        <w:t>2018</w:t>
      </w:r>
      <w:r>
        <w:rPr>
          <w:spacing w:val="-5"/>
        </w:rPr>
        <w:t>年限制性股票激励计划激励对象名单的通报》，</w:t>
      </w:r>
      <w:r>
        <w:rPr/>
        <w:t> 对激励对象的姓名和职务进行了公示，在公示期限内，公司监事会未收到公司员工针对上述激励对象提出的异议。</w:t>
      </w:r>
    </w:p>
    <w:p>
      <w:pPr>
        <w:pStyle w:val="BodyText"/>
        <w:spacing w:line="302" w:lineRule="auto" w:before="68"/>
        <w:ind w:right="0"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14</w:t>
      </w:r>
      <w:r>
        <w:rPr/>
        <w:t>日，公司召开</w:t>
      </w:r>
      <w:r>
        <w:rPr>
          <w:rFonts w:ascii="Times New Roman" w:hAnsi="Times New Roman" w:cs="Times New Roman" w:eastAsia="Times New Roman" w:hint="default"/>
        </w:rPr>
        <w:t>2017</w:t>
      </w:r>
      <w:r>
        <w:rPr/>
        <w:t>年年度股东大会审议通过了《关于</w:t>
      </w:r>
      <w:r>
        <w:rPr>
          <w:rFonts w:ascii="Times New Roman" w:hAnsi="Times New Roman" w:cs="Times New Roman" w:eastAsia="Times New Roman" w:hint="default"/>
        </w:rPr>
        <w:t>&lt;</w:t>
      </w:r>
      <w:r>
        <w:rPr/>
        <w:t>任子行网络技术股份有限公司</w:t>
      </w:r>
      <w:r>
        <w:rPr>
          <w:rFonts w:ascii="Times New Roman" w:hAnsi="Times New Roman" w:cs="Times New Roman" w:eastAsia="Times New Roman" w:hint="default"/>
        </w:rPr>
        <w:t>2018</w:t>
      </w:r>
      <w:r>
        <w:rPr/>
        <w:t>年限制性股票激 </w:t>
      </w:r>
      <w:r>
        <w:rPr>
          <w:spacing w:val="-1"/>
        </w:rPr>
        <w:t>励计划（草案）</w:t>
      </w:r>
      <w:r>
        <w:rPr>
          <w:rFonts w:ascii="Times New Roman" w:hAnsi="Times New Roman" w:cs="Times New Roman" w:eastAsia="Times New Roman" w:hint="default"/>
          <w:spacing w:val="-1"/>
        </w:rPr>
        <w:t>&gt;</w:t>
      </w:r>
      <w:r>
        <w:rPr>
          <w:spacing w:val="-1"/>
        </w:rPr>
        <w:t>及其摘要的议案》等相关议案，同日，公司董事会披露了公司《关于</w:t>
      </w:r>
      <w:r>
        <w:rPr>
          <w:rFonts w:ascii="Times New Roman" w:hAnsi="Times New Roman" w:cs="Times New Roman" w:eastAsia="Times New Roman" w:hint="default"/>
          <w:spacing w:val="-1"/>
        </w:rPr>
        <w:t>2018</w:t>
      </w:r>
      <w:r>
        <w:rPr>
          <w:spacing w:val="-1"/>
        </w:rPr>
        <w:t>年限制性股票激励计划内幕信息</w:t>
      </w:r>
      <w:r>
        <w:rPr>
          <w:spacing w:val="-43"/>
        </w:rPr>
        <w:t> </w:t>
      </w:r>
      <w:r>
        <w:rPr>
          <w:spacing w:val="-43"/>
        </w:rPr>
      </w:r>
      <w:r>
        <w:rPr/>
        <w:t>知情人及激励对象买卖公司股票情况的自查报告》。</w:t>
      </w:r>
    </w:p>
    <w:p>
      <w:pPr>
        <w:pStyle w:val="BodyText"/>
        <w:spacing w:line="300" w:lineRule="auto" w:before="68"/>
        <w:ind w:right="1117"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日，公司召开第三届董事会第二十三次会议审议通过了《关于调整公司</w:t>
      </w:r>
      <w:r>
        <w:rPr>
          <w:rFonts w:ascii="Times New Roman" w:hAnsi="Times New Roman" w:cs="Times New Roman" w:eastAsia="Times New Roman" w:hint="default"/>
        </w:rPr>
        <w:t>2018</w:t>
      </w:r>
      <w:r>
        <w:rPr/>
        <w:t>年限制性股票激励计划相关事 项的议案》、《关于向激励对象授予限制性股票的议案》，公司董事会同意确定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日为授予日，以</w:t>
      </w:r>
      <w:r>
        <w:rPr>
          <w:rFonts w:ascii="Times New Roman" w:hAnsi="Times New Roman" w:cs="Times New Roman" w:eastAsia="Times New Roman" w:hint="default"/>
        </w:rPr>
        <w:t>6.91</w:t>
      </w:r>
      <w:r>
        <w:rPr/>
        <w:t>元</w:t>
      </w:r>
      <w:r>
        <w:rPr>
          <w:rFonts w:ascii="Times New Roman" w:hAnsi="Times New Roman" w:cs="Times New Roman" w:eastAsia="Times New Roman" w:hint="default"/>
        </w:rPr>
        <w:t>/</w:t>
      </w:r>
      <w:r>
        <w:rPr/>
        <w:t>股的价</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ind w:right="0"/>
        <w:jc w:val="left"/>
      </w:pPr>
      <w:r>
        <w:rPr>
          <w:spacing w:val="-2"/>
        </w:rPr>
        <w:t>格向</w:t>
      </w:r>
      <w:r>
        <w:rPr>
          <w:rFonts w:ascii="Times New Roman" w:hAnsi="Times New Roman" w:cs="Times New Roman" w:eastAsia="Times New Roman" w:hint="default"/>
          <w:spacing w:val="-2"/>
        </w:rPr>
        <w:t>226</w:t>
      </w:r>
      <w:r>
        <w:rPr>
          <w:spacing w:val="-2"/>
        </w:rPr>
        <w:t>名激励对象授予限制性股票</w:t>
      </w:r>
      <w:r>
        <w:rPr>
          <w:rFonts w:ascii="Times New Roman" w:hAnsi="Times New Roman" w:cs="Times New Roman" w:eastAsia="Times New Roman" w:hint="default"/>
          <w:spacing w:val="-2"/>
        </w:rPr>
        <w:t>814</w:t>
      </w:r>
      <w:r>
        <w:rPr>
          <w:spacing w:val="-2"/>
        </w:rPr>
        <w:t>万股。同日，公司监事会召开了第三届监事会第二十一次会议，对调整后的激励对象</w:t>
      </w:r>
      <w:r>
        <w:rPr>
          <w:spacing w:val="-60"/>
        </w:rPr>
        <w:t> </w:t>
      </w:r>
      <w:r>
        <w:rPr>
          <w:spacing w:val="-60"/>
        </w:rPr>
      </w:r>
      <w:r>
        <w:rPr/>
        <w:t>名单进行了再次核实并出具了相关核查意见。</w:t>
      </w:r>
    </w:p>
    <w:p>
      <w:pPr>
        <w:pStyle w:val="BodyText"/>
        <w:spacing w:line="240" w:lineRule="auto" w:before="31"/>
        <w:ind w:left="514" w:right="0"/>
        <w:jc w:val="left"/>
        <w:rPr>
          <w:rFonts w:ascii="Times New Roman" w:hAnsi="Times New Roman" w:cs="Times New Roman" w:eastAsia="Times New Roman" w:hint="default"/>
        </w:rPr>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19</w:t>
      </w:r>
      <w:r>
        <w:rPr/>
        <w:t>日</w:t>
      </w:r>
      <w:r>
        <w:rPr>
          <w:spacing w:val="-87"/>
        </w:rPr>
        <w:t>，</w:t>
      </w:r>
      <w:r>
        <w:rPr/>
        <w:t>公司在中国证券登记结算有限责任公司深圳分公司完成了限制性股票首次授予登记</w:t>
      </w:r>
      <w:r>
        <w:rPr>
          <w:spacing w:val="-87"/>
        </w:rPr>
        <w:t>，</w:t>
      </w:r>
      <w:r>
        <w:rPr/>
        <w:t>股票上市日为</w:t>
      </w:r>
      <w:r>
        <w:rPr>
          <w:rFonts w:ascii="Times New Roman" w:hAnsi="Times New Roman" w:cs="Times New Roman" w:eastAsia="Times New Roman" w:hint="default"/>
        </w:rPr>
        <w:t>2018</w:t>
      </w:r>
    </w:p>
    <w:p>
      <w:pPr>
        <w:pStyle w:val="BodyText"/>
        <w:spacing w:line="240" w:lineRule="auto" w:before="63"/>
        <w:ind w:right="0"/>
        <w:jc w:val="left"/>
      </w:pP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w:t>
      </w:r>
    </w:p>
    <w:p>
      <w:pPr>
        <w:pStyle w:val="BodyText"/>
        <w:spacing w:line="300" w:lineRule="auto" w:before="63"/>
        <w:ind w:right="1130"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日，公司第三届董事会第二十八次会议审议通过了《关于向激励对象授予</w:t>
      </w:r>
      <w:r>
        <w:rPr>
          <w:rFonts w:ascii="Times New Roman" w:hAnsi="Times New Roman" w:cs="Times New Roman" w:eastAsia="Times New Roman" w:hint="default"/>
          <w:spacing w:val="-2"/>
        </w:rPr>
        <w:t>2018</w:t>
      </w:r>
      <w:r>
        <w:rPr>
          <w:spacing w:val="-2"/>
        </w:rPr>
        <w:t>年限制性股票激励计划预留</w:t>
      </w:r>
      <w:r>
        <w:rPr/>
        <w:t> </w:t>
      </w:r>
      <w:r>
        <w:rPr>
          <w:spacing w:val="-2"/>
        </w:rPr>
        <w:t>部分限制性股票的议案》和《关于调整公司</w:t>
      </w:r>
      <w:r>
        <w:rPr>
          <w:rFonts w:ascii="Times New Roman" w:hAnsi="Times New Roman" w:cs="Times New Roman" w:eastAsia="Times New Roman" w:hint="default"/>
          <w:spacing w:val="-2"/>
        </w:rPr>
        <w:t>2018</w:t>
      </w:r>
      <w:r>
        <w:rPr>
          <w:spacing w:val="-2"/>
        </w:rPr>
        <w:t>年限制性股票激励计划预留部分限制性股票数量的议案》，确定预留授予日</w:t>
      </w:r>
      <w:r>
        <w:rPr>
          <w:spacing w:val="-62"/>
        </w:rPr>
        <w:t> </w:t>
      </w:r>
      <w:r>
        <w:rPr>
          <w:spacing w:val="-62"/>
        </w:rPr>
      </w:r>
      <w:r>
        <w:rPr/>
        <w:t>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日，监事会对预留授予名单进行了核实确认，公司独立董事对上述事项发表了同意的独立意见。</w:t>
      </w:r>
    </w:p>
    <w:p>
      <w:pPr>
        <w:pStyle w:val="BodyText"/>
        <w:spacing w:line="309" w:lineRule="auto" w:before="13"/>
        <w:ind w:right="1131"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日，公司召开第三届董事会第二十八次会议、第三届监事会第二十五次会议审议通过了《关于回购注销部</w:t>
      </w:r>
      <w:r>
        <w:rPr/>
        <w:t> </w:t>
      </w:r>
      <w:r>
        <w:rPr>
          <w:spacing w:val="-2"/>
        </w:rPr>
        <w:t>分激励对象已获授但尚未解锁限制性股票的议案》，根据公司股权激励计划的相关规定，公司对离职人员已获授但尚未解锁</w:t>
      </w:r>
      <w:r>
        <w:rPr>
          <w:spacing w:val="-66"/>
        </w:rPr>
        <w:t> </w:t>
      </w:r>
      <w:r>
        <w:rPr>
          <w:spacing w:val="-66"/>
        </w:rPr>
      </w:r>
      <w:r>
        <w:rPr/>
        <w:t>的限制性股票进行回购注销。</w:t>
      </w:r>
    </w:p>
    <w:p>
      <w:pPr>
        <w:pStyle w:val="BodyText"/>
        <w:spacing w:line="240" w:lineRule="auto" w:before="24"/>
        <w:ind w:left="587"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11</w:t>
      </w:r>
      <w:r>
        <w:rPr/>
        <w:t>日，公司披露了《关于</w:t>
      </w:r>
      <w:r>
        <w:rPr>
          <w:rFonts w:ascii="Times New Roman" w:hAnsi="Times New Roman" w:cs="Times New Roman" w:eastAsia="Times New Roman" w:hint="default"/>
        </w:rPr>
        <w:t>2018</w:t>
      </w:r>
      <w:r>
        <w:rPr/>
        <w:t>年限制性股票激励计划预留授予登记完成的公告》，股票上市日为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p>
    <w:p>
      <w:pPr>
        <w:pStyle w:val="BodyText"/>
        <w:spacing w:line="240" w:lineRule="auto" w:before="63"/>
        <w:ind w:right="0"/>
        <w:jc w:val="left"/>
      </w:pPr>
      <w:r>
        <w:rPr>
          <w:rFonts w:ascii="Times New Roman" w:hAnsi="Times New Roman" w:cs="Times New Roman" w:eastAsia="Times New Roman" w:hint="default"/>
        </w:rPr>
        <w:t>14</w:t>
      </w:r>
      <w:r>
        <w:rPr/>
        <w:t>日。</w:t>
      </w:r>
    </w:p>
    <w:p>
      <w:pPr>
        <w:pStyle w:val="BodyText"/>
        <w:spacing w:line="340" w:lineRule="auto" w:before="63"/>
        <w:ind w:right="1577" w:firstLine="360"/>
        <w:jc w:val="left"/>
      </w:pPr>
      <w:r>
        <w:rPr/>
        <w:t>具体内容详见公司在创业板指定信息披露网站巨潮资讯网（</w:t>
      </w:r>
      <w:hyperlink r:id="rId11">
        <w:r>
          <w:rPr>
            <w:rFonts w:ascii="Times New Roman" w:hAnsi="Times New Roman" w:cs="Times New Roman" w:eastAsia="Times New Roman" w:hint="default"/>
          </w:rPr>
          <w:t>http://www.cninfo.com.cn/new/index</w:t>
        </w:r>
      </w:hyperlink>
      <w:r>
        <w:rPr/>
        <w:t>）上的相关披露。</w:t>
      </w:r>
      <w:r>
        <w:rPr>
          <w:w w:val="99"/>
        </w:rPr>
        <w:t> </w:t>
      </w: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2" w:lineRule="auto" w:before="18"/>
        <w:ind w:right="1131" w:firstLine="360"/>
        <w:jc w:val="both"/>
      </w:pPr>
      <w:r>
        <w:rPr/>
        <w:t>报告期公司实施股权激励计提的费用为</w:t>
      </w:r>
      <w:r>
        <w:rPr>
          <w:spacing w:val="-44"/>
        </w:rPr>
        <w:t> </w:t>
      </w:r>
      <w:r>
        <w:rPr>
          <w:rFonts w:ascii="Times New Roman" w:hAnsi="Times New Roman" w:cs="Times New Roman" w:eastAsia="Times New Roman" w:hint="default"/>
        </w:rPr>
        <w:t>2,109.24</w:t>
      </w:r>
      <w:r>
        <w:rPr>
          <w:rFonts w:ascii="Times New Roman" w:hAnsi="Times New Roman" w:cs="Times New Roman" w:eastAsia="Times New Roman" w:hint="default"/>
          <w:spacing w:val="2"/>
        </w:rPr>
        <w:t> </w:t>
      </w:r>
      <w:r>
        <w:rPr>
          <w:spacing w:val="-4"/>
        </w:rPr>
        <w:t>万元，影响公司利润总额</w:t>
      </w:r>
      <w:r>
        <w:rPr>
          <w:spacing w:val="-44"/>
        </w:rPr>
        <w:t> </w:t>
      </w:r>
      <w:r>
        <w:rPr>
          <w:rFonts w:ascii="Times New Roman" w:hAnsi="Times New Roman" w:cs="Times New Roman" w:eastAsia="Times New Roman" w:hint="default"/>
        </w:rPr>
        <w:t>2,109.24</w:t>
      </w:r>
      <w:r>
        <w:rPr>
          <w:rFonts w:ascii="Times New Roman" w:hAnsi="Times New Roman" w:cs="Times New Roman" w:eastAsia="Times New Roman" w:hint="default"/>
          <w:spacing w:val="1"/>
        </w:rPr>
        <w:t> </w:t>
      </w:r>
      <w:r>
        <w:rPr>
          <w:spacing w:val="-3"/>
        </w:rPr>
        <w:t>万元，公司的研发人员的股权激励费</w:t>
      </w:r>
      <w:r>
        <w:rPr/>
        <w:t> 用是</w:t>
      </w:r>
      <w:r>
        <w:rPr>
          <w:spacing w:val="-46"/>
        </w:rPr>
        <w:t> </w:t>
      </w:r>
      <w:r>
        <w:rPr>
          <w:rFonts w:ascii="Times New Roman" w:hAnsi="Times New Roman" w:cs="Times New Roman" w:eastAsia="Times New Roman" w:hint="default"/>
        </w:rPr>
        <w:t>680.64 </w:t>
      </w:r>
      <w:r>
        <w:rPr/>
        <w:t>万元，占当期股权激励费用的</w:t>
      </w:r>
      <w:r>
        <w:rPr>
          <w:spacing w:val="-46"/>
        </w:rPr>
        <w:t> </w:t>
      </w:r>
      <w:r>
        <w:rPr>
          <w:rFonts w:ascii="Times New Roman" w:hAnsi="Times New Roman" w:cs="Times New Roman" w:eastAsia="Times New Roman" w:hint="default"/>
        </w:rPr>
        <w:t>32.27%</w:t>
      </w:r>
      <w:r>
        <w:rPr/>
        <w:t>。</w:t>
      </w:r>
    </w:p>
    <w:p>
      <w:pPr>
        <w:spacing w:line="240" w:lineRule="auto" w:before="13"/>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before="0"/>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46"/>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09"/>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6"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251"/>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北京亚鸿</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一年期</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科技开发</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北京亚鸿</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一年期</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北京亚鸿</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一年期</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15"/>
        <w:gridCol w:w="907"/>
        <w:gridCol w:w="929"/>
        <w:gridCol w:w="1305"/>
        <w:gridCol w:w="1048"/>
        <w:gridCol w:w="1046"/>
        <w:gridCol w:w="1055"/>
        <w:gridCol w:w="785"/>
        <w:gridCol w:w="785"/>
      </w:tblGrid>
      <w:tr>
        <w:trPr>
          <w:trHeight w:val="362"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8"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5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北京亚鸿</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26"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18,000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6,000</w:t>
            </w:r>
          </w:p>
        </w:tc>
      </w:tr>
    </w:tbl>
    <w:p>
      <w:pPr>
        <w:pStyle w:val="BodyText"/>
        <w:spacing w:line="360" w:lineRule="auto" w:before="51"/>
        <w:ind w:right="8052"/>
        <w:jc w:val="left"/>
      </w:pPr>
      <w:r>
        <w:rPr/>
        <w:t>采用复合方式担保的具体情况说明 不适用。</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单位：万元</w:t>
      </w:r>
    </w:p>
    <w:p>
      <w:pPr>
        <w:spacing w:after="0" w:line="240" w:lineRule="auto"/>
        <w:jc w:val="left"/>
        <w:sectPr>
          <w:type w:val="continuous"/>
          <w:pgSz w:w="11910" w:h="16840"/>
          <w:pgMar w:top="1060" w:bottom="1160" w:left="980" w:right="0"/>
          <w:cols w:num="2" w:equalWidth="0">
            <w:col w:w="1955" w:space="6785"/>
            <w:col w:w="219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7"/>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11,650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14,350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11,650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0"/>
        <w:jc w:val="left"/>
      </w:pPr>
      <w:r>
        <w:rPr/>
        <w:t>单项金额重大或安全性较低、流动性较差、不保本的高风险委托理财具体情况</w:t>
      </w:r>
    </w:p>
    <w:p>
      <w:pPr>
        <w:pStyle w:val="BodyText"/>
        <w:spacing w:line="338" w:lineRule="auto" w:before="117"/>
        <w:ind w:right="57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委托理财出现预期无法收回本金或存在其他可能导致减值的情形</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before="0"/>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spacing w:line="506" w:lineRule="auto" w:before="0"/>
        <w:ind w:left="154" w:right="8583" w:firstLine="0"/>
        <w:jc w:val="left"/>
        <w:rPr>
          <w:rFonts w:ascii="宋体" w:hAnsi="宋体" w:cs="宋体" w:eastAsia="宋体" w:hint="default"/>
          <w:sz w:val="18"/>
          <w:szCs w:val="18"/>
        </w:rPr>
      </w:pPr>
      <w:bookmarkStart w:name="十七、社会责任情况" w:id="97"/>
      <w:bookmarkEnd w:id="97"/>
      <w:r>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8"/>
      <w:bookmarkEnd w:id="9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w w:val="99"/>
          <w:sz w:val="21"/>
          <w:szCs w:val="21"/>
        </w:rPr>
        <w:t> </w:t>
      </w:r>
      <w:r>
        <w:rPr>
          <w:rFonts w:ascii="宋体" w:hAnsi="宋体" w:cs="宋体" w:eastAsia="宋体" w:hint="default"/>
          <w:sz w:val="18"/>
          <w:szCs w:val="18"/>
        </w:rPr>
        <w:t>不适用</w:t>
      </w:r>
    </w:p>
    <w:p>
      <w:pPr>
        <w:pStyle w:val="Heading2"/>
        <w:spacing w:line="240" w:lineRule="auto" w:before="129"/>
        <w:ind w:right="0"/>
        <w:jc w:val="left"/>
        <w:rPr>
          <w:b w:val="0"/>
          <w:bCs w:val="0"/>
        </w:rPr>
      </w:pPr>
      <w:bookmarkStart w:name="十八、其他重大事项的说明" w:id="99"/>
      <w:bookmarkEnd w:id="99"/>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514" w:right="8585" w:hanging="36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b/>
          <w:bCs/>
          <w:sz w:val="18"/>
          <w:szCs w:val="18"/>
        </w:rPr>
        <w:t>产业投资基金进展情况</w:t>
      </w:r>
      <w:r>
        <w:rPr>
          <w:rFonts w:ascii="宋体" w:hAnsi="宋体" w:cs="宋体" w:eastAsia="宋体" w:hint="default"/>
          <w:sz w:val="18"/>
          <w:szCs w:val="18"/>
        </w:rPr>
      </w:r>
    </w:p>
    <w:p>
      <w:pPr>
        <w:pStyle w:val="Heading6"/>
        <w:spacing w:line="240" w:lineRule="auto" w:before="2"/>
        <w:ind w:left="514" w:right="0"/>
        <w:jc w:val="left"/>
        <w:rPr>
          <w:b w:val="0"/>
          <w:bCs w:val="0"/>
        </w:rPr>
      </w:pPr>
      <w:r>
        <w:rPr/>
        <w:t>（一）信息安全基金和文化创意基金</w:t>
      </w:r>
      <w:r>
        <w:rPr>
          <w:b w:val="0"/>
          <w:bCs w:val="0"/>
        </w:rPr>
      </w:r>
    </w:p>
    <w:p>
      <w:pPr>
        <w:pStyle w:val="BodyText"/>
        <w:spacing w:line="304" w:lineRule="auto" w:before="76"/>
        <w:ind w:right="1041" w:firstLine="360"/>
        <w:jc w:val="lef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11</w:t>
      </w:r>
      <w:r>
        <w:rPr>
          <w:spacing w:val="-1"/>
        </w:rPr>
        <w:t>日</w:t>
      </w:r>
      <w:r>
        <w:rPr>
          <w:rFonts w:ascii="Times New Roman" w:hAnsi="Times New Roman" w:cs="Times New Roman" w:eastAsia="Times New Roman" w:hint="default"/>
          <w:spacing w:val="-1"/>
        </w:rPr>
        <w:t>,</w:t>
      </w:r>
      <w:r>
        <w:rPr>
          <w:spacing w:val="-1"/>
        </w:rPr>
        <w:t>公司第三届董事会第五次会议审议通过了《关于与关联方共同设立产业投资基金暨关联交易的议案》，</w:t>
      </w:r>
      <w:r>
        <w:rPr/>
        <w:t> </w:t>
      </w:r>
      <w:r>
        <w:rPr>
          <w:spacing w:val="-2"/>
        </w:rPr>
        <w:t>同意公司以自有资金与深圳前海亚太富邦基金有限公司、景晓军、丁伟国、景晓东共同发起成立信息安全基金和文化创意基</w:t>
      </w:r>
      <w:r>
        <w:rPr>
          <w:spacing w:val="-66"/>
        </w:rPr>
        <w:t> </w:t>
      </w:r>
      <w:r>
        <w:rPr>
          <w:spacing w:val="-66"/>
        </w:rPr>
      </w:r>
      <w:r>
        <w:rPr/>
        <w:t>金，公司同时披露了《关于与关联方共同设立产业投资基金暨关联交易的公告》（公告编号：</w:t>
      </w:r>
      <w:r>
        <w:rPr>
          <w:rFonts w:ascii="Times New Roman" w:hAnsi="Times New Roman" w:cs="Times New Roman" w:eastAsia="Times New Roman" w:hint="default"/>
        </w:rPr>
        <w:t>2016-059</w:t>
      </w:r>
      <w:r>
        <w:rPr/>
        <w:t>号），该议案于</w:t>
      </w:r>
      <w:r>
        <w:rPr>
          <w:rFonts w:ascii="Times New Roman" w:hAnsi="Times New Roman" w:cs="Times New Roman" w:eastAsia="Times New Roman" w:hint="default"/>
        </w:rPr>
        <w:t>2016 </w:t>
      </w:r>
      <w:r>
        <w:rPr>
          <w:spacing w:val="-4"/>
        </w:rPr>
        <w:t>年</w:t>
      </w:r>
      <w:r>
        <w:rPr>
          <w:rFonts w:ascii="Times New Roman" w:hAnsi="Times New Roman" w:cs="Times New Roman" w:eastAsia="Times New Roman" w:hint="default"/>
          <w:spacing w:val="-4"/>
        </w:rPr>
        <w:t>10</w:t>
      </w:r>
      <w:r>
        <w:rPr>
          <w:spacing w:val="-4"/>
        </w:rPr>
        <w:t>月</w:t>
      </w:r>
      <w:r>
        <w:rPr>
          <w:rFonts w:ascii="Times New Roman" w:hAnsi="Times New Roman" w:cs="Times New Roman" w:eastAsia="Times New Roman" w:hint="default"/>
          <w:spacing w:val="-4"/>
        </w:rPr>
        <w:t>28</w:t>
      </w:r>
      <w:r>
        <w:rPr>
          <w:spacing w:val="-4"/>
        </w:rPr>
        <w:t>日经公司</w:t>
      </w:r>
      <w:r>
        <w:rPr>
          <w:rFonts w:ascii="Times New Roman" w:hAnsi="Times New Roman" w:cs="Times New Roman" w:eastAsia="Times New Roman" w:hint="default"/>
          <w:spacing w:val="-4"/>
        </w:rPr>
        <w:t>2016</w:t>
      </w:r>
      <w:r>
        <w:rPr>
          <w:spacing w:val="-4"/>
        </w:rPr>
        <w:t>年第二次临时股东大会审议通过。信息安全基金于</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11</w:t>
      </w:r>
      <w:r>
        <w:rPr>
          <w:spacing w:val="-4"/>
        </w:rPr>
        <w:t>月取得《营业执照》（公告编号：</w:t>
      </w:r>
      <w:r>
        <w:rPr>
          <w:rFonts w:ascii="Times New Roman" w:hAnsi="Times New Roman" w:cs="Times New Roman" w:eastAsia="Times New Roman" w:hint="default"/>
          <w:spacing w:val="-4"/>
        </w:rPr>
        <w:t>2016-078</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号），文化创意基金于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月取得《营业执照》（公告编号：</w:t>
      </w:r>
      <w:r>
        <w:rPr>
          <w:rFonts w:ascii="Times New Roman" w:hAnsi="Times New Roman" w:cs="Times New Roman" w:eastAsia="Times New Roman" w:hint="default"/>
        </w:rPr>
        <w:t>2016-086</w:t>
      </w:r>
      <w:r>
        <w:rPr/>
        <w:t>号）。</w:t>
      </w:r>
    </w:p>
    <w:p>
      <w:pPr>
        <w:pStyle w:val="BodyText"/>
        <w:spacing w:line="300" w:lineRule="auto" w:before="9"/>
        <w:ind w:right="1141" w:firstLine="360"/>
        <w:jc w:val="left"/>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8</w:t>
      </w:r>
      <w:r>
        <w:rPr/>
        <w:t>月，信息安全基金与文化创意基金的普通合伙人均由深圳前海亚太富邦基金有限公司更换为深圳市顺景九合投 资管理有限公司（公告编号：</w:t>
      </w:r>
      <w:r>
        <w:rPr>
          <w:rFonts w:ascii="Times New Roman" w:hAnsi="Times New Roman" w:cs="Times New Roman" w:eastAsia="Times New Roman" w:hint="default"/>
        </w:rPr>
        <w:t>2018-060</w:t>
      </w:r>
      <w:r>
        <w:rPr/>
        <w:t>号）。</w:t>
      </w:r>
    </w:p>
    <w:p>
      <w:pPr>
        <w:pStyle w:val="BodyText"/>
        <w:spacing w:line="240" w:lineRule="auto" w:before="13"/>
        <w:ind w:left="514" w:right="0"/>
        <w:jc w:val="left"/>
      </w:pPr>
      <w:r>
        <w:rPr/>
        <w:t>报告期内，信息安全产业基金新增投资</w:t>
      </w:r>
      <w:r>
        <w:rPr>
          <w:rFonts w:ascii="Times New Roman" w:hAnsi="Times New Roman" w:cs="Times New Roman" w:eastAsia="Times New Roman" w:hint="default"/>
        </w:rPr>
        <w:t>2</w:t>
      </w:r>
      <w:r>
        <w:rPr/>
        <w:t>个项目，文化创意产业基金尚未投资新项目，新投资项目情况如下：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2978"/>
        <w:gridCol w:w="1985"/>
        <w:gridCol w:w="1559"/>
        <w:gridCol w:w="2411"/>
      </w:tblGrid>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标的公司名称</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投资领域</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初始投资时间</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投资成本（单位：万元）</w:t>
            </w:r>
          </w:p>
        </w:tc>
      </w:tr>
      <w:tr>
        <w:trPr>
          <w:trHeight w:val="347"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深圳市建升科技股份有限公司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通信设备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1,208.97</w:t>
            </w:r>
          </w:p>
        </w:tc>
      </w:tr>
      <w:tr>
        <w:trPr>
          <w:trHeight w:val="348" w:hRule="exact"/>
        </w:trPr>
        <w:tc>
          <w:tcPr>
            <w:tcW w:w="29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深圳市恒扬数据股份有限公司</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电脑与外围设备</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2018.2</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3,103.29</w:t>
            </w:r>
          </w:p>
        </w:tc>
      </w:tr>
      <w:tr>
        <w:trPr>
          <w:trHeight w:val="347" w:hRule="exact"/>
        </w:trPr>
        <w:tc>
          <w:tcPr>
            <w:tcW w:w="652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4,312.26</w:t>
            </w:r>
          </w:p>
        </w:tc>
      </w:tr>
    </w:tbl>
    <w:p>
      <w:pPr>
        <w:pStyle w:val="Heading6"/>
        <w:spacing w:line="240" w:lineRule="auto" w:before="51"/>
        <w:ind w:left="514" w:right="0"/>
        <w:jc w:val="left"/>
        <w:rPr>
          <w:b w:val="0"/>
          <w:bCs w:val="0"/>
        </w:rPr>
      </w:pPr>
      <w:r>
        <w:rPr/>
        <w:t>（二）创稷投资</w:t>
      </w:r>
      <w:r>
        <w:rPr>
          <w:b w:val="0"/>
          <w:bCs w:val="0"/>
        </w:rPr>
      </w:r>
    </w:p>
    <w:p>
      <w:pPr>
        <w:pStyle w:val="BodyText"/>
        <w:spacing w:line="240" w:lineRule="auto" w:before="116"/>
        <w:ind w:left="514" w:right="0"/>
        <w:jc w:val="left"/>
      </w:pP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6</w:t>
      </w:r>
      <w:r>
        <w:rPr>
          <w:spacing w:val="-5"/>
        </w:rPr>
        <w:t>月</w:t>
      </w:r>
      <w:r>
        <w:rPr>
          <w:rFonts w:ascii="Times New Roman" w:hAnsi="Times New Roman" w:cs="Times New Roman" w:eastAsia="Times New Roman" w:hint="default"/>
          <w:spacing w:val="-5"/>
        </w:rPr>
        <w:t>26</w:t>
      </w:r>
      <w:r>
        <w:rPr>
          <w:spacing w:val="-5"/>
        </w:rPr>
        <w:t>日，公司第二届董事会第二十三次会议审议通过了《关于参与投资上海创稷投资中心（有限合伙）的议案》，</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ind w:right="1135"/>
        <w:jc w:val="left"/>
      </w:pPr>
      <w:r>
        <w:rPr/>
        <w:t>同意公司作为有限合伙人以自有资金</w:t>
      </w:r>
      <w:r>
        <w:rPr>
          <w:rFonts w:ascii="Times New Roman" w:hAnsi="Times New Roman" w:cs="Times New Roman" w:eastAsia="Times New Roman" w:hint="default"/>
        </w:rPr>
        <w:t>5,000</w:t>
      </w:r>
      <w:r>
        <w:rPr/>
        <w:t>万元参与创稷投资，同时披露了《关于参与投资上海创稷投资中心（有限合伙）</w:t>
      </w:r>
      <w:r>
        <w:rPr>
          <w:spacing w:val="-45"/>
        </w:rPr>
        <w:t> </w:t>
      </w:r>
      <w:r>
        <w:rPr>
          <w:spacing w:val="-45"/>
        </w:rPr>
      </w:r>
      <w:r>
        <w:rPr/>
        <w:t>的公告》（公告编号：</w:t>
      </w:r>
      <w:r>
        <w:rPr>
          <w:rFonts w:ascii="Times New Roman" w:hAnsi="Times New Roman" w:cs="Times New Roman" w:eastAsia="Times New Roman" w:hint="default"/>
        </w:rPr>
        <w:t>2015-037</w:t>
      </w:r>
      <w:r>
        <w:rPr/>
        <w:t>号）。</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月，公司缴付了第一期出资额</w:t>
      </w:r>
      <w:r>
        <w:rPr>
          <w:rFonts w:ascii="Times New Roman" w:hAnsi="Times New Roman" w:cs="Times New Roman" w:eastAsia="Times New Roman" w:hint="default"/>
        </w:rPr>
        <w:t>2,500</w:t>
      </w:r>
      <w:r>
        <w:rPr/>
        <w:t>万元。</w:t>
      </w:r>
    </w:p>
    <w:p>
      <w:pPr>
        <w:pStyle w:val="BodyText"/>
        <w:spacing w:line="302" w:lineRule="auto" w:before="49"/>
        <w:ind w:right="1131" w:firstLine="360"/>
        <w:jc w:val="left"/>
      </w:pPr>
      <w:r>
        <w:rPr>
          <w:spacing w:val="-1"/>
        </w:rPr>
        <w:t>经各方协商，公司于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月将公司认缴的创稷投资第二期出资额</w:t>
      </w:r>
      <w:r>
        <w:rPr>
          <w:rFonts w:ascii="Times New Roman" w:hAnsi="Times New Roman" w:cs="Times New Roman" w:eastAsia="Times New Roman" w:hint="default"/>
          <w:spacing w:val="-1"/>
        </w:rPr>
        <w:t>2,500</w:t>
      </w:r>
      <w:r>
        <w:rPr>
          <w:spacing w:val="-1"/>
        </w:rPr>
        <w:t>万元转让给宜兴光控投资有限公司，对应实缴</w:t>
      </w:r>
      <w:r>
        <w:rPr/>
        <w:t> 出资额为</w:t>
      </w:r>
      <w:r>
        <w:rPr>
          <w:rFonts w:ascii="Times New Roman" w:hAnsi="Times New Roman" w:cs="Times New Roman" w:eastAsia="Times New Roman" w:hint="default"/>
        </w:rPr>
        <w:t>0</w:t>
      </w:r>
      <w:r>
        <w:rPr/>
        <w:t>元（公告编号：</w:t>
      </w:r>
      <w:r>
        <w:rPr>
          <w:rFonts w:ascii="Times New Roman" w:hAnsi="Times New Roman" w:cs="Times New Roman" w:eastAsia="Times New Roman" w:hint="default"/>
        </w:rPr>
        <w:t>2019-001</w:t>
      </w:r>
      <w:r>
        <w:rPr/>
        <w:t>号）。</w:t>
      </w:r>
    </w:p>
    <w:p>
      <w:pPr>
        <w:pStyle w:val="BodyText"/>
        <w:spacing w:line="338" w:lineRule="auto" w:before="52"/>
        <w:ind w:left="514" w:right="4902"/>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月，公司收到创稷投资的分红款</w:t>
      </w:r>
      <w:r>
        <w:rPr>
          <w:rFonts w:ascii="Times New Roman" w:hAnsi="Times New Roman" w:cs="Times New Roman" w:eastAsia="Times New Roman" w:hint="default"/>
        </w:rPr>
        <w:t>257.25</w:t>
      </w:r>
      <w:r>
        <w:rPr/>
        <w:t>万元。 报告期内，创稷投资退出</w:t>
      </w:r>
      <w:r>
        <w:rPr>
          <w:rFonts w:ascii="Times New Roman" w:hAnsi="Times New Roman" w:cs="Times New Roman" w:eastAsia="Times New Roman" w:hint="default"/>
        </w:rPr>
        <w:t>1</w:t>
      </w:r>
      <w:r>
        <w:rPr/>
        <w:t>个项目，没有新增投资项目，退出项目为：</w:t>
      </w:r>
    </w:p>
    <w:p>
      <w:pPr>
        <w:pStyle w:val="BodyText"/>
        <w:spacing w:line="240" w:lineRule="auto"/>
        <w:ind w:left="0" w:right="482"/>
        <w:jc w:val="right"/>
      </w:pPr>
      <w:r>
        <w:rPr/>
        <w:pict>
          <v:shape style="position:absolute;margin-left:56.34pt;margin-top:.411738pt;width:511.45pt;height:35.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94"/>
                    <w:gridCol w:w="1702"/>
                    <w:gridCol w:w="1416"/>
                    <w:gridCol w:w="1986"/>
                    <w:gridCol w:w="2408"/>
                  </w:tblGrid>
                  <w:tr>
                    <w:trPr>
                      <w:trHeight w:val="347"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投资领域</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初始投资时间</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12"/>
                          <w:jc w:val="center"/>
                          <w:rPr>
                            <w:rFonts w:ascii="宋体" w:hAnsi="宋体" w:cs="宋体" w:eastAsia="宋体" w:hint="default"/>
                            <w:sz w:val="18"/>
                            <w:szCs w:val="18"/>
                          </w:rPr>
                        </w:pPr>
                        <w:r>
                          <w:rPr>
                            <w:rFonts w:ascii="宋体" w:hAnsi="宋体" w:cs="宋体" w:eastAsia="宋体" w:hint="default"/>
                            <w:sz w:val="18"/>
                            <w:szCs w:val="18"/>
                          </w:rPr>
                          <w:t>投资成本（单位：万元）</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88"/>
                          <w:jc w:val="center"/>
                          <w:rPr>
                            <w:rFonts w:ascii="宋体" w:hAnsi="宋体" w:cs="宋体" w:eastAsia="宋体" w:hint="default"/>
                            <w:sz w:val="18"/>
                            <w:szCs w:val="18"/>
                          </w:rPr>
                        </w:pPr>
                        <w:r>
                          <w:rPr>
                            <w:rFonts w:ascii="宋体" w:hAnsi="宋体" w:cs="宋体" w:eastAsia="宋体" w:hint="default"/>
                            <w:spacing w:val="-4"/>
                            <w:sz w:val="18"/>
                            <w:szCs w:val="18"/>
                          </w:rPr>
                          <w:t>处置时产生的投资收益（万元</w:t>
                        </w:r>
                      </w:p>
                    </w:tc>
                  </w:tr>
                  <w:tr>
                    <w:trPr>
                      <w:trHeight w:val="34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北京宝库在线网络技术有限公司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互联网与移动</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2015.12</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3,408</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-2,629.48</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Heading6"/>
        <w:spacing w:line="240" w:lineRule="auto" w:before="44"/>
        <w:ind w:left="514" w:right="0"/>
        <w:jc w:val="left"/>
        <w:rPr>
          <w:b w:val="0"/>
          <w:bCs w:val="0"/>
        </w:rPr>
      </w:pPr>
      <w:r>
        <w:rPr/>
        <w:t>（三）富海永成</w:t>
      </w:r>
      <w:r>
        <w:rPr>
          <w:b w:val="0"/>
          <w:bCs w:val="0"/>
        </w:rPr>
      </w:r>
    </w:p>
    <w:p>
      <w:pPr>
        <w:pStyle w:val="BodyText"/>
        <w:spacing w:line="300" w:lineRule="auto" w:before="116"/>
        <w:ind w:right="1041" w:firstLine="360"/>
        <w:jc w:val="left"/>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日，公司第二届董事会第十六次会议审议通过了《关于以自有资金参与投资设立有限合伙企业的议案》， 同意公司作为有限合伙人以自有资金</w:t>
      </w:r>
      <w:r>
        <w:rPr>
          <w:rFonts w:ascii="Times New Roman" w:hAnsi="Times New Roman" w:cs="Times New Roman" w:eastAsia="Times New Roman" w:hint="default"/>
        </w:rPr>
        <w:t>5,000</w:t>
      </w:r>
      <w:r>
        <w:rPr/>
        <w:t>万元参与投资设立富海永成，同时披露了《关于以自有资金参与投资设立有限合</w:t>
      </w:r>
      <w:r>
        <w:rPr>
          <w:spacing w:val="-45"/>
        </w:rPr>
        <w:t> </w:t>
      </w:r>
      <w:r>
        <w:rPr>
          <w:spacing w:val="-45"/>
        </w:rPr>
      </w:r>
      <w:r>
        <w:rPr/>
        <w:t>伙企业的公告》（公告编号：</w:t>
      </w:r>
      <w:r>
        <w:rPr>
          <w:rFonts w:ascii="Times New Roman" w:hAnsi="Times New Roman" w:cs="Times New Roman" w:eastAsia="Times New Roman" w:hint="default"/>
        </w:rPr>
        <w:t>2014-091</w:t>
      </w:r>
      <w:r>
        <w:rPr/>
        <w:t>号）。</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日，公司缴付了第一期出资额</w:t>
      </w:r>
      <w:r>
        <w:rPr>
          <w:rFonts w:ascii="Times New Roman" w:hAnsi="Times New Roman" w:cs="Times New Roman" w:eastAsia="Times New Roman" w:hint="default"/>
        </w:rPr>
        <w:t>2,500</w:t>
      </w:r>
      <w:r>
        <w:rPr/>
        <w:t>万元；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6</w:t>
      </w:r>
      <w:r>
        <w:rPr/>
        <w:t>日，公司</w:t>
      </w:r>
      <w:r>
        <w:rPr>
          <w:spacing w:val="-19"/>
        </w:rPr>
        <w:t> </w:t>
      </w:r>
      <w:r>
        <w:rPr>
          <w:spacing w:val="-19"/>
        </w:rPr>
      </w:r>
      <w:r>
        <w:rPr>
          <w:spacing w:val="-3"/>
        </w:rPr>
        <w:t>收到第二期出资缴款通知书，要求公司缴付第二期出资款</w:t>
      </w:r>
      <w:r>
        <w:rPr>
          <w:rFonts w:ascii="Times New Roman" w:hAnsi="Times New Roman" w:cs="Times New Roman" w:eastAsia="Times New Roman" w:hint="default"/>
          <w:spacing w:val="-3"/>
        </w:rPr>
        <w:t>2,500</w:t>
      </w:r>
      <w:r>
        <w:rPr>
          <w:spacing w:val="-3"/>
        </w:rPr>
        <w:t>万；</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21</w:t>
      </w:r>
      <w:r>
        <w:rPr>
          <w:spacing w:val="-3"/>
        </w:rPr>
        <w:t>日，公司召开第二届董事会第二十七次会议，</w:t>
      </w:r>
      <w:r>
        <w:rPr>
          <w:spacing w:val="-35"/>
        </w:rPr>
        <w:t> </w:t>
      </w:r>
      <w:r>
        <w:rPr>
          <w:spacing w:val="-35"/>
        </w:rPr>
      </w:r>
      <w:r>
        <w:rPr/>
        <w:t>决定不再向富海永成进行第二期出资（公告编号：</w:t>
      </w:r>
      <w:r>
        <w:rPr>
          <w:rFonts w:ascii="Times New Roman" w:hAnsi="Times New Roman" w:cs="Times New Roman" w:eastAsia="Times New Roman" w:hint="default"/>
        </w:rPr>
        <w:t>2015-060</w:t>
      </w:r>
      <w:r>
        <w:rPr/>
        <w:t>号）。</w:t>
      </w:r>
    </w:p>
    <w:p>
      <w:pPr>
        <w:pStyle w:val="BodyText"/>
        <w:spacing w:line="240" w:lineRule="auto" w:before="52"/>
        <w:ind w:left="514" w:right="0"/>
        <w:jc w:val="left"/>
      </w:pPr>
      <w:r>
        <w:rPr/>
        <w:t>报告期内，富海永成追加投资</w:t>
      </w:r>
      <w:r>
        <w:rPr>
          <w:rFonts w:ascii="Times New Roman" w:hAnsi="Times New Roman" w:cs="Times New Roman" w:eastAsia="Times New Roman" w:hint="default"/>
        </w:rPr>
        <w:t>1</w:t>
      </w:r>
      <w:r>
        <w:rPr/>
        <w:t>个项目，具体为：</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694"/>
        <w:gridCol w:w="1842"/>
        <w:gridCol w:w="1418"/>
        <w:gridCol w:w="1984"/>
        <w:gridCol w:w="1560"/>
      </w:tblGrid>
      <w:tr>
        <w:trPr>
          <w:trHeight w:val="348"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投资领域</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追加投资时间</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追加投资（万元）</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累计投资（万元）</w:t>
            </w:r>
          </w:p>
        </w:tc>
      </w:tr>
      <w:tr>
        <w:trPr>
          <w:trHeight w:val="659" w:hRule="exact"/>
        </w:trPr>
        <w:tc>
          <w:tcPr>
            <w:tcW w:w="269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1159" w:right="78" w:hanging="1081"/>
              <w:jc w:val="left"/>
              <w:rPr>
                <w:rFonts w:ascii="宋体" w:hAnsi="宋体" w:cs="宋体" w:eastAsia="宋体" w:hint="default"/>
                <w:sz w:val="18"/>
                <w:szCs w:val="18"/>
              </w:rPr>
            </w:pPr>
            <w:r>
              <w:rPr>
                <w:rFonts w:ascii="宋体" w:hAnsi="宋体" w:cs="宋体" w:eastAsia="宋体" w:hint="default"/>
                <w:sz w:val="18"/>
                <w:szCs w:val="18"/>
              </w:rPr>
              <w:t>上海肯耐珂萨人才服务股份有限 公司</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TMT-</w:t>
            </w:r>
            <w:r>
              <w:rPr>
                <w:rFonts w:ascii="宋体" w:hAnsi="宋体" w:cs="宋体" w:eastAsia="宋体" w:hint="default"/>
                <w:sz w:val="18"/>
                <w:szCs w:val="18"/>
              </w:rPr>
              <w:t>人力资源服务</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2018.6</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2,900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right="0"/>
        <w:jc w:val="left"/>
        <w:rPr>
          <w:b w:val="0"/>
          <w:bCs w:val="0"/>
        </w:rPr>
      </w:pPr>
      <w:bookmarkStart w:name="十九、公司子公司重大事项" w:id="100"/>
      <w:bookmarkEnd w:id="100"/>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Heading5"/>
        <w:spacing w:line="273" w:lineRule="auto" w:before="85"/>
        <w:ind w:right="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19</w:t>
      </w:r>
      <w:r>
        <w:rPr>
          <w:spacing w:val="-2"/>
        </w:rPr>
        <w:t>日，公司第三届董事会第二十七次会议审议通过了《关于授权公司管理层择机处置可供出售金</w:t>
      </w:r>
      <w:r>
        <w:rPr>
          <w:spacing w:val="-71"/>
        </w:rPr>
        <w:t> </w:t>
      </w:r>
      <w:r>
        <w:rPr>
          <w:spacing w:val="-71"/>
        </w:rPr>
      </w:r>
      <w:r>
        <w:rPr/>
        <w:t>融资产的议案》，同意授权公司管理层根据市场情况和经营需要，择机处置公司持有的可供出售金融资产中新</w:t>
      </w:r>
      <w:r>
        <w:rPr>
          <w:spacing w:val="-65"/>
        </w:rPr>
        <w:t> </w:t>
      </w:r>
      <w:r>
        <w:rPr>
          <w:spacing w:val="-65"/>
        </w:rPr>
      </w:r>
      <w:r>
        <w:rPr/>
        <w:t>赛克的全部股份，该事项已经公司</w:t>
      </w:r>
      <w:r>
        <w:rPr>
          <w:rFonts w:ascii="Times New Roman" w:hAnsi="Times New Roman" w:cs="Times New Roman" w:eastAsia="Times New Roman" w:hint="default"/>
        </w:rPr>
        <w:t>2018</w:t>
      </w:r>
      <w:r>
        <w:rPr/>
        <w:t>年第二次临时股东大会审议通过。截至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日，公司通过集中</w:t>
      </w:r>
      <w:r>
        <w:rPr>
          <w:spacing w:val="-66"/>
        </w:rPr>
        <w:t> </w:t>
      </w:r>
      <w:r>
        <w:rPr>
          <w:spacing w:val="-66"/>
        </w:rPr>
      </w:r>
      <w:r>
        <w:rPr/>
        <w:t>竞价、大宗交易方式累计减持中新赛克股份</w:t>
      </w:r>
      <w:r>
        <w:rPr>
          <w:rFonts w:ascii="Times New Roman" w:hAnsi="Times New Roman" w:cs="Times New Roman" w:eastAsia="Times New Roman" w:hint="default"/>
        </w:rPr>
        <w:t>261.7201</w:t>
      </w:r>
      <w:r>
        <w:rPr/>
        <w:t>万股，扣除成本后累计可获得投资收益</w:t>
      </w:r>
      <w:r>
        <w:rPr>
          <w:rFonts w:ascii="Times New Roman" w:hAnsi="Times New Roman" w:cs="Times New Roman" w:eastAsia="Times New Roman" w:hint="default"/>
        </w:rPr>
        <w:t>1.47</w:t>
      </w:r>
      <w:r>
        <w:rPr/>
        <w:t>亿元。</w:t>
      </w:r>
      <w:r>
        <w:rPr>
          <w:w w:val="100"/>
        </w:rPr>
        <w:t> </w:t>
      </w:r>
      <w:r>
        <w:rPr>
          <w:rFonts w:ascii="Times New Roman" w:hAnsi="Times New Roman" w:cs="Times New Roman" w:eastAsia="Times New Roman" w:hint="default"/>
          <w:spacing w:val="-8"/>
          <w:w w:val="100"/>
        </w:rPr>
        <w:t>2</w:t>
      </w:r>
      <w:r>
        <w:rPr>
          <w:spacing w:val="-8"/>
          <w:w w:val="100"/>
        </w:rPr>
        <w:t>、</w:t>
      </w:r>
      <w:r>
        <w:rPr>
          <w:rFonts w:ascii="Times New Roman" w:hAnsi="Times New Roman" w:cs="Times New Roman" w:eastAsia="Times New Roman" w:hint="default"/>
          <w:spacing w:val="-8"/>
          <w:w w:val="100"/>
        </w:rPr>
        <w:t>2018</w:t>
      </w:r>
      <w:r>
        <w:rPr>
          <w:spacing w:val="-8"/>
          <w:w w:val="100"/>
        </w:rPr>
        <w:t>年</w:t>
      </w:r>
      <w:r>
        <w:rPr>
          <w:rFonts w:ascii="Times New Roman" w:hAnsi="Times New Roman" w:cs="Times New Roman" w:eastAsia="Times New Roman" w:hint="default"/>
          <w:spacing w:val="-8"/>
          <w:w w:val="100"/>
        </w:rPr>
        <w:t>12</w:t>
      </w:r>
      <w:r>
        <w:rPr>
          <w:spacing w:val="-8"/>
          <w:w w:val="100"/>
        </w:rPr>
        <w:t>月</w:t>
      </w:r>
      <w:r>
        <w:rPr>
          <w:rFonts w:ascii="Times New Roman" w:hAnsi="Times New Roman" w:cs="Times New Roman" w:eastAsia="Times New Roman" w:hint="default"/>
          <w:spacing w:val="-8"/>
          <w:w w:val="100"/>
        </w:rPr>
        <w:t>20</w:t>
      </w:r>
      <w:r>
        <w:rPr>
          <w:spacing w:val="-8"/>
          <w:w w:val="100"/>
        </w:rPr>
        <w:t>日，公司第三届董事会第二十八次会议审议通过了《关于对外投资设立香港全资子公司的议案》，</w:t>
      </w:r>
      <w:r>
        <w:rPr>
          <w:spacing w:val="-57"/>
          <w:w w:val="100"/>
        </w:rPr>
        <w:t> </w:t>
      </w:r>
      <w:r>
        <w:rPr>
          <w:spacing w:val="-57"/>
          <w:w w:val="100"/>
        </w:rPr>
      </w:r>
      <w:r>
        <w:rPr/>
        <w:t>公司拟投资</w:t>
      </w:r>
      <w:r>
        <w:rPr>
          <w:rFonts w:ascii="Times New Roman" w:hAnsi="Times New Roman" w:cs="Times New Roman" w:eastAsia="Times New Roman" w:hint="default"/>
        </w:rPr>
        <w:t>100</w:t>
      </w:r>
      <w:r>
        <w:rPr/>
        <w:t>万美元在香港设立全资子公司</w:t>
      </w:r>
      <w:r>
        <w:rPr>
          <w:rFonts w:ascii="Times New Roman" w:hAnsi="Times New Roman" w:cs="Times New Roman" w:eastAsia="Times New Roman" w:hint="default"/>
        </w:rPr>
        <w:t>“</w:t>
      </w:r>
      <w:r>
        <w:rPr/>
        <w:t>任子行网络技术（香港）股份有限公司</w:t>
      </w:r>
      <w:r>
        <w:rPr>
          <w:rFonts w:ascii="Times New Roman" w:hAnsi="Times New Roman" w:cs="Times New Roman" w:eastAsia="Times New Roman" w:hint="default"/>
        </w:rPr>
        <w:t>”</w:t>
      </w:r>
      <w:r>
        <w:rPr/>
        <w:t>（暂定名）。截至目前，</w:t>
      </w:r>
      <w:r>
        <w:rPr>
          <w:w w:val="100"/>
        </w:rPr>
        <w:t> </w:t>
      </w:r>
      <w:r>
        <w:rPr/>
        <w:t>公司完成境外投资备案手续，已启动注册手续。</w:t>
      </w:r>
    </w:p>
    <w:p>
      <w:pPr>
        <w:spacing w:after="0" w:line="27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_TOC_250006" w:id="101"/>
      <w:bookmarkStart w:name="第六节 股份变动及股东情况" w:id="102"/>
      <w:r>
        <w:rPr>
          <w:b w:val="0"/>
          <w:bCs w:val="0"/>
        </w:rPr>
      </w:r>
      <w:r>
        <w:rPr/>
        <w:t>第六节</w:t>
      </w:r>
      <w:r>
        <w:rPr>
          <w:spacing w:val="-10"/>
        </w:rPr>
        <w:t> </w:t>
      </w:r>
      <w:r>
        <w:rPr/>
        <w:t>股份变动及股东情况</w:t>
      </w:r>
      <w:bookmarkEnd w:id="101"/>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3"/>
      <w:bookmarkEnd w:id="103"/>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4"/>
      <w:bookmarkEnd w:id="104"/>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4"/>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2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2D2D2"/>
          </w:tcPr>
          <w:p>
            <w:pP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3" w:type="dxa"/>
            <w:vMerge/>
            <w:tcBorders>
              <w:left w:val="single" w:sz="4" w:space="0" w:color="000000"/>
              <w:bottom w:val="nil" w:sz="6" w:space="0" w:color="auto"/>
              <w:right w:val="single" w:sz="4" w:space="0" w:color="000000"/>
            </w:tcBorders>
            <w:shd w:val="clear" w:color="auto" w:fill="D2D2D2"/>
          </w:tcPr>
          <w:p>
            <w:pPr/>
          </w:p>
        </w:tc>
        <w:tc>
          <w:tcPr>
            <w:tcW w:w="824"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822"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3"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2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210,797,3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47.06%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8,140,000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107,314,2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-89,022,3</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26,431,85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237,229,2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34.88%</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210,797,3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47.06%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8,052,000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107,271,0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-89,022,3</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26,300,63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34.87%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27,553,11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6.15%</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13,530,67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-41,083,7</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w w:val="95"/>
                <w:sz w:val="18"/>
              </w:rPr>
              <w:t>-27,553,1</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183,244,2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40.91%</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8,052,000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93,740,35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-47,938,6</w:t>
            </w:r>
            <w:r>
              <w:rPr>
                <w:rFonts w:ascii="Times New Roman"/>
                <w:sz w:val="18"/>
              </w:rPr>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06</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53,853,75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237,098,0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34.87%</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43,215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131,215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131,215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43,215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131,215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131,215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237,133,3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52.94%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116,651,0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89,022,38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205,673,4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442,806,8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65.12%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237,133,3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52.94%</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116,651,0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89,022,38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205,673,4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79</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442,806,8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65.12%</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3"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447,930,7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 w:right="0"/>
              <w:jc w:val="left"/>
              <w:rPr>
                <w:rFonts w:ascii="Times New Roman" w:hAnsi="Times New Roman" w:cs="Times New Roman" w:eastAsia="Times New Roman" w:hint="default"/>
                <w:sz w:val="18"/>
                <w:szCs w:val="18"/>
              </w:rPr>
            </w:pPr>
            <w:r>
              <w:rPr>
                <w:rFonts w:ascii="Times New Roman"/>
                <w:sz w:val="18"/>
              </w:rPr>
              <w:t>100.00%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8,140,000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223,965,3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232,105,3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680,036,0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2D2D2"/>
              <w:right w:val="single" w:sz="4" w:space="0" w:color="000000"/>
            </w:tcBorders>
          </w:tcPr>
          <w:p>
            <w:pPr/>
          </w:p>
        </w:tc>
        <w:tc>
          <w:tcPr>
            <w:tcW w:w="8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3" w:type="dxa"/>
            <w:vMerge/>
            <w:tcBorders>
              <w:left w:val="single" w:sz="10" w:space="0" w:color="D2D2D2"/>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360"/>
        <w:jc w:val="left"/>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日完成了《任子行网络技术股份有限公司</w:t>
      </w:r>
      <w:r>
        <w:rPr>
          <w:rFonts w:ascii="Times New Roman" w:hAnsi="Times New Roman" w:cs="Times New Roman" w:eastAsia="Times New Roman" w:hint="default"/>
          <w:spacing w:val="-2"/>
        </w:rPr>
        <w:t>2018</w:t>
      </w:r>
      <w:r>
        <w:rPr>
          <w:spacing w:val="-2"/>
        </w:rPr>
        <w:t>年限制性股票激励计划（草案）》限制性股票首次</w:t>
      </w:r>
      <w:r>
        <w:rPr/>
        <w:t> 授予登记工作，公司的总股本由</w:t>
      </w:r>
      <w:r>
        <w:rPr>
          <w:rFonts w:ascii="Times New Roman" w:hAnsi="Times New Roman" w:cs="Times New Roman" w:eastAsia="Times New Roman" w:hint="default"/>
        </w:rPr>
        <w:t>447,930,709</w:t>
      </w:r>
      <w:r>
        <w:rPr/>
        <w:t>股变更为</w:t>
      </w:r>
      <w:r>
        <w:rPr>
          <w:rFonts w:ascii="Times New Roman" w:hAnsi="Times New Roman" w:cs="Times New Roman" w:eastAsia="Times New Roman" w:hint="default"/>
        </w:rPr>
        <w:t>456,070,709</w:t>
      </w:r>
      <w:r>
        <w:rPr/>
        <w:t>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514" w:right="0"/>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日实施完成</w:t>
      </w:r>
      <w:r>
        <w:rPr>
          <w:rFonts w:ascii="Times New Roman" w:hAnsi="Times New Roman" w:cs="Times New Roman" w:eastAsia="Times New Roman" w:hint="default"/>
        </w:rPr>
        <w:t>2017</w:t>
      </w:r>
      <w:r>
        <w:rPr/>
        <w:t>年年度权益分派，公司的总股本由</w:t>
      </w:r>
      <w:r>
        <w:rPr>
          <w:rFonts w:ascii="Times New Roman" w:hAnsi="Times New Roman" w:cs="Times New Roman" w:eastAsia="Times New Roman" w:hint="default"/>
        </w:rPr>
        <w:t>456,070,709</w:t>
      </w:r>
      <w:r>
        <w:rPr/>
        <w:t>股变更为</w:t>
      </w:r>
      <w:r>
        <w:rPr>
          <w:rFonts w:ascii="Times New Roman" w:hAnsi="Times New Roman" w:cs="Times New Roman" w:eastAsia="Times New Roman" w:hint="default"/>
        </w:rPr>
        <w:t>680,036,042</w:t>
      </w:r>
      <w:r>
        <w:rPr/>
        <w:t>股。</w:t>
      </w:r>
    </w:p>
    <w:p>
      <w:pPr>
        <w:pStyle w:val="BodyText"/>
        <w:spacing w:line="240" w:lineRule="auto" w:before="63"/>
        <w:ind w:left="514" w:right="0"/>
        <w:jc w:val="left"/>
      </w:pPr>
      <w:r>
        <w:rPr>
          <w:rFonts w:ascii="Times New Roman" w:hAnsi="Times New Roman" w:cs="Times New Roman" w:eastAsia="Times New Roman" w:hint="default"/>
        </w:rPr>
        <w:t>3</w:t>
      </w:r>
      <w:r>
        <w:rPr/>
        <w:t>、公司股东华信行、龙象之本、丁伟国、蒋利琴、朱瑶、刘泉、水向东、周益斌、杨敏持有的非公开发行股份合计为</w:t>
      </w:r>
    </w:p>
    <w:p>
      <w:pPr>
        <w:pStyle w:val="BodyText"/>
        <w:spacing w:line="300" w:lineRule="auto" w:before="63"/>
        <w:ind w:left="514" w:right="1577" w:hanging="360"/>
        <w:jc w:val="left"/>
      </w:pPr>
      <w:r>
        <w:rPr>
          <w:rFonts w:ascii="Times New Roman" w:hAnsi="Times New Roman" w:cs="Times New Roman" w:eastAsia="Times New Roman" w:hint="default"/>
        </w:rPr>
        <w:t>42,328,456</w:t>
      </w:r>
      <w:r>
        <w:rPr/>
        <w:t>股，占公司总股本</w:t>
      </w:r>
      <w:r>
        <w:rPr>
          <w:rFonts w:ascii="Times New Roman" w:hAnsi="Times New Roman" w:cs="Times New Roman" w:eastAsia="Times New Roman" w:hint="default"/>
        </w:rPr>
        <w:t>6.22%</w:t>
      </w:r>
      <w:r>
        <w:rPr/>
        <w:t>，已于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日解除限售上市流通。 具体内容详见公司在创业板指定信息披露网站巨潮资讯网（</w:t>
      </w:r>
      <w:hyperlink r:id="rId11">
        <w:r>
          <w:rPr>
            <w:rFonts w:ascii="Times New Roman" w:hAnsi="Times New Roman" w:cs="Times New Roman" w:eastAsia="Times New Roman" w:hint="default"/>
          </w:rPr>
          <w:t>http://www.cninfo.com.cn/new/index</w:t>
        </w:r>
      </w:hyperlink>
      <w:r>
        <w:rPr/>
        <w:t>）上的相关公告。</w:t>
      </w:r>
    </w:p>
    <w:p>
      <w:pPr>
        <w:pStyle w:val="BodyText"/>
        <w:spacing w:line="240" w:lineRule="auto" w:before="54"/>
        <w:ind w:right="0"/>
        <w:jc w:val="left"/>
      </w:pPr>
      <w:r>
        <w:rPr/>
        <w:t>股份变动的批准情况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200" w:firstLine="360"/>
        <w:jc w:val="left"/>
      </w:pPr>
      <w:r>
        <w:rPr>
          <w:rFonts w:ascii="Times New Roman" w:hAnsi="Times New Roman" w:cs="Times New Roman" w:eastAsia="Times New Roman" w:hint="default"/>
        </w:rPr>
        <w:t>1</w:t>
      </w:r>
      <w:r>
        <w:rPr/>
        <w:t>、公司第三届董事会第二十二次会议及</w:t>
      </w:r>
      <w:r>
        <w:rPr>
          <w:rFonts w:ascii="Times New Roman" w:hAnsi="Times New Roman" w:cs="Times New Roman" w:eastAsia="Times New Roman" w:hint="default"/>
        </w:rPr>
        <w:t>2017</w:t>
      </w:r>
      <w:r>
        <w:rPr/>
        <w:t>年年度股东大会审议通过了《关于</w:t>
      </w:r>
      <w:r>
        <w:rPr>
          <w:rFonts w:ascii="Times New Roman" w:hAnsi="Times New Roman" w:cs="Times New Roman" w:eastAsia="Times New Roman" w:hint="default"/>
        </w:rPr>
        <w:t>&lt;</w:t>
      </w:r>
      <w:r>
        <w:rPr/>
        <w:t>任子行网络技术股份有限公司</w:t>
      </w:r>
      <w:r>
        <w:rPr>
          <w:rFonts w:ascii="Times New Roman" w:hAnsi="Times New Roman" w:cs="Times New Roman" w:eastAsia="Times New Roman" w:hint="default"/>
        </w:rPr>
        <w:t>2018</w:t>
      </w:r>
      <w:r>
        <w:rPr/>
        <w:t>年 限制性股票激励计划（草案）</w:t>
      </w:r>
      <w:r>
        <w:rPr>
          <w:rFonts w:ascii="Times New Roman" w:hAnsi="Times New Roman" w:cs="Times New Roman" w:eastAsia="Times New Roman" w:hint="default"/>
        </w:rPr>
        <w:t>&gt;</w:t>
      </w:r>
      <w:r>
        <w:rPr/>
        <w:t>及其摘要的议案》等相关议案。</w:t>
      </w:r>
    </w:p>
    <w:p>
      <w:pPr>
        <w:pStyle w:val="BodyText"/>
        <w:spacing w:line="300" w:lineRule="auto" w:before="13"/>
        <w:ind w:right="1122" w:firstLine="360"/>
        <w:jc w:val="left"/>
      </w:pPr>
      <w:r>
        <w:rPr>
          <w:rFonts w:ascii="Times New Roman" w:hAnsi="Times New Roman" w:cs="Times New Roman" w:eastAsia="Times New Roman" w:hint="default"/>
        </w:rPr>
        <w:t>2</w:t>
      </w:r>
      <w:r>
        <w:rPr/>
        <w:t>、公司第三届董事会第二十一次会议及</w:t>
      </w:r>
      <w:r>
        <w:rPr>
          <w:rFonts w:ascii="Times New Roman" w:hAnsi="Times New Roman" w:cs="Times New Roman" w:eastAsia="Times New Roman" w:hint="default"/>
        </w:rPr>
        <w:t>2017</w:t>
      </w:r>
      <w:r>
        <w:rPr/>
        <w:t>年年度股东大会审议通过了《关于</w:t>
      </w:r>
      <w:r>
        <w:rPr>
          <w:rFonts w:ascii="Times New Roman" w:hAnsi="Times New Roman" w:cs="Times New Roman" w:eastAsia="Times New Roman" w:hint="default"/>
        </w:rPr>
        <w:t>2017</w:t>
      </w:r>
      <w:r>
        <w:rPr/>
        <w:t>年度利润分配及资本公积金转增股 本预案的议案》。</w:t>
      </w:r>
    </w:p>
    <w:p>
      <w:pPr>
        <w:pStyle w:val="BodyText"/>
        <w:spacing w:line="340" w:lineRule="auto" w:before="31"/>
        <w:ind w:right="1577" w:firstLine="360"/>
        <w:jc w:val="left"/>
      </w:pPr>
      <w:r>
        <w:rPr/>
        <w:t>具体内容详见公司在创业板指定信息披露网站巨潮资讯网（</w:t>
      </w:r>
      <w:hyperlink r:id="rId11">
        <w:r>
          <w:rPr>
            <w:rFonts w:ascii="Times New Roman" w:hAnsi="Times New Roman" w:cs="Times New Roman" w:eastAsia="Times New Roman" w:hint="default"/>
          </w:rPr>
          <w:t>http://www.cninfo.com.cn/new/index</w:t>
        </w:r>
      </w:hyperlink>
      <w:r>
        <w:rPr/>
        <w:t>）上的相关公告。 股份变动的过户情况</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360"/>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日，公司完成了《任子行网络技术股份有限公司</w:t>
      </w:r>
      <w:r>
        <w:rPr>
          <w:rFonts w:ascii="Times New Roman" w:hAnsi="Times New Roman" w:cs="Times New Roman" w:eastAsia="Times New Roman" w:hint="default"/>
          <w:spacing w:val="-2"/>
        </w:rPr>
        <w:t>2018</w:t>
      </w:r>
      <w:r>
        <w:rPr>
          <w:spacing w:val="-2"/>
        </w:rPr>
        <w:t>年限制性股票激励计划（草案）》限制性股票首次</w:t>
      </w:r>
      <w:r>
        <w:rPr/>
        <w:t> 授予登记工作，上市日为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w:t>
      </w:r>
    </w:p>
    <w:p>
      <w:pPr>
        <w:pStyle w:val="BodyText"/>
        <w:spacing w:line="240" w:lineRule="auto" w:before="13"/>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年年度权益分派股权登记日为：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28</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w:t>
      </w:r>
    </w:p>
    <w:p>
      <w:pPr>
        <w:pStyle w:val="BodyText"/>
        <w:spacing w:line="240" w:lineRule="auto" w:before="63"/>
        <w:ind w:left="514" w:right="0"/>
        <w:jc w:val="left"/>
      </w:pPr>
      <w:r>
        <w:rPr>
          <w:rFonts w:ascii="Times New Roman" w:hAnsi="Times New Roman" w:cs="Times New Roman" w:eastAsia="Times New Roman" w:hint="default"/>
        </w:rPr>
        <w:t>3</w:t>
      </w:r>
      <w:r>
        <w:rPr/>
        <w:t>、公司股东华信行、龙象之本、丁伟国、蒋利琴、朱瑶、刘泉、水向东、周益斌、杨敏持有的非公开发行股份合计为</w:t>
      </w:r>
    </w:p>
    <w:p>
      <w:pPr>
        <w:pStyle w:val="BodyText"/>
        <w:spacing w:line="300" w:lineRule="auto" w:before="63"/>
        <w:ind w:left="514" w:right="1577" w:hanging="360"/>
        <w:jc w:val="left"/>
      </w:pPr>
      <w:r>
        <w:rPr>
          <w:rFonts w:ascii="Times New Roman" w:hAnsi="Times New Roman" w:cs="Times New Roman" w:eastAsia="Times New Roman" w:hint="default"/>
        </w:rPr>
        <w:t>42,328,456</w:t>
      </w:r>
      <w:r>
        <w:rPr/>
        <w:t>股，占公司总股本</w:t>
      </w:r>
      <w:r>
        <w:rPr>
          <w:rFonts w:ascii="Times New Roman" w:hAnsi="Times New Roman" w:cs="Times New Roman" w:eastAsia="Times New Roman" w:hint="default"/>
        </w:rPr>
        <w:t>6.22%</w:t>
      </w:r>
      <w:r>
        <w:rPr/>
        <w:t>，已于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日解除限售上市流通。 具体内容详见公司在创业板指定信息披露网站巨潮资讯网（</w:t>
      </w:r>
      <w:hyperlink r:id="rId11">
        <w:r>
          <w:rPr>
            <w:rFonts w:ascii="Times New Roman" w:hAnsi="Times New Roman" w:cs="Times New Roman" w:eastAsia="Times New Roman" w:hint="default"/>
          </w:rPr>
          <w:t>http://www.cninfo.com.cn/new/index</w:t>
        </w:r>
      </w:hyperlink>
      <w:r>
        <w:rPr/>
        <w:t>）上的相关公告。</w:t>
      </w:r>
    </w:p>
    <w:p>
      <w:pPr>
        <w:pStyle w:val="BodyText"/>
        <w:spacing w:line="240" w:lineRule="auto" w:before="53"/>
        <w:ind w:right="0"/>
        <w:jc w:val="left"/>
      </w:pPr>
      <w:r>
        <w:rPr/>
        <w:t>股份回购的实施进展情况</w:t>
      </w:r>
    </w:p>
    <w:p>
      <w:pPr>
        <w:pStyle w:val="BodyText"/>
        <w:spacing w:line="338" w:lineRule="auto" w:before="117"/>
        <w:ind w:right="69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采用集中竞价方式减持回购股份的实施进展情况</w:t>
      </w:r>
    </w:p>
    <w:p>
      <w:pPr>
        <w:pStyle w:val="BodyText"/>
        <w:spacing w:line="340" w:lineRule="auto" w:before="42"/>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left="514" w:right="427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本次限制性股票授予完成及权益分派完成后，对相关财务指标的影响如下表：</w:t>
      </w:r>
    </w:p>
    <w:p>
      <w:pPr>
        <w:spacing w:line="240" w:lineRule="auto" w:before="6"/>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985"/>
        <w:gridCol w:w="922"/>
        <w:gridCol w:w="921"/>
        <w:gridCol w:w="923"/>
        <w:gridCol w:w="920"/>
        <w:gridCol w:w="922"/>
        <w:gridCol w:w="922"/>
        <w:gridCol w:w="920"/>
        <w:gridCol w:w="923"/>
      </w:tblGrid>
      <w:tr>
        <w:trPr>
          <w:trHeight w:val="738" w:hRule="exact"/>
        </w:trPr>
        <w:tc>
          <w:tcPr>
            <w:tcW w:w="1985" w:type="dxa"/>
            <w:vMerge w:val="restart"/>
            <w:tcBorders>
              <w:top w:val="single" w:sz="6" w:space="0" w:color="000000"/>
              <w:left w:val="single" w:sz="6" w:space="0" w:color="000000"/>
              <w:right w:val="single" w:sz="6" w:space="0" w:color="000000"/>
            </w:tcBorders>
          </w:tcPr>
          <w:p>
            <w:pPr>
              <w:pStyle w:val="TableParagraph"/>
              <w:spacing w:line="240" w:lineRule="auto" w:before="61"/>
              <w:ind w:left="445" w:right="0"/>
              <w:jc w:val="left"/>
              <w:rPr>
                <w:rFonts w:ascii="宋体" w:hAnsi="宋体" w:cs="宋体" w:eastAsia="宋体" w:hint="default"/>
                <w:sz w:val="18"/>
                <w:szCs w:val="18"/>
              </w:rPr>
            </w:pPr>
            <w:r>
              <w:rPr>
                <w:rFonts w:ascii="宋体" w:hAnsi="宋体" w:cs="宋体" w:eastAsia="宋体" w:hint="default"/>
                <w:sz w:val="18"/>
                <w:szCs w:val="18"/>
              </w:rPr>
              <w:t>财务指标名称</w:t>
            </w:r>
          </w:p>
        </w:tc>
        <w:tc>
          <w:tcPr>
            <w:tcW w:w="1842" w:type="dxa"/>
            <w:gridSpan w:val="2"/>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193" w:right="12" w:hanging="180"/>
              <w:jc w:val="left"/>
              <w:rPr>
                <w:rFonts w:ascii="宋体" w:hAnsi="宋体" w:cs="宋体" w:eastAsia="宋体" w:hint="default"/>
                <w:sz w:val="18"/>
                <w:szCs w:val="18"/>
              </w:rPr>
            </w:pPr>
            <w:r>
              <w:rPr>
                <w:rFonts w:ascii="宋体" w:hAnsi="宋体" w:cs="宋体" w:eastAsia="宋体" w:hint="default"/>
                <w:sz w:val="18"/>
                <w:szCs w:val="18"/>
              </w:rPr>
              <w:t>限制性股票授予登记完 成对</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年度影响</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194" w:right="12" w:hanging="180"/>
              <w:jc w:val="left"/>
              <w:rPr>
                <w:rFonts w:ascii="宋体" w:hAnsi="宋体" w:cs="宋体" w:eastAsia="宋体" w:hint="default"/>
                <w:sz w:val="18"/>
                <w:szCs w:val="18"/>
              </w:rPr>
            </w:pPr>
            <w:r>
              <w:rPr>
                <w:rFonts w:ascii="宋体" w:hAnsi="宋体" w:cs="宋体" w:eastAsia="宋体" w:hint="default"/>
                <w:sz w:val="18"/>
                <w:szCs w:val="18"/>
              </w:rPr>
              <w:t>限制性股票授予登记完 成对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年度影响</w:t>
            </w:r>
          </w:p>
        </w:tc>
        <w:tc>
          <w:tcPr>
            <w:tcW w:w="1844" w:type="dxa"/>
            <w:gridSpan w:val="2"/>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83" w:right="15" w:hanging="27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年度权益分派完成 对</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年度影响</w:t>
            </w:r>
          </w:p>
        </w:tc>
        <w:tc>
          <w:tcPr>
            <w:tcW w:w="1843" w:type="dxa"/>
            <w:gridSpan w:val="2"/>
            <w:tcBorders>
              <w:top w:val="single" w:sz="6" w:space="0" w:color="000000"/>
              <w:left w:val="single" w:sz="6" w:space="0" w:color="000000"/>
              <w:bottom w:val="single" w:sz="6" w:space="0" w:color="000000"/>
              <w:right w:val="single" w:sz="6" w:space="0" w:color="000000"/>
            </w:tcBorders>
          </w:tcPr>
          <w:p>
            <w:pPr>
              <w:pStyle w:val="TableParagraph"/>
              <w:spacing w:line="302" w:lineRule="auto" w:before="61"/>
              <w:ind w:left="283" w:right="13" w:hanging="27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年度权益分派完成 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年度影响</w:t>
            </w:r>
          </w:p>
        </w:tc>
      </w:tr>
      <w:tr>
        <w:trPr>
          <w:trHeight w:val="427" w:hRule="exact"/>
        </w:trPr>
        <w:tc>
          <w:tcPr>
            <w:tcW w:w="1985" w:type="dxa"/>
            <w:vMerge/>
            <w:tcBorders>
              <w:left w:val="single" w:sz="6" w:space="0" w:color="000000"/>
              <w:bottom w:val="single" w:sz="6" w:space="0" w:color="000000"/>
              <w:right w:val="single" w:sz="6" w:space="0" w:color="000000"/>
            </w:tcBorders>
          </w:tcPr>
          <w:p>
            <w:pP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变动前</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变动后</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变动前</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变动后</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变动前</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变动后</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sz w:val="18"/>
                <w:szCs w:val="18"/>
              </w:rPr>
              <w:t>变动前</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sz w:val="18"/>
                <w:szCs w:val="18"/>
              </w:rPr>
              <w:t>变动后</w:t>
            </w:r>
          </w:p>
        </w:tc>
      </w:tr>
      <w:tr>
        <w:trPr>
          <w:trHeight w:val="42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基本每股收益</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0.31</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0.31</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0.33</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0.33</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0.31</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0.21</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0.33</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0.22</w:t>
            </w:r>
          </w:p>
        </w:tc>
      </w:tr>
      <w:tr>
        <w:trPr>
          <w:trHeight w:val="427"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稀释每股收益</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0.31</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0.31</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0.33</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0.33</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0.31</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0.21</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0.33</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0.22</w:t>
            </w:r>
          </w:p>
        </w:tc>
      </w:tr>
      <w:tr>
        <w:trPr>
          <w:trHeight w:val="739" w:hRule="exact"/>
        </w:trPr>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535" w:right="83" w:hanging="451"/>
              <w:jc w:val="left"/>
              <w:rPr>
                <w:rFonts w:ascii="宋体" w:hAnsi="宋体" w:cs="宋体" w:eastAsia="宋体" w:hint="default"/>
                <w:sz w:val="18"/>
                <w:szCs w:val="18"/>
              </w:rPr>
            </w:pPr>
            <w:r>
              <w:rPr>
                <w:rFonts w:ascii="宋体" w:hAnsi="宋体" w:cs="宋体" w:eastAsia="宋体" w:hint="default"/>
                <w:sz w:val="18"/>
                <w:szCs w:val="18"/>
              </w:rPr>
              <w:t>归属于公司普通股股东 每股净资产</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3.19</w:t>
            </w:r>
          </w:p>
        </w:tc>
        <w:tc>
          <w:tcPr>
            <w:tcW w:w="9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3.13</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2.73</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2.68</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3.13</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2.10</w:t>
            </w:r>
          </w:p>
        </w:tc>
        <w:tc>
          <w:tcPr>
            <w:tcW w:w="9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2.68</w:t>
            </w:r>
          </w:p>
        </w:tc>
        <w:tc>
          <w:tcPr>
            <w:tcW w:w="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1.80</w:t>
            </w:r>
          </w:p>
        </w:tc>
      </w:tr>
    </w:tbl>
    <w:p>
      <w:pPr>
        <w:pStyle w:val="BodyText"/>
        <w:spacing w:line="240" w:lineRule="auto" w:before="51"/>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5"/>
      <w:bookmarkEnd w:id="105"/>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94"/>
        <w:gridCol w:w="1134"/>
        <w:gridCol w:w="991"/>
        <w:gridCol w:w="1134"/>
        <w:gridCol w:w="1134"/>
        <w:gridCol w:w="2552"/>
        <w:gridCol w:w="1631"/>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0" w:right="38"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1" w:right="111"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9"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132,677,997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80,154,968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212,832,965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每年按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的比例 解锁</w:t>
            </w:r>
          </w:p>
        </w:tc>
      </w:tr>
      <w:tr>
        <w:trPr>
          <w:trHeight w:val="714"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朱瑶</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4,859,381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971,876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1,185,182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5,072,687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每年按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的比例 解锁</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2,538,302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1,693,822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4,232,124</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高管锁定股、股权激励限售股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1,353,761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1,112,122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2,465,883</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高管锁定股、股权激励限售股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1,012,621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783,471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1,710,892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高管锁定股、股权激励限售股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李斌辉</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342,947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342,947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328,037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328,037</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贾志平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269,885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269,885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路凤林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216,206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216,206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刘永强</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216,206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216,206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范娜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216,206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216,206</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张东升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187,875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187,875</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其他股东</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68,355,309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78,077,762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18,859,765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9,137,312</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股权激励限售股</w:t>
            </w:r>
          </w:p>
        </w:tc>
        <w:tc>
          <w:tcPr>
            <w:tcW w:w="1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按规定解锁</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210,797,371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79,134,838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105,566,692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237,229,225</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6"/>
      <w:bookmarkEnd w:id="106"/>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7"/>
      <w:bookmarkEnd w:id="107"/>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08"/>
      <w:bookmarkEnd w:id="108"/>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360"/>
        <w:jc w:val="left"/>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19</w:t>
      </w:r>
      <w:r>
        <w:rPr>
          <w:spacing w:val="-2"/>
        </w:rPr>
        <w:t>日完成了《任子行网络技术股份有限公司</w:t>
      </w:r>
      <w:r>
        <w:rPr>
          <w:rFonts w:ascii="Times New Roman" w:hAnsi="Times New Roman" w:cs="Times New Roman" w:eastAsia="Times New Roman" w:hint="default"/>
          <w:spacing w:val="-2"/>
        </w:rPr>
        <w:t>2018</w:t>
      </w:r>
      <w:r>
        <w:rPr>
          <w:spacing w:val="-2"/>
        </w:rPr>
        <w:t>年限制性股票激励计划（草案）》限制性股票首次</w:t>
      </w:r>
      <w:r>
        <w:rPr/>
        <w:t> 授予登记工作，公司的总股本由</w:t>
      </w:r>
      <w:r>
        <w:rPr>
          <w:rFonts w:ascii="Times New Roman" w:hAnsi="Times New Roman" w:cs="Times New Roman" w:eastAsia="Times New Roman" w:hint="default"/>
        </w:rPr>
        <w:t>447,930,709</w:t>
      </w:r>
      <w:r>
        <w:rPr/>
        <w:t>股变更为</w:t>
      </w:r>
      <w:r>
        <w:rPr>
          <w:rFonts w:ascii="Times New Roman" w:hAnsi="Times New Roman" w:cs="Times New Roman" w:eastAsia="Times New Roman" w:hint="default"/>
        </w:rPr>
        <w:t>456,070,709</w:t>
      </w:r>
      <w:r>
        <w:rPr/>
        <w:t>股。</w:t>
      </w:r>
    </w:p>
    <w:p>
      <w:pPr>
        <w:pStyle w:val="BodyText"/>
        <w:spacing w:line="240" w:lineRule="auto" w:before="13"/>
        <w:ind w:left="514" w:right="0"/>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29</w:t>
      </w:r>
      <w:r>
        <w:rPr/>
        <w:t>日实施完成</w:t>
      </w:r>
      <w:r>
        <w:rPr>
          <w:rFonts w:ascii="Times New Roman" w:hAnsi="Times New Roman" w:cs="Times New Roman" w:eastAsia="Times New Roman" w:hint="default"/>
        </w:rPr>
        <w:t>2017</w:t>
      </w:r>
      <w:r>
        <w:rPr/>
        <w:t>年年度权益分派，公司的总股本由</w:t>
      </w:r>
      <w:r>
        <w:rPr>
          <w:rFonts w:ascii="Times New Roman" w:hAnsi="Times New Roman" w:cs="Times New Roman" w:eastAsia="Times New Roman" w:hint="default"/>
        </w:rPr>
        <w:t>456,070,709</w:t>
      </w:r>
      <w:r>
        <w:rPr/>
        <w:t>股变更为</w:t>
      </w:r>
      <w:r>
        <w:rPr>
          <w:rFonts w:ascii="Times New Roman" w:hAnsi="Times New Roman" w:cs="Times New Roman" w:eastAsia="Times New Roman" w:hint="default"/>
        </w:rPr>
        <w:t>680,036,042</w:t>
      </w:r>
      <w:r>
        <w:rPr/>
        <w:t>股。</w:t>
      </w:r>
    </w:p>
    <w:p>
      <w:pPr>
        <w:pStyle w:val="BodyText"/>
        <w:spacing w:line="240" w:lineRule="auto" w:before="63"/>
        <w:ind w:left="514" w:right="0"/>
        <w:jc w:val="left"/>
      </w:pPr>
      <w:r>
        <w:rPr>
          <w:rFonts w:ascii="Times New Roman" w:hAnsi="Times New Roman" w:cs="Times New Roman" w:eastAsia="Times New Roman" w:hint="default"/>
        </w:rPr>
        <w:t>3</w:t>
      </w:r>
      <w:r>
        <w:rPr/>
        <w:t>、公司股东华信行、龙象之本、丁伟国、蒋利琴、朱瑶、刘泉、水向东、周益斌、杨敏持有的非公开发行股份合计为</w:t>
      </w:r>
    </w:p>
    <w:p>
      <w:pPr>
        <w:pStyle w:val="BodyText"/>
        <w:spacing w:line="300" w:lineRule="auto" w:before="63"/>
        <w:ind w:left="514" w:right="2987" w:hanging="360"/>
        <w:jc w:val="left"/>
      </w:pPr>
      <w:r>
        <w:rPr>
          <w:rFonts w:ascii="Times New Roman" w:hAnsi="Times New Roman" w:cs="Times New Roman" w:eastAsia="Times New Roman" w:hint="default"/>
        </w:rPr>
        <w:t>42,328,456</w:t>
      </w:r>
      <w:r>
        <w:rPr/>
        <w:t>股，占公司总股本</w:t>
      </w:r>
      <w:r>
        <w:rPr>
          <w:rFonts w:ascii="Times New Roman" w:hAnsi="Times New Roman" w:cs="Times New Roman" w:eastAsia="Times New Roman" w:hint="default"/>
        </w:rPr>
        <w:t>6.22%</w:t>
      </w:r>
      <w:r>
        <w:rPr/>
        <w:t>，已于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21</w:t>
      </w:r>
      <w:r>
        <w:rPr/>
        <w:t>日解除限售上市流通。 具体内容详见公司在创业板指定信息披露网站巨潮资讯网（</w:t>
      </w:r>
      <w:hyperlink r:id="rId12">
        <w:r>
          <w:rPr>
            <w:rFonts w:ascii="Times New Roman" w:hAnsi="Times New Roman" w:cs="Times New Roman" w:eastAsia="Times New Roman" w:hint="default"/>
          </w:rPr>
          <w:t>www.cninfo.com.cn</w:t>
        </w:r>
      </w:hyperlink>
      <w:r>
        <w:rPr/>
        <w:t>）上的相关披露</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3、现存的内部职工股情况" w:id="109"/>
      <w:bookmarkEnd w:id="109"/>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股东和实际控制人情况" w:id="110"/>
      <w:bookmarkEnd w:id="110"/>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1"/>
      <w:bookmarkEnd w:id="111"/>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pict>
          <v:shape style="position:absolute;margin-left:449.277008pt;margin-top:70.491699pt;width:85.6pt;height:31.2pt;mso-position-horizontal-relative:page;mso-position-vertical-relative:paragraph;z-index:-1057480" type="#_x0000_t202" filled="false" stroked="false">
            <v:textbox inset="0,0,0,0">
              <w:txbxContent>
                <w:p>
                  <w:pPr>
                    <w:pStyle w:val="BodyText"/>
                    <w:spacing w:line="207" w:lineRule="exact" w:before="0"/>
                    <w:ind w:left="0" w:right="0"/>
                    <w:jc w:val="left"/>
                  </w:pPr>
                  <w:r>
                    <w:rPr/>
                    <w:t>（如有）</w:t>
                  </w:r>
                </w:p>
              </w:txbxContent>
            </v:textbox>
            <w10:wrap type="none"/>
          </v:shape>
        </w:pict>
      </w:r>
      <w:r>
        <w:rPr/>
        <w:pict>
          <v:group style="position:absolute;margin-left:482.399994pt;margin-top:70.491699pt;width:52.45pt;height:31.2pt;mso-position-horizontal-relative:page;mso-position-vertical-relative:paragraph;z-index:-1057456" coordorigin="9648,1410" coordsize="1049,624">
            <v:shape style="position:absolute;left:9648;top:1410;width:1049;height:624" coordorigin="9648,1410" coordsize="1049,624" path="m9648,2034l10697,2034,10697,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5"/>
        <w:gridCol w:w="134"/>
        <w:gridCol w:w="673"/>
        <w:gridCol w:w="739"/>
        <w:gridCol w:w="744"/>
        <w:gridCol w:w="830"/>
        <w:gridCol w:w="344"/>
        <w:gridCol w:w="445"/>
        <w:gridCol w:w="824"/>
        <w:gridCol w:w="802"/>
        <w:gridCol w:w="323"/>
        <w:gridCol w:w="1027"/>
        <w:gridCol w:w="279"/>
        <w:gridCol w:w="513"/>
        <w:gridCol w:w="558"/>
      </w:tblGrid>
      <w:tr>
        <w:trPr>
          <w:trHeight w:val="162"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39,149</w:t>
            </w:r>
          </w:p>
        </w:tc>
        <w:tc>
          <w:tcPr>
            <w:tcW w:w="1483" w:type="dxa"/>
            <w:gridSpan w:val="2"/>
            <w:vMerge w:val="restart"/>
            <w:tcBorders>
              <w:top w:val="single" w:sz="4" w:space="0" w:color="000000"/>
              <w:left w:val="single" w:sz="4" w:space="0" w:color="000000"/>
              <w:right w:val="single" w:sz="4" w:space="0" w:color="000000"/>
            </w:tcBorders>
            <w:shd w:val="clear" w:color="auto" w:fill="D2D2D2"/>
          </w:tcPr>
          <w:p>
            <w:pPr/>
          </w:p>
        </w:tc>
        <w:tc>
          <w:tcPr>
            <w:tcW w:w="1174"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29" w:right="0"/>
              <w:jc w:val="left"/>
              <w:rPr>
                <w:rFonts w:ascii="Times New Roman" w:hAnsi="Times New Roman" w:cs="Times New Roman" w:eastAsia="Times New Roman" w:hint="default"/>
                <w:sz w:val="18"/>
                <w:szCs w:val="18"/>
              </w:rPr>
            </w:pPr>
            <w:r>
              <w:rPr>
                <w:rFonts w:ascii="Times New Roman"/>
                <w:sz w:val="18"/>
              </w:rPr>
              <w:t>43,795</w:t>
            </w:r>
          </w:p>
        </w:tc>
        <w:tc>
          <w:tcPr>
            <w:tcW w:w="12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25"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13" w:type="dxa"/>
            <w:tcBorders>
              <w:top w:val="single" w:sz="4" w:space="0" w:color="000000"/>
              <w:left w:val="single" w:sz="13" w:space="0" w:color="D2D2D2"/>
              <w:bottom w:val="nil" w:sz="6" w:space="0" w:color="auto"/>
              <w:right w:val="nil" w:sz="6" w:space="0" w:color="auto"/>
            </w:tcBorders>
          </w:tcPr>
          <w:p>
            <w:pPr/>
          </w:p>
        </w:tc>
        <w:tc>
          <w:tcPr>
            <w:tcW w:w="558"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val="restart"/>
            <w:tcBorders>
              <w:top w:val="nil" w:sz="6" w:space="0" w:color="auto"/>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99"/>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tcBorders>
              <w:left w:val="single" w:sz="4" w:space="0" w:color="000000"/>
              <w:bottom w:val="nil" w:sz="6" w:space="0" w:color="auto"/>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83" w:type="dxa"/>
            <w:gridSpan w:val="2"/>
            <w:vMerge w:val="restart"/>
            <w:tcBorders>
              <w:top w:val="nil" w:sz="6" w:space="0" w:color="auto"/>
              <w:left w:val="single" w:sz="4" w:space="0" w:color="000000"/>
              <w:right w:val="single" w:sz="4" w:space="0" w:color="000000"/>
            </w:tcBorders>
            <w:shd w:val="clear" w:color="auto" w:fill="D2D2D2"/>
          </w:tcPr>
          <w:p>
            <w:pPr/>
          </w:p>
        </w:tc>
        <w:tc>
          <w:tcPr>
            <w:tcW w:w="1174" w:type="dxa"/>
            <w:gridSpan w:val="2"/>
            <w:vMerge/>
            <w:tcBorders>
              <w:left w:val="single" w:sz="9" w:space="0" w:color="D2D2D2"/>
              <w:right w:val="single" w:sz="9" w:space="0" w:color="D2D2D2"/>
            </w:tcBorders>
          </w:tcPr>
          <w:p>
            <w:pPr/>
          </w:p>
        </w:tc>
        <w:tc>
          <w:tcPr>
            <w:tcW w:w="1268" w:type="dxa"/>
            <w:gridSpan w:val="2"/>
            <w:vMerge/>
            <w:tcBorders>
              <w:left w:val="single" w:sz="4" w:space="0" w:color="000000"/>
              <w:bottom w:val="nil" w:sz="6" w:space="0" w:color="auto"/>
              <w:right w:val="single" w:sz="4" w:space="0" w:color="000000"/>
            </w:tcBorders>
            <w:shd w:val="clear" w:color="auto" w:fill="D2D2D2"/>
          </w:tcPr>
          <w:p>
            <w:pPr/>
          </w:p>
        </w:tc>
        <w:tc>
          <w:tcPr>
            <w:tcW w:w="1125" w:type="dxa"/>
            <w:gridSpan w:val="2"/>
            <w:vMerge/>
            <w:tcBorders>
              <w:left w:val="single" w:sz="10" w:space="0" w:color="D2D2D2"/>
              <w:right w:val="single" w:sz="13"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513" w:type="dxa"/>
            <w:vMerge/>
            <w:tcBorders>
              <w:left w:val="single" w:sz="13" w:space="0" w:color="D2D2D2"/>
              <w:right w:val="nil" w:sz="6" w:space="0" w:color="auto"/>
            </w:tcBorders>
          </w:tcPr>
          <w:p>
            <w:pPr/>
          </w:p>
        </w:tc>
        <w:tc>
          <w:tcPr>
            <w:tcW w:w="558"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83" w:type="dxa"/>
            <w:gridSpan w:val="2"/>
            <w:vMerge/>
            <w:tcBorders>
              <w:left w:val="single" w:sz="4" w:space="0" w:color="000000"/>
              <w:bottom w:val="single" w:sz="4" w:space="0" w:color="000000"/>
              <w:right w:val="single" w:sz="4" w:space="0" w:color="000000"/>
            </w:tcBorders>
            <w:shd w:val="clear" w:color="auto" w:fill="D2D2D2"/>
          </w:tcPr>
          <w:p>
            <w:pPr/>
          </w:p>
        </w:tc>
        <w:tc>
          <w:tcPr>
            <w:tcW w:w="1174" w:type="dxa"/>
            <w:gridSpan w:val="2"/>
            <w:vMerge/>
            <w:tcBorders>
              <w:left w:val="single" w:sz="9" w:space="0" w:color="D2D2D2"/>
              <w:bottom w:val="single" w:sz="4" w:space="0" w:color="000000"/>
              <w:right w:val="single" w:sz="9" w:space="0" w:color="D2D2D2"/>
            </w:tcBorders>
          </w:tcPr>
          <w:p>
            <w:pPr/>
          </w:p>
        </w:tc>
        <w:tc>
          <w:tcPr>
            <w:tcW w:w="12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25" w:type="dxa"/>
            <w:gridSpan w:val="2"/>
            <w:vMerge/>
            <w:tcBorders>
              <w:left w:val="single" w:sz="10" w:space="0" w:color="D2D2D2"/>
              <w:bottom w:val="single" w:sz="4" w:space="0" w:color="000000"/>
              <w:right w:val="single" w:sz="13" w:space="0" w:color="D2D2D2"/>
            </w:tcBorders>
          </w:tcPr>
          <w:p>
            <w:pPr/>
          </w:p>
        </w:tc>
        <w:tc>
          <w:tcPr>
            <w:tcW w:w="1306" w:type="dxa"/>
            <w:gridSpan w:val="2"/>
            <w:vMerge/>
            <w:tcBorders>
              <w:left w:val="single" w:sz="4" w:space="0" w:color="000000"/>
              <w:bottom w:val="single" w:sz="4" w:space="0" w:color="000000"/>
              <w:right w:val="single" w:sz="4" w:space="0" w:color="000000"/>
            </w:tcBorders>
            <w:shd w:val="clear" w:color="auto" w:fill="D2D2D2"/>
          </w:tcPr>
          <w:p>
            <w:pPr/>
          </w:p>
        </w:tc>
        <w:tc>
          <w:tcPr>
            <w:tcW w:w="513" w:type="dxa"/>
            <w:vMerge/>
            <w:tcBorders>
              <w:left w:val="single" w:sz="13" w:space="0" w:color="D2D2D2"/>
              <w:bottom w:val="single" w:sz="4" w:space="0" w:color="000000"/>
              <w:right w:val="nil" w:sz="6" w:space="0" w:color="auto"/>
            </w:tcBorders>
          </w:tcPr>
          <w:p>
            <w:pPr/>
          </w:p>
        </w:tc>
        <w:tc>
          <w:tcPr>
            <w:tcW w:w="558"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7"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411" w:type="dxa"/>
            <w:gridSpan w:val="2"/>
            <w:vMerge w:val="restart"/>
            <w:tcBorders>
              <w:top w:val="single" w:sz="4" w:space="0" w:color="000000"/>
              <w:left w:val="single" w:sz="4" w:space="0" w:color="000000"/>
              <w:right w:val="single" w:sz="4" w:space="0" w:color="000000"/>
            </w:tcBorders>
            <w:shd w:val="clear" w:color="auto" w:fill="D2D2D2"/>
          </w:tcPr>
          <w:p>
            <w:pPr/>
          </w:p>
        </w:tc>
        <w:tc>
          <w:tcPr>
            <w:tcW w:w="744" w:type="dxa"/>
            <w:vMerge w:val="restart"/>
            <w:tcBorders>
              <w:top w:val="single" w:sz="4" w:space="0" w:color="000000"/>
              <w:left w:val="single" w:sz="4" w:space="0" w:color="000000"/>
              <w:right w:val="single" w:sz="4" w:space="0" w:color="000000"/>
            </w:tcBorders>
            <w:shd w:val="clear" w:color="auto" w:fill="D2D2D2"/>
          </w:tcPr>
          <w:p>
            <w:pPr/>
          </w:p>
        </w:tc>
        <w:tc>
          <w:tcPr>
            <w:tcW w:w="8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7" w:right="64"/>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16"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71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27"/>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right w:val="single" w:sz="4" w:space="0" w:color="000000"/>
            </w:tcBorders>
            <w:shd w:val="clear" w:color="auto" w:fill="D2D2D2"/>
          </w:tcPr>
          <w:p>
            <w:pPr/>
          </w:p>
        </w:tc>
      </w:tr>
      <w:tr>
        <w:trPr>
          <w:trHeight w:val="140"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8" w:right="-15"/>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2699" w:type="dxa"/>
            <w:gridSpan w:val="5"/>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411" w:type="dxa"/>
            <w:gridSpan w:val="2"/>
            <w:vMerge/>
            <w:tcBorders>
              <w:left w:val="single" w:sz="4" w:space="0" w:color="000000"/>
              <w:bottom w:val="nil" w:sz="6" w:space="0" w:color="auto"/>
              <w:right w:val="single" w:sz="4" w:space="0" w:color="000000"/>
            </w:tcBorders>
            <w:shd w:val="clear" w:color="auto" w:fill="D2D2D2"/>
          </w:tcPr>
          <w:p>
            <w:pPr/>
          </w:p>
        </w:tc>
        <w:tc>
          <w:tcPr>
            <w:tcW w:w="744" w:type="dxa"/>
            <w:vMerge/>
            <w:tcBorders>
              <w:left w:val="single" w:sz="4" w:space="0" w:color="000000"/>
              <w:bottom w:val="nil" w:sz="6" w:space="0" w:color="auto"/>
              <w:right w:val="single" w:sz="4" w:space="0" w:color="000000"/>
            </w:tcBorders>
            <w:shd w:val="clear" w:color="auto" w:fill="D2D2D2"/>
          </w:tcPr>
          <w:p>
            <w:pPr/>
          </w:p>
        </w:tc>
        <w:tc>
          <w:tcPr>
            <w:tcW w:w="830" w:type="dxa"/>
            <w:vMerge/>
            <w:tcBorders>
              <w:left w:val="single" w:sz="4" w:space="0" w:color="000000"/>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411" w:type="dxa"/>
            <w:gridSpan w:val="2"/>
            <w:vMerge w:val="restart"/>
            <w:tcBorders>
              <w:top w:val="nil" w:sz="6" w:space="0" w:color="auto"/>
              <w:left w:val="single" w:sz="4" w:space="0" w:color="000000"/>
              <w:right w:val="single" w:sz="4" w:space="0" w:color="000000"/>
            </w:tcBorders>
            <w:shd w:val="clear" w:color="auto" w:fill="D2D2D2"/>
          </w:tcPr>
          <w:p>
            <w:pPr/>
          </w:p>
        </w:tc>
        <w:tc>
          <w:tcPr>
            <w:tcW w:w="744" w:type="dxa"/>
            <w:vMerge w:val="restart"/>
            <w:tcBorders>
              <w:top w:val="nil" w:sz="6" w:space="0" w:color="auto"/>
              <w:left w:val="single" w:sz="4" w:space="0" w:color="000000"/>
              <w:right w:val="single" w:sz="4" w:space="0" w:color="000000"/>
            </w:tcBorders>
            <w:shd w:val="clear" w:color="auto" w:fill="D2D2D2"/>
          </w:tcPr>
          <w:p>
            <w:pPr/>
          </w:p>
        </w:tc>
        <w:tc>
          <w:tcPr>
            <w:tcW w:w="830" w:type="dxa"/>
            <w:vMerge/>
            <w:tcBorders>
              <w:left w:val="single" w:sz="4" w:space="0" w:color="000000"/>
              <w:bottom w:val="nil" w:sz="6" w:space="0" w:color="auto"/>
              <w:right w:val="single" w:sz="4" w:space="0" w:color="000000"/>
            </w:tcBorders>
            <w:shd w:val="clear" w:color="auto" w:fill="D2D2D2"/>
          </w:tcPr>
          <w:p>
            <w:pPr/>
          </w:p>
        </w:tc>
        <w:tc>
          <w:tcPr>
            <w:tcW w:w="788" w:type="dxa"/>
            <w:gridSpan w:val="2"/>
            <w:vMerge/>
            <w:tcBorders>
              <w:left w:val="single" w:sz="4" w:space="0" w:color="000000"/>
              <w:right w:val="single" w:sz="4" w:space="0" w:color="000000"/>
            </w:tcBorders>
            <w:shd w:val="clear" w:color="auto" w:fill="D2D2D2"/>
          </w:tcPr>
          <w:p>
            <w:pPr/>
          </w:p>
        </w:tc>
        <w:tc>
          <w:tcPr>
            <w:tcW w:w="824"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c>
          <w:tcPr>
            <w:tcW w:w="1350" w:type="dxa"/>
            <w:gridSpan w:val="3"/>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411" w:type="dxa"/>
            <w:gridSpan w:val="2"/>
            <w:vMerge/>
            <w:tcBorders>
              <w:left w:val="single" w:sz="4" w:space="0" w:color="000000"/>
              <w:bottom w:val="single" w:sz="4" w:space="0" w:color="000000"/>
              <w:right w:val="single" w:sz="4" w:space="0" w:color="000000"/>
            </w:tcBorders>
            <w:shd w:val="clear" w:color="auto" w:fill="D2D2D2"/>
          </w:tcPr>
          <w:p>
            <w:pPr/>
          </w:p>
        </w:tc>
        <w:tc>
          <w:tcPr>
            <w:tcW w:w="744" w:type="dxa"/>
            <w:vMerge/>
            <w:tcBorders>
              <w:left w:val="single" w:sz="4" w:space="0" w:color="000000"/>
              <w:bottom w:val="single" w:sz="4" w:space="0" w:color="000000"/>
              <w:right w:val="single" w:sz="4" w:space="0" w:color="000000"/>
            </w:tcBorders>
            <w:shd w:val="clear" w:color="auto" w:fill="D2D2D2"/>
          </w:tcPr>
          <w:p>
            <w:pPr/>
          </w:p>
        </w:tc>
        <w:tc>
          <w:tcPr>
            <w:tcW w:w="8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gridSpan w:val="2"/>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02" w:type="dxa"/>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50" w:type="dxa"/>
            <w:gridSpan w:val="3"/>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38.79%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263,777,2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86,873,29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212,832,9</w:t>
            </w:r>
          </w:p>
          <w:p>
            <w:pPr>
              <w:pStyle w:val="TableParagraph"/>
              <w:spacing w:line="240" w:lineRule="auto" w:before="105"/>
              <w:ind w:right="59"/>
              <w:jc w:val="right"/>
              <w:rPr>
                <w:rFonts w:ascii="Times New Roman" w:hAnsi="Times New Roman" w:cs="Times New Roman" w:eastAsia="Times New Roman" w:hint="default"/>
                <w:sz w:val="18"/>
                <w:szCs w:val="18"/>
              </w:rPr>
            </w:pPr>
            <w:r>
              <w:rPr>
                <w:rFonts w:ascii="Times New Roman"/>
                <w:sz w:val="18"/>
              </w:rPr>
              <w:t>65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50,944,32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49"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8" w:space="0" w:color="D2D2D2"/>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16" w:right="0"/>
              <w:jc w:val="left"/>
              <w:rPr>
                <w:rFonts w:ascii="Times New Roman" w:hAnsi="Times New Roman" w:cs="Times New Roman" w:eastAsia="Times New Roman" w:hint="default"/>
                <w:sz w:val="18"/>
                <w:szCs w:val="18"/>
              </w:rPr>
            </w:pPr>
            <w:r>
              <w:rPr>
                <w:rFonts w:ascii="Times New Roman"/>
                <w:sz w:val="18"/>
              </w:rPr>
              <w:t>242,716,251</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深圳市华信行投 </w:t>
            </w:r>
            <w:r>
              <w:rPr>
                <w:rFonts w:ascii="宋体" w:hAnsi="宋体" w:cs="宋体" w:eastAsia="宋体" w:hint="default"/>
                <w:spacing w:val="-4"/>
                <w:sz w:val="18"/>
                <w:szCs w:val="18"/>
              </w:rPr>
              <w:t>资合伙企业（有限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5.31%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36,129,45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11,898,99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5</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36,129,45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丁伟国</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20,934,11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1,884,112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20,934,11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20,934,012</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蒋利琴</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2.88%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19,590,73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344,900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19,590,73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13,800,600</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both"/>
              <w:rPr>
                <w:rFonts w:ascii="宋体" w:hAnsi="宋体" w:cs="宋体" w:eastAsia="宋体" w:hint="default"/>
                <w:sz w:val="18"/>
                <w:szCs w:val="18"/>
              </w:rPr>
            </w:pPr>
            <w:r>
              <w:rPr>
                <w:rFonts w:ascii="宋体" w:hAnsi="宋体" w:cs="宋体" w:eastAsia="宋体" w:hint="default"/>
                <w:sz w:val="18"/>
                <w:szCs w:val="18"/>
              </w:rPr>
              <w:t>新余市华信远景 投资咨询有限公 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1.52%</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10,330,00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-14,812,9</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84</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10,330,00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尹景</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1.19%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8,120,000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8,120,000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8,120,000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景玉林</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0.85%</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5,805,951</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1,912,151</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5,805,951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4"/>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0.84%</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5,744,532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1,891,923</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5,744,532</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0.81%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5,493,725</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2,109,322</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4,232,124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1,261,601</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杨芳军</w:t>
            </w:r>
          </w:p>
        </w:tc>
        <w:tc>
          <w:tcPr>
            <w:tcW w:w="14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0.80%</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5,460,000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5,460,000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9"/>
              <w:jc w:val="right"/>
              <w:rPr>
                <w:rFonts w:ascii="Times New Roman" w:hAnsi="Times New Roman" w:cs="Times New Roman" w:eastAsia="Times New Roman" w:hint="default"/>
                <w:sz w:val="18"/>
                <w:szCs w:val="18"/>
              </w:rPr>
            </w:pPr>
            <w:r>
              <w:rPr>
                <w:rFonts w:ascii="Times New Roman"/>
                <w:sz w:val="18"/>
              </w:rPr>
              <w:t>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5,460,000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50" w:type="dxa"/>
            <w:gridSpan w:val="3"/>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8" w:type="dxa"/>
            <w:gridSpan w:val="11"/>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2" w:hRule="exact"/>
        </w:trPr>
        <w:tc>
          <w:tcPr>
            <w:tcW w:w="288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688" w:type="dxa"/>
            <w:gridSpan w:val="11"/>
            <w:vMerge w:val="restart"/>
            <w:tcBorders>
              <w:top w:val="single" w:sz="4" w:space="0" w:color="000000"/>
              <w:left w:val="single" w:sz="9" w:space="0" w:color="D2D2D2"/>
              <w:right w:val="single" w:sz="4" w:space="0" w:color="000000"/>
            </w:tcBorders>
          </w:tcPr>
          <w:p>
            <w:pPr>
              <w:pStyle w:val="TableParagraph"/>
              <w:spacing w:line="319" w:lineRule="auto" w:before="52"/>
              <w:ind w:left="16" w:right="22"/>
              <w:jc w:val="both"/>
              <w:rPr>
                <w:rFonts w:ascii="宋体" w:hAnsi="宋体" w:cs="宋体" w:eastAsia="宋体" w:hint="default"/>
                <w:sz w:val="18"/>
                <w:szCs w:val="18"/>
              </w:rPr>
            </w:pPr>
            <w:r>
              <w:rPr>
                <w:rFonts w:ascii="宋体" w:hAnsi="宋体" w:cs="宋体" w:eastAsia="宋体" w:hint="default"/>
                <w:spacing w:val="-1"/>
                <w:sz w:val="18"/>
                <w:szCs w:val="18"/>
              </w:rPr>
              <w:t>上述股东中，景晓军为华信远景控股股东、实际控制人，为华信行的合伙人；景晓东</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为华信行的合伙人，为景晓军先生之兄弟；除此之外，其余股东不存在或未知是否存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在关联关系或属于《上市公司收购管理办法》规定的一致行动人。</w:t>
            </w:r>
          </w:p>
        </w:tc>
      </w:tr>
      <w:tr>
        <w:trPr>
          <w:trHeight w:val="704" w:hRule="exact"/>
        </w:trPr>
        <w:tc>
          <w:tcPr>
            <w:tcW w:w="2880"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8" w:type="dxa"/>
            <w:gridSpan w:val="11"/>
            <w:vMerge/>
            <w:tcBorders>
              <w:left w:val="single" w:sz="9" w:space="0" w:color="D2D2D2"/>
              <w:right w:val="single" w:sz="4" w:space="0" w:color="000000"/>
            </w:tcBorders>
          </w:tcPr>
          <w:p>
            <w:pPr/>
          </w:p>
        </w:tc>
      </w:tr>
      <w:tr>
        <w:trPr>
          <w:trHeight w:val="161" w:hRule="exact"/>
        </w:trPr>
        <w:tc>
          <w:tcPr>
            <w:tcW w:w="288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688" w:type="dxa"/>
            <w:gridSpan w:val="11"/>
            <w:vMerge/>
            <w:tcBorders>
              <w:left w:val="single" w:sz="9" w:space="0" w:color="D2D2D2"/>
              <w:bottom w:val="single" w:sz="4" w:space="0" w:color="000000"/>
              <w:right w:val="single" w:sz="4" w:space="0" w:color="000000"/>
            </w:tcBorders>
          </w:tcPr>
          <w:p>
            <w:pPr/>
          </w:p>
        </w:tc>
      </w:tr>
      <w:tr>
        <w:trPr>
          <w:trHeight w:val="402" w:hRule="exact"/>
        </w:trPr>
        <w:tc>
          <w:tcPr>
            <w:tcW w:w="956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3"/>
          <w:szCs w:val="13"/>
        </w:rPr>
      </w:pPr>
    </w:p>
    <w:p>
      <w:pPr>
        <w:pStyle w:val="BodyText"/>
        <w:spacing w:line="240" w:lineRule="auto" w:before="0"/>
        <w:ind w:left="0" w:right="1141"/>
        <w:jc w:val="right"/>
      </w:pPr>
      <w:r>
        <w:rPr/>
        <w:pict>
          <v:shape style="position:absolute;margin-left:56.459999pt;margin-top:-291.128296pt;width:479.2pt;height:391.1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0"/>
                    <w:gridCol w:w="3989"/>
                    <w:gridCol w:w="1349"/>
                    <w:gridCol w:w="1350"/>
                  </w:tblGrid>
                  <w:tr>
                    <w:trPr>
                      <w:trHeight w:val="402" w:hRule="exact"/>
                    </w:trPr>
                    <w:tc>
                      <w:tcPr>
                        <w:tcW w:w="28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0" w:type="dxa"/>
                        <w:vMerge/>
                        <w:tcBorders>
                          <w:left w:val="single" w:sz="4" w:space="0" w:color="000000"/>
                          <w:bottom w:val="single" w:sz="4" w:space="0" w:color="000000"/>
                          <w:right w:val="single" w:sz="4" w:space="0" w:color="000000"/>
                        </w:tcBorders>
                        <w:shd w:val="clear" w:color="auto" w:fill="D2D2D2"/>
                      </w:tcPr>
                      <w:p>
                        <w:pPr/>
                      </w:p>
                    </w:tc>
                    <w:tc>
                      <w:tcPr>
                        <w:tcW w:w="3989"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50,944,321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50,944,321</w:t>
                        </w:r>
                      </w:p>
                    </w:tc>
                  </w:tr>
                  <w:tr>
                    <w:trPr>
                      <w:trHeight w:val="714"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深圳市华信行投资合伙企业（有限合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伙）</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36,129,454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36,129,454</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丁伟国</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20,934,112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20,934,112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蒋利琴</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19,590,731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19,590,731</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新余市华信远景投资咨询有限公司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10,330,009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10,330,009</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尹景</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8,120,000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景玉林</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5,805,951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5,805,951</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5,744,532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5,744,532</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杨芳军</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5,460,000</w:t>
                        </w:r>
                      </w:p>
                    </w:tc>
                  </w:tr>
                  <w:tr>
                    <w:trPr>
                      <w:trHeight w:val="402"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刘泉</w:t>
                        </w:r>
                      </w:p>
                    </w:tc>
                    <w:tc>
                      <w:tcPr>
                        <w:tcW w:w="3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5,239,127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5,239,127</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2"/>
                          <w:jc w:val="left"/>
                          <w:rPr>
                            <w:rFonts w:ascii="宋体" w:hAnsi="宋体" w:cs="宋体" w:eastAsia="宋体" w:hint="default"/>
                            <w:sz w:val="18"/>
                            <w:szCs w:val="18"/>
                          </w:rPr>
                        </w:pPr>
                        <w:r>
                          <w:rPr>
                            <w:rFonts w:ascii="宋体" w:hAnsi="宋体" w:cs="宋体" w:eastAsia="宋体" w:hint="default"/>
                            <w:spacing w:val="-1"/>
                            <w:sz w:val="18"/>
                            <w:szCs w:val="18"/>
                          </w:rPr>
                          <w:t>上述股东中，景晓军为华信远景控股股东、实际控制人，为华信行的合伙人；其他股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东之间，未知是否存在关联关系或属于《上市公司收购管理办法》规定的一致行动人</w:t>
                        </w:r>
                      </w:p>
                    </w:tc>
                  </w:tr>
                  <w:tr>
                    <w:trPr>
                      <w:trHeight w:val="1338"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公司股东华信远景通过华创证券有限责任公司客户信用交易担保证券账户持有</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10,330,009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股；公司股东尹景通过华创证券有限责任公司客户信用交易担保证券账户</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8,120,000 </w:t>
                        </w:r>
                        <w:r>
                          <w:rPr>
                            <w:rFonts w:ascii="宋体" w:hAnsi="宋体" w:cs="宋体" w:eastAsia="宋体" w:hint="default"/>
                            <w:sz w:val="18"/>
                            <w:szCs w:val="18"/>
                          </w:rPr>
                          <w:t>股；公司股东杨芳军通过华创证券有限责任公司客户信用交易担保证</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5,460,000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2"/>
      <w:bookmarkEnd w:id="112"/>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8592"/>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8"/>
        <w:gridCol w:w="2030"/>
        <w:gridCol w:w="4121"/>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现任公司董事长</w:t>
            </w:r>
          </w:p>
        </w:tc>
      </w:tr>
      <w:tr>
        <w:trPr>
          <w:trHeight w:val="714"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6"/>
        <w:ind w:right="0"/>
        <w:jc w:val="left"/>
      </w:pPr>
      <w:r>
        <w:rPr/>
        <w:t>控股股东报告期内变更</w:t>
      </w:r>
    </w:p>
    <w:p>
      <w:pPr>
        <w:pStyle w:val="BodyText"/>
        <w:spacing w:line="338" w:lineRule="auto" w:before="117"/>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公司实际控制人及其一致行动人" w:id="113"/>
      <w:bookmarkEnd w:id="113"/>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3138"/>
        <w:gridCol w:w="1984"/>
        <w:gridCol w:w="2054"/>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44"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2" w:right="30" w:hanging="720"/>
              <w:jc w:val="left"/>
              <w:rPr>
                <w:rFonts w:ascii="宋体" w:hAnsi="宋体" w:cs="宋体" w:eastAsia="宋体" w:hint="default"/>
                <w:sz w:val="18"/>
                <w:szCs w:val="18"/>
              </w:rPr>
            </w:pPr>
            <w:r>
              <w:rPr>
                <w:rFonts w:ascii="宋体" w:hAnsi="宋体" w:cs="宋体" w:eastAsia="宋体" w:hint="default"/>
                <w:sz w:val="18"/>
                <w:szCs w:val="18"/>
              </w:rPr>
              <w:t>是否取得其他国家或地区 居留权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华信行</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华信远景</w:t>
            </w:r>
          </w:p>
        </w:tc>
        <w:tc>
          <w:tcPr>
            <w:tcW w:w="3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景晓军任公司董事长；景晓东任公司董事、副总经理。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自公司上市至今，景晓军为公司控股股东、实际控制人。</w:t>
            </w:r>
          </w:p>
        </w:tc>
      </w:tr>
    </w:tbl>
    <w:p>
      <w:pPr>
        <w:pStyle w:val="BodyText"/>
        <w:spacing w:line="240" w:lineRule="auto" w:before="68"/>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25"/>
          <w:szCs w:val="25"/>
        </w:rPr>
      </w:pPr>
    </w:p>
    <w:p>
      <w:pPr>
        <w:spacing w:line="4065" w:lineRule="exact"/>
        <w:ind w:left="1356"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1331" cy="258127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4591331"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6"/>
        <w:rPr>
          <w:rFonts w:ascii="宋体" w:hAnsi="宋体" w:cs="宋体" w:eastAsia="宋体" w:hint="default"/>
          <w:sz w:val="24"/>
          <w:szCs w:val="24"/>
        </w:rPr>
      </w:pPr>
    </w:p>
    <w:p>
      <w:pPr>
        <w:pStyle w:val="BodyText"/>
        <w:spacing w:line="240" w:lineRule="auto"/>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4"/>
      <w:bookmarkEnd w:id="114"/>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5" w:id="115"/>
      <w:bookmarkStart w:name="第七节 优先股相关情况" w:id="116"/>
      <w:r>
        <w:rPr>
          <w:b w:val="0"/>
          <w:bCs w:val="0"/>
        </w:rPr>
      </w:r>
      <w:r>
        <w:rPr/>
        <w:t>第七节</w:t>
      </w:r>
      <w:r>
        <w:rPr>
          <w:spacing w:val="-8"/>
        </w:rPr>
        <w:t> </w:t>
      </w:r>
      <w:r>
        <w:rPr/>
        <w:t>优先股相关情况</w:t>
      </w:r>
      <w:bookmarkEnd w:id="115"/>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4" w:id="117"/>
      <w:bookmarkStart w:name="第八节 董事、监事、高级管理人员和员工情况" w:id="118"/>
      <w:r>
        <w:rPr>
          <w:b w:val="0"/>
          <w:bCs w:val="0"/>
        </w:rPr>
      </w:r>
      <w:r>
        <w:rPr/>
        <w:t>第八节</w:t>
      </w:r>
      <w:r>
        <w:rPr>
          <w:spacing w:val="-16"/>
        </w:rPr>
        <w:t> </w:t>
      </w:r>
      <w:r>
        <w:rPr/>
        <w:t>董事、监事、高级管理人员和员工情况</w:t>
      </w:r>
      <w:bookmarkEnd w:id="117"/>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19"/>
      <w:bookmarkEnd w:id="119"/>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10"/>
        <w:gridCol w:w="709"/>
        <w:gridCol w:w="425"/>
        <w:gridCol w:w="284"/>
        <w:gridCol w:w="282"/>
        <w:gridCol w:w="1560"/>
        <w:gridCol w:w="1560"/>
        <w:gridCol w:w="991"/>
        <w:gridCol w:w="658"/>
        <w:gridCol w:w="798"/>
        <w:gridCol w:w="798"/>
        <w:gridCol w:w="798"/>
      </w:tblGrid>
      <w:tr>
        <w:trPr>
          <w:trHeight w:val="1337"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6" w:right="26"/>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6" w:right="47"/>
              <w:jc w:val="left"/>
              <w:rPr>
                <w:rFonts w:ascii="宋体" w:hAnsi="宋体" w:cs="宋体" w:eastAsia="宋体" w:hint="default"/>
                <w:sz w:val="18"/>
                <w:szCs w:val="18"/>
              </w:rPr>
            </w:pPr>
            <w:r>
              <w:rPr>
                <w:rFonts w:ascii="宋体" w:hAnsi="宋体" w:cs="宋体" w:eastAsia="宋体" w:hint="default"/>
                <w:sz w:val="18"/>
                <w:szCs w:val="18"/>
              </w:rPr>
              <w:t>性 别</w:t>
            </w:r>
          </w:p>
        </w:tc>
        <w:tc>
          <w:tcPr>
            <w:tcW w:w="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5" w:right="44"/>
              <w:jc w:val="left"/>
              <w:rPr>
                <w:rFonts w:ascii="宋体" w:hAnsi="宋体" w:cs="宋体" w:eastAsia="宋体" w:hint="default"/>
                <w:sz w:val="18"/>
                <w:szCs w:val="18"/>
              </w:rPr>
            </w:pPr>
            <w:r>
              <w:rPr>
                <w:rFonts w:ascii="宋体" w:hAnsi="宋体" w:cs="宋体" w:eastAsia="宋体" w:hint="default"/>
                <w:sz w:val="18"/>
                <w:szCs w:val="18"/>
              </w:rPr>
              <w:t>年 龄</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5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22" w:right="-44"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9"/>
                <w:sz w:val="18"/>
                <w:szCs w:val="18"/>
              </w:rPr>
              <w:t>变动（股）</w:t>
            </w:r>
            <w:r>
              <w:rPr>
                <w:rFonts w:ascii="宋体" w:hAnsi="宋体" w:cs="宋体" w:eastAsia="宋体" w:hint="default"/>
                <w:sz w:val="18"/>
                <w:szCs w:val="18"/>
              </w:rPr>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176,903,996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86,873,29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263,777,2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7"/>
                <w:sz w:val="18"/>
                <w:szCs w:val="18"/>
              </w:rPr>
              <w:t>董事、副</w:t>
            </w:r>
            <w:r>
              <w:rPr>
                <w:rFonts w:ascii="宋体" w:hAnsi="宋体" w:cs="宋体" w:eastAsia="宋体" w:hint="default"/>
                <w:sz w:val="18"/>
                <w:szCs w:val="18"/>
              </w:rPr>
              <w:t> 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3,384,403</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1,809,322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5,493,725</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7"/>
                <w:sz w:val="18"/>
                <w:szCs w:val="18"/>
              </w:rPr>
              <w:t>董事、总</w:t>
            </w:r>
            <w:r>
              <w:rPr>
                <w:rFonts w:ascii="宋体" w:hAnsi="宋体" w:cs="宋体" w:eastAsia="宋体" w:hint="default"/>
                <w:sz w:val="18"/>
                <w:szCs w:val="18"/>
              </w:rPr>
              <w:t> 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1,805,015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1,033,722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3,138,737</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李斌辉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17"/>
                <w:sz w:val="18"/>
                <w:szCs w:val="18"/>
              </w:rPr>
              <w:t>董事、副</w:t>
            </w:r>
            <w:r>
              <w:rPr>
                <w:rFonts w:ascii="宋体" w:hAnsi="宋体" w:cs="宋体" w:eastAsia="宋体" w:hint="default"/>
                <w:sz w:val="18"/>
                <w:szCs w:val="18"/>
              </w:rPr>
              <w:t> 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112,947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342,947</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杨玉芬</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4"/>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女</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34"/>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4"/>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李小伟</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董事会 </w:t>
            </w:r>
            <w:r>
              <w:rPr>
                <w:rFonts w:ascii="宋体" w:hAnsi="宋体" w:cs="宋体" w:eastAsia="宋体" w:hint="default"/>
                <w:spacing w:val="-17"/>
                <w:sz w:val="18"/>
                <w:szCs w:val="18"/>
              </w:rPr>
              <w:t>秘书、副</w:t>
            </w:r>
            <w:r>
              <w:rPr>
                <w:rFonts w:ascii="宋体" w:hAnsi="宋体" w:cs="宋体" w:eastAsia="宋体" w:hint="default"/>
                <w:sz w:val="18"/>
                <w:szCs w:val="18"/>
              </w:rPr>
              <w:t> 总经理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44,197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134,197</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4"/>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108,037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328,037</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杨志强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34"/>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24,554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74,554</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金丽华</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center"/>
              <w:rPr>
                <w:rFonts w:ascii="宋体" w:hAnsi="宋体" w:cs="宋体" w:eastAsia="宋体" w:hint="default"/>
                <w:sz w:val="18"/>
                <w:szCs w:val="18"/>
              </w:rPr>
            </w:pPr>
            <w:r>
              <w:rPr>
                <w:rFonts w:ascii="宋体" w:hAnsi="宋体" w:cs="宋体" w:eastAsia="宋体" w:hint="default"/>
                <w:sz w:val="18"/>
                <w:szCs w:val="18"/>
              </w:rPr>
              <w:t>女</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刘力齐</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何小荣</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朱瑶</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7"/>
              <w:jc w:val="center"/>
              <w:rPr>
                <w:rFonts w:ascii="宋体" w:hAnsi="宋体" w:cs="宋体" w:eastAsia="宋体" w:hint="default"/>
                <w:sz w:val="18"/>
                <w:szCs w:val="18"/>
              </w:rPr>
            </w:pPr>
            <w:r>
              <w:rPr>
                <w:rFonts w:ascii="宋体" w:hAnsi="宋体" w:cs="宋体" w:eastAsia="宋体" w:hint="default"/>
                <w:sz w:val="18"/>
                <w:szCs w:val="18"/>
              </w:rPr>
              <w:t>女</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4,933,740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2,015,725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2,227,541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5,145,556</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张晓辉</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34"/>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4"/>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7"/>
              <w:jc w:val="center"/>
              <w:rPr>
                <w:rFonts w:ascii="宋体" w:hAnsi="宋体" w:cs="宋体" w:eastAsia="宋体" w:hint="default"/>
                <w:sz w:val="18"/>
                <w:szCs w:val="18"/>
              </w:rPr>
            </w:pPr>
            <w:r>
              <w:rPr>
                <w:rFonts w:ascii="宋体" w:hAnsi="宋体" w:cs="宋体" w:eastAsia="宋体" w:hint="default"/>
                <w:sz w:val="18"/>
                <w:szCs w:val="18"/>
              </w:rPr>
              <w:t>离任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宋体" w:hAnsi="宋体" w:cs="宋体" w:eastAsia="宋体" w:hint="default"/>
                <w:sz w:val="18"/>
                <w:szCs w:val="18"/>
              </w:rPr>
              <w:t>男</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1,236,561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167,987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715,282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2,003,856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10"/>
        <w:gridCol w:w="709"/>
        <w:gridCol w:w="425"/>
        <w:gridCol w:w="284"/>
        <w:gridCol w:w="282"/>
        <w:gridCol w:w="1560"/>
        <w:gridCol w:w="1559"/>
        <w:gridCol w:w="992"/>
        <w:gridCol w:w="658"/>
        <w:gridCol w:w="798"/>
        <w:gridCol w:w="798"/>
        <w:gridCol w:w="798"/>
      </w:tblGrid>
      <w:tr>
        <w:trPr>
          <w:trHeight w:val="714"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w:t>
            </w:r>
          </w:p>
        </w:tc>
        <w:tc>
          <w:tcPr>
            <w:tcW w:w="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188,263,715</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1,410,0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2,183,712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92,948,89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280,438,8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0"/>
      <w:bookmarkEnd w:id="120"/>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0"/>
        <w:gridCol w:w="1330"/>
        <w:gridCol w:w="1681"/>
        <w:gridCol w:w="389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0"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张晓辉</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工作调整</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朱瑶</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工作调整</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1"/>
      <w:bookmarkEnd w:id="121"/>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公司现任董事、监事、高级管理人员专业背景、主要工作经历以及目前在公司的主要职责</w:t>
      </w:r>
    </w:p>
    <w:p>
      <w:pPr>
        <w:pStyle w:val="BodyText"/>
        <w:spacing w:line="312" w:lineRule="auto" w:before="115"/>
        <w:ind w:right="1032"/>
        <w:jc w:val="left"/>
      </w:pPr>
      <w:r>
        <w:rPr/>
        <w:t>（一）董事： </w:t>
      </w:r>
      <w:r>
        <w:rPr>
          <w:rFonts w:ascii="Times New Roman" w:hAnsi="Times New Roman" w:cs="Times New Roman" w:eastAsia="Times New Roman" w:hint="default"/>
          <w:spacing w:val="-2"/>
        </w:rPr>
        <w:t>1</w:t>
      </w:r>
      <w:r>
        <w:rPr>
          <w:spacing w:val="-2"/>
        </w:rPr>
        <w:t>、景晓军先生：博士研究生学历，高级工程师。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月在公司任董事长兼总经理，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月至今在公司任</w:t>
      </w:r>
      <w:r>
        <w:rPr>
          <w:spacing w:val="-50"/>
        </w:rPr>
        <w:t> </w:t>
      </w:r>
      <w:r>
        <w:rPr>
          <w:spacing w:val="-50"/>
        </w:rPr>
      </w:r>
      <w:r>
        <w:rPr/>
        <w:t>董事长。主要职责：主持股东大会，召集、主持董事会会议；督促、检查董事会会议决议的执行；行使法定代表人的职权； 在权限范围内决定公司的对外投资、购买出售资产、关联交易等事项。 </w:t>
      </w:r>
      <w:r>
        <w:rPr>
          <w:rFonts w:ascii="Times New Roman" w:hAnsi="Times New Roman" w:cs="Times New Roman" w:eastAsia="Times New Roman" w:hint="default"/>
        </w:rPr>
        <w:t>2</w:t>
      </w:r>
      <w:r>
        <w:rPr/>
        <w:t>、景晓东先生：硕士研究生学历。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月至今任任网游执行董事兼总经理，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月至今任公司董事，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 </w:t>
      </w:r>
      <w:r>
        <w:rPr>
          <w:spacing w:val="-2"/>
        </w:rPr>
        <w:t>日至今任公司董事、副总经理。主要职责：出席公司董事会会议并对董事会会议审议事项进行表决；审议公司的定期报告并</w:t>
      </w:r>
      <w:r>
        <w:rPr>
          <w:spacing w:val="-66"/>
        </w:rPr>
        <w:t> </w:t>
      </w:r>
      <w:r>
        <w:rPr>
          <w:spacing w:val="-66"/>
        </w:rPr>
      </w:r>
      <w:r>
        <w:rPr/>
        <w:t>签署书面确认意见，保证公司信息披露的真实、准确、完整。 </w:t>
      </w:r>
      <w:r>
        <w:rPr>
          <w:rFonts w:ascii="Times New Roman" w:hAnsi="Times New Roman" w:cs="Times New Roman" w:eastAsia="Times New Roman" w:hint="default"/>
          <w:spacing w:val="-3"/>
        </w:rPr>
        <w:t>3</w:t>
      </w:r>
      <w:r>
        <w:rPr>
          <w:spacing w:val="-3"/>
        </w:rPr>
        <w:t>、沈智杰先生：硕士研究生学历。</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2</w:t>
      </w:r>
      <w:r>
        <w:rPr>
          <w:spacing w:val="-3"/>
        </w:rPr>
        <w:t>月至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月任公司副总经理；</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月至今任公司董事、总经理。主要职责：</w:t>
      </w:r>
      <w:r>
        <w:rPr>
          <w:spacing w:val="-75"/>
        </w:rPr>
        <w:t> </w:t>
      </w:r>
      <w:r>
        <w:rPr>
          <w:spacing w:val="-75"/>
        </w:rPr>
      </w:r>
      <w:r>
        <w:rPr>
          <w:spacing w:val="-2"/>
        </w:rPr>
        <w:t>主持公司生产经营管理工作，组织实施董事会会议决议，并向董事会报告；组织实施公司的年度经营计划和投资方案；提请</w:t>
      </w:r>
      <w:r>
        <w:rPr>
          <w:spacing w:val="-66"/>
        </w:rPr>
        <w:t> </w:t>
      </w:r>
      <w:r>
        <w:rPr>
          <w:spacing w:val="-66"/>
        </w:rPr>
      </w:r>
      <w:r>
        <w:rPr/>
        <w:t>董事会聘任和解聘公司副总经理和财务总监；决定公司的内部管理机构设置方案，制定公司的基本管理制度和具体规章。 </w:t>
      </w:r>
      <w:r>
        <w:rPr>
          <w:rFonts w:ascii="Times New Roman" w:hAnsi="Times New Roman" w:cs="Times New Roman" w:eastAsia="Times New Roman" w:hint="default"/>
        </w:rPr>
        <w:t>4</w:t>
      </w:r>
      <w:r>
        <w:rPr/>
        <w:t>、李斌辉先生：哈尔滨工业大学</w:t>
      </w:r>
      <w:r>
        <w:rPr>
          <w:rFonts w:ascii="Times New Roman" w:hAnsi="Times New Roman" w:cs="Times New Roman" w:eastAsia="Times New Roman" w:hint="default"/>
        </w:rPr>
        <w:t>EMBA</w:t>
      </w:r>
      <w:r>
        <w:rPr/>
        <w:t>在读，深圳市地方级领军人才。</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4</w:t>
      </w:r>
      <w:r>
        <w:rPr/>
        <w:t>月至今在公司任职，现任公司董事、副总经 理兼销售平台副总经理。主要职责：协助总经理工作，组织、监督公司各项规划和计划的实施；现任公司董事，主要职责： </w:t>
      </w:r>
      <w:r>
        <w:rPr>
          <w:spacing w:val="-2"/>
        </w:rPr>
        <w:t>出席公司董事会会议并对董事会会议审议事项进行表决；审议公司的定期报告并签署书面确认意见，保证公司信息披露的真</w:t>
      </w:r>
      <w:r>
        <w:rPr>
          <w:spacing w:val="-64"/>
        </w:rPr>
        <w:t> </w:t>
      </w:r>
      <w:r>
        <w:rPr>
          <w:spacing w:val="-64"/>
        </w:rPr>
      </w:r>
      <w:r>
        <w:rPr/>
        <w:t>实、准确、完整。 </w:t>
      </w:r>
      <w:r>
        <w:rPr>
          <w:rFonts w:ascii="Times New Roman" w:hAnsi="Times New Roman" w:cs="Times New Roman" w:eastAsia="Times New Roman" w:hint="default"/>
          <w:spacing w:val="-2"/>
        </w:rPr>
        <w:t>5</w:t>
      </w:r>
      <w:r>
        <w:rPr>
          <w:spacing w:val="-2"/>
        </w:rPr>
        <w:t>、杨玉芬女士：本科学历，注册会计师、注册税务师。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月至今在好生活农产品集团有限公司任职财务总监，现任公</w:t>
      </w:r>
      <w:r>
        <w:rPr>
          <w:spacing w:val="-60"/>
        </w:rPr>
        <w:t> </w:t>
      </w:r>
      <w:r>
        <w:rPr>
          <w:spacing w:val="-60"/>
        </w:rPr>
      </w:r>
      <w:r>
        <w:rPr>
          <w:spacing w:val="-2"/>
        </w:rPr>
        <w:t>司独立董事。主要职责：出席公司董事会会议、股东大会，对董事会会议审议事项进行表决，在权限范围内对相关事项发表</w:t>
      </w:r>
      <w:r>
        <w:rPr>
          <w:spacing w:val="-66"/>
        </w:rPr>
        <w:t> </w:t>
      </w:r>
      <w:r>
        <w:rPr>
          <w:spacing w:val="-66"/>
        </w:rPr>
      </w:r>
      <w:r>
        <w:rPr/>
        <w:t>独立意见。 </w:t>
      </w:r>
      <w:r>
        <w:rPr>
          <w:rFonts w:ascii="Times New Roman" w:hAnsi="Times New Roman" w:cs="Times New Roman" w:eastAsia="Times New Roman" w:hint="default"/>
          <w:spacing w:val="-2"/>
        </w:rPr>
        <w:t>6</w:t>
      </w:r>
      <w:r>
        <w:rPr>
          <w:spacing w:val="-2"/>
        </w:rPr>
        <w:t>、张斌先生：法学博士研究生学历，高级经济师。</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7</w:t>
      </w:r>
      <w:r>
        <w:rPr>
          <w:spacing w:val="-2"/>
        </w:rPr>
        <w:t>月至今在广东卓建律师事务所任主任、首席合伙人、律师。现任</w:t>
      </w:r>
      <w:r>
        <w:rPr>
          <w:spacing w:val="-65"/>
        </w:rPr>
        <w:t> </w:t>
      </w:r>
      <w:r>
        <w:rPr>
          <w:spacing w:val="-65"/>
        </w:rPr>
      </w:r>
      <w:r>
        <w:rPr>
          <w:spacing w:val="-2"/>
        </w:rPr>
        <w:t>公司独立董事。主要职责：出席公司董事会会议、股东大会，对董事会会议审议事项进行表决，在权限范围内对相关事项发</w:t>
      </w:r>
      <w:r>
        <w:rPr>
          <w:spacing w:val="-66"/>
        </w:rPr>
        <w:t> </w:t>
      </w:r>
      <w:r>
        <w:rPr>
          <w:spacing w:val="-66"/>
        </w:rPr>
      </w:r>
      <w:r>
        <w:rPr/>
        <w:t>表独立意见。 </w:t>
      </w:r>
      <w:r>
        <w:rPr>
          <w:rFonts w:ascii="Times New Roman" w:hAnsi="Times New Roman" w:cs="Times New Roman" w:eastAsia="Times New Roman" w:hint="default"/>
        </w:rPr>
        <w:t>7</w:t>
      </w:r>
      <w:r>
        <w:rPr/>
        <w:t>、李挥先生：博士学位，教授，博士生导师。</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12</w:t>
      </w:r>
      <w:r>
        <w:rPr/>
        <w:t>月至今，在北京大学深圳研究生院任职，现任公司独立董事。主要 职责：出席公司董事会会议、股东大会，对董事会会议审议事项进行表决，在权限范围内对相关事项发表独立意见。</w:t>
      </w:r>
    </w:p>
    <w:p>
      <w:pPr>
        <w:pStyle w:val="BodyText"/>
        <w:spacing w:line="309" w:lineRule="auto" w:before="22"/>
        <w:ind w:right="1026"/>
        <w:jc w:val="left"/>
      </w:pPr>
      <w:r>
        <w:rPr/>
        <w:t>（二）监事： </w:t>
      </w:r>
      <w:r>
        <w:rPr>
          <w:rFonts w:ascii="Times New Roman" w:hAnsi="Times New Roman" w:cs="Times New Roman" w:eastAsia="Times New Roman" w:hint="default"/>
        </w:rPr>
        <w:t>1</w:t>
      </w:r>
      <w:r>
        <w:rPr/>
        <w:t>、金丽华女士：大学专科学历。</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2012</w:t>
      </w:r>
      <w:r>
        <w:rPr/>
        <w:t>年，从事投资行业，</w:t>
      </w:r>
      <w:r>
        <w:rPr>
          <w:rFonts w:ascii="Times New Roman" w:hAnsi="Times New Roman" w:cs="Times New Roman" w:eastAsia="Times New Roman" w:hint="default"/>
        </w:rPr>
        <w:t>2012</w:t>
      </w:r>
      <w:r>
        <w:rPr/>
        <w:t>年至今，在香港卓轩投资有限公司任总经理。</w:t>
      </w:r>
      <w:r>
        <w:rPr>
          <w:rFonts w:ascii="Times New Roman" w:hAnsi="Times New Roman" w:cs="Times New Roman" w:eastAsia="Times New Roman" w:hint="default"/>
        </w:rPr>
        <w:t>2014 </w:t>
      </w:r>
      <w:r>
        <w:rPr>
          <w:spacing w:val="-3"/>
        </w:rPr>
        <w:t>年至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月，曾任云安宝董事长、总经理。现任公司监事会主席。主要职责：检查公司财务，对公司定期报告发表意见；</w:t>
      </w:r>
      <w:r>
        <w:rPr/>
        <w:t> 对董事和高级管理人员执行公司职务的行为进行监督；列席公司股东大会、董事会会议。 </w:t>
      </w:r>
      <w:r>
        <w:rPr>
          <w:rFonts w:ascii="Times New Roman" w:hAnsi="Times New Roman" w:cs="Times New Roman" w:eastAsia="Times New Roman" w:hint="default"/>
        </w:rPr>
        <w:t>2</w:t>
      </w:r>
      <w:r>
        <w:rPr/>
        <w:t>、刘力齐先生：大学本科学历，会计师。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月至今在深圳市秉尊企业管理咨询有限公司任副总经理。现任公司监事。 </w:t>
      </w:r>
      <w:r>
        <w:rPr>
          <w:spacing w:val="-2"/>
        </w:rPr>
        <w:t>主要职责：检查公司财务，对公司定期报告发表意见；对董事和高级管理人员执行公司职务的行为进行监督；列席公司股东</w:t>
      </w:r>
      <w:r>
        <w:rPr>
          <w:spacing w:val="-66"/>
        </w:rPr>
        <w:t> </w:t>
      </w:r>
      <w:r>
        <w:rPr>
          <w:spacing w:val="-66"/>
        </w:rPr>
      </w:r>
      <w:r>
        <w:rPr/>
        <w:t>大会、董事会会议。 </w:t>
      </w:r>
      <w:r>
        <w:rPr>
          <w:rFonts w:ascii="Times New Roman" w:hAnsi="Times New Roman" w:cs="Times New Roman" w:eastAsia="Times New Roman" w:hint="default"/>
        </w:rPr>
        <w:t>3</w:t>
      </w:r>
      <w:r>
        <w:rPr/>
        <w:t>、何小荣先生：本科学历。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月至今任公司研发管理部</w:t>
      </w:r>
      <w:r>
        <w:rPr>
          <w:rFonts w:ascii="Times New Roman" w:hAnsi="Times New Roman" w:cs="Times New Roman" w:eastAsia="Times New Roman" w:hint="default"/>
        </w:rPr>
        <w:t>QA</w:t>
      </w:r>
      <w:r>
        <w:rPr/>
        <w:t>工程师，现任公司监事。主要职责：检查公司财务，对公</w:t>
      </w:r>
    </w:p>
    <w:p>
      <w:pPr>
        <w:spacing w:after="0" w:line="30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司定期报告发表意见；对董事和高级管理人员执行公司职务的行为进行监督；列席公司股东大会、董事会会议。</w:t>
      </w:r>
    </w:p>
    <w:p>
      <w:pPr>
        <w:pStyle w:val="BodyText"/>
        <w:spacing w:line="240" w:lineRule="auto" w:before="76"/>
        <w:ind w:right="0"/>
        <w:jc w:val="left"/>
      </w:pPr>
      <w:r>
        <w:rPr/>
        <w:t>（三）高级管理人员：</w:t>
      </w:r>
    </w:p>
    <w:p>
      <w:pPr>
        <w:pStyle w:val="BodyText"/>
        <w:spacing w:line="309" w:lineRule="auto" w:before="117"/>
        <w:ind w:right="1041"/>
        <w:jc w:val="left"/>
      </w:pPr>
      <w:r>
        <w:rPr>
          <w:rFonts w:ascii="Times New Roman" w:hAnsi="Times New Roman" w:cs="Times New Roman" w:eastAsia="Times New Roman" w:hint="default"/>
          <w:spacing w:val="-3"/>
        </w:rPr>
        <w:t>1</w:t>
      </w:r>
      <w:r>
        <w:rPr>
          <w:spacing w:val="-3"/>
        </w:rPr>
        <w:t>、沈智杰先生：硕士研究生学历。</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2</w:t>
      </w:r>
      <w:r>
        <w:rPr>
          <w:spacing w:val="-3"/>
        </w:rPr>
        <w:t>月至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月任公司副总经理；</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月至今任公司董事、总经理。主要职责：</w:t>
      </w:r>
      <w:r>
        <w:rPr>
          <w:spacing w:val="-75"/>
        </w:rPr>
        <w:t> </w:t>
      </w:r>
      <w:r>
        <w:rPr>
          <w:spacing w:val="-75"/>
        </w:rPr>
      </w:r>
      <w:r>
        <w:rPr>
          <w:spacing w:val="-2"/>
        </w:rPr>
        <w:t>主持公司生产经营管理工作，组织实施董事会会议决议，并向董事会报告；组织实施公司的年度经营计划和投资方案；提请</w:t>
      </w:r>
      <w:r>
        <w:rPr>
          <w:spacing w:val="-66"/>
        </w:rPr>
        <w:t> </w:t>
      </w:r>
      <w:r>
        <w:rPr>
          <w:spacing w:val="-66"/>
        </w:rPr>
      </w:r>
      <w:r>
        <w:rPr/>
        <w:t>董事会聘任和解聘公司副总经理和财务总监；决定公司的内部管理机构设置方案，制定公司的基本管理制度和具体规章。</w:t>
      </w:r>
    </w:p>
    <w:p>
      <w:pPr>
        <w:pStyle w:val="BodyText"/>
        <w:spacing w:line="309" w:lineRule="auto" w:before="64"/>
        <w:ind w:right="0"/>
        <w:jc w:val="left"/>
      </w:pPr>
      <w:r>
        <w:rPr>
          <w:rFonts w:ascii="Times New Roman" w:hAnsi="Times New Roman" w:cs="Times New Roman" w:eastAsia="Times New Roman" w:hint="default"/>
        </w:rPr>
        <w:t>2</w:t>
      </w:r>
      <w:r>
        <w:rPr/>
        <w:t>、景晓东先生：硕士研究生学历。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月至今任任网游执行董事兼总经理，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2</w:t>
      </w:r>
      <w:r>
        <w:rPr/>
        <w:t>月至今任公司董事，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10 </w:t>
      </w:r>
      <w:r>
        <w:rPr>
          <w:spacing w:val="-2"/>
        </w:rPr>
        <w:t>日至今任公司董事、副总经理。主要职责：出席公司董事会会议并对董事会会议审议事项进行表决；审议公司的定期报告并</w:t>
      </w:r>
      <w:r>
        <w:rPr>
          <w:spacing w:val="-66"/>
        </w:rPr>
        <w:t> </w:t>
      </w:r>
      <w:r>
        <w:rPr>
          <w:spacing w:val="-66"/>
        </w:rPr>
      </w:r>
      <w:r>
        <w:rPr/>
        <w:t>签署书面确认意见，保证公司信息披露的真实、准确、完整。</w:t>
      </w:r>
    </w:p>
    <w:p>
      <w:pPr>
        <w:pStyle w:val="BodyText"/>
        <w:spacing w:line="312" w:lineRule="auto" w:before="62"/>
        <w:ind w:right="1032"/>
        <w:jc w:val="left"/>
      </w:pPr>
      <w:r>
        <w:rPr>
          <w:rFonts w:ascii="Times New Roman" w:hAnsi="Times New Roman" w:cs="Times New Roman" w:eastAsia="Times New Roman" w:hint="default"/>
          <w:spacing w:val="-2"/>
        </w:rPr>
        <w:t>3</w:t>
      </w:r>
      <w:r>
        <w:rPr>
          <w:spacing w:val="-2"/>
        </w:rPr>
        <w:t>、李斌辉先生：哈尔滨工业大学</w:t>
      </w:r>
      <w:r>
        <w:rPr>
          <w:rFonts w:ascii="Times New Roman" w:hAnsi="Times New Roman" w:cs="Times New Roman" w:eastAsia="Times New Roman" w:hint="default"/>
          <w:spacing w:val="-2"/>
        </w:rPr>
        <w:t>EMBA</w:t>
      </w:r>
      <w:r>
        <w:rPr>
          <w:spacing w:val="-2"/>
        </w:rPr>
        <w:t>在读，深圳市地方级领军人才。</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4</w:t>
      </w:r>
      <w:r>
        <w:rPr>
          <w:spacing w:val="-2"/>
        </w:rPr>
        <w:t>月至今在公司任职，现任公司董事、副总经</w:t>
      </w:r>
      <w:r>
        <w:rPr>
          <w:spacing w:val="-40"/>
        </w:rPr>
        <w:t> </w:t>
      </w:r>
      <w:r>
        <w:rPr>
          <w:spacing w:val="-40"/>
        </w:rPr>
      </w:r>
      <w:r>
        <w:rPr/>
        <w:t>理兼销售平台副总经理。主要职责：协助总经理工作，组织、监督公司各项规划和计划的实施；现任公司董事，主要职责： </w:t>
      </w:r>
      <w:r>
        <w:rPr>
          <w:spacing w:val="-2"/>
        </w:rPr>
        <w:t>出席公司董事会会议并对董事会会议审议事项进行表决；审议公司的定期报告并签署书面确认意见，保证公司信息披露的真</w:t>
      </w:r>
      <w:r>
        <w:rPr>
          <w:spacing w:val="-64"/>
        </w:rPr>
        <w:t> </w:t>
      </w:r>
      <w:r>
        <w:rPr>
          <w:spacing w:val="-64"/>
        </w:rPr>
      </w:r>
      <w:r>
        <w:rPr/>
        <w:t>实、准确、完整。</w:t>
      </w:r>
    </w:p>
    <w:p>
      <w:pPr>
        <w:pStyle w:val="BodyText"/>
        <w:spacing w:line="240" w:lineRule="auto" w:before="61"/>
        <w:ind w:right="0"/>
        <w:jc w:val="left"/>
      </w:pPr>
      <w:r>
        <w:rPr>
          <w:rFonts w:ascii="Times New Roman" w:hAnsi="Times New Roman" w:cs="Times New Roman" w:eastAsia="Times New Roman" w:hint="default"/>
        </w:rPr>
        <w:t>4</w:t>
      </w:r>
      <w:r>
        <w:rPr/>
        <w:t>、周勇林先生：硕士研究生学历，正高级工程师。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月在国家计算机网络应急技术处理协调中心任职。</w:t>
      </w:r>
    </w:p>
    <w:p>
      <w:pPr>
        <w:pStyle w:val="BodyText"/>
        <w:spacing w:line="319" w:lineRule="auto" w:before="63"/>
        <w:ind w:right="1122"/>
        <w:jc w:val="left"/>
        <w:rPr>
          <w:rFonts w:ascii="Times New Roman" w:hAnsi="Times New Roman" w:cs="Times New Roman" w:eastAsia="Times New Roman" w:hint="default"/>
        </w:rPr>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月加入公司，现任公司常务副总经理兼首席网络安全战略官。主要职责：协助总经理工作，组织、监督公司各项规 划和计划的实施</w:t>
      </w:r>
      <w:r>
        <w:rPr>
          <w:rFonts w:ascii="Times New Roman" w:hAnsi="Times New Roman" w:cs="Times New Roman" w:eastAsia="Times New Roman" w:hint="default"/>
        </w:rPr>
        <w:t>,</w:t>
      </w:r>
      <w:r>
        <w:rPr/>
        <w:t>负责网络安全技术与产品战略研究工作</w:t>
      </w:r>
      <w:r>
        <w:rPr>
          <w:rFonts w:ascii="Times New Roman" w:hAnsi="Times New Roman" w:cs="Times New Roman" w:eastAsia="Times New Roman" w:hint="default"/>
        </w:rPr>
        <w:t>,</w:t>
      </w:r>
      <w:r>
        <w:rPr/>
        <w:t>以及武汉产品研发中心管理工作。 </w:t>
      </w:r>
      <w:r>
        <w:rPr>
          <w:rFonts w:ascii="Times New Roman" w:hAnsi="Times New Roman" w:cs="Times New Roman" w:eastAsia="Times New Roman" w:hint="default"/>
        </w:rPr>
        <w:t>5</w:t>
      </w:r>
      <w:r>
        <w:rPr/>
        <w:t>、李小伟先生：华中科技大学硕士研究生学位。</w:t>
      </w:r>
      <w:r>
        <w:rPr>
          <w:rFonts w:ascii="Times New Roman" w:hAnsi="Times New Roman" w:cs="Times New Roman" w:eastAsia="Times New Roman" w:hint="default"/>
        </w:rPr>
        <w:t>2009</w:t>
      </w:r>
      <w:r>
        <w:rPr/>
        <w:t>年至</w:t>
      </w:r>
      <w:r>
        <w:rPr>
          <w:rFonts w:ascii="Times New Roman" w:hAnsi="Times New Roman" w:cs="Times New Roman" w:eastAsia="Times New Roman" w:hint="default"/>
        </w:rPr>
        <w:t>2015</w:t>
      </w:r>
      <w:r>
        <w:rPr/>
        <w:t>年分别在赛门铁克软件（北京）有限公司、红帽软件</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p>
    <w:p>
      <w:pPr>
        <w:pStyle w:val="BodyText"/>
        <w:spacing w:line="300" w:lineRule="auto" w:before="0"/>
        <w:ind w:right="0"/>
        <w:jc w:val="left"/>
      </w:pPr>
      <w:r>
        <w:rPr>
          <w:spacing w:val="-2"/>
        </w:rPr>
        <w:t>有限公司工作，曾任高级工程师等职务；</w:t>
      </w:r>
      <w:r>
        <w:rPr>
          <w:rFonts w:ascii="Times New Roman" w:hAnsi="Times New Roman" w:cs="Times New Roman" w:eastAsia="Times New Roman" w:hint="default"/>
          <w:spacing w:val="-2"/>
        </w:rPr>
        <w:t>2015</w:t>
      </w:r>
      <w:r>
        <w:rPr>
          <w:spacing w:val="-2"/>
        </w:rPr>
        <w:t>年至</w:t>
      </w:r>
      <w:r>
        <w:rPr>
          <w:rFonts w:ascii="Times New Roman" w:hAnsi="Times New Roman" w:cs="Times New Roman" w:eastAsia="Times New Roman" w:hint="default"/>
          <w:spacing w:val="-2"/>
        </w:rPr>
        <w:t>2017</w:t>
      </w:r>
      <w:r>
        <w:rPr>
          <w:spacing w:val="-2"/>
        </w:rPr>
        <w:t>年在安信证券股份有限公司担任计算机行业高级分析师，</w:t>
      </w:r>
      <w:r>
        <w:rPr>
          <w:rFonts w:ascii="Times New Roman" w:hAnsi="Times New Roman" w:cs="Times New Roman" w:eastAsia="Times New Roman" w:hint="default"/>
          <w:spacing w:val="-2"/>
        </w:rPr>
        <w:t>2017</w:t>
      </w:r>
      <w:r>
        <w:rPr>
          <w:spacing w:val="-2"/>
        </w:rPr>
        <w:t>年在神</w:t>
      </w:r>
      <w:r>
        <w:rPr>
          <w:spacing w:val="-54"/>
        </w:rPr>
        <w:t> </w:t>
      </w:r>
      <w:r>
        <w:rPr>
          <w:spacing w:val="-2"/>
        </w:rPr>
        <w:t>州易桥信息服务股份有限公司担任证券部投资总监。</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月担任任子行网络技术股份有限公司董事长助理。</w:t>
      </w:r>
      <w:r>
        <w:rPr>
          <w:spacing w:val="-51"/>
        </w:rPr>
        <w:t> </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月至今担任公司董事会秘书，</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17</w:t>
      </w:r>
      <w:r>
        <w:rPr>
          <w:spacing w:val="-2"/>
        </w:rPr>
        <w:t>日至今担任公司副总经理。主要职责：负责投资者关系管理和日常信息披</w:t>
      </w:r>
      <w:r>
        <w:rPr>
          <w:spacing w:val="-54"/>
        </w:rPr>
        <w:t> </w:t>
      </w:r>
      <w:r>
        <w:rPr>
          <w:spacing w:val="-54"/>
        </w:rPr>
      </w:r>
      <w:r>
        <w:rPr/>
        <w:t>露工作，接待股东的来访和咨询。</w:t>
      </w:r>
    </w:p>
    <w:p>
      <w:pPr>
        <w:pStyle w:val="BodyText"/>
        <w:spacing w:line="302" w:lineRule="auto" w:before="70"/>
        <w:ind w:right="0"/>
        <w:jc w:val="left"/>
      </w:pPr>
      <w:r>
        <w:rPr>
          <w:rFonts w:ascii="Times New Roman" w:hAnsi="Times New Roman" w:cs="Times New Roman" w:eastAsia="Times New Roman" w:hint="default"/>
        </w:rPr>
        <w:t>6</w:t>
      </w:r>
      <w:r>
        <w:rPr/>
        <w:t>、杨志强先生：硕士研究生学历，高级会计师。曾任中星控股集团有限公司、深圳市嘉达高科产业发展有限公司、深圳市 </w:t>
      </w:r>
      <w:r>
        <w:rPr>
          <w:spacing w:val="-2"/>
        </w:rPr>
        <w:t>中盟科技有限公司、深圳安培龙科技股份有限公司财务总监。</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月加入任子行网络技术股份有限公司，现任财务总监。</w:t>
      </w:r>
      <w:r>
        <w:rPr>
          <w:spacing w:val="-60"/>
        </w:rPr>
        <w:t> </w:t>
      </w:r>
      <w:r>
        <w:rPr>
          <w:spacing w:val="-60"/>
        </w:rPr>
      </w:r>
      <w:r>
        <w:rPr/>
        <w:t>主要职责：全面负责公司财务中心工作，定期或不定期向总经理、董事会、监事会报告工作。</w:t>
      </w:r>
    </w:p>
    <w:p>
      <w:pPr>
        <w:pStyle w:val="BodyText"/>
        <w:spacing w:line="240" w:lineRule="auto" w:before="69"/>
        <w:ind w:right="0"/>
        <w:jc w:val="left"/>
      </w:pPr>
      <w:r>
        <w:rPr/>
        <w:t>在股东单位任职情况</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在其他单位任职情况</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2342"/>
        <w:gridCol w:w="1560"/>
        <w:gridCol w:w="1560"/>
        <w:gridCol w:w="1559"/>
        <w:gridCol w:w="1345"/>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5" w:right="53" w:hanging="541"/>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7" w:right="36"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中国计算机学会计算机安全 专业委员会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常务委员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国家计算机内容安全工程实 验室深圳分实验室</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国家通信协会网络安全组</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专家</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哈尔滨工业大学</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4"/>
              <w:jc w:val="left"/>
              <w:rPr>
                <w:rFonts w:ascii="宋体" w:hAnsi="宋体" w:cs="宋体" w:eastAsia="宋体" w:hint="default"/>
                <w:sz w:val="18"/>
                <w:szCs w:val="18"/>
              </w:rPr>
            </w:pPr>
            <w:r>
              <w:rPr>
                <w:rFonts w:ascii="宋体" w:hAnsi="宋体" w:cs="宋体" w:eastAsia="宋体" w:hint="default"/>
                <w:sz w:val="18"/>
                <w:szCs w:val="18"/>
              </w:rPr>
              <w:t>硕士研究生企业导 师</w:t>
            </w:r>
          </w:p>
        </w:tc>
        <w:tc>
          <w:tcPr>
            <w:tcW w:w="156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逸风网络</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杨玉芬</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好生活农产品集团有限公司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广东卓建律师事务所</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首席合伙人、律师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政协深圳市委员会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政协委员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02"/>
        <w:gridCol w:w="2342"/>
        <w:gridCol w:w="1560"/>
        <w:gridCol w:w="1560"/>
        <w:gridCol w:w="1559"/>
        <w:gridCol w:w="1345"/>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华南国际经济贸易仲裁委员 会（深圳国际仲裁员）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深圳仲裁委员会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深圳市民商事调解中心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理事长</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中国国际经济贸易仲裁委员 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仲裁员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北京大学深圳研究生院</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深圳市发改委融合网络工程 实验室</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深圳市信息论与未来网络体 系重点实验室</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国家重大科技基础设施未来 网络北大实验室</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深圳市佳创视讯技术股份有 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独董</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金丽华</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香港卓轩投资有限公司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刘力齐</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深圳市秉尊企业管理咨询有 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中国计算机学会计算机安全 专业委员会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常务委员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中国网络空间安全协会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中国网络安全产业联盟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left"/>
              <w:rPr>
                <w:rFonts w:ascii="宋体" w:hAnsi="宋体" w:cs="宋体" w:eastAsia="宋体" w:hint="default"/>
                <w:sz w:val="18"/>
                <w:szCs w:val="18"/>
              </w:rPr>
            </w:pPr>
            <w:r>
              <w:rPr>
                <w:rFonts w:ascii="宋体" w:hAnsi="宋体" w:cs="宋体" w:eastAsia="宋体" w:hint="default"/>
                <w:sz w:val="18"/>
                <w:szCs w:val="18"/>
              </w:rPr>
              <w:t>中国互联网协会第四届网络 与信息安全工作委员会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副主任委员</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2"/>
              <w:jc w:val="both"/>
              <w:rPr>
                <w:rFonts w:ascii="宋体" w:hAnsi="宋体" w:cs="宋体" w:eastAsia="宋体" w:hint="default"/>
                <w:sz w:val="18"/>
                <w:szCs w:val="18"/>
              </w:rPr>
            </w:pPr>
            <w:r>
              <w:rPr>
                <w:rFonts w:ascii="宋体" w:hAnsi="宋体" w:cs="宋体" w:eastAsia="宋体" w:hint="default"/>
                <w:sz w:val="18"/>
                <w:szCs w:val="18"/>
              </w:rPr>
              <w:t>除此之外，公司其他董事、监事及高级管理人员不存在在其他单位任职情况。并且，以上董事及高管兼职 情况不影响其作为公司董事的时间投入以及对公司真实情况的了解。如上表所示，以上董事及高管所在兼 职单位与公司不存在任何关联关系，或有关联关系的，该关系与公司不存在任何利益冲突。</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319"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景晓军先生因涉嫌信息披露违法行为于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月受到中国证券监督管理委员会的罚款、警告，基于同一事项于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 受到深圳证券交易所的公开谴责处分。</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四、董事、监事、高级管理人员报酬情况" w:id="122"/>
      <w:bookmarkEnd w:id="122"/>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董事、监事、高级管理人员报酬的决策程序、确定依据、实际支付情况</w:t>
      </w:r>
    </w:p>
    <w:p>
      <w:pPr>
        <w:pStyle w:val="BodyText"/>
        <w:spacing w:line="316" w:lineRule="auto" w:before="116"/>
        <w:ind w:left="444" w:right="1118" w:hanging="291"/>
        <w:jc w:val="left"/>
      </w:pPr>
      <w:r>
        <w:rPr/>
        <w:t>（一）、决策程序 </w:t>
      </w:r>
      <w:r>
        <w:rPr>
          <w:spacing w:val="-1"/>
        </w:rPr>
        <w:t>公司董事（包括独立董事）、监事报酬由股东大会决定，高级管理人员报酬由董事会决定；在公司承担职务的董事、监</w:t>
      </w:r>
    </w:p>
    <w:p>
      <w:pPr>
        <w:pStyle w:val="BodyText"/>
        <w:spacing w:line="240" w:lineRule="auto" w:before="19"/>
        <w:ind w:right="0"/>
        <w:jc w:val="left"/>
      </w:pPr>
      <w:r>
        <w:rPr/>
        <w:t>事、高级管理人员报酬由公司支付，其担任的董事、监事职务不另外享有津贴。</w:t>
      </w:r>
    </w:p>
    <w:p>
      <w:pPr>
        <w:pStyle w:val="BodyText"/>
        <w:spacing w:line="240" w:lineRule="auto" w:before="76"/>
        <w:ind w:right="0"/>
        <w:jc w:val="left"/>
      </w:pPr>
      <w:r>
        <w:rPr/>
        <w:t>（二）、确定依据</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028" w:firstLine="290"/>
        <w:jc w:val="left"/>
      </w:pPr>
      <w:r>
        <w:rPr>
          <w:spacing w:val="-2"/>
        </w:rPr>
        <w:t>董事、监事和高级管理人员的报酬按照公司董事会《薪酬与考核委员会工作制度》等规定，结合其经营绩效、工作能力、</w:t>
      </w:r>
      <w:r>
        <w:rPr/>
        <w:t> 岗位职责等考核确定并发放。</w:t>
      </w:r>
    </w:p>
    <w:p>
      <w:pPr>
        <w:pStyle w:val="BodyText"/>
        <w:spacing w:line="316" w:lineRule="auto" w:before="19"/>
        <w:ind w:left="444" w:right="8662" w:hanging="291"/>
        <w:jc w:val="left"/>
      </w:pPr>
      <w:r>
        <w:rPr/>
        <w:t>（三）、实际支付情况 实际支付情况见下表。</w:t>
      </w:r>
    </w:p>
    <w:p>
      <w:pPr>
        <w:pStyle w:val="BodyText"/>
        <w:spacing w:line="240" w:lineRule="auto" w:before="60"/>
        <w:ind w:right="0"/>
        <w:jc w:val="left"/>
      </w:pPr>
      <w:r>
        <w:rPr/>
        <w:t>公司报告期内董事、监事和高级管理人员报酬情况</w:t>
      </w:r>
    </w:p>
    <w:p>
      <w:pPr>
        <w:pStyle w:val="BodyText"/>
        <w:spacing w:line="240" w:lineRule="auto" w:before="117"/>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2125"/>
        <w:gridCol w:w="984"/>
        <w:gridCol w:w="1367"/>
        <w:gridCol w:w="1368"/>
        <w:gridCol w:w="1367"/>
        <w:gridCol w:w="1367"/>
      </w:tblGrid>
      <w:tr>
        <w:trPr>
          <w:trHeight w:val="71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11"/>
              <w:jc w:val="right"/>
              <w:rPr>
                <w:rFonts w:ascii="宋体" w:hAnsi="宋体" w:cs="宋体" w:eastAsia="宋体" w:hint="default"/>
                <w:sz w:val="18"/>
                <w:szCs w:val="18"/>
              </w:rPr>
            </w:pPr>
            <w:r>
              <w:rPr>
                <w:rFonts w:ascii="宋体" w:hAnsi="宋体" w:cs="宋体" w:eastAsia="宋体" w:hint="default"/>
                <w:sz w:val="18"/>
                <w:szCs w:val="18"/>
              </w:rPr>
              <w:t>姓名</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6"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景晓东</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沈智杰</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李斌辉</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杨玉芬</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李小伟</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董事会秘书、副总经理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杨志强</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金丽华</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刘力齐</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何小荣</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朱瑶</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张晓辉</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11"/>
              <w:jc w:val="right"/>
              <w:rPr>
                <w:rFonts w:ascii="宋体" w:hAnsi="宋体" w:cs="宋体" w:eastAsia="宋体" w:hint="default"/>
                <w:sz w:val="18"/>
                <w:szCs w:val="18"/>
              </w:rPr>
            </w:pPr>
            <w:r>
              <w:rPr>
                <w:rFonts w:ascii="宋体" w:hAnsi="宋体" w:cs="宋体" w:eastAsia="宋体" w:hint="default"/>
                <w:sz w:val="18"/>
                <w:szCs w:val="18"/>
              </w:rPr>
              <w:t>合计</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587.71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公司董事、高级管理人员报告期内被授予的股权激励情况</w:t>
      </w:r>
    </w:p>
    <w:p>
      <w:pPr>
        <w:pStyle w:val="BodyText"/>
        <w:spacing w:line="240"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单位：股</w:t>
      </w:r>
    </w:p>
    <w:p>
      <w:pPr>
        <w:spacing w:after="0" w:line="240" w:lineRule="auto"/>
        <w:jc w:val="left"/>
        <w:sectPr>
          <w:type w:val="continuous"/>
          <w:pgSz w:w="11910" w:h="16840"/>
          <w:pgMar w:top="1060" w:bottom="1160" w:left="980" w:right="0"/>
          <w:cols w:num="2" w:equalWidth="0">
            <w:col w:w="4655" w:space="4265"/>
            <w:col w:w="201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10"/>
        <w:gridCol w:w="1276"/>
        <w:gridCol w:w="851"/>
        <w:gridCol w:w="637"/>
        <w:gridCol w:w="870"/>
        <w:gridCol w:w="870"/>
        <w:gridCol w:w="870"/>
        <w:gridCol w:w="870"/>
        <w:gridCol w:w="870"/>
        <w:gridCol w:w="870"/>
        <w:gridCol w:w="870"/>
      </w:tblGrid>
      <w:tr>
        <w:trPr>
          <w:trHeight w:val="1338"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68"/>
              <w:jc w:val="right"/>
              <w:rPr>
                <w:rFonts w:ascii="宋体" w:hAnsi="宋体" w:cs="宋体" w:eastAsia="宋体" w:hint="default"/>
                <w:sz w:val="18"/>
                <w:szCs w:val="18"/>
              </w:rPr>
            </w:pPr>
            <w:r>
              <w:rPr>
                <w:rFonts w:ascii="宋体" w:hAnsi="宋体" w:cs="宋体" w:eastAsia="宋体" w:hint="default"/>
                <w:sz w:val="18"/>
                <w:szCs w:val="18"/>
              </w:rPr>
              <w:t>姓名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69" w:firstLine="46"/>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4"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6"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5"/>
              <w:jc w:val="right"/>
              <w:rPr>
                <w:rFonts w:ascii="宋体" w:hAnsi="宋体" w:cs="宋体" w:eastAsia="宋体" w:hint="default"/>
                <w:sz w:val="18"/>
                <w:szCs w:val="18"/>
              </w:rPr>
            </w:pPr>
            <w:r>
              <w:rPr>
                <w:rFonts w:ascii="宋体" w:hAnsi="宋体" w:cs="宋体" w:eastAsia="宋体" w:hint="default"/>
                <w:sz w:val="18"/>
                <w:szCs w:val="18"/>
              </w:rPr>
              <w:t>景晓东</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447,323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447,323</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5"/>
              <w:jc w:val="right"/>
              <w:rPr>
                <w:rFonts w:ascii="宋体" w:hAnsi="宋体" w:cs="宋体" w:eastAsia="宋体" w:hint="default"/>
                <w:sz w:val="18"/>
                <w:szCs w:val="18"/>
              </w:rPr>
            </w:pPr>
            <w:r>
              <w:rPr>
                <w:rFonts w:ascii="宋体" w:hAnsi="宋体" w:cs="宋体" w:eastAsia="宋体" w:hint="default"/>
                <w:sz w:val="18"/>
                <w:szCs w:val="18"/>
              </w:rPr>
              <w:t>沈智杰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447,323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447,323</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5"/>
              <w:jc w:val="right"/>
              <w:rPr>
                <w:rFonts w:ascii="宋体" w:hAnsi="宋体" w:cs="宋体" w:eastAsia="宋体" w:hint="default"/>
                <w:sz w:val="18"/>
                <w:szCs w:val="18"/>
              </w:rPr>
            </w:pPr>
            <w:r>
              <w:rPr>
                <w:rFonts w:ascii="宋体" w:hAnsi="宋体" w:cs="宋体" w:eastAsia="宋体" w:hint="default"/>
                <w:sz w:val="18"/>
                <w:szCs w:val="18"/>
              </w:rPr>
              <w:t>李斌辉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董事、副总经理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342,947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4.6145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342,947</w:t>
            </w:r>
          </w:p>
        </w:tc>
      </w:tr>
      <w:tr>
        <w:trPr>
          <w:trHeight w:val="71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35"/>
              <w:jc w:val="right"/>
              <w:rPr>
                <w:rFonts w:ascii="宋体" w:hAnsi="宋体" w:cs="宋体" w:eastAsia="宋体" w:hint="default"/>
                <w:sz w:val="18"/>
                <w:szCs w:val="18"/>
              </w:rPr>
            </w:pPr>
            <w:r>
              <w:rPr>
                <w:rFonts w:ascii="宋体" w:hAnsi="宋体" w:cs="宋体" w:eastAsia="宋体" w:hint="default"/>
                <w:sz w:val="18"/>
                <w:szCs w:val="18"/>
              </w:rPr>
              <w:t>李小伟</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6"/>
                <w:sz w:val="18"/>
                <w:szCs w:val="18"/>
              </w:rPr>
              <w:t>董事会秘书、副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134,197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4.6145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134,197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10"/>
        <w:gridCol w:w="1276"/>
        <w:gridCol w:w="851"/>
        <w:gridCol w:w="637"/>
        <w:gridCol w:w="870"/>
        <w:gridCol w:w="870"/>
        <w:gridCol w:w="870"/>
        <w:gridCol w:w="870"/>
        <w:gridCol w:w="870"/>
        <w:gridCol w:w="870"/>
        <w:gridCol w:w="870"/>
      </w:tblGrid>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周勇林</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1"/>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328,037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4.6145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328,037</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杨志强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1"/>
              <w:jc w:val="right"/>
              <w:rPr>
                <w:rFonts w:ascii="宋体" w:hAnsi="宋体" w:cs="宋体" w:eastAsia="宋体" w:hint="default"/>
                <w:sz w:val="18"/>
                <w:szCs w:val="18"/>
              </w:rPr>
            </w:pPr>
            <w:r>
              <w:rPr>
                <w:rFonts w:ascii="宋体" w:hAnsi="宋体" w:cs="宋体" w:eastAsia="宋体" w:hint="default"/>
                <w:sz w:val="18"/>
                <w:szCs w:val="18"/>
              </w:rPr>
              <w:t>财务总监</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74,554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4.6145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74,554</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李工</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1"/>
              <w:jc w:val="right"/>
              <w:rPr>
                <w:rFonts w:ascii="宋体" w:hAnsi="宋体" w:cs="宋体" w:eastAsia="宋体" w:hint="default"/>
                <w:sz w:val="18"/>
                <w:szCs w:val="18"/>
              </w:rPr>
            </w:pPr>
            <w:r>
              <w:rPr>
                <w:rFonts w:ascii="宋体" w:hAnsi="宋体" w:cs="宋体" w:eastAsia="宋体" w:hint="default"/>
                <w:sz w:val="18"/>
                <w:szCs w:val="18"/>
              </w:rPr>
              <w:t>副总经理</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328,037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4.6145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328,037</w:t>
            </w:r>
          </w:p>
        </w:tc>
      </w:tr>
      <w:tr>
        <w:trPr>
          <w:trHeight w:val="402" w:hRule="exact"/>
        </w:trPr>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571"/>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3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2,102,418</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2,102,418</w:t>
            </w:r>
          </w:p>
        </w:tc>
      </w:tr>
      <w:tr>
        <w:trPr>
          <w:trHeight w:val="629" w:hRule="exact"/>
        </w:trPr>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8854"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pacing w:val="-17"/>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7"/>
                <w:sz w:val="18"/>
                <w:szCs w:val="18"/>
              </w:rPr>
              <w:t>，</w:t>
            </w:r>
            <w:r>
              <w:rPr>
                <w:rFonts w:ascii="宋体" w:hAnsi="宋体" w:cs="宋体" w:eastAsia="宋体" w:hint="default"/>
                <w:sz w:val="18"/>
                <w:szCs w:val="18"/>
              </w:rPr>
              <w:t>公</w:t>
            </w:r>
            <w:r>
              <w:rPr>
                <w:rFonts w:ascii="宋体" w:hAnsi="宋体" w:cs="宋体" w:eastAsia="宋体" w:hint="default"/>
                <w:spacing w:val="1"/>
                <w:sz w:val="18"/>
                <w:szCs w:val="18"/>
              </w:rPr>
              <w:t>司</w:t>
            </w:r>
            <w:r>
              <w:rPr>
                <w:rFonts w:ascii="宋体" w:hAnsi="宋体" w:cs="宋体" w:eastAsia="宋体" w:hint="default"/>
                <w:sz w:val="18"/>
                <w:szCs w:val="18"/>
              </w:rPr>
              <w:t>发布</w:t>
            </w:r>
            <w:r>
              <w:rPr>
                <w:rFonts w:ascii="宋体" w:hAnsi="宋体" w:cs="宋体" w:eastAsia="宋体" w:hint="default"/>
                <w:spacing w:val="-17"/>
                <w:sz w:val="18"/>
                <w:szCs w:val="18"/>
              </w:rPr>
              <w:t>了</w:t>
            </w: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年限制性股票激励计划首次授予登记完成的公告</w:t>
            </w:r>
            <w:r>
              <w:rPr>
                <w:rFonts w:ascii="宋体" w:hAnsi="宋体" w:cs="宋体" w:eastAsia="宋体" w:hint="default"/>
                <w:spacing w:val="-90"/>
                <w:sz w:val="18"/>
                <w:szCs w:val="18"/>
              </w:rPr>
              <w:t>》</w:t>
            </w:r>
            <w:r>
              <w:rPr>
                <w:rFonts w:ascii="宋体" w:hAnsi="宋体" w:cs="宋体" w:eastAsia="宋体" w:hint="default"/>
                <w:spacing w:val="-17"/>
                <w:sz w:val="18"/>
                <w:szCs w:val="18"/>
              </w:rPr>
              <w:t>，</w:t>
            </w:r>
            <w:r>
              <w:rPr>
                <w:rFonts w:ascii="宋体" w:hAnsi="宋体" w:cs="宋体" w:eastAsia="宋体" w:hint="default"/>
                <w:sz w:val="18"/>
                <w:szCs w:val="18"/>
              </w:rPr>
              <w:t>公司已完成所</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涉限制性股票的首次授予登记工作，上市日期为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日，公司总股本由</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447,930,709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股增加至</w:t>
            </w:r>
          </w:p>
          <w:p>
            <w:pPr>
              <w:pStyle w:val="TableParagraph"/>
              <w:spacing w:line="240" w:lineRule="auto" w:before="6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456,070,709  </w:t>
            </w:r>
            <w:r>
              <w:rPr>
                <w:rFonts w:ascii="宋体" w:hAnsi="宋体" w:cs="宋体" w:eastAsia="宋体" w:hint="default"/>
                <w:spacing w:val="-2"/>
                <w:sz w:val="18"/>
                <w:szCs w:val="18"/>
              </w:rPr>
              <w:t>股</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w:t>
            </w:r>
            <w:r>
              <w:rPr>
                <w:rFonts w:ascii="宋体" w:hAnsi="宋体" w:cs="宋体" w:eastAsia="宋体" w:hint="default"/>
                <w:spacing w:val="1"/>
                <w:sz w:val="18"/>
                <w:szCs w:val="18"/>
              </w:rPr>
              <w:t>司</w:t>
            </w:r>
            <w:r>
              <w:rPr>
                <w:rFonts w:ascii="宋体" w:hAnsi="宋体" w:cs="宋体" w:eastAsia="宋体" w:hint="default"/>
                <w:sz w:val="18"/>
                <w:szCs w:val="18"/>
              </w:rPr>
              <w:t>发布了《</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年年度权益分派实施公告</w:t>
            </w:r>
            <w:r>
              <w:rPr>
                <w:rFonts w:ascii="宋体" w:hAnsi="宋体" w:cs="宋体" w:eastAsia="宋体" w:hint="default"/>
                <w:spacing w:val="-90"/>
                <w:sz w:val="18"/>
                <w:szCs w:val="18"/>
              </w:rPr>
              <w:t>》</w:t>
            </w:r>
            <w:r>
              <w:rPr>
                <w:rFonts w:ascii="宋体" w:hAnsi="宋体" w:cs="宋体" w:eastAsia="宋体" w:hint="default"/>
                <w:sz w:val="18"/>
                <w:szCs w:val="18"/>
              </w:rPr>
              <w:t>，以公司现有总股本</w:t>
            </w:r>
          </w:p>
          <w:p>
            <w:pPr>
              <w:pStyle w:val="TableParagraph"/>
              <w:spacing w:line="240" w:lineRule="auto" w:before="63"/>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456,070,709 </w:t>
            </w:r>
            <w:r>
              <w:rPr>
                <w:rFonts w:ascii="宋体" w:hAnsi="宋体" w:cs="宋体" w:eastAsia="宋体" w:hint="default"/>
                <w:sz w:val="18"/>
                <w:szCs w:val="18"/>
              </w:rPr>
              <w:t>股为基数，向全体股东每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股送红股 </w:t>
            </w:r>
            <w:r>
              <w:rPr>
                <w:rFonts w:ascii="Times New Roman" w:hAnsi="Times New Roman" w:cs="Times New Roman" w:eastAsia="Times New Roman" w:hint="default"/>
                <w:sz w:val="18"/>
                <w:szCs w:val="18"/>
              </w:rPr>
              <w:t>0  </w:t>
            </w:r>
            <w:r>
              <w:rPr>
                <w:rFonts w:ascii="宋体" w:hAnsi="宋体" w:cs="宋体" w:eastAsia="宋体" w:hint="default"/>
                <w:sz w:val="18"/>
                <w:szCs w:val="18"/>
              </w:rPr>
              <w:t>股，派 </w:t>
            </w:r>
            <w:r>
              <w:rPr>
                <w:rFonts w:ascii="Times New Roman" w:hAnsi="Times New Roman" w:cs="Times New Roman" w:eastAsia="Times New Roman" w:hint="default"/>
                <w:sz w:val="18"/>
                <w:szCs w:val="18"/>
              </w:rPr>
              <w:t>0.294645</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元人民币现金，同时以资本公积金向全</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体股东每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股转增 </w:t>
            </w:r>
            <w:r>
              <w:rPr>
                <w:rFonts w:ascii="Times New Roman" w:hAnsi="Times New Roman" w:cs="Times New Roman" w:eastAsia="Times New Roman" w:hint="default"/>
                <w:sz w:val="18"/>
                <w:szCs w:val="18"/>
              </w:rPr>
              <w:t>4.910759</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股，实施权益分派后，董事及高级管理人员持有的已授予但尚未解锁的限制性股</w:t>
            </w:r>
          </w:p>
          <w:p>
            <w:pPr>
              <w:pStyle w:val="TableParagraph"/>
              <w:spacing w:line="240" w:lineRule="auto" w:before="64"/>
              <w:ind w:left="15" w:right="0"/>
              <w:jc w:val="left"/>
              <w:rPr>
                <w:rFonts w:ascii="宋体" w:hAnsi="宋体" w:cs="宋体" w:eastAsia="宋体" w:hint="default"/>
                <w:sz w:val="18"/>
                <w:szCs w:val="18"/>
              </w:rPr>
            </w:pPr>
            <w:r>
              <w:rPr>
                <w:rFonts w:ascii="宋体" w:hAnsi="宋体" w:cs="宋体" w:eastAsia="宋体" w:hint="default"/>
                <w:sz w:val="18"/>
                <w:szCs w:val="18"/>
              </w:rPr>
              <w:t>票由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210.2418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Times New Roman" w:hAnsi="Times New Roman" w:cs="Times New Roman" w:eastAsia="Times New Roman" w:hint="default"/>
                <w:sz w:val="18"/>
                <w:szCs w:val="18"/>
              </w:rPr>
              <w:t>3</w:t>
            </w:r>
            <w:r>
              <w:rPr>
                <w:rFonts w:ascii="宋体" w:hAnsi="宋体" w:cs="宋体" w:eastAsia="宋体" w:hint="default"/>
                <w:sz w:val="18"/>
                <w:szCs w:val="18"/>
              </w:rPr>
              <w:t>、董事、高级管理人员获授的限制性股票均未解锁。</w:t>
            </w:r>
          </w:p>
        </w:tc>
      </w:tr>
      <w:tr>
        <w:trPr>
          <w:trHeight w:val="704" w:hRule="exact"/>
        </w:trPr>
        <w:tc>
          <w:tcPr>
            <w:tcW w:w="71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7"/>
                <w:sz w:val="18"/>
                <w:szCs w:val="18"/>
              </w:rPr>
              <w:t>备注（如</w:t>
            </w:r>
            <w:r>
              <w:rPr>
                <w:rFonts w:ascii="宋体" w:hAnsi="宋体" w:cs="宋体" w:eastAsia="宋体" w:hint="default"/>
                <w:sz w:val="18"/>
                <w:szCs w:val="18"/>
              </w:rPr>
              <w:t> 有）</w:t>
            </w:r>
          </w:p>
        </w:tc>
        <w:tc>
          <w:tcPr>
            <w:tcW w:w="8854" w:type="dxa"/>
            <w:gridSpan w:val="10"/>
            <w:vMerge/>
            <w:tcBorders>
              <w:left w:val="single" w:sz="10" w:space="0" w:color="D2D2D2"/>
              <w:right w:val="single" w:sz="4" w:space="0" w:color="000000"/>
            </w:tcBorders>
          </w:tcPr>
          <w:p>
            <w:pPr/>
          </w:p>
        </w:tc>
      </w:tr>
      <w:tr>
        <w:trPr>
          <w:trHeight w:val="629" w:hRule="exact"/>
        </w:trPr>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854" w:type="dxa"/>
            <w:gridSpan w:val="10"/>
            <w:vMerge/>
            <w:tcBorders>
              <w:left w:val="single" w:sz="10"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五、公司员工情况" w:id="123"/>
      <w:bookmarkEnd w:id="123"/>
      <w:r>
        <w:rPr>
          <w:b w:val="0"/>
          <w:bCs w:val="0"/>
        </w:rPr>
      </w:r>
      <w:r>
        <w:rPr/>
        <w:t>五、公司员工情况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4"/>
      <w:bookmarkEnd w:id="124"/>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1,192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1,995</w:t>
            </w:r>
          </w:p>
        </w:tc>
      </w:tr>
      <w:tr>
        <w:trPr>
          <w:trHeight w:val="408"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1,995</w:t>
            </w:r>
          </w:p>
        </w:tc>
      </w:tr>
      <w:tr>
        <w:trPr>
          <w:trHeight w:val="391"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硕士、博士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本科学历</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中专、高中及以下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w:t>
            </w:r>
          </w:p>
        </w:tc>
      </w:tr>
      <w:tr>
        <w:trPr>
          <w:trHeight w:val="403"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薪酬政策" w:id="125"/>
      <w:bookmarkEnd w:id="125"/>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20" w:firstLine="145"/>
        <w:jc w:val="left"/>
      </w:pPr>
      <w:r>
        <w:rPr>
          <w:spacing w:val="-1"/>
        </w:rPr>
        <w:t>公司根据公司实际经营情况制订相应的薪酬政策，并根据有关政策及市场情况的变化及时进行调整。员工薪酬主要包括基</w:t>
      </w:r>
      <w:r>
        <w:rPr/>
        <w:t> 本工资、绩效工资、社保、住房公积金等。</w:t>
      </w:r>
    </w:p>
    <w:p>
      <w:pPr>
        <w:pStyle w:val="BodyText"/>
        <w:spacing w:line="338" w:lineRule="auto" w:before="60"/>
        <w:ind w:right="1843"/>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 公司人员薪酬计入期间费用，未计入主营业务成本。</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3、培训计划" w:id="126"/>
      <w:bookmarkEnd w:id="126"/>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1" w:firstLine="360"/>
        <w:jc w:val="both"/>
      </w:pPr>
      <w:r>
        <w:rPr>
          <w:spacing w:val="-2"/>
        </w:rPr>
        <w:t>公司建立了完善的内部员工培训制度。针对新员工，公司定期开展新员工培训，同时不定期开展全员素质类培训；对于</w:t>
      </w:r>
      <w:r>
        <w:rPr/>
        <w:t> </w:t>
      </w:r>
      <w:r>
        <w:rPr>
          <w:spacing w:val="-2"/>
        </w:rPr>
        <w:t>专业技能岗位，公司组织了大数据岗位专业系统培训和计算机集成项目管理外派培训；为了提高公司中高层管理人员的领导</w:t>
      </w:r>
      <w:r>
        <w:rPr>
          <w:spacing w:val="-64"/>
        </w:rPr>
        <w:t> </w:t>
      </w:r>
      <w:r>
        <w:rPr>
          <w:spacing w:val="-64"/>
        </w:rPr>
      </w:r>
      <w:r>
        <w:rPr/>
        <w:t>力，公司外聘导师从战略、综合管理技能等多方面开展了不同维度的培训。</w:t>
      </w:r>
    </w:p>
    <w:p>
      <w:pPr>
        <w:pStyle w:val="BodyText"/>
        <w:spacing w:line="312" w:lineRule="auto" w:before="19"/>
        <w:ind w:right="1130" w:firstLine="360"/>
        <w:jc w:val="both"/>
      </w:pPr>
      <w:r>
        <w:rPr>
          <w:spacing w:val="-2"/>
        </w:rPr>
        <w:t>公司一向重视人才的引进与培养，不断持续完善和优化培训机制，促进公司与员工的共同发展。</w:t>
      </w:r>
      <w:r>
        <w:rPr>
          <w:rFonts w:ascii="Times New Roman" w:hAnsi="Times New Roman" w:cs="Times New Roman" w:eastAsia="Times New Roman" w:hint="default"/>
          <w:spacing w:val="-2"/>
        </w:rPr>
        <w:t>2019</w:t>
      </w:r>
      <w:r>
        <w:rPr>
          <w:spacing w:val="-2"/>
        </w:rPr>
        <w:t>年，公司将继续加</w:t>
      </w:r>
      <w:r>
        <w:rPr/>
        <w:t> </w:t>
      </w:r>
      <w:r>
        <w:rPr>
          <w:spacing w:val="-2"/>
        </w:rPr>
        <w:t>速公司骨干人员锻炼与培养，根据公司发展的需要和员工多样化培训需求，加强内部培训力度，完善内部培训机制，提高公</w:t>
      </w:r>
      <w:r>
        <w:rPr>
          <w:spacing w:val="-66"/>
        </w:rPr>
        <w:t> </w:t>
      </w:r>
      <w:r>
        <w:rPr>
          <w:spacing w:val="-66"/>
        </w:rPr>
      </w:r>
      <w:r>
        <w:rPr>
          <w:spacing w:val="-2"/>
        </w:rPr>
        <w:t>司员工业务技能的同时，充分调动公司员工主观能动性，为公司员工提供更多施展才华的机会和舞台，为公司未来几年的持</w:t>
      </w:r>
      <w:r>
        <w:rPr>
          <w:spacing w:val="-66"/>
        </w:rPr>
        <w:t> </w:t>
      </w:r>
      <w:r>
        <w:rPr>
          <w:spacing w:val="-66"/>
        </w:rPr>
      </w:r>
      <w:r>
        <w:rPr/>
        <w:t>续快速发展，提供人力资源保障。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left"/>
        <w:rPr>
          <w:b w:val="0"/>
          <w:bCs w:val="0"/>
        </w:rPr>
      </w:pPr>
      <w:bookmarkStart w:name="4、劳务外包情况" w:id="127"/>
      <w:bookmarkEnd w:id="127"/>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1457"/>
        <w:jc w:val="center"/>
        <w:rPr>
          <w:b w:val="0"/>
          <w:bCs w:val="0"/>
        </w:rPr>
      </w:pPr>
      <w:bookmarkStart w:name="_TOC_250003" w:id="128"/>
      <w:bookmarkStart w:name="第九节 公司治理" w:id="129"/>
      <w:r>
        <w:rPr>
          <w:b w:val="0"/>
          <w:bCs w:val="0"/>
        </w:rPr>
      </w:r>
      <w:r>
        <w:rPr/>
        <w:t>第九节</w:t>
      </w:r>
      <w:r>
        <w:rPr>
          <w:spacing w:val="-5"/>
        </w:rPr>
        <w:t> </w:t>
      </w:r>
      <w:r>
        <w:rPr/>
        <w:t>公司治理</w:t>
      </w:r>
      <w:bookmarkEnd w:id="12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0"/>
      <w:bookmarkEnd w:id="130"/>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514" w:right="0"/>
        <w:jc w:val="left"/>
      </w:pPr>
      <w:r>
        <w:rPr>
          <w:spacing w:val="-4"/>
        </w:rPr>
        <w:t>报告期内，公司严格按照《公司法》、《证券法》、《上市公司治理准则》、《深圳证券交易所创业板股票上市规则》、</w:t>
      </w:r>
    </w:p>
    <w:p>
      <w:pPr>
        <w:pStyle w:val="BodyText"/>
        <w:spacing w:line="316" w:lineRule="auto" w:before="76"/>
        <w:ind w:right="1032"/>
        <w:jc w:val="left"/>
      </w:pPr>
      <w:r>
        <w:rPr>
          <w:spacing w:val="-2"/>
        </w:rPr>
        <w:t>《深圳证券交易所创业板上市公司规范运作指引》和其他有关法律法规、规范性文件的要求，不断完善公司治理结构，进一</w:t>
      </w:r>
      <w:r>
        <w:rPr>
          <w:spacing w:val="-66"/>
        </w:rPr>
        <w:t> </w:t>
      </w:r>
      <w:r>
        <w:rPr>
          <w:spacing w:val="-66"/>
        </w:rPr>
      </w:r>
      <w:r>
        <w:rPr/>
        <w:t>步提高公司治理水平。公司确立了由股东大会、董事会、监事会和经营管理层组成的公司治理结构，建立健全了股东大会、 </w:t>
      </w:r>
      <w:r>
        <w:rPr>
          <w:spacing w:val="-2"/>
        </w:rPr>
        <w:t>董事会、监事会、独立董事、董事会秘书等相关制度，并在公司董事会下设立了审计和薪酬与考核专门委员会。公司治理的</w:t>
      </w:r>
      <w:r>
        <w:rPr>
          <w:spacing w:val="-66"/>
        </w:rPr>
        <w:t> </w:t>
      </w:r>
      <w:r>
        <w:rPr>
          <w:spacing w:val="-66"/>
        </w:rPr>
      </w:r>
      <w:r>
        <w:rPr/>
        <w:t>实际状况符合《上市公司治理准则》和《深圳证券交易所创业板上市公司规范运作指引》的要求。</w:t>
      </w:r>
    </w:p>
    <w:p>
      <w:pPr>
        <w:pStyle w:val="BodyText"/>
        <w:spacing w:line="300" w:lineRule="auto" w:before="19"/>
        <w:ind w:left="514" w:right="0"/>
        <w:jc w:val="left"/>
      </w:pPr>
      <w:r>
        <w:rPr>
          <w:rFonts w:ascii="Times New Roman" w:hAnsi="Times New Roman" w:cs="Times New Roman" w:eastAsia="Times New Roman" w:hint="default"/>
        </w:rPr>
        <w:t>1</w:t>
      </w:r>
      <w:r>
        <w:rPr/>
        <w:t>、关于股东与股东大会 </w:t>
      </w:r>
      <w:r>
        <w:rPr>
          <w:spacing w:val="-2"/>
        </w:rPr>
        <w:t>公司股东大会均严格按照《上市公司股东大会规则》、《公司章程》、《股东大会议事规则》等规定召集、召开，平等</w:t>
      </w:r>
    </w:p>
    <w:p>
      <w:pPr>
        <w:pStyle w:val="BodyText"/>
        <w:spacing w:line="316" w:lineRule="auto" w:before="31"/>
        <w:ind w:right="1032"/>
        <w:jc w:val="left"/>
      </w:pPr>
      <w:r>
        <w:rPr/>
        <w:t>对待所有股东，并尽可能为股东参加股东大会提供便利，使其充分行使股东权利。同时，公司聘请专业律师见证股东大会， 确保会议召集召开以及表决程序符合相关法律规定，维护股东的合法权益。</w:t>
      </w:r>
    </w:p>
    <w:p>
      <w:pPr>
        <w:pStyle w:val="BodyText"/>
        <w:spacing w:line="300" w:lineRule="auto" w:before="19"/>
        <w:ind w:left="514" w:right="0"/>
        <w:jc w:val="left"/>
      </w:pPr>
      <w:r>
        <w:rPr>
          <w:rFonts w:ascii="Times New Roman" w:hAnsi="Times New Roman" w:cs="Times New Roman" w:eastAsia="Times New Roman" w:hint="default"/>
        </w:rPr>
        <w:t>2</w:t>
      </w:r>
      <w:r>
        <w:rPr/>
        <w:t>、关于公司与控股股东、实际控制人 </w:t>
      </w:r>
      <w:r>
        <w:rPr>
          <w:spacing w:val="-2"/>
        </w:rPr>
        <w:t>公司控股股东、实际控制人严格规范自己的行为，没有超越股东大会直接或间接干预公司的决策和经营活动，未损害公</w:t>
      </w:r>
    </w:p>
    <w:p>
      <w:pPr>
        <w:pStyle w:val="BodyText"/>
        <w:spacing w:line="316" w:lineRule="auto" w:before="31"/>
        <w:ind w:right="0"/>
        <w:jc w:val="left"/>
      </w:pPr>
      <w:r>
        <w:rPr>
          <w:spacing w:val="-2"/>
        </w:rPr>
        <w:t>司及其他股东的利益，不存在控股股东占用公司资金的现象，公司亦无为控股股东提供担保的情形。公司拥有独立完整的业</w:t>
      </w:r>
      <w:r>
        <w:rPr>
          <w:spacing w:val="-66"/>
        </w:rPr>
        <w:t> </w:t>
      </w:r>
      <w:r>
        <w:rPr>
          <w:spacing w:val="-66"/>
        </w:rPr>
      </w:r>
      <w:r>
        <w:rPr/>
        <w:t>务和自主经营能力，在业务、人员、资产、机构、财务上独立于控股股东，公司董事会、监事会和内部机构独立运作。</w:t>
      </w:r>
    </w:p>
    <w:p>
      <w:pPr>
        <w:pStyle w:val="BodyText"/>
        <w:spacing w:line="300" w:lineRule="auto" w:before="19"/>
        <w:ind w:left="514" w:right="0"/>
        <w:jc w:val="left"/>
      </w:pPr>
      <w:r>
        <w:rPr>
          <w:rFonts w:ascii="Times New Roman" w:hAnsi="Times New Roman" w:cs="Times New Roman" w:eastAsia="Times New Roman" w:hint="default"/>
        </w:rPr>
        <w:t>3</w:t>
      </w:r>
      <w:r>
        <w:rPr/>
        <w:t>、关于董事和董事会 </w:t>
      </w:r>
      <w:r>
        <w:rPr>
          <w:spacing w:val="-2"/>
        </w:rPr>
        <w:t>公司董事会设董事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名，董事会的人数及人员构成符合法律、法规和《公司章程》的要求。公司董事</w:t>
      </w:r>
    </w:p>
    <w:p>
      <w:pPr>
        <w:pStyle w:val="BodyText"/>
        <w:spacing w:line="316" w:lineRule="auto" w:before="13"/>
        <w:ind w:right="1131"/>
        <w:jc w:val="both"/>
      </w:pPr>
      <w:r>
        <w:rPr>
          <w:spacing w:val="-2"/>
        </w:rPr>
        <w:t>能够依据《深圳证券交易所创业板上市公司规范运作指引》、《董事会议事规则》、《独立董事工作制度》等开展工作，出</w:t>
      </w:r>
      <w:r>
        <w:rPr>
          <w:spacing w:val="-69"/>
        </w:rPr>
        <w:t> </w:t>
      </w:r>
      <w:r>
        <w:rPr>
          <w:spacing w:val="-69"/>
        </w:rPr>
      </w:r>
      <w:r>
        <w:rPr>
          <w:spacing w:val="-2"/>
        </w:rPr>
        <w:t>席董事会和股东大会，勤勉尽责地履行职责和义务，同时积极参加相关培训，熟悉相关法律法规。公司按照《深圳证券交易</w:t>
      </w:r>
      <w:r>
        <w:rPr>
          <w:spacing w:val="-66"/>
        </w:rPr>
        <w:t> </w:t>
      </w:r>
      <w:r>
        <w:rPr>
          <w:spacing w:val="-66"/>
        </w:rPr>
      </w:r>
      <w:r>
        <w:rPr>
          <w:spacing w:val="-2"/>
        </w:rPr>
        <w:t>所创业板上市公司规范运作指引》的要求，下设审计委员会和薪酬与考核委员会两个专门委员会。专门委员会委员全部由董</w:t>
      </w:r>
      <w:r>
        <w:rPr>
          <w:spacing w:val="-66"/>
        </w:rPr>
        <w:t> </w:t>
      </w:r>
      <w:r>
        <w:rPr>
          <w:spacing w:val="-66"/>
        </w:rPr>
      </w:r>
      <w:r>
        <w:rPr>
          <w:spacing w:val="-2"/>
        </w:rPr>
        <w:t>事组成，主任委员全部由独立董事担任，且独立董事人数占其他专门委员会委员的比例均达到三分之二，为董事会的决策提</w:t>
      </w:r>
      <w:r>
        <w:rPr>
          <w:spacing w:val="-66"/>
        </w:rPr>
        <w:t> </w:t>
      </w:r>
      <w:r>
        <w:rPr>
          <w:spacing w:val="-66"/>
        </w:rPr>
      </w:r>
      <w:r>
        <w:rPr>
          <w:spacing w:val="-2"/>
        </w:rPr>
        <w:t>供了科学和专业的意见和参考。各委员会依据《公司章程》和各委员会议事规则的规定履行职权，不受公司任何其他部门和</w:t>
      </w:r>
      <w:r>
        <w:rPr>
          <w:spacing w:val="-66"/>
        </w:rPr>
        <w:t> </w:t>
      </w:r>
      <w:r>
        <w:rPr>
          <w:spacing w:val="-66"/>
        </w:rPr>
      </w:r>
      <w:r>
        <w:rPr/>
        <w:t>个人的干预。</w:t>
      </w:r>
    </w:p>
    <w:p>
      <w:pPr>
        <w:pStyle w:val="BodyText"/>
        <w:spacing w:line="300" w:lineRule="auto" w:before="19"/>
        <w:ind w:left="444" w:right="0" w:firstLine="69"/>
        <w:jc w:val="left"/>
      </w:pPr>
      <w:r>
        <w:rPr>
          <w:rFonts w:ascii="Times New Roman" w:hAnsi="Times New Roman" w:cs="Times New Roman" w:eastAsia="Times New Roman" w:hint="default"/>
        </w:rPr>
        <w:t>4</w:t>
      </w:r>
      <w:r>
        <w:rPr/>
        <w:t>、关于监事和监事会 </w:t>
      </w:r>
      <w:r>
        <w:rPr>
          <w:spacing w:val="-1"/>
        </w:rPr>
        <w:t>公司监事会设监事</w:t>
      </w:r>
      <w:r>
        <w:rPr>
          <w:rFonts w:ascii="Times New Roman" w:hAnsi="Times New Roman" w:cs="Times New Roman" w:eastAsia="Times New Roman" w:hint="default"/>
          <w:spacing w:val="-1"/>
        </w:rPr>
        <w:t>3</w:t>
      </w:r>
      <w:r>
        <w:rPr>
          <w:spacing w:val="-1"/>
        </w:rPr>
        <w:t>名，其中职工监事</w:t>
      </w:r>
      <w:r>
        <w:rPr>
          <w:rFonts w:ascii="Times New Roman" w:hAnsi="Times New Roman" w:cs="Times New Roman" w:eastAsia="Times New Roman" w:hint="default"/>
          <w:spacing w:val="-1"/>
        </w:rPr>
        <w:t>1</w:t>
      </w:r>
      <w:r>
        <w:rPr>
          <w:spacing w:val="-1"/>
        </w:rPr>
        <w:t>名，监事会的人数和构成符合法律、法规的要求。公司监事能够按照《深圳证券</w:t>
      </w:r>
    </w:p>
    <w:p>
      <w:pPr>
        <w:pStyle w:val="BodyText"/>
        <w:spacing w:line="316" w:lineRule="auto" w:before="13"/>
        <w:ind w:right="1032"/>
        <w:jc w:val="left"/>
      </w:pPr>
      <w:r>
        <w:rPr/>
        <w:t>交易所创业板上市公司规范运作指引》、《监事会议事规则》的要求，认真履行自己的职责，对公司重大事项、财务状况、 董事和高级管理人员的履行职责的合法合规性进行监督，维护公司及股东的合法权益。</w:t>
      </w:r>
    </w:p>
    <w:p>
      <w:pPr>
        <w:pStyle w:val="BodyText"/>
        <w:spacing w:line="300" w:lineRule="auto" w:before="19"/>
        <w:ind w:left="444" w:right="0" w:firstLine="69"/>
        <w:jc w:val="left"/>
      </w:pPr>
      <w:r>
        <w:rPr>
          <w:rFonts w:ascii="Times New Roman" w:hAnsi="Times New Roman" w:cs="Times New Roman" w:eastAsia="Times New Roman" w:hint="default"/>
        </w:rPr>
        <w:t>5</w:t>
      </w:r>
      <w:r>
        <w:rPr/>
        <w:t>、关于绩效评价与激励约束机制 </w:t>
      </w:r>
      <w:r>
        <w:rPr>
          <w:spacing w:val="-1"/>
        </w:rPr>
        <w:t>公司已建立企业绩效激励与评价体系，并不断完善。公司董事、监事和高级管理人员的绩效评价标准和激励约束机制公</w:t>
      </w:r>
    </w:p>
    <w:p>
      <w:pPr>
        <w:pStyle w:val="BodyText"/>
        <w:spacing w:line="316" w:lineRule="auto" w:before="31"/>
        <w:ind w:right="0"/>
        <w:jc w:val="left"/>
      </w:pPr>
      <w:r>
        <w:rPr>
          <w:spacing w:val="-2"/>
        </w:rPr>
        <w:t>开、透明，符合法律、法规的规定。公司董事会下设的薪酬和考核委员会负责对公司的董事、监事、高管进行绩效考核。公</w:t>
      </w:r>
      <w:r>
        <w:rPr>
          <w:spacing w:val="-71"/>
        </w:rPr>
        <w:t> </w:t>
      </w:r>
      <w:r>
        <w:rPr>
          <w:spacing w:val="-71"/>
        </w:rPr>
      </w:r>
      <w:r>
        <w:rPr/>
        <w:t>司现有的考核机制符合相关法律法规，同时符合公司的发展情况。</w:t>
      </w:r>
    </w:p>
    <w:p>
      <w:pPr>
        <w:pStyle w:val="BodyText"/>
        <w:spacing w:line="300" w:lineRule="auto" w:before="19"/>
        <w:ind w:left="444" w:right="0" w:firstLine="69"/>
        <w:jc w:val="left"/>
      </w:pPr>
      <w:r>
        <w:rPr>
          <w:rFonts w:ascii="Times New Roman" w:hAnsi="Times New Roman" w:cs="Times New Roman" w:eastAsia="Times New Roman" w:hint="default"/>
        </w:rPr>
        <w:t>6</w:t>
      </w:r>
      <w:r>
        <w:rPr/>
        <w:t>、关于信息披露与透明度 </w:t>
      </w:r>
      <w:r>
        <w:rPr>
          <w:spacing w:val="-1"/>
        </w:rPr>
        <w:t>公司严格按照《上市公司信息披露管理办法》、深圳证券交易所创业板上市公司的信息披露格式指引等规定以及公司制</w:t>
      </w:r>
    </w:p>
    <w:p>
      <w:pPr>
        <w:pStyle w:val="BodyText"/>
        <w:spacing w:line="312" w:lineRule="auto" w:before="31"/>
        <w:ind w:right="1032"/>
        <w:jc w:val="left"/>
      </w:pPr>
      <w:r>
        <w:rPr>
          <w:spacing w:val="-4"/>
        </w:rPr>
        <w:t>定的《信息披露制度》等要求，真实、准确、及时、公平、完整地披露有关信息；并指定公司董事会秘书负责信息披露工作，</w:t>
      </w:r>
      <w:r>
        <w:rPr>
          <w:spacing w:val="-46"/>
        </w:rPr>
        <w:t> </w:t>
      </w:r>
      <w:r>
        <w:rPr>
          <w:spacing w:val="-46"/>
        </w:rPr>
      </w:r>
      <w:r>
        <w:rPr>
          <w:spacing w:val="-2"/>
        </w:rPr>
        <w:t>协调公司与投资者的关系，接待股东来访，回答投资者咨询；并指定《证券时报》、《证券时报》、《中国证券报》等法定</w:t>
      </w:r>
      <w:r>
        <w:rPr>
          <w:spacing w:val="-70"/>
        </w:rPr>
        <w:t> </w:t>
      </w:r>
      <w:r>
        <w:rPr>
          <w:spacing w:val="-70"/>
        </w:rPr>
      </w:r>
      <w:r>
        <w:rPr/>
        <w:t>报纸和巨潮资讯网（</w:t>
      </w:r>
      <w:hyperlink r:id="rId12">
        <w:r>
          <w:rPr>
            <w:rFonts w:ascii="Times New Roman" w:hAnsi="Times New Roman" w:cs="Times New Roman" w:eastAsia="Times New Roman" w:hint="default"/>
          </w:rPr>
          <w:t>www.cninfo.com.cn</w:t>
        </w:r>
      </w:hyperlink>
      <w:r>
        <w:rPr/>
        <w:t>）为公司信息披露的指定报纸和网站，确保公司所有股东能够以平等的机会获得信</w:t>
      </w:r>
      <w:r>
        <w:rPr>
          <w:w w:val="99"/>
        </w:rPr>
        <w:t> </w:t>
      </w:r>
      <w:r>
        <w:rPr/>
        <w:t>息。</w:t>
      </w:r>
    </w:p>
    <w:p>
      <w:pPr>
        <w:pStyle w:val="BodyText"/>
        <w:spacing w:line="300" w:lineRule="auto" w:before="22"/>
        <w:ind w:left="444" w:right="0" w:firstLine="69"/>
        <w:jc w:val="left"/>
      </w:pPr>
      <w:r>
        <w:rPr>
          <w:rFonts w:ascii="Times New Roman" w:hAnsi="Times New Roman" w:cs="Times New Roman" w:eastAsia="Times New Roman" w:hint="default"/>
        </w:rPr>
        <w:t>7</w:t>
      </w:r>
      <w:r>
        <w:rPr/>
        <w:t>、关于相关利益者 </w:t>
      </w:r>
      <w:r>
        <w:rPr>
          <w:spacing w:val="-1"/>
        </w:rPr>
        <w:t>公司充分尊重和维护相关利益者的合法权益，实现社会、股东、公司、员工等各方面利益的协调平衡，诚信对待供应商</w:t>
      </w:r>
    </w:p>
    <w:p>
      <w:pPr>
        <w:pStyle w:val="BodyText"/>
        <w:spacing w:line="240" w:lineRule="auto" w:before="31"/>
        <w:ind w:right="0"/>
        <w:jc w:val="left"/>
      </w:pPr>
      <w:r>
        <w:rPr/>
        <w:t>和客户，坚持与相关利益者互利共赢的原则，共同推动公司持续、稳健发展。</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t>公司治理的实际状况与中国证监会发布的有关上市公司治理的规范性文件是否存在重大差异</w:t>
      </w:r>
    </w:p>
    <w:p>
      <w:pPr>
        <w:pStyle w:val="BodyText"/>
        <w:spacing w:line="340" w:lineRule="auto" w:before="116"/>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1"/>
      <w:bookmarkEnd w:id="131"/>
      <w:r>
        <w:rPr>
          <w:b w:val="0"/>
          <w:bCs w:val="0"/>
        </w:rPr>
      </w: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444" w:right="1118" w:hanging="291"/>
        <w:jc w:val="left"/>
      </w:pPr>
      <w:r>
        <w:rPr/>
        <w:t>（一）业务独立 </w:t>
      </w:r>
      <w:r>
        <w:rPr>
          <w:spacing w:val="-1"/>
        </w:rPr>
        <w:t>公司拥有独立完整的业务体系和自主经营能力，公司不依赖股东及其它关联方进行生产经营活动。控股股东除投资本公</w:t>
      </w:r>
    </w:p>
    <w:p>
      <w:pPr>
        <w:pStyle w:val="BodyText"/>
        <w:spacing w:line="240" w:lineRule="auto" w:before="19"/>
        <w:ind w:right="0"/>
        <w:jc w:val="left"/>
      </w:pPr>
      <w:r>
        <w:rPr/>
        <w:t>司外，并无其他经营性投资和参与经营的事项，其他主要股东也未从事与公司可能存在同业竞争的业务。</w:t>
      </w:r>
    </w:p>
    <w:p>
      <w:pPr>
        <w:pStyle w:val="BodyText"/>
        <w:spacing w:line="316" w:lineRule="auto" w:before="76"/>
        <w:ind w:left="444" w:right="1118" w:hanging="291"/>
        <w:jc w:val="left"/>
      </w:pPr>
      <w:r>
        <w:rPr/>
        <w:t>（二）人员独立 </w:t>
      </w:r>
      <w:r>
        <w:rPr>
          <w:spacing w:val="-1"/>
        </w:rPr>
        <w:t>公司拥有独立的人事管理体系，公司董事、监事及高级管理人员按照《公司法》、《公司章程》等有关法律、法规和规</w:t>
      </w:r>
    </w:p>
    <w:p>
      <w:pPr>
        <w:pStyle w:val="BodyText"/>
        <w:spacing w:line="316" w:lineRule="auto" w:before="19"/>
        <w:ind w:right="0"/>
        <w:jc w:val="left"/>
      </w:pPr>
      <w:r>
        <w:rPr>
          <w:spacing w:val="-2"/>
        </w:rPr>
        <w:t>定合法产生；公司高级管理人员不存在在股东关联单位、业务相同或相近的其他单位担任除董事、监事以外职务的情况。公</w:t>
      </w:r>
      <w:r>
        <w:rPr>
          <w:spacing w:val="-66"/>
        </w:rPr>
        <w:t> </w:t>
      </w:r>
      <w:r>
        <w:rPr>
          <w:spacing w:val="-66"/>
        </w:rPr>
      </w:r>
      <w:r>
        <w:rPr/>
        <w:t>司员工独立，薪酬、社会保障等独立管理，具有完善的管理制度和体系。</w:t>
      </w:r>
    </w:p>
    <w:p>
      <w:pPr>
        <w:pStyle w:val="BodyText"/>
        <w:spacing w:line="316" w:lineRule="auto" w:before="19"/>
        <w:ind w:left="444" w:right="1032" w:hanging="291"/>
        <w:jc w:val="left"/>
      </w:pPr>
      <w:r>
        <w:rPr/>
        <w:t>（三）资产独立 </w:t>
      </w:r>
      <w:r>
        <w:rPr>
          <w:spacing w:val="-3"/>
        </w:rPr>
        <w:t>公司具备资产的独立性和完整性，截至目前，不存在以自身资产、权益或信誉为控股股东提供担保的情形，不存在资产、</w:t>
      </w:r>
    </w:p>
    <w:p>
      <w:pPr>
        <w:pStyle w:val="BodyText"/>
        <w:spacing w:line="240" w:lineRule="auto" w:before="19"/>
        <w:ind w:right="0"/>
        <w:jc w:val="left"/>
      </w:pPr>
      <w:r>
        <w:rPr/>
        <w:t>资金被控股股东占用而损害公司利益的情况，公司对所有资产均具有完全控制支配权。</w:t>
      </w:r>
    </w:p>
    <w:p>
      <w:pPr>
        <w:pStyle w:val="BodyText"/>
        <w:spacing w:line="316" w:lineRule="auto" w:before="76"/>
        <w:ind w:left="444" w:right="1118" w:hanging="291"/>
        <w:jc w:val="left"/>
      </w:pPr>
      <w:r>
        <w:rPr/>
        <w:t>（四）机构独立 </w:t>
      </w:r>
      <w:r>
        <w:rPr>
          <w:spacing w:val="-1"/>
        </w:rPr>
        <w:t>公司建立了股东大会、董事会、监事会等完备的治理结构，根据经营发展的需要，建立了符合公司实际情况的独立、完</w:t>
      </w:r>
    </w:p>
    <w:p>
      <w:pPr>
        <w:pStyle w:val="BodyText"/>
        <w:spacing w:line="316" w:lineRule="auto" w:before="19"/>
        <w:ind w:right="0"/>
        <w:jc w:val="left"/>
      </w:pPr>
      <w:r>
        <w:rPr>
          <w:spacing w:val="-2"/>
        </w:rPr>
        <w:t>整的经营管理机构。该等机构依照《公司章程》和内部管理制度体系独立行使自己的职权。公司自设立以来，生产经营和办</w:t>
      </w:r>
      <w:r>
        <w:rPr>
          <w:spacing w:val="-66"/>
        </w:rPr>
        <w:t> </w:t>
      </w:r>
      <w:r>
        <w:rPr>
          <w:spacing w:val="-66"/>
        </w:rPr>
      </w:r>
      <w:r>
        <w:rPr>
          <w:spacing w:val="-4"/>
        </w:rPr>
        <w:t>公机构完全独立，不存在与股东混合经营的情形。股东大会、董事会、监事会及董事会下属专业委员会等内部机构独立运作，</w:t>
      </w:r>
      <w:r>
        <w:rPr>
          <w:spacing w:val="-46"/>
        </w:rPr>
        <w:t> </w:t>
      </w:r>
      <w:r>
        <w:rPr>
          <w:spacing w:val="-46"/>
        </w:rPr>
      </w:r>
      <w:r>
        <w:rPr/>
        <w:t>不受其他单位或个人的干涉。</w:t>
      </w:r>
    </w:p>
    <w:p>
      <w:pPr>
        <w:pStyle w:val="BodyText"/>
        <w:spacing w:line="319" w:lineRule="auto" w:before="19"/>
        <w:ind w:left="444" w:right="1118" w:hanging="291"/>
        <w:jc w:val="left"/>
      </w:pPr>
      <w:r>
        <w:rPr/>
        <w:t>（五）财务独立 </w:t>
      </w:r>
      <w:r>
        <w:rPr>
          <w:spacing w:val="-1"/>
        </w:rPr>
        <w:t>公司设有完整、独立的财务机构，配备了充足的专职财务会计人员，建立了独立的会计核算体系和财务管理制度，并独</w:t>
      </w:r>
    </w:p>
    <w:p>
      <w:pPr>
        <w:pStyle w:val="BodyText"/>
        <w:spacing w:line="316" w:lineRule="auto" w:before="17"/>
        <w:ind w:right="0"/>
        <w:jc w:val="left"/>
      </w:pPr>
      <w:r>
        <w:rPr>
          <w:spacing w:val="-2"/>
        </w:rPr>
        <w:t>立开设银行账户、独立纳税、独立做出财务决策。公司与控股股东在业务、人员、资产、机构、财务等方面完全分开，具有</w:t>
      </w:r>
      <w:r>
        <w:rPr>
          <w:spacing w:val="-67"/>
        </w:rPr>
        <w:t> </w:t>
      </w:r>
      <w:r>
        <w:rPr>
          <w:spacing w:val="-67"/>
        </w:rPr>
      </w:r>
      <w:r>
        <w:rPr/>
        <w:t>独立完整的业务及自主经营能力。</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三、同业竞争情况" w:id="132"/>
      <w:bookmarkEnd w:id="132"/>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3"/>
      <w:bookmarkEnd w:id="133"/>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4"/>
      <w:bookmarkEnd w:id="134"/>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410"/>
        <w:gridCol w:w="1419"/>
        <w:gridCol w:w="850"/>
        <w:gridCol w:w="1700"/>
        <w:gridCol w:w="1594"/>
        <w:gridCol w:w="1595"/>
      </w:tblGrid>
      <w:tr>
        <w:trPr>
          <w:trHeight w:val="71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0" w:right="59"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86"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03"/>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53.12%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.com.cn/new/index</w:t>
            </w:r>
            <w:r>
              <w:rPr>
                <w:rFonts w:ascii="宋体" w:hAnsi="宋体" w:cs="宋体" w:eastAsia="宋体" w:hint="default"/>
                <w:sz w:val="18"/>
                <w:szCs w:val="18"/>
              </w:rPr>
              <w:t>）</w:t>
            </w:r>
          </w:p>
        </w:tc>
      </w:tr>
      <w:tr>
        <w:trPr>
          <w:trHeight w:val="1026"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年第一次临时股东大会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30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44.29%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.com.cn/new/index</w:t>
            </w:r>
            <w:r>
              <w:rPr>
                <w:rFonts w:ascii="宋体" w:hAnsi="宋体" w:cs="宋体" w:eastAsia="宋体" w:hint="default"/>
                <w:sz w:val="18"/>
                <w:szCs w:val="18"/>
              </w:rPr>
              <w:t>）</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年第二次临时股东大会</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03"/>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410"/>
        <w:gridCol w:w="1419"/>
        <w:gridCol w:w="850"/>
        <w:gridCol w:w="1700"/>
        <w:gridCol w:w="1594"/>
        <w:gridCol w:w="1595"/>
      </w:tblGrid>
      <w:tr>
        <w:trPr>
          <w:trHeight w:val="674" w:hRule="exact"/>
        </w:trPr>
        <w:tc>
          <w:tcPr>
            <w:tcW w:w="2410"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http://www.cninfo</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.com.cn/new/index</w:t>
            </w:r>
            <w:r>
              <w:rPr>
                <w:rFonts w:ascii="宋体" w:hAnsi="宋体" w:cs="宋体" w:eastAsia="宋体"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35"/>
      <w:bookmarkEnd w:id="135"/>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6"/>
      <w:bookmarkEnd w:id="136"/>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37"/>
      <w:bookmarkEnd w:id="137"/>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杨玉芬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李挥</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0"/>
        <w:jc w:val="left"/>
      </w:pPr>
      <w:r>
        <w:rPr/>
        <w:t>连续两次未亲自出席董事会的说明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独立董事对公司有关事项提出异议的情况" w:id="138"/>
      <w:bookmarkEnd w:id="138"/>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独立董事对公司有关事项是否提出异议</w:t>
      </w:r>
    </w:p>
    <w:p>
      <w:pPr>
        <w:pStyle w:val="BodyText"/>
        <w:spacing w:line="340" w:lineRule="auto" w:before="116"/>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独立董事履行职责的其他说明" w:id="139"/>
      <w:bookmarkEnd w:id="139"/>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独立董事对公司有关建议是否被采纳</w:t>
      </w:r>
    </w:p>
    <w:p>
      <w:pPr>
        <w:pStyle w:val="BodyText"/>
        <w:spacing w:line="338"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9" w:lineRule="auto" w:before="42"/>
        <w:ind w:right="1131" w:firstLine="360"/>
        <w:jc w:val="both"/>
      </w:pPr>
      <w:r>
        <w:rPr>
          <w:spacing w:val="-2"/>
        </w:rPr>
        <w:t>报告期内，公司独立董事严格按照《公司法》、《证券法》、《深圳证券交易所创业板股票上市规则》、《深圳证券交</w:t>
      </w:r>
      <w:r>
        <w:rPr/>
        <w:t> </w:t>
      </w:r>
      <w:r>
        <w:rPr>
          <w:spacing w:val="-2"/>
        </w:rPr>
        <w:t>易所创业板上市公司规范运作指引》、《公司章程》及《独立董事工作细则》等法律法规及规章制度的相关规定，忠实勤勉</w:t>
      </w:r>
      <w:r>
        <w:rPr>
          <w:spacing w:val="-70"/>
        </w:rPr>
        <w:t> </w:t>
      </w:r>
      <w:r>
        <w:rPr>
          <w:spacing w:val="-70"/>
        </w:rPr>
      </w:r>
      <w:r>
        <w:rPr>
          <w:spacing w:val="-2"/>
        </w:rPr>
        <w:t>地履行独立董事职责，积极出席报告期内公司召开的相关会议，认真审议董事会各项议案，对相关事项发表了独立意见，也</w:t>
      </w:r>
      <w:r>
        <w:rPr>
          <w:spacing w:val="-66"/>
        </w:rPr>
        <w:t> </w:t>
      </w:r>
      <w:r>
        <w:rPr>
          <w:spacing w:val="-66"/>
        </w:rPr>
      </w:r>
      <w:r>
        <w:rPr>
          <w:spacing w:val="-2"/>
        </w:rPr>
        <w:t>在公司的制度完善和日常经营决策等方面提出了专业性建议，并被公司予以采纳，较好的发挥了独立董事的作用，切实维护</w:t>
      </w:r>
      <w:r>
        <w:rPr>
          <w:spacing w:val="-66"/>
        </w:rPr>
        <w:t> </w:t>
      </w:r>
      <w:r>
        <w:rPr>
          <w:spacing w:val="-66"/>
        </w:rPr>
      </w:r>
      <w:r>
        <w:rPr/>
        <w:t>了公司和股东尤其是中小股东利益。</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0"/>
      <w:bookmarkEnd w:id="140"/>
      <w:r>
        <w:rPr>
          <w:b w:val="0"/>
          <w:bCs w:val="0"/>
        </w:rPr>
      </w:r>
      <w:r>
        <w:rPr/>
        <w:t>六、董事会下设专门委员会在报告期内履行职责情况</w:t>
      </w:r>
      <w:r>
        <w:rPr>
          <w:b w:val="0"/>
          <w:bCs w:val="0"/>
        </w:rPr>
      </w:r>
    </w:p>
    <w:p>
      <w:pPr>
        <w:spacing w:line="240" w:lineRule="auto" w:before="5"/>
        <w:rPr>
          <w:rFonts w:ascii="宋体" w:hAnsi="宋体" w:cs="宋体" w:eastAsia="宋体" w:hint="default"/>
          <w:b/>
          <w:bCs/>
          <w:sz w:val="25"/>
          <w:szCs w:val="25"/>
        </w:rPr>
      </w:pPr>
    </w:p>
    <w:p>
      <w:pPr>
        <w:pStyle w:val="Heading5"/>
        <w:spacing w:line="271" w:lineRule="auto"/>
        <w:ind w:right="1168" w:firstLine="399"/>
        <w:jc w:val="both"/>
      </w:pPr>
      <w:r>
        <w:rPr>
          <w:spacing w:val="-1"/>
        </w:rPr>
        <w:t>公司董事会下设审计委员会和薪酬与考核委员会。</w:t>
      </w:r>
      <w:r>
        <w:rPr>
          <w:rFonts w:ascii="Times New Roman" w:hAnsi="Times New Roman" w:cs="Times New Roman" w:eastAsia="Times New Roman" w:hint="default"/>
          <w:spacing w:val="-1"/>
        </w:rPr>
        <w:t>2018</w:t>
      </w:r>
      <w:r>
        <w:rPr>
          <w:spacing w:val="-1"/>
        </w:rPr>
        <w:t>年度，各专门委员会就公司相关事项开展会议，履</w:t>
      </w:r>
      <w:r>
        <w:rPr>
          <w:w w:val="100"/>
        </w:rPr>
        <w:t> </w:t>
      </w:r>
      <w:r>
        <w:rPr/>
        <w:t>行相关职责，为公司经营发展提出科学合理的意见与建议，对公司的内部控制与规范管理发挥了积极作用：</w:t>
      </w:r>
    </w:p>
    <w:p>
      <w:pPr>
        <w:spacing w:line="240" w:lineRule="auto" w:before="1"/>
        <w:rPr>
          <w:rFonts w:ascii="宋体" w:hAnsi="宋体" w:cs="宋体" w:eastAsia="宋体" w:hint="default"/>
          <w:sz w:val="17"/>
          <w:szCs w:val="17"/>
        </w:rPr>
      </w:pPr>
    </w:p>
    <w:p>
      <w:pPr>
        <w:pStyle w:val="Heading5"/>
        <w:spacing w:line="240" w:lineRule="auto"/>
        <w:ind w:left="479" w:right="8194"/>
        <w:jc w:val="center"/>
      </w:pPr>
      <w:r>
        <w:rPr>
          <w:rFonts w:ascii="Times New Roman" w:hAnsi="Times New Roman" w:cs="Times New Roman" w:eastAsia="Times New Roman" w:hint="default"/>
        </w:rPr>
        <w:t>1</w:t>
      </w:r>
      <w:r>
        <w:rPr/>
        <w:t>、审计委员会履职情况</w:t>
      </w:r>
    </w:p>
    <w:p>
      <w:pPr>
        <w:spacing w:after="0" w:line="240" w:lineRule="auto"/>
        <w:jc w:val="center"/>
        <w:sectPr>
          <w:pgSz w:w="11910" w:h="16840"/>
          <w:pgMar w:header="747" w:footer="979" w:top="1060" w:bottom="1160" w:left="980" w:right="0"/>
        </w:sectPr>
      </w:pPr>
    </w:p>
    <w:p>
      <w:pPr>
        <w:spacing w:line="240" w:lineRule="auto" w:before="1"/>
        <w:rPr>
          <w:rFonts w:ascii="宋体" w:hAnsi="宋体" w:cs="宋体" w:eastAsia="宋体" w:hint="default"/>
          <w:sz w:val="25"/>
          <w:szCs w:val="25"/>
        </w:rPr>
      </w:pPr>
    </w:p>
    <w:p>
      <w:pPr>
        <w:pStyle w:val="Heading5"/>
        <w:spacing w:line="271" w:lineRule="auto" w:before="38"/>
        <w:ind w:right="1168" w:firstLine="399"/>
        <w:jc w:val="both"/>
      </w:pPr>
      <w:r>
        <w:rPr>
          <w:spacing w:val="-1"/>
        </w:rPr>
        <w:t>报告期内，公司审计委员会严格按照《董事会审计委员会工作制度》的相关要求，召开会议，对公司</w:t>
      </w:r>
      <w:r>
        <w:rPr>
          <w:rFonts w:ascii="Times New Roman" w:hAnsi="Times New Roman" w:cs="Times New Roman" w:eastAsia="Times New Roman" w:hint="default"/>
          <w:spacing w:val="-1"/>
        </w:rPr>
        <w:t>2017</w:t>
      </w:r>
      <w:r>
        <w:rPr>
          <w:rFonts w:ascii="Times New Roman" w:hAnsi="Times New Roman" w:cs="Times New Roman" w:eastAsia="Times New Roman" w:hint="default"/>
          <w:w w:val="100"/>
        </w:rPr>
        <w:t> </w:t>
      </w:r>
      <w:r>
        <w:rPr>
          <w:spacing w:val="-1"/>
        </w:rPr>
        <w:t>年年度报告、</w:t>
      </w:r>
      <w:r>
        <w:rPr>
          <w:rFonts w:ascii="Times New Roman" w:hAnsi="Times New Roman" w:cs="Times New Roman" w:eastAsia="Times New Roman" w:hint="default"/>
          <w:spacing w:val="-1"/>
        </w:rPr>
        <w:t>2018</w:t>
      </w:r>
      <w:r>
        <w:rPr>
          <w:spacing w:val="-1"/>
        </w:rPr>
        <w:t>年第一季度报告、</w:t>
      </w:r>
      <w:r>
        <w:rPr>
          <w:rFonts w:ascii="Times New Roman" w:hAnsi="Times New Roman" w:cs="Times New Roman" w:eastAsia="Times New Roman" w:hint="default"/>
          <w:spacing w:val="-1"/>
        </w:rPr>
        <w:t>2018</w:t>
      </w:r>
      <w:r>
        <w:rPr>
          <w:spacing w:val="-1"/>
        </w:rPr>
        <w:t>年半年度报告、</w:t>
      </w:r>
      <w:r>
        <w:rPr>
          <w:rFonts w:ascii="Times New Roman" w:hAnsi="Times New Roman" w:cs="Times New Roman" w:eastAsia="Times New Roman" w:hint="default"/>
          <w:spacing w:val="-1"/>
        </w:rPr>
        <w:t>2018</w:t>
      </w:r>
      <w:r>
        <w:rPr>
          <w:spacing w:val="-1"/>
        </w:rPr>
        <w:t>年三季度报告等有关重大财务信息披露进行了内</w:t>
      </w:r>
      <w:r>
        <w:rPr>
          <w:spacing w:val="-56"/>
        </w:rPr>
        <w:t> </w:t>
      </w:r>
      <w:r>
        <w:rPr>
          <w:spacing w:val="-56"/>
        </w:rPr>
      </w:r>
      <w:r>
        <w:rPr/>
        <w:t>部审核、阅读，保证公司重大财务信息的完整、真实。</w:t>
      </w:r>
    </w:p>
    <w:p>
      <w:pPr>
        <w:spacing w:line="240" w:lineRule="auto" w:before="3"/>
        <w:rPr>
          <w:rFonts w:ascii="宋体" w:hAnsi="宋体" w:cs="宋体" w:eastAsia="宋体" w:hint="default"/>
          <w:sz w:val="17"/>
          <w:szCs w:val="17"/>
        </w:rPr>
      </w:pPr>
    </w:p>
    <w:p>
      <w:pPr>
        <w:pStyle w:val="Heading5"/>
        <w:spacing w:line="285" w:lineRule="auto"/>
        <w:ind w:right="1169" w:firstLine="399"/>
        <w:jc w:val="both"/>
      </w:pPr>
      <w:r>
        <w:rPr>
          <w:spacing w:val="-1"/>
        </w:rPr>
        <w:t>公司审计委员会还对公司审计部门的日常工作进行检查、考核、评估与指导，督促公司内部审计体制的建</w:t>
      </w:r>
      <w:r>
        <w:rPr>
          <w:w w:val="100"/>
        </w:rPr>
        <w:t> </w:t>
      </w:r>
      <w:r>
        <w:rPr>
          <w:spacing w:val="-1"/>
        </w:rPr>
        <w:t>设与完善。委员会还不断加强内部审计与外部审计的沟通，确保审计工作尤其是对重大财务报告审计工作的顺</w:t>
      </w:r>
      <w:r>
        <w:rPr>
          <w:spacing w:val="-63"/>
        </w:rPr>
        <w:t> </w:t>
      </w:r>
      <w:r>
        <w:rPr>
          <w:spacing w:val="-63"/>
        </w:rPr>
      </w:r>
      <w:r>
        <w:rPr/>
        <w:t>利进行。</w:t>
      </w:r>
    </w:p>
    <w:p>
      <w:pPr>
        <w:pStyle w:val="Heading5"/>
        <w:spacing w:line="512" w:lineRule="exact" w:before="35"/>
        <w:ind w:left="553" w:right="0"/>
        <w:jc w:val="left"/>
      </w:pPr>
      <w:r>
        <w:rPr>
          <w:rFonts w:ascii="Times New Roman" w:hAnsi="Times New Roman" w:cs="Times New Roman" w:eastAsia="Times New Roman" w:hint="default"/>
        </w:rPr>
        <w:t>2</w:t>
      </w:r>
      <w:r>
        <w:rPr/>
        <w:t>、薪酬与考核委员会履职情况</w:t>
      </w:r>
      <w:r>
        <w:rPr>
          <w:w w:val="100"/>
        </w:rPr>
        <w:t> </w:t>
      </w:r>
      <w:r>
        <w:rPr>
          <w:spacing w:val="-1"/>
        </w:rPr>
        <w:t>报告期内，董事会薪酬与考核委员会严格按照《董事会薪酬与考核委员会工作制度》的相关要求，召开会</w:t>
      </w:r>
    </w:p>
    <w:p>
      <w:pPr>
        <w:pStyle w:val="Heading5"/>
        <w:spacing w:line="253" w:lineRule="exact"/>
        <w:ind w:right="0"/>
        <w:jc w:val="left"/>
      </w:pPr>
      <w:r>
        <w:rPr/>
        <w:t>议，对《任子行网络技术股份有限公司</w:t>
      </w:r>
      <w:r>
        <w:rPr>
          <w:rFonts w:ascii="Times New Roman" w:hAnsi="Times New Roman" w:cs="Times New Roman" w:eastAsia="Times New Roman" w:hint="default"/>
        </w:rPr>
        <w:t>2018</w:t>
      </w:r>
      <w:r>
        <w:rPr/>
        <w:t>年限制性股票激励计划（草案）》及其摘要、《任子行网络技术股</w:t>
      </w:r>
    </w:p>
    <w:p>
      <w:pPr>
        <w:pStyle w:val="Heading5"/>
        <w:spacing w:line="271" w:lineRule="auto" w:before="35"/>
        <w:ind w:right="1032"/>
        <w:jc w:val="left"/>
      </w:pPr>
      <w:r>
        <w:rPr>
          <w:spacing w:val="-2"/>
        </w:rPr>
        <w:t>份有限公司</w:t>
      </w:r>
      <w:r>
        <w:rPr>
          <w:rFonts w:ascii="Times New Roman" w:hAnsi="Times New Roman" w:cs="Times New Roman" w:eastAsia="Times New Roman" w:hint="default"/>
          <w:spacing w:val="-2"/>
        </w:rPr>
        <w:t>2018</w:t>
      </w:r>
      <w:r>
        <w:rPr>
          <w:spacing w:val="-2"/>
        </w:rPr>
        <w:t>年限制性股票激励计划实施考核管理办法》进行了内部审核、阅读，保证公司股权激励的真实、</w:t>
      </w:r>
      <w:r>
        <w:rPr>
          <w:spacing w:val="-74"/>
        </w:rPr>
        <w:t> </w:t>
      </w:r>
      <w:r>
        <w:rPr>
          <w:spacing w:val="-74"/>
        </w:rPr>
      </w:r>
      <w:r>
        <w:rPr/>
        <w:t>有效。</w:t>
      </w:r>
    </w:p>
    <w:p>
      <w:pPr>
        <w:spacing w:line="240" w:lineRule="auto" w:before="2"/>
        <w:rPr>
          <w:rFonts w:ascii="宋体" w:hAnsi="宋体" w:cs="宋体" w:eastAsia="宋体" w:hint="default"/>
          <w:sz w:val="17"/>
          <w:szCs w:val="17"/>
        </w:rPr>
      </w:pPr>
    </w:p>
    <w:p>
      <w:pPr>
        <w:pStyle w:val="Heading5"/>
        <w:spacing w:line="285" w:lineRule="auto"/>
        <w:ind w:right="1169" w:firstLine="399"/>
        <w:jc w:val="both"/>
      </w:pPr>
      <w:r>
        <w:rPr>
          <w:spacing w:val="-1"/>
        </w:rPr>
        <w:t>薪酬与考核委员会制定及审查公司董事及高级管理人员的薪酬政策与考核方案，按照绩效评价标准对董事</w:t>
      </w:r>
      <w:r>
        <w:rPr>
          <w:w w:val="100"/>
        </w:rPr>
        <w:t> </w:t>
      </w:r>
      <w:r>
        <w:rPr/>
        <w:t>高级管理人员的工作情况进行评估、审核，提出合理化建议，积极履行薪酬与考核委员会委员的职责。</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七、监事会工作情况" w:id="141"/>
      <w:bookmarkEnd w:id="141"/>
      <w:r>
        <w:rPr>
          <w:b w:val="0"/>
          <w:bCs w:val="0"/>
        </w:rPr>
      </w: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监事会在报告期内的监督活动中发现公司是否存在风险</w:t>
      </w:r>
    </w:p>
    <w:p>
      <w:pPr>
        <w:pStyle w:val="BodyText"/>
        <w:spacing w:line="338" w:lineRule="auto" w:before="116"/>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2"/>
      <w:bookmarkEnd w:id="142"/>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before="0"/>
        <w:ind w:right="1131" w:firstLine="360"/>
        <w:jc w:val="both"/>
      </w:pPr>
      <w:r>
        <w:rPr>
          <w:spacing w:val="-2"/>
        </w:rPr>
        <w:t>公司按照《高级管理人员薪酬管理制度》，建立了高级管理人员的薪酬与公司业绩挂钩的绩效考核与激励约束机制，公</w:t>
      </w:r>
      <w:r>
        <w:rPr/>
        <w:t> </w:t>
      </w:r>
      <w:r>
        <w:rPr>
          <w:spacing w:val="-2"/>
        </w:rPr>
        <w:t>司高级管理人员实行基本年薪的年终绩效考核相结合的薪酬制度。规范高级管理人员薪酬决策机制。年末根据公司年度经营</w:t>
      </w:r>
      <w:r>
        <w:rPr>
          <w:spacing w:val="-64"/>
        </w:rPr>
        <w:t> </w:t>
      </w:r>
      <w:r>
        <w:rPr>
          <w:spacing w:val="-64"/>
        </w:rPr>
      </w:r>
      <w:r>
        <w:rPr>
          <w:spacing w:val="-2"/>
        </w:rPr>
        <w:t>目标完成情况以及高级管理人员的工作业绩，由董事会薪酬与考核委员会对高级管理人员进行年度绩效考核，并监督薪酬制</w:t>
      </w:r>
      <w:r>
        <w:rPr>
          <w:spacing w:val="-64"/>
        </w:rPr>
        <w:t> </w:t>
      </w:r>
      <w:r>
        <w:rPr>
          <w:spacing w:val="-64"/>
        </w:rPr>
      </w:r>
      <w:r>
        <w:rPr>
          <w:spacing w:val="-2"/>
        </w:rPr>
        <w:t>度执行情况。公司则根据绩效考核结果兑现其绩效年薪，并进行奖惩。公司董事会薪酬与考核委员会根据实际情况对高级管</w:t>
      </w:r>
      <w:r>
        <w:rPr>
          <w:spacing w:val="-66"/>
        </w:rPr>
        <w:t> </w:t>
      </w:r>
      <w:r>
        <w:rPr>
          <w:spacing w:val="-66"/>
        </w:rPr>
      </w:r>
      <w:r>
        <w:rPr>
          <w:spacing w:val="-2"/>
        </w:rPr>
        <w:t>理人员进行考核后，一致认为：</w:t>
      </w:r>
      <w:r>
        <w:rPr>
          <w:rFonts w:ascii="Times New Roman" w:hAnsi="Times New Roman" w:cs="Times New Roman" w:eastAsia="Times New Roman" w:hint="default"/>
          <w:spacing w:val="-2"/>
        </w:rPr>
        <w:t>2018</w:t>
      </w:r>
      <w:r>
        <w:rPr>
          <w:spacing w:val="-2"/>
        </w:rPr>
        <w:t>年度，公司高级管理人员薪酬方案严格执行相关考核制度，与公司经营业绩挂钩，薪酬</w:t>
      </w:r>
      <w:r>
        <w:rPr>
          <w:spacing w:val="-62"/>
        </w:rPr>
        <w:t> </w:t>
      </w:r>
      <w:r>
        <w:rPr>
          <w:spacing w:val="-62"/>
        </w:rPr>
      </w:r>
      <w:r>
        <w:rPr/>
        <w:t>方案合理，薪酬发放的程序符合有关法律法规及《公司章程》的规定。</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3"/>
      <w:bookmarkEnd w:id="143"/>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4"/>
      <w:bookmarkEnd w:id="144"/>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5"/>
      <w:bookmarkEnd w:id="145"/>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http://www.cninfo.com.cn/new/index</w:t>
              </w:r>
            </w:hyperlink>
            <w:r>
              <w:rPr>
                <w:rFonts w:ascii="宋体" w:hAnsi="宋体" w:cs="宋体" w:eastAsia="宋体" w:hint="default"/>
                <w:sz w:val="18"/>
                <w:szCs w:val="18"/>
              </w:rPr>
              <w:t>）</w:t>
            </w:r>
          </w:p>
        </w:tc>
      </w:tr>
      <w:tr>
        <w:trPr>
          <w:trHeight w:val="71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329"/>
        <w:gridCol w:w="3051"/>
      </w:tblGrid>
      <w:tr>
        <w:trPr>
          <w:trHeight w:val="71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565"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重大缺陷认定标准：①管理层存在舞弊、 </w:t>
            </w:r>
            <w:r>
              <w:rPr>
                <w:rFonts w:ascii="宋体" w:hAnsi="宋体" w:cs="宋体" w:eastAsia="宋体" w:hint="default"/>
                <w:spacing w:val="-8"/>
                <w:sz w:val="18"/>
                <w:szCs w:val="18"/>
              </w:rPr>
              <w:t>违规；②</w:t>
            </w:r>
            <w:r>
              <w:rPr>
                <w:rFonts w:ascii="宋体" w:hAnsi="宋体" w:cs="宋体" w:eastAsia="宋体" w:hint="default"/>
                <w:spacing w:val="8"/>
                <w:sz w:val="18"/>
                <w:szCs w:val="18"/>
              </w:rPr>
              <w:t> </w:t>
            </w:r>
            <w:r>
              <w:rPr>
                <w:rFonts w:ascii="宋体" w:hAnsi="宋体" w:cs="宋体" w:eastAsia="宋体" w:hint="default"/>
                <w:spacing w:val="-3"/>
                <w:sz w:val="18"/>
                <w:szCs w:val="18"/>
              </w:rPr>
              <w:t>当期财务报告存在重大差错，而</w:t>
            </w:r>
            <w:r>
              <w:rPr>
                <w:rFonts w:ascii="宋体" w:hAnsi="宋体" w:cs="宋体" w:eastAsia="宋体" w:hint="default"/>
                <w:sz w:val="18"/>
                <w:szCs w:val="18"/>
              </w:rPr>
              <w:t> </w:t>
            </w:r>
            <w:r>
              <w:rPr>
                <w:rFonts w:ascii="宋体" w:hAnsi="宋体" w:cs="宋体" w:eastAsia="宋体" w:hint="default"/>
                <w:spacing w:val="-4"/>
                <w:sz w:val="18"/>
                <w:szCs w:val="18"/>
              </w:rPr>
              <w:t>内部控制运行过程中未发现该差错；③</w:t>
            </w:r>
            <w:r>
              <w:rPr>
                <w:rFonts w:ascii="宋体" w:hAnsi="宋体" w:cs="宋体" w:eastAsia="宋体" w:hint="default"/>
                <w:spacing w:val="4"/>
                <w:sz w:val="18"/>
                <w:szCs w:val="18"/>
              </w:rPr>
              <w:t> </w:t>
            </w:r>
            <w:r>
              <w:rPr>
                <w:rFonts w:ascii="宋体" w:hAnsi="宋体" w:cs="宋体" w:eastAsia="宋体" w:hint="default"/>
                <w:sz w:val="18"/>
                <w:szCs w:val="18"/>
              </w:rPr>
              <w:t>公</w:t>
            </w:r>
            <w:r>
              <w:rPr>
                <w:rFonts w:ascii="宋体" w:hAnsi="宋体" w:cs="宋体" w:eastAsia="宋体" w:hint="default"/>
                <w:sz w:val="18"/>
                <w:szCs w:val="18"/>
              </w:rPr>
              <w:t> 司审计委员会和审计部门对财务报告内部 控制监督无效。重要缺陷认定标准：①未 </w:t>
            </w:r>
            <w:r>
              <w:rPr>
                <w:rFonts w:ascii="宋体" w:hAnsi="宋体" w:cs="宋体" w:eastAsia="宋体" w:hint="default"/>
                <w:spacing w:val="-5"/>
                <w:sz w:val="18"/>
                <w:szCs w:val="18"/>
              </w:rPr>
              <w:t>建立反舞弊程序和控制措施；②</w:t>
            </w:r>
            <w:r>
              <w:rPr>
                <w:rFonts w:ascii="宋体" w:hAnsi="宋体" w:cs="宋体" w:eastAsia="宋体" w:hint="default"/>
                <w:spacing w:val="4"/>
                <w:sz w:val="18"/>
                <w:szCs w:val="18"/>
              </w:rPr>
              <w:t> </w:t>
            </w:r>
            <w:r>
              <w:rPr>
                <w:rFonts w:ascii="宋体" w:hAnsi="宋体" w:cs="宋体" w:eastAsia="宋体" w:hint="default"/>
                <w:sz w:val="18"/>
                <w:szCs w:val="18"/>
              </w:rPr>
              <w:t>存在一项</w:t>
            </w:r>
            <w:r>
              <w:rPr>
                <w:rFonts w:ascii="宋体" w:hAnsi="宋体" w:cs="宋体" w:eastAsia="宋体" w:hint="default"/>
                <w:sz w:val="18"/>
                <w:szCs w:val="18"/>
              </w:rPr>
              <w:t> 或多项缺陷且不能合理保证编制的财务报 表达到真实、准确的目标；③未依照公认 会计准则选择和应用会计政策。一般缺陷 认定标准：不构成重大缺陷或重要缺陷的 其他内部控制缺陷认定为一般缺陷。</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根据以下情况的影响程度认定为一般 </w:t>
            </w:r>
            <w:r>
              <w:rPr>
                <w:rFonts w:ascii="宋体" w:hAnsi="宋体" w:cs="宋体" w:eastAsia="宋体" w:hint="default"/>
                <w:spacing w:val="-4"/>
                <w:sz w:val="18"/>
                <w:szCs w:val="18"/>
              </w:rPr>
              <w:t>缺陷、重要缺陷和重大缺陷。①公司经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营活动违反国家法律、法规；②媒体负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面新闻频频曝光，对公司声誉造成重大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影响；③内部控制缺陷未得到整改；④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重大事项决策程序失误或违反公司决 策程序导致公司经济损失； ⑤其他可 能导致公司偏离预期控制目标的缺陷。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565"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1097" w:hRule="exact"/>
        </w:trPr>
        <w:tc>
          <w:tcPr>
            <w:tcW w:w="31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2" w:right="20"/>
              <w:jc w:val="left"/>
              <w:rPr>
                <w:rFonts w:ascii="宋体" w:hAnsi="宋体" w:cs="宋体" w:eastAsia="宋体" w:hint="default"/>
                <w:sz w:val="18"/>
                <w:szCs w:val="18"/>
              </w:rPr>
            </w:pPr>
            <w:r>
              <w:rPr>
                <w:rFonts w:ascii="宋体" w:hAnsi="宋体" w:cs="宋体" w:eastAsia="宋体" w:hint="default"/>
                <w:spacing w:val="-4"/>
                <w:sz w:val="18"/>
                <w:szCs w:val="18"/>
              </w:rPr>
              <w:t>重大缺陷认定标准：错报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营业收入总额的</w:t>
            </w:r>
            <w:r>
              <w:rPr>
                <w:rFonts w:ascii="宋体" w:hAnsi="宋体" w:cs="宋体" w:eastAsia="宋体" w:hint="default"/>
                <w:spacing w:val="-87"/>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资产总额的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。重要缺陷认定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标准：营业收入总额的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z w:val="18"/>
                <w:szCs w:val="18"/>
              </w:rPr>
              <w:t>≤</w:t>
            </w:r>
            <w:r>
              <w:rPr>
                <w:rFonts w:ascii="宋体" w:hAnsi="宋体" w:cs="宋体" w:eastAsia="宋体" w:hint="default"/>
                <w:sz w:val="18"/>
                <w:szCs w:val="18"/>
              </w:rPr>
              <w:t>错报＜营业收 入总额的的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z w:val="18"/>
                <w:szCs w:val="18"/>
              </w:rPr>
              <w:t>≤</w:t>
            </w:r>
            <w:r>
              <w:rPr>
                <w:rFonts w:ascii="宋体" w:hAnsi="宋体" w:cs="宋体" w:eastAsia="宋体" w:hint="default"/>
                <w:sz w:val="18"/>
                <w:szCs w:val="18"/>
              </w:rPr>
              <w:t>错报＜ 资产总额的</w:t>
            </w:r>
            <w:r>
              <w:rPr>
                <w:rFonts w:ascii="宋体" w:hAnsi="宋体" w:cs="宋体" w:eastAsia="宋体" w:hint="default"/>
                <w:spacing w:val="-41"/>
                <w:sz w:val="18"/>
                <w:szCs w:val="18"/>
              </w:rPr>
              <w:t> </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。一般缺陷认定标准：错报</w:t>
            </w:r>
          </w:p>
          <w:p>
            <w:pPr>
              <w:pStyle w:val="TableParagraph"/>
              <w:spacing w:line="302" w:lineRule="auto" w:before="13"/>
              <w:ind w:left="22" w:right="21"/>
              <w:jc w:val="left"/>
              <w:rPr>
                <w:rFonts w:ascii="宋体" w:hAnsi="宋体" w:cs="宋体" w:eastAsia="宋体" w:hint="default"/>
                <w:sz w:val="18"/>
                <w:szCs w:val="18"/>
              </w:rPr>
            </w:pPr>
            <w:r>
              <w:rPr>
                <w:rFonts w:ascii="宋体" w:hAnsi="宋体" w:cs="宋体" w:eastAsia="宋体" w:hint="default"/>
                <w:sz w:val="18"/>
                <w:szCs w:val="18"/>
              </w:rPr>
              <w:t>＜营业收入总额的</w:t>
            </w:r>
            <w:r>
              <w:rPr>
                <w:rFonts w:ascii="宋体" w:hAnsi="宋体" w:cs="宋体" w:eastAsia="宋体" w:hint="default"/>
                <w:spacing w:val="-40"/>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，错报＜资产总额的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根据以下情况的影响程度认定为一般 </w:t>
            </w:r>
            <w:r>
              <w:rPr>
                <w:rFonts w:ascii="宋体" w:hAnsi="宋体" w:cs="宋体" w:eastAsia="宋体" w:hint="default"/>
                <w:spacing w:val="-4"/>
                <w:sz w:val="18"/>
                <w:szCs w:val="18"/>
              </w:rPr>
              <w:t>缺陷、重要缺陷和重大缺陷。①公司经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营活动违反国家法律、法规；②媒体负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面新闻频频曝光，对公司声誉造成重大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影响；③内部控制缺陷未得到整改；④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重大事项决策程序失误或违反公司决 </w:t>
            </w:r>
            <w:r>
              <w:rPr>
                <w:rFonts w:ascii="宋体" w:hAnsi="宋体" w:cs="宋体" w:eastAsia="宋体" w:hint="default"/>
                <w:spacing w:val="-4"/>
                <w:sz w:val="18"/>
                <w:szCs w:val="18"/>
              </w:rPr>
              <w:t>策程序导致公司经济损失；⑤其他可能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导致公司偏离预期控制目标的缺陷。</w:t>
            </w:r>
          </w:p>
        </w:tc>
      </w:tr>
      <w:tr>
        <w:trPr>
          <w:trHeight w:val="392" w:hRule="exact"/>
        </w:trPr>
        <w:tc>
          <w:tcPr>
            <w:tcW w:w="31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097" w:hRule="exact"/>
        </w:trPr>
        <w:tc>
          <w:tcPr>
            <w:tcW w:w="3189"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十、内部控制审计报告或鉴证报告" w:id="146"/>
      <w:bookmarkEnd w:id="146"/>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_TOC_250002" w:id="147"/>
      <w:bookmarkStart w:name="第十节 公司债券相关情况" w:id="148"/>
      <w:r>
        <w:rPr>
          <w:b w:val="0"/>
          <w:bCs w:val="0"/>
        </w:rPr>
      </w:r>
      <w:r>
        <w:rPr/>
        <w:t>第十节</w:t>
      </w:r>
      <w:r>
        <w:rPr>
          <w:spacing w:val="-9"/>
        </w:rPr>
        <w:t> </w:t>
      </w:r>
      <w:r>
        <w:rPr/>
        <w:t>公司债券相关情况</w:t>
      </w:r>
      <w:bookmarkEnd w:id="147"/>
      <w:r>
        <w:rPr>
          <w:b w:val="0"/>
          <w:bCs w:val="0"/>
        </w:rPr>
      </w:r>
    </w:p>
    <w:p>
      <w:pPr>
        <w:spacing w:line="240" w:lineRule="auto" w:before="8"/>
        <w:rPr>
          <w:rFonts w:ascii="宋体" w:hAnsi="宋体" w:cs="宋体" w:eastAsia="宋体" w:hint="default"/>
          <w:b/>
          <w:bCs/>
          <w:sz w:val="42"/>
          <w:szCs w:val="42"/>
        </w:rPr>
      </w:pPr>
    </w:p>
    <w:p>
      <w:pPr>
        <w:pStyle w:val="BodyText"/>
        <w:spacing w:line="357" w:lineRule="auto" w:before="0"/>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_TOC_250001" w:id="149"/>
      <w:bookmarkStart w:name="第十一节 财务报告" w:id="150"/>
      <w:r>
        <w:rPr>
          <w:b w:val="0"/>
          <w:bCs w:val="0"/>
        </w:rPr>
      </w:r>
      <w:r>
        <w:rPr/>
        <w:t>第十一节</w:t>
      </w:r>
      <w:r>
        <w:rPr>
          <w:spacing w:val="-6"/>
        </w:rPr>
        <w:t> </w:t>
      </w:r>
      <w:r>
        <w:rPr/>
        <w:t>财务报告</w:t>
      </w:r>
      <w:bookmarkEnd w:id="14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1"/>
      <w:bookmarkEnd w:id="151"/>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北京永拓会计师事务所（特殊普通合伙）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京永审字【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吕润波 黄冠伟</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pStyle w:val="BodyText"/>
        <w:spacing w:line="316" w:lineRule="auto" w:before="0"/>
        <w:ind w:right="-20"/>
        <w:jc w:val="left"/>
      </w:pPr>
      <w:r>
        <w:rPr/>
        <w:t>任子行网络技术股份有限公司全体股东： 一、审计意见</w:t>
      </w:r>
    </w:p>
    <w:p>
      <w:pPr>
        <w:pStyle w:val="BodyText"/>
        <w:spacing w:line="240" w:lineRule="auto" w:before="51"/>
        <w:ind w:left="153"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395" w:space="885"/>
            <w:col w:w="6650"/>
          </w:cols>
        </w:sectPr>
      </w:pPr>
    </w:p>
    <w:p>
      <w:pPr>
        <w:pStyle w:val="BodyText"/>
        <w:spacing w:line="304" w:lineRule="auto" w:before="19"/>
        <w:ind w:right="0"/>
        <w:jc w:val="left"/>
      </w:pPr>
      <w:r>
        <w:rPr>
          <w:spacing w:val="-2"/>
        </w:rPr>
        <w:t>我们审计了后附的任子行网络技术股份有限公司（以下简称</w:t>
      </w:r>
      <w:r>
        <w:rPr>
          <w:rFonts w:ascii="Times New Roman" w:hAnsi="Times New Roman" w:cs="Times New Roman" w:eastAsia="Times New Roman" w:hint="default"/>
          <w:spacing w:val="-2"/>
        </w:rPr>
        <w:t>“</w:t>
      </w:r>
      <w:r>
        <w:rPr>
          <w:spacing w:val="-2"/>
        </w:rPr>
        <w:t>贵公司</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日的合并资产负债表和</w:t>
      </w:r>
      <w:r>
        <w:rPr>
          <w:spacing w:val="-38"/>
        </w:rPr>
        <w:t> </w:t>
      </w:r>
      <w:r>
        <w:rPr>
          <w:spacing w:val="-2"/>
        </w:rPr>
        <w:t>母公司资产负债表，</w:t>
      </w:r>
      <w:r>
        <w:rPr>
          <w:rFonts w:ascii="Times New Roman" w:hAnsi="Times New Roman" w:cs="Times New Roman" w:eastAsia="Times New Roman" w:hint="default"/>
          <w:spacing w:val="-2"/>
        </w:rPr>
        <w:t>2018</w:t>
      </w:r>
      <w:r>
        <w:rPr>
          <w:spacing w:val="-2"/>
        </w:rPr>
        <w:t>年度的合并利润表和母公司利润表、合并现金流量表和母公司现金流量表、合并股东权益变动表和</w:t>
      </w:r>
      <w:r>
        <w:rPr>
          <w:spacing w:val="-62"/>
        </w:rPr>
        <w:t> </w:t>
      </w:r>
      <w:r>
        <w:rPr>
          <w:spacing w:val="-62"/>
        </w:rPr>
      </w:r>
      <w:r>
        <w:rPr/>
        <w:t>母公司股东权益变动表以及相关财务报表附注。 </w:t>
      </w:r>
      <w:r>
        <w:rPr>
          <w:spacing w:val="-2"/>
        </w:rPr>
        <w:t>我们认为，后附的财务报表在所有重大方面按照企业会计准则的规定编制，公允反映了贵公司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w:t>
      </w:r>
      <w:r>
        <w:rPr>
          <w:spacing w:val="-55"/>
        </w:rPr>
        <w:t> </w:t>
      </w:r>
      <w:r>
        <w:rPr/>
        <w:t>司财务状况以及</w:t>
      </w:r>
      <w:r>
        <w:rPr>
          <w:rFonts w:ascii="Times New Roman" w:hAnsi="Times New Roman" w:cs="Times New Roman" w:eastAsia="Times New Roman" w:hint="default"/>
        </w:rPr>
        <w:t>2018</w:t>
      </w:r>
      <w:r>
        <w:rPr/>
        <w:t>年度的合并及母公司经营成果和现金流量。</w:t>
      </w:r>
    </w:p>
    <w:p>
      <w:pPr>
        <w:pStyle w:val="BodyText"/>
        <w:spacing w:line="312" w:lineRule="auto" w:before="9"/>
        <w:ind w:right="1032"/>
        <w:jc w:val="left"/>
      </w:pPr>
      <w:r>
        <w:rPr/>
        <w:t>二、形成审计意见的基础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部分进一步阐述</w:t>
      </w:r>
      <w:r>
        <w:rPr>
          <w:spacing w:val="-43"/>
        </w:rPr>
        <w:t> </w:t>
      </w:r>
      <w:r>
        <w:rPr/>
        <w:t>了我们在这些准则下的责任。按照中国注册会计师职业道德守则，我们独立于贵公司，并履行了职业道德方面的其他责任。 我们相信，我们获取的审计证据是充分、适当的，为发表审计意见提供了基础。</w:t>
      </w:r>
    </w:p>
    <w:p>
      <w:pPr>
        <w:pStyle w:val="BodyText"/>
        <w:spacing w:line="316" w:lineRule="auto" w:before="22"/>
        <w:ind w:right="0"/>
        <w:jc w:val="left"/>
      </w:pPr>
      <w:r>
        <w:rPr/>
        <w:t>三、关键审计事项 </w:t>
      </w:r>
      <w:r>
        <w:rPr>
          <w:spacing w:val="-2"/>
        </w:rPr>
        <w:t>关键审计事项是我们根据职业判断，认为对本期财务报表审计最为重要的事项。这些事项的应对以对财务报表整体进行审计</w:t>
      </w:r>
      <w:r>
        <w:rPr>
          <w:spacing w:val="-64"/>
        </w:rPr>
        <w:t> </w:t>
      </w:r>
      <w:r>
        <w:rPr>
          <w:spacing w:val="-64"/>
        </w:rPr>
      </w:r>
      <w:r>
        <w:rPr/>
        <w:t>并形成审计意见为背景，我们不对这些事项单独发表意见。</w:t>
      </w:r>
    </w:p>
    <w:tbl>
      <w:tblPr>
        <w:tblW w:w="0" w:type="auto"/>
        <w:jc w:val="left"/>
        <w:tblInd w:w="146" w:type="dxa"/>
        <w:tblLayout w:type="fixed"/>
        <w:tblCellMar>
          <w:top w:w="0" w:type="dxa"/>
          <w:left w:w="0" w:type="dxa"/>
          <w:bottom w:w="0" w:type="dxa"/>
          <w:right w:w="0" w:type="dxa"/>
        </w:tblCellMar>
        <w:tblLook w:val="01E0"/>
      </w:tblPr>
      <w:tblGrid>
        <w:gridCol w:w="4262"/>
        <w:gridCol w:w="4262"/>
      </w:tblGrid>
      <w:tr>
        <w:trPr>
          <w:trHeight w:val="347" w:hRule="exact"/>
        </w:trPr>
        <w:tc>
          <w:tcPr>
            <w:tcW w:w="85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关键审计事项：</w:t>
            </w:r>
          </w:p>
        </w:tc>
      </w:tr>
      <w:tr>
        <w:trPr>
          <w:trHeight w:val="348" w:hRule="exact"/>
        </w:trPr>
        <w:tc>
          <w:tcPr>
            <w:tcW w:w="85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（一）商誉减值（参见财务报表附注三、</w:t>
            </w:r>
            <w:r>
              <w:rPr>
                <w:rFonts w:ascii="Times New Roman" w:hAnsi="Times New Roman" w:cs="Times New Roman" w:eastAsia="Times New Roman" w:hint="default"/>
                <w:sz w:val="18"/>
                <w:szCs w:val="18"/>
              </w:rPr>
              <w:t>19</w:t>
            </w:r>
            <w:r>
              <w:rPr>
                <w:rFonts w:ascii="宋体" w:hAnsi="宋体" w:cs="宋体" w:eastAsia="宋体" w:hint="default"/>
                <w:sz w:val="18"/>
                <w:szCs w:val="18"/>
              </w:rPr>
              <w:t>商誉，三、</w:t>
            </w:r>
            <w:r>
              <w:rPr>
                <w:rFonts w:ascii="Times New Roman" w:hAnsi="Times New Roman" w:cs="Times New Roman" w:eastAsia="Times New Roman" w:hint="default"/>
                <w:sz w:val="18"/>
                <w:szCs w:val="18"/>
              </w:rPr>
              <w:t>28</w:t>
            </w:r>
            <w:r>
              <w:rPr>
                <w:rFonts w:ascii="宋体" w:hAnsi="宋体" w:cs="宋体" w:eastAsia="宋体" w:hint="default"/>
                <w:sz w:val="18"/>
                <w:szCs w:val="18"/>
              </w:rPr>
              <w:t>资产减值与财务报表附注五、</w:t>
            </w:r>
            <w:r>
              <w:rPr>
                <w:rFonts w:ascii="Times New Roman" w:hAnsi="Times New Roman" w:cs="Times New Roman" w:eastAsia="Times New Roman" w:hint="default"/>
                <w:sz w:val="18"/>
                <w:szCs w:val="18"/>
              </w:rPr>
              <w:t>12</w:t>
            </w:r>
            <w:r>
              <w:rPr>
                <w:rFonts w:ascii="宋体" w:hAnsi="宋体" w:cs="宋体" w:eastAsia="宋体" w:hint="default"/>
                <w:sz w:val="18"/>
                <w:szCs w:val="18"/>
              </w:rPr>
              <w:t>商誉）</w:t>
            </w:r>
          </w:p>
        </w:tc>
      </w:tr>
      <w:tr>
        <w:trPr>
          <w:trHeight w:val="347" w:hRule="exact"/>
        </w:trPr>
        <w:tc>
          <w:tcPr>
            <w:tcW w:w="852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（二）网络游戏收入确认（参见财务报表附注三、</w:t>
            </w:r>
            <w:r>
              <w:rPr>
                <w:rFonts w:ascii="Times New Roman" w:hAnsi="Times New Roman" w:cs="Times New Roman" w:eastAsia="Times New Roman" w:hint="default"/>
                <w:sz w:val="18"/>
                <w:szCs w:val="18"/>
              </w:rPr>
              <w:t>23</w:t>
            </w:r>
            <w:r>
              <w:rPr>
                <w:rFonts w:ascii="宋体" w:hAnsi="宋体" w:cs="宋体" w:eastAsia="宋体" w:hint="default"/>
                <w:sz w:val="18"/>
                <w:szCs w:val="18"/>
              </w:rPr>
              <w:t>收入与财务报表附注五、</w:t>
            </w:r>
            <w:r>
              <w:rPr>
                <w:rFonts w:ascii="Times New Roman" w:hAnsi="Times New Roman" w:cs="Times New Roman" w:eastAsia="Times New Roman" w:hint="default"/>
                <w:sz w:val="18"/>
                <w:szCs w:val="18"/>
              </w:rPr>
              <w:t>31</w:t>
            </w:r>
            <w:r>
              <w:rPr>
                <w:rFonts w:ascii="宋体" w:hAnsi="宋体" w:cs="宋体" w:eastAsia="宋体" w:hint="default"/>
                <w:sz w:val="18"/>
                <w:szCs w:val="18"/>
              </w:rPr>
              <w:t>营业收入与营业成本）</w:t>
            </w:r>
          </w:p>
        </w:tc>
      </w:tr>
      <w:tr>
        <w:trPr>
          <w:trHeight w:val="347"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关键审计事项</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审计应对</w:t>
            </w:r>
          </w:p>
        </w:tc>
      </w:tr>
      <w:tr>
        <w:trPr>
          <w:trHeight w:val="3779"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2" w:right="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一）商誉减值</w:t>
            </w:r>
            <w:r>
              <w:rPr>
                <w:rFonts w:ascii="宋体" w:hAnsi="宋体" w:cs="宋体" w:eastAsia="宋体" w:hint="default"/>
                <w:w w:val="99"/>
                <w:sz w:val="18"/>
                <w:szCs w:val="18"/>
              </w:rPr>
              <w:t> </w:t>
            </w:r>
            <w:r>
              <w:rPr>
                <w:rFonts w:ascii="宋体" w:hAnsi="宋体" w:cs="宋体" w:eastAsia="宋体" w:hint="default"/>
                <w:spacing w:val="-3"/>
                <w:w w:val="99"/>
                <w:sz w:val="18"/>
                <w:szCs w:val="18"/>
              </w:rPr>
              <w:t>截至</w:t>
            </w:r>
            <w:r>
              <w:rPr>
                <w:rFonts w:ascii="Times New Roman" w:hAnsi="Times New Roman" w:cs="Times New Roman" w:eastAsia="Times New Roman" w:hint="default"/>
                <w:spacing w:val="-3"/>
                <w:w w:val="99"/>
                <w:sz w:val="18"/>
                <w:szCs w:val="18"/>
              </w:rPr>
              <w:t>2018</w:t>
            </w:r>
            <w:r>
              <w:rPr>
                <w:rFonts w:ascii="宋体" w:hAnsi="宋体" w:cs="宋体" w:eastAsia="宋体" w:hint="default"/>
                <w:spacing w:val="-3"/>
                <w:w w:val="99"/>
                <w:sz w:val="18"/>
                <w:szCs w:val="18"/>
              </w:rPr>
              <w:t>年</w:t>
            </w:r>
            <w:r>
              <w:rPr>
                <w:rFonts w:ascii="Times New Roman" w:hAnsi="Times New Roman" w:cs="Times New Roman" w:eastAsia="Times New Roman" w:hint="default"/>
                <w:spacing w:val="-3"/>
                <w:w w:val="99"/>
                <w:sz w:val="18"/>
                <w:szCs w:val="18"/>
              </w:rPr>
              <w:t>12</w:t>
            </w:r>
            <w:r>
              <w:rPr>
                <w:rFonts w:ascii="宋体" w:hAnsi="宋体" w:cs="宋体" w:eastAsia="宋体" w:hint="default"/>
                <w:spacing w:val="-3"/>
                <w:w w:val="99"/>
                <w:sz w:val="18"/>
                <w:szCs w:val="18"/>
              </w:rPr>
              <w:t>月</w:t>
            </w:r>
            <w:r>
              <w:rPr>
                <w:rFonts w:ascii="Times New Roman" w:hAnsi="Times New Roman" w:cs="Times New Roman" w:eastAsia="Times New Roman" w:hint="default"/>
                <w:spacing w:val="-3"/>
                <w:w w:val="99"/>
                <w:sz w:val="18"/>
                <w:szCs w:val="18"/>
              </w:rPr>
              <w:t>31</w:t>
            </w:r>
            <w:r>
              <w:rPr>
                <w:rFonts w:ascii="宋体" w:hAnsi="宋体" w:cs="宋体" w:eastAsia="宋体" w:hint="default"/>
                <w:spacing w:val="-3"/>
                <w:w w:val="99"/>
                <w:sz w:val="18"/>
                <w:szCs w:val="18"/>
              </w:rPr>
              <w:t>日，贵公司合并财务报表中商誉原值</w:t>
            </w:r>
            <w:r>
              <w:rPr>
                <w:rFonts w:ascii="宋体" w:hAnsi="宋体" w:cs="宋体" w:eastAsia="宋体" w:hint="default"/>
                <w:spacing w:val="-86"/>
                <w:w w:val="99"/>
                <w:sz w:val="18"/>
                <w:szCs w:val="18"/>
              </w:rPr>
              <w:t> </w:t>
            </w:r>
            <w:r>
              <w:rPr>
                <w:rFonts w:ascii="宋体" w:hAnsi="宋体" w:cs="宋体" w:eastAsia="宋体" w:hint="default"/>
                <w:spacing w:val="-86"/>
                <w:w w:val="99"/>
                <w:sz w:val="18"/>
                <w:szCs w:val="18"/>
              </w:rPr>
            </w:r>
            <w:r>
              <w:rPr>
                <w:rFonts w:ascii="宋体" w:hAnsi="宋体" w:cs="宋体" w:eastAsia="宋体" w:hint="default"/>
                <w:sz w:val="18"/>
                <w:szCs w:val="18"/>
              </w:rPr>
              <w:t>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1,048,783,184.87</w:t>
            </w:r>
            <w:r>
              <w:rPr>
                <w:rFonts w:ascii="宋体" w:hAnsi="宋体" w:cs="宋体" w:eastAsia="宋体" w:hint="default"/>
                <w:sz w:val="18"/>
                <w:szCs w:val="18"/>
              </w:rPr>
              <w:t>元，商誉减值准备为</w:t>
            </w:r>
            <w:r>
              <w:rPr>
                <w:rFonts w:ascii="Times New Roman" w:hAnsi="Times New Roman" w:cs="Times New Roman" w:eastAsia="Times New Roman" w:hint="default"/>
                <w:sz w:val="18"/>
                <w:szCs w:val="18"/>
              </w:rPr>
              <w:t>374,091,722.30</w:t>
            </w:r>
          </w:p>
          <w:p>
            <w:pPr>
              <w:pStyle w:val="TableParagraph"/>
              <w:spacing w:line="316" w:lineRule="auto" w:before="13"/>
              <w:ind w:left="2" w:right="-17"/>
              <w:jc w:val="left"/>
              <w:rPr>
                <w:rFonts w:ascii="宋体" w:hAnsi="宋体" w:cs="宋体" w:eastAsia="宋体" w:hint="default"/>
                <w:sz w:val="18"/>
                <w:szCs w:val="18"/>
              </w:rPr>
            </w:pPr>
            <w:r>
              <w:rPr>
                <w:rFonts w:ascii="宋体" w:hAnsi="宋体" w:cs="宋体" w:eastAsia="宋体" w:hint="default"/>
                <w:sz w:val="18"/>
                <w:szCs w:val="18"/>
              </w:rPr>
              <w:t>元。 </w:t>
            </w:r>
            <w:r>
              <w:rPr>
                <w:rFonts w:ascii="宋体" w:hAnsi="宋体" w:cs="宋体" w:eastAsia="宋体" w:hint="default"/>
                <w:spacing w:val="-4"/>
                <w:sz w:val="18"/>
                <w:szCs w:val="18"/>
              </w:rPr>
              <w:t>公司管理层每年年末对商誉进行减值测试，减值测试要</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求管理层对包含商誉的相关资产组的可收回金额进行 </w:t>
            </w:r>
            <w:r>
              <w:rPr>
                <w:rFonts w:ascii="宋体" w:hAnsi="宋体" w:cs="宋体" w:eastAsia="宋体" w:hint="default"/>
                <w:spacing w:val="-10"/>
                <w:sz w:val="18"/>
                <w:szCs w:val="18"/>
              </w:rPr>
              <w:t>估计，管理层在测试中采用的关键假设包括：收入预测、</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毛利率、成本费用率及折现率等参数。</w:t>
            </w:r>
            <w:r>
              <w:rPr>
                <w:rFonts w:ascii="宋体" w:hAnsi="宋体" w:cs="宋体" w:eastAsia="宋体" w:hint="default"/>
                <w:sz w:val="18"/>
                <w:szCs w:val="18"/>
              </w:rPr>
              <w:t> </w:t>
            </w:r>
            <w:r>
              <w:rPr>
                <w:rFonts w:ascii="宋体" w:hAnsi="宋体" w:cs="宋体" w:eastAsia="宋体" w:hint="default"/>
                <w:spacing w:val="-4"/>
                <w:sz w:val="18"/>
                <w:szCs w:val="18"/>
              </w:rPr>
              <w:t>由于商誉在合并财务报表中的重要性，且管理层需要对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其作出重大判断，我们将商誉减值确定为关键审计事 项。</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4"/>
                <w:sz w:val="18"/>
                <w:szCs w:val="18"/>
              </w:rPr>
              <w:t>我们了解贵公司商誉减值测试的控制程序，包括复核管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理层对资产组的认为和商誉的分摊方法； 我们将相关资产组</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年度的实际结果与以前年度相 </w:t>
            </w:r>
            <w:r>
              <w:rPr>
                <w:rFonts w:ascii="宋体" w:hAnsi="宋体" w:cs="宋体" w:eastAsia="宋体" w:hint="default"/>
                <w:spacing w:val="-4"/>
                <w:sz w:val="18"/>
                <w:szCs w:val="18"/>
              </w:rPr>
              <w:t>应的预测数据进行了比较，以评价管理层对现金流量的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预测是否可靠； 我们评估了管理层进行商誉减值测试时使用的估值方 法的适当性； </w:t>
            </w:r>
            <w:r>
              <w:rPr>
                <w:rFonts w:ascii="宋体" w:hAnsi="宋体" w:cs="宋体" w:eastAsia="宋体" w:hint="default"/>
                <w:spacing w:val="-4"/>
                <w:sz w:val="18"/>
                <w:szCs w:val="18"/>
              </w:rPr>
              <w:t>我们将现金流量预测所使用的数据与历史数据、经营预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算进行了比较； </w:t>
            </w:r>
            <w:r>
              <w:rPr>
                <w:rFonts w:ascii="宋体" w:hAnsi="宋体" w:cs="宋体" w:eastAsia="宋体" w:hint="default"/>
                <w:spacing w:val="-4"/>
                <w:sz w:val="18"/>
                <w:szCs w:val="18"/>
              </w:rPr>
              <w:t>同时，我们对管理层在测试中采用的关键假设及判断的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合理性进行了评估，并且评价了管理层利用其聘请的评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估机构的工作；</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ind w:left="0" w:right="2178"/>
        <w:jc w:val="right"/>
      </w:pPr>
      <w:r>
        <w:rPr/>
        <w:pict>
          <v:shape style="position:absolute;margin-left:56.34pt;margin-top:-297.748291pt;width:427.3pt;height:331.9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2"/>
                    <w:gridCol w:w="4262"/>
                  </w:tblGrid>
                  <w:tr>
                    <w:trPr>
                      <w:trHeight w:val="971" w:hRule="exact"/>
                    </w:trPr>
                    <w:tc>
                      <w:tcPr>
                        <w:tcW w:w="4262" w:type="dxa"/>
                        <w:tcBorders>
                          <w:top w:val="single" w:sz="6" w:space="0" w:color="000000"/>
                          <w:left w:val="single" w:sz="6" w:space="0" w:color="000000"/>
                          <w:bottom w:val="single" w:sz="6" w:space="0" w:color="000000"/>
                          <w:right w:val="single" w:sz="6" w:space="0" w:color="000000"/>
                        </w:tcBorders>
                      </w:tcPr>
                      <w:p>
                        <w:pP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02"/>
                          <w:jc w:val="left"/>
                          <w:rPr>
                            <w:rFonts w:ascii="宋体" w:hAnsi="宋体" w:cs="宋体" w:eastAsia="宋体" w:hint="default"/>
                            <w:sz w:val="18"/>
                            <w:szCs w:val="18"/>
                          </w:rPr>
                        </w:pPr>
                        <w:r>
                          <w:rPr>
                            <w:rFonts w:ascii="宋体" w:hAnsi="宋体" w:cs="宋体" w:eastAsia="宋体" w:hint="default"/>
                            <w:sz w:val="18"/>
                            <w:szCs w:val="18"/>
                          </w:rPr>
                          <w:t>我们测试了管理层对于相关资产组未来现金流量净现 值的计算是否准确。</w:t>
                        </w:r>
                      </w:p>
                    </w:tc>
                  </w:tr>
                  <w:tr>
                    <w:trPr>
                      <w:trHeight w:val="5652" w:hRule="exact"/>
                    </w:trPr>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（二）网络游戏收入确认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年度，贵公司网络游戏运营营业收入为</w:t>
                        </w:r>
                        <w:r>
                          <w:rPr>
                            <w:rFonts w:ascii="Times New Roman" w:hAnsi="Times New Roman" w:cs="Times New Roman" w:eastAsia="Times New Roman" w:hint="default"/>
                            <w:sz w:val="18"/>
                            <w:szCs w:val="18"/>
                          </w:rPr>
                          <w:t>31,564.35 </w:t>
                        </w:r>
                        <w:r>
                          <w:rPr>
                            <w:rFonts w:ascii="宋体" w:hAnsi="宋体" w:cs="宋体" w:eastAsia="宋体" w:hint="default"/>
                            <w:sz w:val="18"/>
                            <w:szCs w:val="18"/>
                          </w:rPr>
                          <w:t>万元，占营业收入总额的</w:t>
                        </w:r>
                        <w:r>
                          <w:rPr>
                            <w:rFonts w:ascii="Times New Roman" w:hAnsi="Times New Roman" w:cs="Times New Roman" w:eastAsia="Times New Roman" w:hint="default"/>
                            <w:sz w:val="18"/>
                            <w:szCs w:val="18"/>
                          </w:rPr>
                          <w:t>26.24%</w:t>
                        </w:r>
                        <w:r>
                          <w:rPr>
                            <w:rFonts w:ascii="宋体" w:hAnsi="宋体" w:cs="宋体" w:eastAsia="宋体" w:hint="default"/>
                            <w:sz w:val="18"/>
                            <w:szCs w:val="18"/>
                          </w:rPr>
                          <w:t>，产生的净利润占净 利润总额的</w:t>
                        </w:r>
                        <w:r>
                          <w:rPr>
                            <w:rFonts w:ascii="Times New Roman" w:hAnsi="Times New Roman" w:cs="Times New Roman" w:eastAsia="Times New Roman" w:hint="default"/>
                            <w:sz w:val="18"/>
                            <w:szCs w:val="18"/>
                          </w:rPr>
                          <w:t>41.87%</w:t>
                        </w:r>
                        <w:r>
                          <w:rPr>
                            <w:rFonts w:ascii="宋体" w:hAnsi="宋体" w:cs="宋体" w:eastAsia="宋体" w:hint="default"/>
                            <w:sz w:val="18"/>
                            <w:szCs w:val="18"/>
                          </w:rPr>
                          <w:t>。 </w:t>
                        </w:r>
                        <w:r>
                          <w:rPr>
                            <w:rFonts w:ascii="宋体" w:hAnsi="宋体" w:cs="宋体" w:eastAsia="宋体" w:hint="default"/>
                            <w:spacing w:val="-4"/>
                            <w:sz w:val="18"/>
                            <w:szCs w:val="18"/>
                          </w:rPr>
                          <w:t>公司的网络游戏收入包含网络游戏的开发与运营，具有</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客户数量多、区域分散，单个游戏玩家交易金额小等特</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征，且包含多种运营模式，收入的确认和计量存在游戏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行业的固有风险，为此我们将网络游戏收入的确认与计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量确定为关键审计事项。</w:t>
                        </w:r>
                      </w:p>
                    </w:tc>
                    <w:tc>
                      <w:tcPr>
                        <w:tcW w:w="426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4" w:firstLine="373"/>
                          <w:jc w:val="left"/>
                          <w:rPr>
                            <w:rFonts w:ascii="宋体" w:hAnsi="宋体" w:cs="宋体" w:eastAsia="宋体" w:hint="default"/>
                            <w:sz w:val="18"/>
                            <w:szCs w:val="18"/>
                          </w:rPr>
                        </w:pPr>
                        <w:r>
                          <w:rPr>
                            <w:rFonts w:ascii="宋体" w:hAnsi="宋体" w:cs="宋体" w:eastAsia="宋体" w:hint="default"/>
                            <w:spacing w:val="3"/>
                            <w:sz w:val="18"/>
                            <w:szCs w:val="18"/>
                          </w:rPr>
                          <w:t>我们评估并测试了与营业收入确认和计量相关的</w:t>
                        </w:r>
                        <w:r>
                          <w:rPr>
                            <w:rFonts w:ascii="宋体" w:hAnsi="宋体" w:cs="宋体" w:eastAsia="宋体" w:hint="default"/>
                            <w:sz w:val="18"/>
                            <w:szCs w:val="18"/>
                          </w:rPr>
                          <w:t> 内部控制制度设计合理性和执行有效性；</w:t>
                        </w:r>
                      </w:p>
                      <w:p>
                        <w:pPr>
                          <w:pStyle w:val="TableParagraph"/>
                          <w:spacing w:line="316" w:lineRule="auto" w:before="17"/>
                          <w:ind w:left="2" w:right="-4" w:firstLine="480"/>
                          <w:jc w:val="both"/>
                          <w:rPr>
                            <w:rFonts w:ascii="宋体" w:hAnsi="宋体" w:cs="宋体" w:eastAsia="宋体" w:hint="default"/>
                            <w:sz w:val="18"/>
                            <w:szCs w:val="18"/>
                          </w:rPr>
                        </w:pPr>
                        <w:r>
                          <w:rPr>
                            <w:rFonts w:ascii="宋体" w:hAnsi="宋体" w:cs="宋体" w:eastAsia="宋体" w:hint="default"/>
                            <w:spacing w:val="8"/>
                            <w:sz w:val="18"/>
                            <w:szCs w:val="18"/>
                          </w:rPr>
                          <w:t>按游戏种类和运营模式对营业收入和营业成本 </w:t>
                        </w:r>
                        <w:r>
                          <w:rPr>
                            <w:rFonts w:ascii="宋体" w:hAnsi="宋体" w:cs="宋体" w:eastAsia="宋体" w:hint="default"/>
                            <w:spacing w:val="-4"/>
                            <w:sz w:val="18"/>
                            <w:szCs w:val="18"/>
                          </w:rPr>
                          <w:t>实施分析性程序，包括月度间收入异常波动、毛利率异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常变动等，并复核收入的合理性，与历史期间的营业收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入指标对比分析；</w:t>
                        </w:r>
                      </w:p>
                      <w:p>
                        <w:pPr>
                          <w:pStyle w:val="TableParagraph"/>
                          <w:spacing w:line="312" w:lineRule="auto" w:before="19"/>
                          <w:ind w:left="2" w:right="1" w:firstLine="480"/>
                          <w:jc w:val="both"/>
                          <w:rPr>
                            <w:rFonts w:ascii="宋体" w:hAnsi="宋体" w:cs="宋体" w:eastAsia="宋体" w:hint="default"/>
                            <w:sz w:val="18"/>
                            <w:szCs w:val="18"/>
                          </w:rPr>
                        </w:pPr>
                        <w:r>
                          <w:rPr>
                            <w:rFonts w:ascii="宋体" w:hAnsi="宋体" w:cs="宋体" w:eastAsia="宋体" w:hint="default"/>
                            <w:spacing w:val="-1"/>
                            <w:sz w:val="18"/>
                            <w:szCs w:val="18"/>
                          </w:rPr>
                          <w:t>我们通过对主要自营游戏的收入分析，执行了包</w:t>
                        </w:r>
                        <w:r>
                          <w:rPr>
                            <w:rFonts w:ascii="宋体" w:hAnsi="宋体" w:cs="宋体" w:eastAsia="宋体" w:hint="default"/>
                            <w:sz w:val="18"/>
                            <w:szCs w:val="18"/>
                          </w:rPr>
                          <w:t> </w:t>
                        </w:r>
                        <w:r>
                          <w:rPr>
                            <w:rFonts w:ascii="宋体" w:hAnsi="宋体" w:cs="宋体" w:eastAsia="宋体" w:hint="default"/>
                            <w:spacing w:val="-3"/>
                            <w:sz w:val="18"/>
                            <w:szCs w:val="18"/>
                          </w:rPr>
                          <w:t>括抽查游戏玩家充值记录、检查游戏玩家登录的</w:t>
                        </w:r>
                        <w:r>
                          <w:rPr>
                            <w:rFonts w:ascii="Times New Roman" w:hAnsi="Times New Roman" w:cs="Times New Roman" w:eastAsia="Times New Roman" w:hint="default"/>
                            <w:spacing w:val="-3"/>
                            <w:sz w:val="18"/>
                            <w:szCs w:val="18"/>
                          </w:rPr>
                          <w:t>IP</w:t>
                        </w:r>
                        <w:r>
                          <w:rPr>
                            <w:rFonts w:ascii="宋体" w:hAnsi="宋体" w:cs="宋体" w:eastAsia="宋体" w:hint="default"/>
                            <w:spacing w:val="-3"/>
                            <w:sz w:val="18"/>
                            <w:szCs w:val="18"/>
                          </w:rPr>
                          <w:t>地址</w:t>
                        </w:r>
                        <w:r>
                          <w:rPr>
                            <w:rFonts w:ascii="宋体" w:hAnsi="宋体" w:cs="宋体" w:eastAsia="宋体" w:hint="default"/>
                            <w:spacing w:val="-75"/>
                            <w:sz w:val="18"/>
                            <w:szCs w:val="18"/>
                          </w:rPr>
                          <w:t> </w:t>
                        </w:r>
                        <w:r>
                          <w:rPr>
                            <w:rFonts w:ascii="宋体" w:hAnsi="宋体" w:cs="宋体" w:eastAsia="宋体" w:hint="default"/>
                            <w:spacing w:val="-4"/>
                            <w:sz w:val="18"/>
                            <w:szCs w:val="18"/>
                          </w:rPr>
                          <w:t>是否存在异常、检查游戏币的消耗等程序，检查自营游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戏收入确认依据的合理性、真实性和完整性；</w:t>
                        </w:r>
                      </w:p>
                      <w:p>
                        <w:pPr>
                          <w:pStyle w:val="TableParagraph"/>
                          <w:spacing w:line="316" w:lineRule="auto" w:before="22"/>
                          <w:ind w:left="2" w:right="-4" w:firstLine="480"/>
                          <w:jc w:val="both"/>
                          <w:rPr>
                            <w:rFonts w:ascii="宋体" w:hAnsi="宋体" w:cs="宋体" w:eastAsia="宋体" w:hint="default"/>
                            <w:sz w:val="18"/>
                            <w:szCs w:val="18"/>
                          </w:rPr>
                        </w:pPr>
                        <w:r>
                          <w:rPr>
                            <w:rFonts w:ascii="宋体" w:hAnsi="宋体" w:cs="宋体" w:eastAsia="宋体" w:hint="default"/>
                            <w:spacing w:val="8"/>
                            <w:sz w:val="18"/>
                            <w:szCs w:val="18"/>
                          </w:rPr>
                          <w:t>我们抽查了游戏联合运营模式中与客户签订的 </w:t>
                        </w:r>
                        <w:r>
                          <w:rPr>
                            <w:rFonts w:ascii="宋体" w:hAnsi="宋体" w:cs="宋体" w:eastAsia="宋体" w:hint="default"/>
                            <w:spacing w:val="-4"/>
                            <w:sz w:val="18"/>
                            <w:szCs w:val="18"/>
                          </w:rPr>
                          <w:t>合同或框架协议，结合有关业务流程和协议约定的分成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方式、结算周期等，对主要客户的收入和应收账款余额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4"/>
                            <w:sz w:val="18"/>
                            <w:szCs w:val="18"/>
                          </w:rPr>
                          <w:t>执行检查对账单、函证等程序，检查联营游戏收入确认</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依据的合理性、真实性和完整性；</w:t>
                        </w:r>
                      </w:p>
                      <w:p>
                        <w:pPr>
                          <w:pStyle w:val="TableParagraph"/>
                          <w:spacing w:line="316" w:lineRule="auto" w:before="19"/>
                          <w:ind w:left="2" w:right="-4" w:firstLine="480"/>
                          <w:jc w:val="both"/>
                          <w:rPr>
                            <w:rFonts w:ascii="宋体" w:hAnsi="宋体" w:cs="宋体" w:eastAsia="宋体" w:hint="default"/>
                            <w:sz w:val="18"/>
                            <w:szCs w:val="18"/>
                          </w:rPr>
                        </w:pPr>
                        <w:r>
                          <w:rPr>
                            <w:rFonts w:ascii="宋体" w:hAnsi="宋体" w:cs="宋体" w:eastAsia="宋体" w:hint="default"/>
                            <w:spacing w:val="8"/>
                            <w:sz w:val="18"/>
                            <w:szCs w:val="18"/>
                          </w:rPr>
                          <w:t>抽样测试审计截止日前后重要的营业收入会计 </w:t>
                        </w:r>
                        <w:r>
                          <w:rPr>
                            <w:rFonts w:ascii="宋体" w:hAnsi="宋体" w:cs="宋体" w:eastAsia="宋体" w:hint="default"/>
                            <w:sz w:val="18"/>
                            <w:szCs w:val="18"/>
                          </w:rPr>
                          <w:t>记录，确定是否存在提前或延后确认营业收入的情况</w:t>
                        </w:r>
                      </w:p>
                    </w:tc>
                  </w:tr>
                </w:tbl>
                <w:p>
                  <w:pPr/>
                </w:p>
              </w:txbxContent>
            </v:textbox>
            <w10:wrap type="none"/>
          </v:shape>
        </w:pict>
      </w:r>
      <w:r>
        <w:rPr/>
        <w:t>。</w:t>
      </w:r>
    </w:p>
    <w:p>
      <w:pPr>
        <w:spacing w:line="240" w:lineRule="auto" w:before="3"/>
        <w:rPr>
          <w:rFonts w:ascii="宋体" w:hAnsi="宋体" w:cs="宋体" w:eastAsia="宋体" w:hint="default"/>
          <w:sz w:val="28"/>
          <w:szCs w:val="28"/>
        </w:rPr>
      </w:pPr>
    </w:p>
    <w:p>
      <w:pPr>
        <w:pStyle w:val="BodyText"/>
        <w:spacing w:line="316" w:lineRule="auto"/>
        <w:ind w:right="1032"/>
        <w:jc w:val="left"/>
      </w:pPr>
      <w:r>
        <w:rPr/>
        <w:t>四、其他信息 贵公司管理层对其他信息负责。其他信息包括贵公司</w:t>
      </w:r>
      <w:r>
        <w:rPr>
          <w:rFonts w:ascii="Times New Roman" w:hAnsi="Times New Roman" w:cs="Times New Roman" w:eastAsia="Times New Roman" w:hint="default"/>
        </w:rPr>
        <w:t>2018</w:t>
      </w:r>
      <w:r>
        <w:rPr/>
        <w:t>年年度报告中涵盖的信息，但不包括财务报表和我们的审计报告。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6"/>
        </w:rPr>
        <w:t> </w:t>
      </w:r>
      <w:r>
        <w:rPr>
          <w:spacing w:val="-66"/>
        </w:rPr>
      </w:r>
      <w:r>
        <w:rPr/>
        <w:t>了解到的情况存在重大不一致或者似乎存在重大错报。 </w:t>
      </w:r>
      <w:r>
        <w:rPr>
          <w:spacing w:val="-4"/>
        </w:rPr>
        <w:t>基于我们已执行的工作，如果我们确定其他信息存在重大错报，我们应当报告该事实。在这方面，我们无任何事项需要报告。</w:t>
      </w:r>
      <w:r>
        <w:rPr>
          <w:spacing w:val="-46"/>
        </w:rPr>
        <w:t> </w:t>
      </w:r>
      <w:r>
        <w:rPr>
          <w:spacing w:val="-46"/>
        </w:rPr>
      </w:r>
      <w:r>
        <w:rPr/>
        <w:t>五、管理层和治理层对财务报表的责任 </w:t>
      </w:r>
      <w:r>
        <w:rPr>
          <w:spacing w:val="-2"/>
        </w:rPr>
        <w:t>管理层负责按照企业会计准则的规定编制财务报表，使其实现公允反映，并设计、执行和维护必要的内部控制，以使财务报</w:t>
      </w:r>
      <w:r>
        <w:rPr>
          <w:spacing w:val="-66"/>
        </w:rPr>
        <w:t> </w:t>
      </w:r>
      <w:r>
        <w:rPr>
          <w:spacing w:val="-66"/>
        </w:rPr>
      </w:r>
      <w:r>
        <w:rPr/>
        <w:t>表不存在由于舞弊或错误导致的重大错报。 </w:t>
      </w:r>
      <w:r>
        <w:rPr>
          <w:spacing w:val="-2"/>
        </w:rPr>
        <w:t>在编制财务报表时，管理层负责评估贵公司的持续经营能力，披露与持续经营相关的事项，并运用持续经营假设，除非贵公</w:t>
      </w:r>
      <w:r>
        <w:rPr>
          <w:spacing w:val="-66"/>
        </w:rPr>
        <w:t> </w:t>
      </w:r>
      <w:r>
        <w:rPr>
          <w:spacing w:val="-66"/>
        </w:rPr>
      </w:r>
      <w:r>
        <w:rPr/>
        <w:t>司计划进行清算、终止运营或别无其他现实的选择。</w:t>
      </w:r>
    </w:p>
    <w:p>
      <w:pPr>
        <w:pStyle w:val="BodyText"/>
        <w:spacing w:line="316" w:lineRule="auto" w:before="19"/>
        <w:ind w:right="7512"/>
        <w:jc w:val="left"/>
      </w:pPr>
      <w:r>
        <w:rPr/>
        <w:t>治理层负责监督贵公司的财务报告过程。 六、注册会计师对财务报表审计的责任</w:t>
      </w:r>
    </w:p>
    <w:p>
      <w:pPr>
        <w:pStyle w:val="BodyText"/>
        <w:spacing w:line="316" w:lineRule="auto" w:before="19"/>
        <w:ind w:right="1032"/>
        <w:jc w:val="left"/>
      </w:pPr>
      <w:r>
        <w:rPr/>
        <w:t>我们的目标是对财务报表整体是否不存在由于舞弊或错误导致的重大错报获取合理保证，并出具包含审计意见的审计报告。 </w:t>
      </w:r>
      <w:r>
        <w:rPr>
          <w:spacing w:val="-2"/>
        </w:rPr>
        <w:t>合理保证是高水平的保证，但并不能保证按照审计准则执行的审计在某一重大错报存在时总能发现。错报可能由于舞弊或错</w:t>
      </w:r>
      <w:r>
        <w:rPr>
          <w:spacing w:val="-64"/>
        </w:rPr>
        <w:t> </w:t>
      </w:r>
      <w:r>
        <w:rPr>
          <w:spacing w:val="-64"/>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pStyle w:val="BodyText"/>
        <w:spacing w:line="240" w:lineRule="auto" w:before="19"/>
        <w:ind w:right="0"/>
        <w:jc w:val="left"/>
      </w:pPr>
      <w:r>
        <w:rPr/>
        <w:t>在按照审计准则执行审计工作的过程中，我们运用职业判断，并保持职业怀疑。同时，我们也执行以下工作：</w:t>
      </w:r>
    </w:p>
    <w:p>
      <w:pPr>
        <w:pStyle w:val="BodyText"/>
        <w:spacing w:line="309" w:lineRule="auto" w:before="76"/>
        <w:ind w:right="1130"/>
        <w:jc w:val="both"/>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）识别和评估由于舞弊或错误导致的财务报表重大错报风险，设计和实施审计程序以应对这些风险，并获取充分、适当 </w:t>
      </w:r>
      <w:r>
        <w:rPr>
          <w:spacing w:val="-2"/>
        </w:rPr>
        <w:t>的审计证据，作为发表审计意见的基础。由于舞弊可能涉及串通、伪造、故意遗漏、虚假陈述或凌驾于内部控制之上，未能</w:t>
      </w:r>
      <w:r>
        <w:rPr>
          <w:spacing w:val="-68"/>
        </w:rPr>
        <w:t> </w:t>
      </w:r>
      <w:r>
        <w:rPr>
          <w:spacing w:val="-68"/>
        </w:rPr>
      </w:r>
      <w:r>
        <w:rPr/>
        <w:t>发现由于舞弊导致的重大错报的风险高于未能发现由于错误导致的重大错报的风险。</w:t>
      </w:r>
    </w:p>
    <w:p>
      <w:pPr>
        <w:pStyle w:val="BodyText"/>
        <w:spacing w:line="240" w:lineRule="auto" w:before="24"/>
        <w:ind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ind w:right="1131"/>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）对管理层使用持续经营假设的恰当性得出结论。同时，根据获取的审计证据，就可能导致对贵公司持续经营能力产生 </w:t>
      </w:r>
      <w:r>
        <w:rPr>
          <w:spacing w:val="-2"/>
        </w:rPr>
        <w:t>重大疑虑的事项或情况是否存在重大不确定性得出结论。如果我们得出结论认为存在重大不确定性，审计准则要求我们在审</w:t>
      </w:r>
      <w:r>
        <w:rPr>
          <w:spacing w:val="-64"/>
        </w:rPr>
        <w:t> </w:t>
      </w:r>
      <w:r>
        <w:rPr>
          <w:spacing w:val="-64"/>
        </w:rPr>
      </w:r>
      <w:r>
        <w:rPr>
          <w:spacing w:val="-2"/>
        </w:rPr>
        <w:t>计报告中提请报表使用者注意财务报表中的相关披露；如果披露不充分，我们应当发表非无保留意见。我们的结论基于截至</w:t>
      </w:r>
      <w:r>
        <w:rPr>
          <w:spacing w:val="-66"/>
        </w:rPr>
        <w:t> </w:t>
      </w:r>
      <w:r>
        <w:rPr>
          <w:spacing w:val="-66"/>
        </w:rPr>
      </w:r>
      <w:r>
        <w:rPr/>
        <w:t>审计报告日可获得的信息。然而，未来的事项或情况可能导致贵公司不能持续经营。</w:t>
      </w:r>
    </w:p>
    <w:p>
      <w:pPr>
        <w:pStyle w:val="BodyText"/>
        <w:spacing w:line="240" w:lineRule="auto" w:before="23"/>
        <w:ind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16" w:lineRule="auto" w:before="63"/>
        <w:ind w:right="1122"/>
        <w:jc w:val="left"/>
      </w:pPr>
      <w:r>
        <w:rPr/>
        <w:t>（</w:t>
      </w:r>
      <w:r>
        <w:rPr>
          <w:rFonts w:ascii="Times New Roman" w:hAnsi="Times New Roman" w:cs="Times New Roman" w:eastAsia="Times New Roman" w:hint="default"/>
        </w:rPr>
        <w:t>6</w:t>
      </w:r>
      <w:r>
        <w:rPr/>
        <w:t>）就集团中实体或业务活动的财务信息获取充分、适当的审计证据，以对财务报表发表审计意见。我们负责指导、监督 和执行集团审计，并对审计意见承担全部责任。 </w:t>
      </w: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 </w:t>
      </w:r>
      <w:r>
        <w:rPr>
          <w:spacing w:val="-2"/>
        </w:rPr>
        <w:t>我们还就已遵守与独立性相关的职业道德要求向治理层提供声明，并与治理层沟通可能被合理认为影响我们独立性的所有关</w:t>
      </w:r>
      <w:r>
        <w:rPr>
          <w:spacing w:val="-64"/>
        </w:rPr>
        <w:t> </w:t>
      </w:r>
      <w:r>
        <w:rPr>
          <w:spacing w:val="-64"/>
        </w:rPr>
      </w:r>
      <w:r>
        <w:rPr/>
        <w:t>系和其他事项，以及相关的防范措施（如适用）</w:t>
      </w:r>
      <w:r>
        <w:rPr>
          <w:spacing w:val="-16"/>
        </w:rPr>
        <w:t> </w:t>
      </w:r>
      <w:r>
        <w:rPr/>
        <w:t>。</w:t>
      </w:r>
      <w:r>
        <w:rPr/>
        <w:t> </w:t>
      </w:r>
      <w:r>
        <w:rPr>
          <w:spacing w:val="-2"/>
        </w:rPr>
        <w:t>从与治理层沟通过的事项中，我们确定哪些事项对本期财务报表审计最为重要，因而构成关键审计事项。我们在审计报告中</w:t>
      </w:r>
      <w:r>
        <w:rPr>
          <w:spacing w:val="-66"/>
        </w:rPr>
        <w:t> </w:t>
      </w:r>
      <w:r>
        <w:rPr>
          <w:spacing w:val="-66"/>
        </w:rPr>
      </w:r>
      <w:r>
        <w:rPr>
          <w:spacing w:val="-2"/>
        </w:rPr>
        <w:t>描述这些事项，除非法律法规禁止公开披露这些事项，或在极少数情形下，如果合理预期在审计报告中沟通某事项造成的负</w:t>
      </w:r>
      <w:r>
        <w:rPr>
          <w:spacing w:val="-66"/>
        </w:rPr>
        <w:t> </w:t>
      </w:r>
      <w:r>
        <w:rPr>
          <w:spacing w:val="-66"/>
        </w:rPr>
      </w:r>
      <w:r>
        <w:rPr/>
        <w:t>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8"/>
          <w:szCs w:val="18"/>
        </w:rPr>
      </w:pPr>
    </w:p>
    <w:p>
      <w:pPr>
        <w:pStyle w:val="BodyText"/>
        <w:spacing w:line="316" w:lineRule="auto" w:before="0"/>
        <w:ind w:right="7512"/>
        <w:jc w:val="left"/>
      </w:pPr>
      <w:r>
        <w:rPr/>
        <w:t>北京永拓会计师事务所（特殊普通合伙） 中国注册会计师：</w:t>
      </w:r>
    </w:p>
    <w:p>
      <w:pPr>
        <w:spacing w:line="240" w:lineRule="auto" w:before="4"/>
        <w:rPr>
          <w:rFonts w:ascii="宋体" w:hAnsi="宋体" w:cs="宋体" w:eastAsia="宋体" w:hint="default"/>
          <w:sz w:val="25"/>
          <w:szCs w:val="25"/>
        </w:rPr>
      </w:pPr>
    </w:p>
    <w:p>
      <w:pPr>
        <w:pStyle w:val="BodyText"/>
        <w:spacing w:line="240" w:lineRule="auto" w:before="0"/>
        <w:ind w:right="0"/>
        <w:jc w:val="left"/>
      </w:pPr>
      <w:r>
        <w:rPr/>
        <w:t>（项目合伙人）：</w:t>
      </w:r>
    </w:p>
    <w:p>
      <w:pPr>
        <w:spacing w:line="240" w:lineRule="auto" w:before="4"/>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7" w:footer="979" w:top="1060" w:bottom="1160" w:left="980" w:right="0"/>
        </w:sectPr>
      </w:pPr>
    </w:p>
    <w:p>
      <w:pPr>
        <w:spacing w:line="240" w:lineRule="auto" w:before="0"/>
        <w:rPr>
          <w:rFonts w:ascii="宋体" w:hAnsi="宋体" w:cs="宋体" w:eastAsia="宋体" w:hint="default"/>
          <w:sz w:val="18"/>
          <w:szCs w:val="18"/>
        </w:rPr>
      </w:pPr>
    </w:p>
    <w:p>
      <w:pPr>
        <w:pStyle w:val="BodyText"/>
        <w:spacing w:line="240" w:lineRule="auto" w:before="121"/>
        <w:ind w:right="-20"/>
        <w:jc w:val="left"/>
      </w:pPr>
      <w:r>
        <w:rPr/>
        <w:t>中国注册会计师：</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spacing w:line="240" w:lineRule="auto" w:before="0"/>
        <w:ind w:right="-20"/>
        <w:jc w:val="left"/>
      </w:pPr>
      <w:r>
        <w:rPr/>
        <w:t>二〇一九年四月二十五日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20"/>
        <w:jc w:val="left"/>
        <w:rPr>
          <w:b w:val="0"/>
          <w:bCs w:val="0"/>
        </w:rPr>
      </w:pPr>
      <w:bookmarkStart w:name="二、财务报表" w:id="152"/>
      <w:bookmarkEnd w:id="152"/>
      <w:r>
        <w:rPr>
          <w:b w:val="0"/>
          <w:bCs w:val="0"/>
        </w:rPr>
      </w:r>
      <w:r>
        <w:rPr/>
        <w:t>二、财务报表</w:t>
      </w:r>
      <w:r>
        <w:rPr>
          <w:b w:val="0"/>
          <w:bCs w:val="0"/>
        </w:rPr>
      </w:r>
    </w:p>
    <w:p>
      <w:pPr>
        <w:pStyle w:val="BodyText"/>
        <w:spacing w:line="240" w:lineRule="auto"/>
        <w:ind w:left="1" w:right="0"/>
        <w:jc w:val="left"/>
      </w:pPr>
      <w:r>
        <w:rPr/>
        <w:br w:type="column"/>
      </w:r>
      <w:r>
        <w:rPr/>
        <w:t>中国</w:t>
      </w:r>
      <w:r>
        <w:rPr>
          <w:rFonts w:ascii="Times New Roman" w:hAnsi="Times New Roman" w:cs="Times New Roman" w:eastAsia="Times New Roman" w:hint="default"/>
        </w:rPr>
        <w:t>•</w:t>
      </w:r>
      <w:r>
        <w:rPr/>
        <w:t>北京</w:t>
      </w:r>
    </w:p>
    <w:p>
      <w:pPr>
        <w:spacing w:after="0" w:line="240" w:lineRule="auto"/>
        <w:jc w:val="left"/>
        <w:sectPr>
          <w:type w:val="continuous"/>
          <w:pgSz w:w="11910" w:h="16840"/>
          <w:pgMar w:top="1060" w:bottom="1160" w:left="980" w:right="0"/>
          <w:cols w:num="2" w:equalWidth="0">
            <w:col w:w="2135" w:space="40"/>
            <w:col w:w="8755"/>
          </w:cols>
        </w:sectPr>
      </w:pPr>
    </w:p>
    <w:p>
      <w:pPr>
        <w:spacing w:line="240" w:lineRule="auto" w:before="2"/>
        <w:rPr>
          <w:rFonts w:ascii="宋体" w:hAnsi="宋体" w:cs="宋体" w:eastAsia="宋体" w:hint="default"/>
          <w:sz w:val="23"/>
          <w:szCs w:val="23"/>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3"/>
      <w:bookmarkEnd w:id="153"/>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240" w:lineRule="auto"/>
        <w:ind w:right="-20"/>
        <w:jc w:val="left"/>
      </w:pPr>
      <w:r>
        <w:rPr/>
        <w:t>编制单位：任子行网络技术股份有限公司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单位：元</w:t>
      </w:r>
    </w:p>
    <w:p>
      <w:pPr>
        <w:spacing w:after="0" w:line="240" w:lineRule="auto"/>
        <w:jc w:val="left"/>
        <w:sectPr>
          <w:type w:val="continuous"/>
          <w:pgSz w:w="11910" w:h="16840"/>
          <w:pgMar w:top="1060" w:bottom="1160" w:left="980" w:right="0"/>
          <w:cols w:num="3" w:equalWidth="0">
            <w:col w:w="3395" w:space="6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49" w:right="0"/>
              <w:jc w:val="left"/>
              <w:rPr>
                <w:rFonts w:ascii="Times New Roman" w:hAnsi="Times New Roman" w:cs="Times New Roman" w:eastAsia="Times New Roman" w:hint="default"/>
                <w:sz w:val="18"/>
                <w:szCs w:val="18"/>
              </w:rPr>
            </w:pPr>
            <w:r>
              <w:rPr>
                <w:rFonts w:ascii="Times New Roman"/>
                <w:sz w:val="18"/>
              </w:rPr>
              <w:t>306,197,814.63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1" w:right="0"/>
              <w:jc w:val="left"/>
              <w:rPr>
                <w:rFonts w:ascii="Times New Roman" w:hAnsi="Times New Roman" w:cs="Times New Roman" w:eastAsia="Times New Roman" w:hint="default"/>
                <w:sz w:val="18"/>
                <w:szCs w:val="18"/>
              </w:rPr>
            </w:pPr>
            <w:r>
              <w:rPr>
                <w:rFonts w:ascii="Times New Roman"/>
                <w:sz w:val="18"/>
              </w:rPr>
              <w:t>321,262,001.31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496,319,210.48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380,278,453.79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27,251,568.28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11,606,753.00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469,067,642.20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368,671,700.79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79,344,371.76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32,447,523.64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19,045,849.81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17,073,190.79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168,834,572.65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176,997,233.69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118,043,990.29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5,966,527.31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1,187,785,809.62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934,024,930.53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184,380,389.74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179,341,350.00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22,998,517.23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17,962,308.16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75,182,784.57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75,725,047.86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173,735,098.23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178,980,308.68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16,532,317.68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19,370,955.34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674,691,462.57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848,763,184.87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12,321,741.71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3,995,241.76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37,463,129.35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30,645,643.48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1,197,305,441.08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1,354,784,040.15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2,385,091,250.70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2,288,808,970.68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274,506,053.19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250,655,180.67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164,479,215.91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202,206,394.37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60,343,908.61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55,224,198.67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63,564,624.99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40,120,803.60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17,212,623.91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58,804,648.57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260,032.98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20,193.35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28,123,700.00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4,636,460.99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5,169,662.59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712,866,587.60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787,180,888.47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154,492,271.46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178,744,000.00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39,303,666.71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35,413,666.67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1,604,365.51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2,416,138.51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245,400,303.68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216,573,805.18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958,266,891.28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1,003,754,693.65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680,036,042.00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447,930,709.00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180,154,396.11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337,041,373.09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56,247,400.00</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49,104,343.92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42,340,443.15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515,563,600.35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396,598,647.02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1,368,610,982.38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1,223,911,172.26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58,213,377.04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61,143,104.77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1,426,824,359.42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1,285,054,277.03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2,385,091,250.70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2,288,808,970.68</w:t>
            </w:r>
          </w:p>
        </w:tc>
      </w:tr>
    </w:tbl>
    <w:p>
      <w:pPr>
        <w:spacing w:line="240" w:lineRule="auto" w:before="3"/>
        <w:rPr>
          <w:rFonts w:ascii="Times New Roman" w:hAnsi="Times New Roman" w:cs="Times New Roman" w:eastAsia="Times New Roman" w:hint="default"/>
          <w:sz w:val="23"/>
          <w:szCs w:val="23"/>
        </w:rPr>
      </w:pPr>
    </w:p>
    <w:p>
      <w:pPr>
        <w:pStyle w:val="BodyText"/>
        <w:tabs>
          <w:tab w:pos="3420" w:val="left" w:leader="none"/>
          <w:tab w:pos="7561" w:val="left" w:leader="none"/>
        </w:tabs>
        <w:spacing w:line="240" w:lineRule="auto"/>
        <w:ind w:left="0" w:right="1229"/>
        <w:jc w:val="right"/>
      </w:pPr>
      <w:r>
        <w:rPr/>
        <w:t>法定代表人：景晓军</w:t>
        <w:tab/>
        <w:t>主管会计工作负责人：杨志强</w:t>
        <w:tab/>
        <w:t>会计机构负责人：李志强</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4"/>
      <w:bookmarkEnd w:id="154"/>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148" w:right="0"/>
              <w:jc w:val="left"/>
              <w:rPr>
                <w:rFonts w:ascii="Times New Roman" w:hAnsi="Times New Roman" w:cs="Times New Roman" w:eastAsia="Times New Roman" w:hint="default"/>
                <w:sz w:val="18"/>
                <w:szCs w:val="18"/>
              </w:rPr>
            </w:pPr>
            <w:r>
              <w:rPr>
                <w:rFonts w:ascii="Times New Roman"/>
                <w:sz w:val="18"/>
              </w:rPr>
              <w:t>193,972,170.31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14" w:right="0"/>
              <w:jc w:val="left"/>
              <w:rPr>
                <w:rFonts w:ascii="Times New Roman" w:hAnsi="Times New Roman" w:cs="Times New Roman" w:eastAsia="Times New Roman" w:hint="default"/>
                <w:sz w:val="18"/>
                <w:szCs w:val="18"/>
              </w:rPr>
            </w:pPr>
            <w:r>
              <w:rPr>
                <w:rFonts w:ascii="Times New Roman"/>
                <w:sz w:val="18"/>
              </w:rPr>
              <w:t>129,114,341.41</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277,308,196.23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317,040,457.93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1,463,500.00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4,120,176.00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275,844,696.23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312,920,281.93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51,559,701.71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12,590,703.62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24,185,905.60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19,375,651.54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91,164,018.50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86,207,945.81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125,000,000.00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775,189,992.35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689,329,100.31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87,897,801.77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126,981,350.00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1,307,555,116.82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1,365,442,308.16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75,182,784.57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75,725,047.86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82,630,204.65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87,214,843.39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2,552,241.52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2,085,908.03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1,596,506.88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2,341,137.96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34,388,836.70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29,602,824.90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1,591,803,492.91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1,689,393,420.30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2,366,993,485.26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2,378,722,520.61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85,451,208.63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287,600,089.78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36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271,726,143.83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210,192,123.67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81,810,466.08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113,695,717.44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26,543,104.31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22,739,999.99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44,636,650.12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25,176,418.68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192,418,718.63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188,271,789.65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2,479,860.16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2,479,860.16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260,032.98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20,193.35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28,123,700.00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730,709,991.60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847,676,139.21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154,492,271.46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178,744,000.00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38,932,000.00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34,738,000.00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243,424,271.46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213,482,000.00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974,134,263.06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1,061,158,139.21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680,036,042.00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447,930,709.00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350,821,182.52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505,586,715.52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56,247,400.00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90"/>
        <w:gridCol w:w="3314"/>
        <w:gridCol w:w="2966"/>
      </w:tblGrid>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49,104,343.92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42,340,443.15</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369,145,053.76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321,706,513.73</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1,392,859,222.20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1,317,564,381.40</w:t>
            </w:r>
          </w:p>
        </w:tc>
      </w:tr>
      <w:tr>
        <w:trPr>
          <w:trHeight w:val="402" w:hRule="exact"/>
        </w:trPr>
        <w:tc>
          <w:tcPr>
            <w:tcW w:w="32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2,366,993,485.26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2,378,722,520.61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55"/>
      <w:bookmarkEnd w:id="155"/>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1,202,714,300.55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1,076,908,064.59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1,202,714,300.55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1,076,908,064.59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1,332,253,876.08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1,155,117,360.80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587,471,113.02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520,806,674.05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12,681,795.47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10,570,486.31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225,965,368.06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168,384,715.54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123,206,762.43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87,299,606.48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168,506,692.84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136,866,039.64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6,780,035.82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4,240,228.10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13,016,448.60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7,127,990.19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6,665,728.94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2,779,043.39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207,642,108.44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226,949,610.68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74,147,016.28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38,913,658.75</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150,379,484.12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1,683,744.40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36,209.07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-691,887.05</w:t>
            </w:r>
            <w:r>
              <w:rPr>
                <w:rFonts w:ascii="Times New Roman"/>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53,283.78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82,882.31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95,040,208.65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-37,529,010.75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66,615,833.85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204,826,466.57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393,697.13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60,514.50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161,262,345.37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167,236,941.32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23,148,096.08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15,279,462.96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138,114,249.29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151,957,478.36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138,114,249.29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151,957,478.36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139,165,421.00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149,268,092.48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-1,051,171.71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2,689,385.88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138,114,249.29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151,957,478.36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139,165,421.00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149,268,092.48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-1,051,171.71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2,689,385.88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0.22</w:t>
            </w:r>
          </w:p>
        </w:tc>
      </w:tr>
    </w:tbl>
    <w:p>
      <w:pPr>
        <w:pStyle w:val="BodyText"/>
        <w:tabs>
          <w:tab w:pos="3574" w:val="left" w:leader="none"/>
          <w:tab w:pos="7715" w:val="left" w:leader="none"/>
        </w:tabs>
        <w:spacing w:line="624" w:lineRule="auto" w:before="51"/>
        <w:ind w:right="1229"/>
        <w:jc w:val="left"/>
      </w:pPr>
      <w:r>
        <w:rPr/>
        <w:t>本期发生同一控制下企业合并的，被合并方在合并前实现的净利润为：元，上期被合并方实现的净利润为：元。 法定代表人：景晓军</w:t>
        <w:tab/>
        <w:t>主管会计工作负责人：杨志强</w:t>
        <w:tab/>
        <w:t>会计机构负责人：李志强</w:t>
      </w:r>
    </w:p>
    <w:p>
      <w:pPr>
        <w:pStyle w:val="Heading4"/>
        <w:spacing w:line="240" w:lineRule="auto" w:before="63"/>
        <w:ind w:right="0"/>
        <w:jc w:val="left"/>
        <w:rPr>
          <w:b w:val="0"/>
          <w:bCs w:val="0"/>
        </w:rPr>
      </w:pPr>
      <w:bookmarkStart w:name="4、母公司利润表" w:id="156"/>
      <w:bookmarkEnd w:id="156"/>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518,245,237.80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464,645,296.93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385,914,425.44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301,289,946.99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4,592,122.43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5,115,704.76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93,242,175.69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76,369,165.96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67,535,603.14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46,120,717.39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62,326,102.22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47,861,925.06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1,709,607.76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3,114,378.37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11,511,804.17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9,265,286.11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5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10,056,913.30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6,248,948.74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184,257,518.43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223,161,687.35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38,392,253.56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24,662,659.29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250,815,988.47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79,348,023.17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36,209.07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-691,887.05</w:t>
            </w:r>
            <w:r>
              <w:rPr>
                <w:rFonts w:ascii="Times New Roman"/>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996.11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7,875,845.39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-134,376,550.38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64,079,271.88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201,511,757.20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308,242.24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54,986.39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71,646,875.03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67,080,220.43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4,007,867.33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-2,254,426.53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67,639,007.70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69,334,646.96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67,639,007.70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69,334,646.96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67,639,007.70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69,334,646.96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5、合并现金流量表" w:id="157"/>
      <w:bookmarkEnd w:id="157"/>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1,196,669,263.82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1,205,134,027.42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50,430,519.24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27,487,758.75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68,643,109.02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56,228,635.25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1,315,742,892.08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1,288,850,421.42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787,976,308.76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625,759,054.04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305,114,039.88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207,919,595.98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108,313,449.03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91,692,530.58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184,209,721.35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161,856,506.81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1,385,613,519.02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1,087,227,687.41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-69,870,626.94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201,622,734.01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272,843,548.23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128,726,200.00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164,669,421.66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2,059,608.27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25,980.00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229,820.00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437,538,949.89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241,015,628.27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9,265,501.96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25,320,772.56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381,995,457.58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159,690,000.00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185,701,880.96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2,275,059.12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100,230,046.21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393,536,018.66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470,942,699.73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44,002,931.23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-229,927,071.46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60,156,850.60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338,156,850.60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303,000,000.00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28,205,694.41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29,212,499.03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167,526,570.83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335,205,694.41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296,739,069.86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2,951,156.19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17,260,930.14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-22,916,539.52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-11,043,407.31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313,971,931.31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325,015,338.62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291,055,391.79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313,971,931.31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58"/>
      <w:bookmarkEnd w:id="158"/>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580,683,736.43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475,075,158.40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18,763,745.47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16,485,928.74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116,396,553.73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24,278,197.82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715,844,035.63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515,839,284.96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429,511,936.57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283,855,184.05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147,651,104.54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94,179,528.20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27,004,427.06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31,944,091.76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153,254,944.21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72,544,522.67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757,422,412.38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482,523,326.68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-41,578,376.75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33,315,958.28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205,083,548.23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163,636,557.28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80,039,910.22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10,634,040.00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379,354,145.51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198,039,910.22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1,975,910.62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2,382,780.23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273,382,909.61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443,463,277.00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2,275,059.12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277,633,879.35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545,846,057.23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101,720,266.16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-347,806,147.01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60,156,850.60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427,600,089.78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121,217,691.32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295,156,850.60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548,817,781.10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26,701,049.95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29,212,499.01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2,375,343.61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301,701,049.95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171,587,842.62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-6,544,199.35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377,229,938.48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53,597,690.06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62,739,749.75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127,397,851.41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64,658,101.66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180,995,541.47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127,397,851.41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7、合并所有者权益变动表" w:id="159"/>
      <w:bookmarkEnd w:id="159"/>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447,93</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0,709.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337,041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,373.09</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42,340,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443.15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396,598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,647.02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61,143,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104.77</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447,93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0,709.</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337,041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,373.09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42,340,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443.15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396,598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,647.02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61,143,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104.77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232,10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5,333.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-156,88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6,976.9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56,247,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6,763,9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118,964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,953.33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-2,929,7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27.73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141,770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,082.39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139,165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,421.00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-1,051,1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71.71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138,114</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,249.29</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8,140,</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67,078,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356.02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56,247,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-1,878,5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56.02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17,092,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-1,878,5</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56.02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1,878,5</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56.02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21,092,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21,092,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8,140,</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000.00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45,985,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956.02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56,247,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-2,121,4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43.98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6,763,9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-20,200,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467.67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-13,436,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566.90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6,763,9</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00.77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-6,763,9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-13,436,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566.90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-13,436,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566.90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223,96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5,333.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5,333.0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223,96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5,333.</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-223,96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5,333.0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43"/>
              <w:jc w:val="left"/>
              <w:rPr>
                <w:rFonts w:ascii="宋体" w:hAnsi="宋体" w:cs="宋体" w:eastAsia="宋体" w:hint="default"/>
                <w:sz w:val="18"/>
                <w:szCs w:val="18"/>
              </w:rPr>
            </w:pPr>
            <w:r>
              <w:rPr>
                <w:rFonts w:ascii="宋体" w:hAnsi="宋体" w:cs="宋体" w:eastAsia="宋体" w:hint="default"/>
                <w:sz w:val="18"/>
                <w:szCs w:val="18"/>
              </w:rPr>
              <w:t>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680,03</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6,042.</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180,154</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,396.11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56,247,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49,104,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343.92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515,563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,600.35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58,213,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377.04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1,426,8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24,359.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42</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26"/>
        <w:gridCol w:w="574"/>
        <w:gridCol w:w="530"/>
        <w:gridCol w:w="532"/>
        <w:gridCol w:w="530"/>
        <w:gridCol w:w="665"/>
        <w:gridCol w:w="665"/>
        <w:gridCol w:w="665"/>
        <w:gridCol w:w="665"/>
        <w:gridCol w:w="665"/>
        <w:gridCol w:w="665"/>
        <w:gridCol w:w="678"/>
        <w:gridCol w:w="652"/>
        <w:gridCol w:w="659"/>
      </w:tblGrid>
      <w:tr>
        <w:trPr>
          <w:trHeight w:val="402"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44"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6" w:type="dxa"/>
            <w:vMerge/>
            <w:tcBorders>
              <w:left w:val="single" w:sz="4" w:space="0" w:color="000000"/>
              <w:right w:val="single" w:sz="4" w:space="0" w:color="000000"/>
            </w:tcBorders>
            <w:shd w:val="clear" w:color="auto" w:fill="D2D2D2"/>
          </w:tcPr>
          <w:p>
            <w:pPr/>
          </w:p>
        </w:tc>
        <w:tc>
          <w:tcPr>
            <w:tcW w:w="683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34"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448,33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1,331.</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505,526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,580.86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28,985,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073.78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35,406,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978.45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276,680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,377.96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34,499,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141.39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59,335.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39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448,33</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1,331.</w:t>
            </w:r>
          </w:p>
          <w:p>
            <w:pPr>
              <w:pStyle w:val="TableParagraph"/>
              <w:spacing w:line="240" w:lineRule="auto" w:before="106"/>
              <w:ind w:left="354"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505,526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,580.86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28,985,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073.78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35,406,</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978.45</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276,680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,377.96</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34,499,</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141.39</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59,335.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392"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-400,6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22.00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5,207.7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-28,985,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073.78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6,933,4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64.70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119,918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,269.06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26,643,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963.38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13,594,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941.15</w:t>
            </w:r>
          </w:p>
        </w:tc>
      </w:tr>
      <w:tr>
        <w:trPr>
          <w:trHeight w:val="714"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149,268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,092.48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2,689,3</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85.88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151,957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,478.36</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0" w:right="0"/>
              <w:jc w:val="left"/>
              <w:rPr>
                <w:rFonts w:ascii="Times New Roman" w:hAnsi="Times New Roman" w:cs="Times New Roman" w:eastAsia="Times New Roman" w:hint="default"/>
                <w:sz w:val="18"/>
                <w:szCs w:val="18"/>
              </w:rPr>
            </w:pPr>
            <w:r>
              <w:rPr>
                <w:rFonts w:ascii="Times New Roman"/>
                <w:sz w:val="18"/>
              </w:rPr>
              <w:t>-400,6</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22.00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5,207.7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-28,985,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073.78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23,954,</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577.50</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-115,94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6,178.4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70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-28,985,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073.78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39,000,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000.00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67,985,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073.78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2,346,4</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2,346,4</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-400,6</w:t>
            </w:r>
          </w:p>
          <w:p>
            <w:pPr>
              <w:pStyle w:val="TableParagraph"/>
              <w:spacing w:line="240" w:lineRule="auto" w:before="106"/>
              <w:ind w:left="125" w:right="0"/>
              <w:jc w:val="left"/>
              <w:rPr>
                <w:rFonts w:ascii="Times New Roman" w:hAnsi="Times New Roman" w:cs="Times New Roman" w:eastAsia="Times New Roman" w:hint="default"/>
                <w:sz w:val="18"/>
                <w:szCs w:val="18"/>
              </w:rPr>
            </w:pPr>
            <w:r>
              <w:rPr>
                <w:rFonts w:ascii="Times New Roman"/>
                <w:sz w:val="18"/>
              </w:rPr>
              <w:t>22.00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1,607.7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-15,045</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,422.51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7,652.2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6,933,4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64.70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-29,349,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823.42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-22,416,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358.72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6,933,4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64.70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-6,933,4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64.70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-22,416,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358.72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-22,416,</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358.72</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447,93</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0,709.</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337,041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,373.09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42,340,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443.15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396,598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,647.02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61,143,</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104.77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54,277.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8、母公司所有者权益变动表" w:id="160"/>
      <w:bookmarkEnd w:id="160"/>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本期金额</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447,930,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709.00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505,586,7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15.52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42,340,44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3.15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321,706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,513.73</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1,317,564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,381.40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447,930,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709.00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505,586,7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15.52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42,340,44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3.15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321,706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,513.73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1,317,564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,381.40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232,105,</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333.00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-154,765,</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533.00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56,247,40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6,763,900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47,438,</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540.03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75,294,84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0.80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67,639,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007.70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67,639,00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7.70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8,140,00</w:t>
            </w:r>
          </w:p>
          <w:p>
            <w:pPr>
              <w:pStyle w:val="TableParagraph"/>
              <w:spacing w:line="240" w:lineRule="auto" w:before="105"/>
              <w:ind w:left="331"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69,199,80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56,247,40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12,952,40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21,092,40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21,092,40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8,140,00</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48,107,40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56,247,40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-8,140,00</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6,763,900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-20,200,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467.67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-5,296,56</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6.90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6,763,900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-6,763,9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00.77</w:t>
            </w:r>
          </w:p>
        </w:tc>
        <w:tc>
          <w:tcPr>
            <w:tcW w:w="781" w:type="dxa"/>
            <w:vMerge w:val="restart"/>
            <w:tcBorders>
              <w:top w:val="single" w:sz="4" w:space="0" w:color="000000"/>
              <w:left w:val="single" w:sz="4" w:space="0" w:color="000000"/>
              <w:right w:val="single" w:sz="4" w:space="0" w:color="000000"/>
            </w:tcBorders>
          </w:tcPr>
          <w:p>
            <w:pPr/>
          </w:p>
        </w:tc>
      </w:tr>
      <w:tr>
        <w:trPr>
          <w:trHeight w:val="39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-13,436,</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566.90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-13,436,5</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66.90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8,140,000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223,965,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333.00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-223,965,</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333.00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223,965,</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333.00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-223,965,</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333.00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680,036,</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042.00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350,821,1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82.52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56,247,40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49,104,34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3.92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369,145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,053.76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1,392,859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,222.20</w:t>
            </w:r>
          </w:p>
        </w:tc>
      </w:tr>
    </w:tbl>
    <w:p>
      <w:pPr>
        <w:pStyle w:val="BodyText"/>
        <w:spacing w:line="240" w:lineRule="auto" w:before="51"/>
        <w:ind w:right="0"/>
        <w:jc w:val="left"/>
      </w:pPr>
      <w:r>
        <w:rPr/>
        <w:t>上期金额</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448,331,</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331.00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505,197,3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45.81</w:t>
            </w: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28,985,07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3.78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35,406,97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8.45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281,721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,690.18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1,241,672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,271.66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448,331,</w:t>
            </w:r>
          </w:p>
          <w:p>
            <w:pPr>
              <w:pStyle w:val="TableParagraph"/>
              <w:spacing w:line="240" w:lineRule="auto" w:before="106"/>
              <w:ind w:left="132" w:right="0"/>
              <w:jc w:val="center"/>
              <w:rPr>
                <w:rFonts w:ascii="Times New Roman" w:hAnsi="Times New Roman" w:cs="Times New Roman" w:eastAsia="Times New Roman" w:hint="default"/>
                <w:sz w:val="18"/>
                <w:szCs w:val="18"/>
              </w:rPr>
            </w:pPr>
            <w:r>
              <w:rPr>
                <w:rFonts w:ascii="Times New Roman"/>
                <w:sz w:val="18"/>
              </w:rPr>
              <w:t>331.00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505,197,3</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45.81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28,985,07</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3.78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35,406,97</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8.45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281,721</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,690.18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1,241,672</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,271.66</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-400,62</w:t>
            </w:r>
          </w:p>
          <w:p>
            <w:pPr>
              <w:pStyle w:val="TableParagraph"/>
              <w:spacing w:line="240" w:lineRule="auto" w:before="106"/>
              <w:ind w:left="331"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389,369.7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-28,985,0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73.78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6,933,464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39,984,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823.55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75,892,10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9.74</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69,334,</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646.96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69,334,64</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6.96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-400,62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389,369.7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-28,985,0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73.78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28,973,82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1.49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left"/>
              <w:rPr>
                <w:rFonts w:ascii="Times New Roman" w:hAnsi="Times New Roman" w:cs="Times New Roman" w:eastAsia="Times New Roman" w:hint="default"/>
                <w:sz w:val="18"/>
                <w:szCs w:val="18"/>
              </w:rPr>
            </w:pPr>
            <w:r>
              <w:rPr>
                <w:rFonts w:ascii="Times New Roman"/>
                <w:sz w:val="18"/>
              </w:rPr>
              <w:t>-28,985,0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73.78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2,346,400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2,346,400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-400,62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-1,957,03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-2,357,65</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2.29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6,933,464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-29,349,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823.41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-22,416,3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58.71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6,933,464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-6,933,4</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64.70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-22,416,</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358.71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-22,416,3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58.71</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447,930,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709.00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505,586,7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15.52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42,340,44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3.15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321,706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,513.73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1,317,564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,381.40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三、公司基本情况" w:id="161"/>
      <w:bookmarkEnd w:id="161"/>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spacing w:line="316" w:lineRule="auto" w:before="0"/>
        <w:ind w:left="634" w:right="0" w:firstLine="2"/>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z w:val="18"/>
          <w:szCs w:val="18"/>
        </w:rPr>
        <w:t>、公司的发行上市及股本等基本情况</w:t>
      </w:r>
      <w:r>
        <w:rPr>
          <w:rFonts w:ascii="宋体" w:hAnsi="宋体" w:cs="宋体" w:eastAsia="宋体" w:hint="default"/>
          <w:b/>
          <w:bCs/>
          <w:w w:val="99"/>
          <w:sz w:val="18"/>
          <w:szCs w:val="18"/>
        </w:rPr>
        <w:t> </w:t>
      </w:r>
      <w:r>
        <w:rPr>
          <w:rFonts w:ascii="宋体" w:hAnsi="宋体" w:cs="宋体" w:eastAsia="宋体" w:hint="default"/>
          <w:spacing w:val="-3"/>
          <w:sz w:val="18"/>
          <w:szCs w:val="18"/>
        </w:rPr>
        <w:t>本公司系由景晓军、深圳市华信远景投资咨询有限公司、景晓东、吴宁莉、沈智杰、唐海林、古元、师召辉共同发起，</w:t>
      </w:r>
    </w:p>
    <w:p>
      <w:pPr>
        <w:pStyle w:val="BodyText"/>
        <w:spacing w:line="316" w:lineRule="auto" w:before="19"/>
        <w:ind w:right="1133"/>
        <w:jc w:val="both"/>
      </w:pPr>
      <w:r>
        <w:rPr/>
        <w:t>于</w:t>
      </w:r>
      <w:r>
        <w:rPr>
          <w:rFonts w:ascii="宋体" w:hAnsi="宋体" w:cs="宋体" w:eastAsia="宋体" w:hint="default"/>
        </w:rPr>
        <w:t>2010</w:t>
      </w:r>
      <w:r>
        <w:rPr/>
        <w:t>年</w:t>
      </w:r>
      <w:r>
        <w:rPr>
          <w:rFonts w:ascii="宋体" w:hAnsi="宋体" w:cs="宋体" w:eastAsia="宋体" w:hint="default"/>
        </w:rPr>
        <w:t>3</w:t>
      </w:r>
      <w:r>
        <w:rPr/>
        <w:t>月</w:t>
      </w:r>
      <w:r>
        <w:rPr>
          <w:rFonts w:ascii="宋体" w:hAnsi="宋体" w:cs="宋体" w:eastAsia="宋体" w:hint="default"/>
        </w:rPr>
        <w:t>8</w:t>
      </w:r>
      <w:r>
        <w:rPr/>
        <w:t>日在原深圳市任子行网络技术有限公司基础上整体变更设立的股份有限公司。公司股票于</w:t>
      </w:r>
      <w:r>
        <w:rPr>
          <w:rFonts w:ascii="宋体" w:hAnsi="宋体" w:cs="宋体" w:eastAsia="宋体" w:hint="default"/>
        </w:rPr>
        <w:t>2012</w:t>
      </w:r>
      <w:r>
        <w:rPr/>
        <w:t>年</w:t>
      </w:r>
      <w:r>
        <w:rPr>
          <w:rFonts w:ascii="宋体" w:hAnsi="宋体" w:cs="宋体" w:eastAsia="宋体" w:hint="default"/>
        </w:rPr>
        <w:t>4</w:t>
      </w:r>
      <w:r>
        <w:rPr/>
        <w:t>月</w:t>
      </w:r>
      <w:r>
        <w:rPr>
          <w:rFonts w:ascii="宋体" w:hAnsi="宋体" w:cs="宋体" w:eastAsia="宋体" w:hint="default"/>
        </w:rPr>
        <w:t>25</w:t>
      </w:r>
      <w:r>
        <w:rPr/>
        <w:t>日在深 圳交易所上市交易，股票代码为</w:t>
      </w:r>
      <w:r>
        <w:rPr>
          <w:rFonts w:ascii="宋体" w:hAnsi="宋体" w:cs="宋体" w:eastAsia="宋体" w:hint="default"/>
        </w:rPr>
        <w:t>300311</w:t>
      </w:r>
      <w:r>
        <w:rPr/>
        <w:t>。公司现持有统一社会信用代码 </w:t>
      </w:r>
      <w:r>
        <w:rPr>
          <w:rFonts w:ascii="宋体" w:hAnsi="宋体" w:cs="宋体" w:eastAsia="宋体" w:hint="default"/>
        </w:rPr>
        <w:t>91440300723005104T</w:t>
      </w:r>
      <w:r>
        <w:rPr>
          <w:rFonts w:ascii="宋体" w:hAnsi="宋体" w:cs="宋体" w:eastAsia="宋体" w:hint="default"/>
          <w:spacing w:val="-32"/>
        </w:rPr>
        <w:t> </w:t>
      </w:r>
      <w:r>
        <w:rPr>
          <w:spacing w:val="-4"/>
        </w:rPr>
        <w:t>的《企业法人营业执照》，注</w:t>
      </w:r>
      <w:r>
        <w:rPr/>
        <w:t> 册资本</w:t>
      </w:r>
      <w:r>
        <w:rPr>
          <w:rFonts w:ascii="宋体" w:hAnsi="宋体" w:cs="宋体" w:eastAsia="宋体" w:hint="default"/>
        </w:rPr>
        <w:t>680,036,042.00</w:t>
      </w:r>
      <w:r>
        <w:rPr/>
        <w:t>元，股份总数</w:t>
      </w:r>
      <w:r>
        <w:rPr>
          <w:rFonts w:ascii="宋体" w:hAnsi="宋体" w:cs="宋体" w:eastAsia="宋体" w:hint="default"/>
        </w:rPr>
        <w:t>680,036,042</w:t>
      </w:r>
      <w:r>
        <w:rPr/>
        <w:t>股（每股面值</w:t>
      </w:r>
      <w:r>
        <w:rPr>
          <w:rFonts w:ascii="宋体" w:hAnsi="宋体" w:cs="宋体" w:eastAsia="宋体" w:hint="default"/>
        </w:rPr>
        <w:t>1</w:t>
      </w:r>
      <w:r>
        <w:rPr/>
        <w:t>元），其中，有限售条件的流通股</w:t>
      </w:r>
      <w:r>
        <w:rPr>
          <w:rFonts w:ascii="宋体" w:hAnsi="宋体" w:cs="宋体" w:eastAsia="宋体" w:hint="default"/>
        </w:rPr>
        <w:t>237,229,225</w:t>
      </w:r>
      <w:r>
        <w:rPr/>
        <w:t>股，无限售 条件的流通股</w:t>
      </w:r>
      <w:r>
        <w:rPr>
          <w:rFonts w:ascii="宋体" w:hAnsi="宋体" w:cs="宋体" w:eastAsia="宋体" w:hint="default"/>
        </w:rPr>
        <w:t>442,806,817</w:t>
      </w:r>
      <w:r>
        <w:rPr/>
        <w:t>股。</w:t>
      </w:r>
    </w:p>
    <w:p>
      <w:pPr>
        <w:spacing w:line="316" w:lineRule="auto" w:before="19"/>
        <w:ind w:left="634" w:right="4602" w:firstLine="2"/>
        <w:jc w:val="left"/>
        <w:rPr>
          <w:rFonts w:ascii="宋体" w:hAnsi="宋体" w:cs="宋体" w:eastAsia="宋体" w:hint="default"/>
          <w:sz w:val="18"/>
          <w:szCs w:val="18"/>
        </w:rPr>
      </w:pPr>
      <w:r>
        <w:rPr>
          <w:rFonts w:ascii="宋体" w:hAnsi="宋体" w:cs="宋体" w:eastAsia="宋体" w:hint="default"/>
          <w:b/>
          <w:bCs/>
          <w:sz w:val="18"/>
          <w:szCs w:val="18"/>
        </w:rPr>
        <w:t>2</w:t>
      </w:r>
      <w:r>
        <w:rPr>
          <w:rFonts w:ascii="宋体" w:hAnsi="宋体" w:cs="宋体" w:eastAsia="宋体" w:hint="default"/>
          <w:b/>
          <w:bCs/>
          <w:sz w:val="18"/>
          <w:szCs w:val="18"/>
        </w:rPr>
        <w:t>、公司注册地、总部地址</w:t>
      </w:r>
      <w:r>
        <w:rPr>
          <w:rFonts w:ascii="宋体" w:hAnsi="宋体" w:cs="宋体" w:eastAsia="宋体" w:hint="default"/>
          <w:b/>
          <w:bCs/>
          <w:w w:val="99"/>
          <w:sz w:val="18"/>
          <w:szCs w:val="18"/>
        </w:rPr>
        <w:t> </w:t>
      </w:r>
      <w:r>
        <w:rPr>
          <w:rFonts w:ascii="宋体" w:hAnsi="宋体" w:cs="宋体" w:eastAsia="宋体" w:hint="default"/>
          <w:sz w:val="18"/>
          <w:szCs w:val="18"/>
        </w:rPr>
        <w:t>公司注册地、总部地址：深圳市南山区高新区科技中</w:t>
      </w:r>
      <w:r>
        <w:rPr>
          <w:rFonts w:ascii="宋体" w:hAnsi="宋体" w:cs="宋体" w:eastAsia="宋体" w:hint="default"/>
          <w:sz w:val="18"/>
          <w:szCs w:val="18"/>
        </w:rPr>
        <w:t>2</w:t>
      </w:r>
      <w:r>
        <w:rPr>
          <w:rFonts w:ascii="宋体" w:hAnsi="宋体" w:cs="宋体" w:eastAsia="宋体" w:hint="default"/>
          <w:sz w:val="18"/>
          <w:szCs w:val="18"/>
        </w:rPr>
        <w:t>路软件园</w:t>
      </w:r>
      <w:r>
        <w:rPr>
          <w:rFonts w:ascii="宋体" w:hAnsi="宋体" w:cs="宋体" w:eastAsia="宋体" w:hint="default"/>
          <w:sz w:val="18"/>
          <w:szCs w:val="18"/>
        </w:rPr>
        <w:t>2</w:t>
      </w:r>
      <w:r>
        <w:rPr>
          <w:rFonts w:ascii="宋体" w:hAnsi="宋体" w:cs="宋体" w:eastAsia="宋体" w:hint="default"/>
          <w:sz w:val="18"/>
          <w:szCs w:val="18"/>
        </w:rPr>
        <w:t>栋</w:t>
      </w:r>
      <w:r>
        <w:rPr>
          <w:rFonts w:ascii="宋体" w:hAnsi="宋体" w:cs="宋体" w:eastAsia="宋体" w:hint="default"/>
          <w:sz w:val="18"/>
          <w:szCs w:val="18"/>
        </w:rPr>
        <w:t>6</w:t>
      </w:r>
      <w:r>
        <w:rPr>
          <w:rFonts w:ascii="宋体" w:hAnsi="宋体" w:cs="宋体" w:eastAsia="宋体" w:hint="default"/>
          <w:sz w:val="18"/>
          <w:szCs w:val="18"/>
        </w:rPr>
        <w:t>楼。 </w:t>
      </w:r>
      <w:r>
        <w:rPr>
          <w:rFonts w:ascii="宋体" w:hAnsi="宋体" w:cs="宋体" w:eastAsia="宋体" w:hint="default"/>
          <w:b/>
          <w:bCs/>
          <w:sz w:val="18"/>
          <w:szCs w:val="18"/>
        </w:rPr>
        <w:t>3</w:t>
      </w:r>
      <w:r>
        <w:rPr>
          <w:rFonts w:ascii="宋体" w:hAnsi="宋体" w:cs="宋体" w:eastAsia="宋体" w:hint="default"/>
          <w:b/>
          <w:bCs/>
          <w:sz w:val="18"/>
          <w:szCs w:val="18"/>
        </w:rPr>
        <w:t>、业务性质及主要经营活动</w:t>
      </w:r>
      <w:r>
        <w:rPr>
          <w:rFonts w:ascii="宋体" w:hAnsi="宋体" w:cs="宋体" w:eastAsia="宋体" w:hint="default"/>
          <w:sz w:val="18"/>
          <w:szCs w:val="18"/>
        </w:rPr>
      </w:r>
    </w:p>
    <w:p>
      <w:pPr>
        <w:pStyle w:val="BodyText"/>
        <w:spacing w:line="316" w:lineRule="auto" w:before="19"/>
        <w:ind w:right="1133" w:firstLine="480"/>
        <w:jc w:val="both"/>
      </w:pPr>
      <w:r>
        <w:rPr>
          <w:spacing w:val="-1"/>
        </w:rPr>
        <w:t>公司所属行业和主要产品：本公司所属行业为软件和信息技术服务业。主要产品为网络内容与行为审计系列产品、网</w:t>
      </w:r>
      <w:r>
        <w:rPr/>
        <w:t> 络内容与行为监管系列产品，其中网络内容与行为审计产品包括专用安全审计产品和通用安全审计产品；网络游戏软件。</w:t>
      </w:r>
    </w:p>
    <w:p>
      <w:pPr>
        <w:pStyle w:val="BodyText"/>
        <w:spacing w:line="316" w:lineRule="auto" w:before="19"/>
        <w:ind w:right="1130" w:firstLine="480"/>
        <w:jc w:val="both"/>
      </w:pPr>
      <w:r>
        <w:rPr>
          <w:spacing w:val="-1"/>
        </w:rPr>
        <w:t>许可经营项目：第二类增值电信业务中的信息服务业务（不含固定网电话信息服务和互联网信息服务）；第二类增值</w:t>
      </w:r>
      <w:r>
        <w:rPr/>
        <w:t> </w:t>
      </w:r>
      <w:r>
        <w:rPr>
          <w:spacing w:val="-2"/>
        </w:rPr>
        <w:t>电信业务中的因特网信息服务业务（因特网信息服务不含新闻、出版、教育、医疗保健、药品和医疗器械、电子公告服务等</w:t>
      </w:r>
      <w:r>
        <w:rPr>
          <w:spacing w:val="-68"/>
        </w:rPr>
        <w:t> </w:t>
      </w:r>
      <w:r>
        <w:rPr>
          <w:spacing w:val="-68"/>
        </w:rPr>
      </w:r>
      <w:r>
        <w:rPr/>
        <w:t>内容）（按《增值电信业务经营许可证》经营）；信息服务业务（仅限互联网信息服务业务）。</w:t>
      </w:r>
    </w:p>
    <w:p>
      <w:pPr>
        <w:pStyle w:val="BodyText"/>
        <w:spacing w:line="316" w:lineRule="auto" w:before="19"/>
        <w:ind w:right="1032" w:firstLine="480"/>
        <w:jc w:val="left"/>
      </w:pPr>
      <w:r>
        <w:rPr/>
        <w:t>一般经营项目：计算机软硬件技术开发、销售及相关技术服务；计算机信息系统集成；电子商务</w:t>
      </w:r>
      <w:r>
        <w:rPr>
          <w:rFonts w:ascii="宋体" w:hAnsi="宋体" w:cs="宋体" w:eastAsia="宋体" w:hint="default"/>
        </w:rPr>
        <w:t>(</w:t>
      </w:r>
      <w:r>
        <w:rPr/>
        <w:t>以上各项不含国家 法律、行政法规、国务院决定规定需报经审批的项目），经营进出口业务（法律、行政法规、国务院决定禁止的项目除外， 限制的项目须取得许可后方可经营）。网络技术开发，计算机软硬件的技术开发，动漫设计（以上不含限制项目）。</w:t>
      </w:r>
    </w:p>
    <w:p>
      <w:pPr>
        <w:pStyle w:val="BodyText"/>
        <w:spacing w:line="316" w:lineRule="auto" w:before="19"/>
        <w:ind w:right="1131" w:firstLine="480"/>
        <w:jc w:val="both"/>
      </w:pPr>
      <w:r>
        <w:rPr>
          <w:spacing w:val="-1"/>
        </w:rPr>
        <w:t>公司主要经营活动为：公司系网络内容与行为审计和监管整体解决方案提供商，主要从事网络内容与行为审计和监管</w:t>
      </w:r>
      <w:r>
        <w:rPr/>
        <w:t> </w:t>
      </w:r>
      <w:r>
        <w:rPr>
          <w:spacing w:val="-2"/>
        </w:rPr>
        <w:t>产品的研发、生产和销售，并提供安全集成、安全审计相关服务，形成从计算机终端到网络在线分析等全面的网络内容与行</w:t>
      </w:r>
      <w:r>
        <w:rPr>
          <w:spacing w:val="-66"/>
        </w:rPr>
        <w:t> </w:t>
      </w:r>
      <w:r>
        <w:rPr>
          <w:spacing w:val="-66"/>
        </w:rPr>
      </w:r>
      <w:r>
        <w:rPr/>
        <w:t>为审计产品线。以及网络游戏软件的开发、销售、维护、运营。</w:t>
      </w:r>
    </w:p>
    <w:p>
      <w:pPr>
        <w:spacing w:line="316" w:lineRule="auto" w:before="19"/>
        <w:ind w:left="154" w:right="4722" w:firstLine="482"/>
        <w:jc w:val="left"/>
        <w:rPr>
          <w:rFonts w:ascii="宋体" w:hAnsi="宋体" w:cs="宋体" w:eastAsia="宋体" w:hint="default"/>
          <w:sz w:val="18"/>
          <w:szCs w:val="18"/>
        </w:rPr>
      </w:pPr>
      <w:r>
        <w:rPr>
          <w:rFonts w:ascii="宋体" w:hAnsi="宋体" w:cs="宋体" w:eastAsia="宋体" w:hint="default"/>
          <w:b/>
          <w:bCs/>
          <w:sz w:val="18"/>
          <w:szCs w:val="18"/>
        </w:rPr>
        <w:t>4</w:t>
      </w:r>
      <w:r>
        <w:rPr>
          <w:rFonts w:ascii="宋体" w:hAnsi="宋体" w:cs="宋体" w:eastAsia="宋体" w:hint="default"/>
          <w:b/>
          <w:bCs/>
          <w:sz w:val="18"/>
          <w:szCs w:val="18"/>
        </w:rPr>
        <w:t>、财务报告批准报出日</w:t>
      </w:r>
      <w:r>
        <w:rPr>
          <w:rFonts w:ascii="宋体" w:hAnsi="宋体" w:cs="宋体" w:eastAsia="宋体" w:hint="default"/>
          <w:b/>
          <w:bCs/>
          <w:w w:val="99"/>
          <w:sz w:val="18"/>
          <w:szCs w:val="18"/>
        </w:rPr>
        <w:t> </w:t>
      </w:r>
      <w:r>
        <w:rPr>
          <w:rFonts w:ascii="宋体" w:hAnsi="宋体" w:cs="宋体" w:eastAsia="宋体" w:hint="default"/>
          <w:sz w:val="18"/>
          <w:szCs w:val="18"/>
        </w:rPr>
        <w:t>本财务报表于</w:t>
      </w:r>
      <w:r>
        <w:rPr>
          <w:rFonts w:ascii="宋体" w:hAnsi="宋体" w:cs="宋体" w:eastAsia="宋体" w:hint="default"/>
          <w:sz w:val="18"/>
          <w:szCs w:val="18"/>
        </w:rPr>
        <w:t>2019</w:t>
      </w:r>
      <w:r>
        <w:rPr>
          <w:rFonts w:ascii="宋体" w:hAnsi="宋体" w:cs="宋体" w:eastAsia="宋体" w:hint="default"/>
          <w:sz w:val="18"/>
          <w:szCs w:val="18"/>
        </w:rPr>
        <w:t>年</w:t>
      </w:r>
      <w:r>
        <w:rPr>
          <w:rFonts w:ascii="宋体" w:hAnsi="宋体" w:cs="宋体" w:eastAsia="宋体" w:hint="default"/>
          <w:sz w:val="18"/>
          <w:szCs w:val="18"/>
        </w:rPr>
        <w:t>4</w:t>
      </w:r>
      <w:r>
        <w:rPr>
          <w:rFonts w:ascii="宋体" w:hAnsi="宋体" w:cs="宋体" w:eastAsia="宋体" w:hint="default"/>
          <w:sz w:val="18"/>
          <w:szCs w:val="18"/>
        </w:rPr>
        <w:t>月</w:t>
      </w:r>
      <w:r>
        <w:rPr>
          <w:rFonts w:ascii="宋体" w:hAnsi="宋体" w:cs="宋体" w:eastAsia="宋体" w:hint="default"/>
          <w:sz w:val="18"/>
          <w:szCs w:val="18"/>
        </w:rPr>
        <w:t>26</w:t>
      </w:r>
      <w:r>
        <w:rPr>
          <w:rFonts w:ascii="宋体" w:hAnsi="宋体" w:cs="宋体" w:eastAsia="宋体" w:hint="default"/>
          <w:sz w:val="18"/>
          <w:szCs w:val="18"/>
        </w:rPr>
        <w:t>日经公司第三届董事会第三十一次会议批准报出。</w:t>
      </w:r>
    </w:p>
    <w:p>
      <w:pPr>
        <w:spacing w:line="240" w:lineRule="auto" w:before="4"/>
        <w:rPr>
          <w:rFonts w:ascii="宋体" w:hAnsi="宋体" w:cs="宋体" w:eastAsia="宋体" w:hint="default"/>
          <w:sz w:val="25"/>
          <w:szCs w:val="25"/>
        </w:rPr>
      </w:pPr>
    </w:p>
    <w:p>
      <w:pPr>
        <w:pStyle w:val="Heading6"/>
        <w:spacing w:line="240" w:lineRule="auto"/>
        <w:ind w:left="636" w:right="0"/>
        <w:jc w:val="left"/>
        <w:rPr>
          <w:b w:val="0"/>
          <w:bCs w:val="0"/>
        </w:rPr>
      </w:pPr>
      <w:r>
        <w:rPr>
          <w:rFonts w:ascii="宋体" w:hAnsi="宋体" w:cs="宋体" w:eastAsia="宋体" w:hint="default"/>
        </w:rPr>
        <w:t>5</w:t>
      </w:r>
      <w:r>
        <w:rPr/>
        <w:t>、本期合并财务报表范围及其变化情况</w:t>
      </w:r>
      <w:r>
        <w:rPr>
          <w:b w:val="0"/>
          <w:bCs w:val="0"/>
        </w:rPr>
      </w:r>
    </w:p>
    <w:p>
      <w:pPr>
        <w:pStyle w:val="BodyText"/>
        <w:spacing w:line="316" w:lineRule="auto" w:before="76"/>
        <w:ind w:left="634" w:right="0"/>
        <w:jc w:val="left"/>
      </w:pPr>
      <w:r>
        <w:rPr/>
        <w:t>（</w:t>
      </w:r>
      <w:r>
        <w:rPr>
          <w:rFonts w:ascii="宋体" w:hAnsi="宋体" w:cs="宋体" w:eastAsia="宋体" w:hint="default"/>
        </w:rPr>
        <w:t>1</w:t>
      </w:r>
      <w:r>
        <w:rPr/>
        <w:t>）本期合并财务报表范围 </w:t>
      </w:r>
      <w:r>
        <w:rPr>
          <w:spacing w:val="-1"/>
        </w:rPr>
        <w:t>本期财务报表合并范围包括公司及公司的全资子公司深圳市任子行科技开发有限公司、深圳市任网游科技发展有限公</w:t>
      </w:r>
    </w:p>
    <w:p>
      <w:pPr>
        <w:pStyle w:val="BodyText"/>
        <w:spacing w:line="316" w:lineRule="auto" w:before="19"/>
        <w:ind w:right="0"/>
        <w:jc w:val="left"/>
      </w:pPr>
      <w:r>
        <w:rPr>
          <w:spacing w:val="-2"/>
        </w:rPr>
        <w:t>司、武汉任子行软件技术有限公司、成都网娱互动网络科技有限公司、苏州唐人数码科技有限公司及其子公司苏州争渡科技</w:t>
      </w:r>
      <w:r>
        <w:rPr>
          <w:spacing w:val="-66"/>
        </w:rPr>
        <w:t> </w:t>
      </w:r>
      <w:r>
        <w:rPr>
          <w:spacing w:val="-66"/>
        </w:rPr>
      </w:r>
      <w:r>
        <w:rPr>
          <w:spacing w:val="-2"/>
        </w:rPr>
        <w:t>有限公司、北京亚鸿世纪科技发展有限公司、深圳九合信息安全产业投资一期合伙企业（有限合伙）、深圳九合文化创意产</w:t>
      </w:r>
      <w:r>
        <w:rPr>
          <w:spacing w:val="-66"/>
        </w:rPr>
        <w:t> </w:t>
      </w:r>
      <w:r>
        <w:rPr>
          <w:spacing w:val="-66"/>
        </w:rPr>
      </w:r>
      <w:r>
        <w:rPr>
          <w:spacing w:val="-4"/>
        </w:rPr>
        <w:t>业投资合伙企业（有限合伙）、惠州市任网安科技发展有限公司、广州数沃信息科技有限公司、深圳市任知聚科技有限公司、</w:t>
      </w:r>
      <w:r>
        <w:rPr>
          <w:spacing w:val="-44"/>
        </w:rPr>
        <w:t> </w:t>
      </w:r>
      <w:r>
        <w:rPr>
          <w:spacing w:val="-44"/>
        </w:rPr>
      </w:r>
      <w:r>
        <w:rPr>
          <w:spacing w:val="-2"/>
        </w:rPr>
        <w:t>北京任子行网络安全技术有限公司、深圳泡椒思志信息技术有限公司及其全资子公司深圳银狐游戏网络有限公司、上海穆冠</w:t>
      </w:r>
      <w:r>
        <w:rPr>
          <w:spacing w:val="-64"/>
        </w:rPr>
        <w:t> </w:t>
      </w:r>
      <w:r>
        <w:rPr>
          <w:spacing w:val="-64"/>
        </w:rPr>
      </w:r>
      <w:r>
        <w:rPr/>
        <w:t>信息技术有限公司，以及深圳银狐游戏网络有限公司的全资子公司海南银狐思志网络科技有限公司。</w:t>
      </w:r>
    </w:p>
    <w:p>
      <w:pPr>
        <w:pStyle w:val="BodyText"/>
        <w:spacing w:line="316" w:lineRule="auto" w:before="19"/>
        <w:ind w:left="634" w:right="7302"/>
        <w:jc w:val="left"/>
      </w:pPr>
      <w:r>
        <w:rPr/>
        <w:t>（</w:t>
      </w:r>
      <w:r>
        <w:rPr>
          <w:rFonts w:ascii="宋体" w:hAnsi="宋体" w:cs="宋体" w:eastAsia="宋体" w:hint="default"/>
        </w:rPr>
        <w:t>2</w:t>
      </w:r>
      <w:r>
        <w:rPr/>
        <w:t>）本期合并财务报表范围变化情况 本期新纳入合并范围的子公司包括：</w:t>
      </w:r>
    </w:p>
    <w:p>
      <w:pPr>
        <w:pStyle w:val="BodyText"/>
        <w:spacing w:line="316" w:lineRule="auto" w:before="19"/>
        <w:ind w:left="634" w:right="1452"/>
        <w:jc w:val="left"/>
      </w:pPr>
      <w:r>
        <w:rPr/>
        <w:t>出资设立子公司：深圳市任知聚科技有限公司、北京任子行网络安全技术有限公司。 本期因失去控制权，不再合并的子公司包括：惠州市任网安科技发展有限公司、武汉任子行软件技术有限公司。</w:t>
      </w:r>
    </w:p>
    <w:p>
      <w:pPr>
        <w:spacing w:line="240" w:lineRule="auto" w:before="6"/>
        <w:rPr>
          <w:rFonts w:ascii="宋体" w:hAnsi="宋体" w:cs="宋体" w:eastAsia="宋体" w:hint="default"/>
          <w:sz w:val="24"/>
          <w:szCs w:val="24"/>
        </w:rPr>
      </w:pPr>
    </w:p>
    <w:p>
      <w:pPr>
        <w:pStyle w:val="Heading6"/>
        <w:spacing w:line="626" w:lineRule="auto"/>
        <w:ind w:right="8764"/>
        <w:jc w:val="left"/>
        <w:rPr>
          <w:b w:val="0"/>
          <w:bCs w:val="0"/>
        </w:rPr>
      </w:pPr>
      <w:bookmarkStart w:name="四、财务报表的编制基础" w:id="162"/>
      <w:bookmarkEnd w:id="162"/>
      <w:r>
        <w:rPr>
          <w:b w:val="0"/>
          <w:bCs w:val="0"/>
        </w:rPr>
      </w:r>
      <w:r>
        <w:rPr/>
        <w:t>四、财务报表的编制基础</w:t>
      </w:r>
      <w:r>
        <w:rPr>
          <w:w w:val="99"/>
        </w:rPr>
        <w:t> </w:t>
      </w:r>
      <w:bookmarkStart w:name="1、编制基础" w:id="163"/>
      <w:bookmarkEnd w:id="163"/>
      <w:r>
        <w:rPr>
          <w:w w:val="99"/>
        </w:rPr>
      </w:r>
      <w:r>
        <w:rPr>
          <w:rFonts w:ascii="宋体" w:hAnsi="宋体" w:cs="宋体" w:eastAsia="宋体" w:hint="default"/>
        </w:rPr>
        <w:t>1</w:t>
      </w:r>
      <w:r>
        <w:rPr/>
        <w:t>、编制基础</w:t>
      </w:r>
      <w:r>
        <w:rPr>
          <w:b w:val="0"/>
          <w:bCs w:val="0"/>
        </w:rPr>
      </w:r>
    </w:p>
    <w:p>
      <w:pPr>
        <w:pStyle w:val="BodyText"/>
        <w:spacing w:line="240" w:lineRule="auto" w:before="86"/>
        <w:ind w:left="514" w:right="0"/>
        <w:jc w:val="left"/>
      </w:pPr>
      <w:r>
        <w:rPr>
          <w:spacing w:val="-4"/>
        </w:rPr>
        <w:t>本公司财务报表以持续经营假设为基础，根据实际发生的交易和事项，按照财政部发布的《企业会计准则——基本准则》</w:t>
      </w:r>
    </w:p>
    <w:p>
      <w:pPr>
        <w:pStyle w:val="BodyText"/>
        <w:spacing w:line="316" w:lineRule="auto" w:before="76"/>
        <w:ind w:right="1122"/>
        <w:jc w:val="left"/>
      </w:pPr>
      <w:r>
        <w:rPr/>
        <w:t>（财政部令第</w:t>
      </w:r>
      <w:r>
        <w:rPr>
          <w:rFonts w:ascii="宋体" w:hAnsi="宋体" w:cs="宋体" w:eastAsia="宋体" w:hint="default"/>
        </w:rPr>
        <w:t>33</w:t>
      </w:r>
      <w:r>
        <w:rPr/>
        <w:t>号发布、财政部令第</w:t>
      </w:r>
      <w:r>
        <w:rPr>
          <w:rFonts w:ascii="宋体" w:hAnsi="宋体" w:cs="宋体" w:eastAsia="宋体" w:hint="default"/>
        </w:rPr>
        <w:t>76</w:t>
      </w:r>
      <w:r>
        <w:rPr/>
        <w:t>号修订）、于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日及其后颁布和修订的具体会计准则、企业会计准则应用 </w:t>
      </w:r>
      <w:r>
        <w:rPr>
          <w:spacing w:val="-2"/>
        </w:rPr>
        <w:t>指南、企业会计准则解释及其他相关规定（以下合称“企业会计准则”），以及中国证券监督管理委员会《公开发行证券的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634" w:right="0" w:hanging="480"/>
        <w:jc w:val="left"/>
      </w:pPr>
      <w:r>
        <w:rPr/>
        <w:t>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年修订）的披露规定编制。 </w:t>
      </w:r>
      <w:r>
        <w:rPr>
          <w:spacing w:val="-1"/>
        </w:rPr>
        <w:t>根据企业会计准则的相关规定，本公司会计核算以权责发生制为基础。除某些金融工具外，本财务报表均以历史成本</w:t>
      </w:r>
    </w:p>
    <w:p>
      <w:pPr>
        <w:pStyle w:val="BodyText"/>
        <w:spacing w:line="626" w:lineRule="auto" w:before="19"/>
        <w:ind w:right="4992"/>
        <w:jc w:val="left"/>
        <w:rPr>
          <w:rFonts w:ascii="宋体" w:hAnsi="宋体" w:cs="宋体" w:eastAsia="宋体" w:hint="default"/>
        </w:rPr>
      </w:pPr>
      <w:r>
        <w:rPr/>
        <w:t>为计量基础。资产如果发生减值，则按照相关规定计提相应的减值准备。 </w:t>
      </w:r>
      <w:bookmarkStart w:name="2、持续经营" w:id="164"/>
      <w:bookmarkEnd w:id="164"/>
      <w:r>
        <w:rPr/>
      </w:r>
      <w:r>
        <w:rPr>
          <w:rFonts w:ascii="宋体" w:hAnsi="宋体" w:cs="宋体" w:eastAsia="宋体" w:hint="default"/>
          <w:b/>
          <w:bCs/>
        </w:rPr>
        <w:t>2</w:t>
      </w:r>
      <w:r>
        <w:rPr>
          <w:rFonts w:ascii="宋体" w:hAnsi="宋体" w:cs="宋体" w:eastAsia="宋体" w:hint="default"/>
          <w:b/>
          <w:bCs/>
        </w:rPr>
        <w:t>、持续经营</w:t>
      </w:r>
      <w:r>
        <w:rPr>
          <w:rFonts w:ascii="宋体" w:hAnsi="宋体" w:cs="宋体" w:eastAsia="宋体" w:hint="default"/>
        </w:rPr>
      </w:r>
    </w:p>
    <w:p>
      <w:pPr>
        <w:spacing w:line="624" w:lineRule="auto" w:before="86"/>
        <w:ind w:left="154" w:right="3432" w:firstLine="480"/>
        <w:jc w:val="left"/>
        <w:rPr>
          <w:rFonts w:ascii="宋体" w:hAnsi="宋体" w:cs="宋体" w:eastAsia="宋体" w:hint="default"/>
          <w:sz w:val="18"/>
          <w:szCs w:val="18"/>
        </w:rPr>
      </w:pPr>
      <w:r>
        <w:rPr>
          <w:rFonts w:ascii="宋体" w:hAnsi="宋体" w:cs="宋体" w:eastAsia="宋体" w:hint="default"/>
          <w:sz w:val="18"/>
          <w:szCs w:val="18"/>
        </w:rPr>
        <w:t>公司自本报告期末至少</w:t>
      </w:r>
      <w:r>
        <w:rPr>
          <w:rFonts w:ascii="宋体" w:hAnsi="宋体" w:cs="宋体" w:eastAsia="宋体" w:hint="default"/>
          <w:sz w:val="18"/>
          <w:szCs w:val="18"/>
        </w:rPr>
        <w:t>12</w:t>
      </w:r>
      <w:r>
        <w:rPr>
          <w:rFonts w:ascii="宋体" w:hAnsi="宋体" w:cs="宋体" w:eastAsia="宋体" w:hint="default"/>
          <w:sz w:val="18"/>
          <w:szCs w:val="18"/>
        </w:rPr>
        <w:t>个月内具备持续经营能力，无影响持续经营能力的重大事项。 </w:t>
      </w:r>
      <w:bookmarkStart w:name="五、重要会计政策及会计估计" w:id="165"/>
      <w:bookmarkEnd w:id="165"/>
      <w:r>
        <w:rPr>
          <w:rFonts w:ascii="宋体" w:hAnsi="宋体" w:cs="宋体" w:eastAsia="宋体" w:hint="default"/>
          <w:sz w:val="18"/>
          <w:szCs w:val="18"/>
        </w:rPr>
      </w:r>
      <w:r>
        <w:rPr>
          <w:rFonts w:ascii="宋体" w:hAnsi="宋体" w:cs="宋体" w:eastAsia="宋体" w:hint="default"/>
          <w:b/>
          <w:bCs/>
          <w:sz w:val="18"/>
          <w:szCs w:val="18"/>
        </w:rPr>
        <w:t>五、重要会计政策及会计估计</w:t>
      </w:r>
      <w:r>
        <w:rPr>
          <w:rFonts w:ascii="宋体" w:hAnsi="宋体" w:cs="宋体" w:eastAsia="宋体" w:hint="default"/>
          <w:sz w:val="18"/>
          <w:szCs w:val="18"/>
        </w:rPr>
      </w:r>
    </w:p>
    <w:p>
      <w:pPr>
        <w:pStyle w:val="BodyText"/>
        <w:spacing w:line="357" w:lineRule="auto" w:before="89"/>
        <w:ind w:right="7692"/>
        <w:jc w:val="left"/>
      </w:pPr>
      <w:r>
        <w:rPr/>
        <w:t>公司是否需要遵守特殊行业的披露要求 是 软件与信息技术服务业</w:t>
      </w:r>
      <w:r>
        <w:rPr>
          <w:rFonts w:ascii="宋体" w:hAnsi="宋体" w:cs="宋体" w:eastAsia="宋体" w:hint="default"/>
        </w:rPr>
        <w:t>;</w:t>
      </w:r>
      <w:r>
        <w:rPr/>
        <w:t>互联网游戏业 具体会计政策和会计估计提示：</w:t>
      </w:r>
    </w:p>
    <w:p>
      <w:pPr>
        <w:spacing w:line="240" w:lineRule="auto" w:before="12"/>
        <w:rPr>
          <w:rFonts w:ascii="宋体" w:hAnsi="宋体" w:cs="宋体" w:eastAsia="宋体" w:hint="default"/>
          <w:sz w:val="21"/>
          <w:szCs w:val="21"/>
        </w:rPr>
      </w:pPr>
    </w:p>
    <w:p>
      <w:pPr>
        <w:spacing w:line="624" w:lineRule="auto" w:before="0"/>
        <w:ind w:left="634" w:right="1272" w:hanging="480"/>
        <w:jc w:val="left"/>
        <w:rPr>
          <w:rFonts w:ascii="宋体" w:hAnsi="宋体" w:cs="宋体" w:eastAsia="宋体" w:hint="default"/>
          <w:sz w:val="18"/>
          <w:szCs w:val="18"/>
        </w:rPr>
      </w:pPr>
      <w:bookmarkStart w:name="1、遵循企业会计准则的声明" w:id="166"/>
      <w:bookmarkEnd w:id="166"/>
      <w:r>
        <w:rPr/>
      </w:r>
      <w:r>
        <w:rPr>
          <w:rFonts w:ascii="宋体" w:hAnsi="宋体" w:cs="宋体" w:eastAsia="宋体" w:hint="default"/>
          <w:b/>
          <w:bCs/>
          <w:sz w:val="18"/>
          <w:szCs w:val="18"/>
        </w:rPr>
        <w:t>1</w:t>
      </w:r>
      <w:r>
        <w:rPr>
          <w:rFonts w:ascii="宋体" w:hAnsi="宋体" w:cs="宋体" w:eastAsia="宋体" w:hint="default"/>
          <w:b/>
          <w:bCs/>
          <w:sz w:val="18"/>
          <w:szCs w:val="18"/>
        </w:rPr>
        <w:t>、遵循企业会计准则的声明</w:t>
      </w:r>
      <w:r>
        <w:rPr>
          <w:rFonts w:ascii="宋体" w:hAnsi="宋体" w:cs="宋体" w:eastAsia="宋体" w:hint="default"/>
          <w:b/>
          <w:bCs/>
          <w:w w:val="99"/>
          <w:sz w:val="18"/>
          <w:szCs w:val="18"/>
        </w:rPr>
        <w:t> </w:t>
      </w:r>
      <w:r>
        <w:rPr>
          <w:rFonts w:ascii="宋体" w:hAnsi="宋体" w:cs="宋体" w:eastAsia="宋体" w:hint="default"/>
          <w:sz w:val="18"/>
          <w:szCs w:val="18"/>
        </w:rPr>
        <w:t>本财务报表符合企业会计准则的要求，真实、完整地反映了本公司的财务状况、经营成果和现金流量等有关信息。</w:t>
      </w:r>
    </w:p>
    <w:p>
      <w:pPr>
        <w:pStyle w:val="Heading6"/>
        <w:spacing w:line="240" w:lineRule="auto" w:before="89"/>
        <w:ind w:right="0"/>
        <w:jc w:val="left"/>
        <w:rPr>
          <w:b w:val="0"/>
          <w:bCs w:val="0"/>
        </w:rPr>
      </w:pPr>
      <w:bookmarkStart w:name="2、会计期间" w:id="167"/>
      <w:bookmarkEnd w:id="167"/>
      <w:r>
        <w:rPr>
          <w:b w:val="0"/>
          <w:bCs w:val="0"/>
        </w:rPr>
      </w:r>
      <w:r>
        <w:rPr>
          <w:rFonts w:ascii="宋体" w:hAnsi="宋体" w:cs="宋体" w:eastAsia="宋体" w:hint="default"/>
        </w:rPr>
        <w:t>2</w:t>
      </w:r>
      <w:r>
        <w:rPr/>
        <w:t>、会计期间</w:t>
      </w:r>
      <w:r>
        <w:rPr>
          <w:b w:val="0"/>
          <w:bCs w:val="0"/>
        </w:rPr>
      </w:r>
    </w:p>
    <w:p>
      <w:pPr>
        <w:spacing w:line="240" w:lineRule="auto" w:before="0"/>
        <w:rPr>
          <w:rFonts w:ascii="宋体" w:hAnsi="宋体" w:cs="宋体" w:eastAsia="宋体" w:hint="default"/>
          <w:b/>
          <w:bCs/>
          <w:sz w:val="18"/>
          <w:szCs w:val="18"/>
        </w:rPr>
      </w:pPr>
    </w:p>
    <w:p>
      <w:pPr>
        <w:pStyle w:val="BodyText"/>
        <w:spacing w:line="626" w:lineRule="auto" w:before="141"/>
        <w:ind w:right="5052" w:firstLine="480"/>
        <w:jc w:val="left"/>
        <w:rPr>
          <w:rFonts w:ascii="宋体" w:hAnsi="宋体" w:cs="宋体" w:eastAsia="宋体" w:hint="default"/>
        </w:rPr>
      </w:pPr>
      <w:r>
        <w:rPr/>
        <w:t>本公司会计年度采用公历年度，即每年自</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 </w:t>
      </w:r>
      <w:bookmarkStart w:name="3、营业周期" w:id="168"/>
      <w:bookmarkEnd w:id="168"/>
      <w:r>
        <w:rPr/>
      </w:r>
      <w:r>
        <w:rPr>
          <w:rFonts w:ascii="宋体" w:hAnsi="宋体" w:cs="宋体" w:eastAsia="宋体" w:hint="default"/>
          <w:b/>
          <w:bCs/>
        </w:rPr>
        <w:t>3</w:t>
      </w:r>
      <w:r>
        <w:rPr>
          <w:rFonts w:ascii="宋体" w:hAnsi="宋体" w:cs="宋体" w:eastAsia="宋体" w:hint="default"/>
          <w:b/>
          <w:bCs/>
        </w:rPr>
        <w:t>、营业周期</w:t>
      </w:r>
      <w:r>
        <w:rPr>
          <w:rFonts w:ascii="宋体" w:hAnsi="宋体" w:cs="宋体" w:eastAsia="宋体" w:hint="default"/>
        </w:rPr>
      </w:r>
    </w:p>
    <w:p>
      <w:pPr>
        <w:pStyle w:val="BodyText"/>
        <w:spacing w:line="316" w:lineRule="auto" w:before="86"/>
        <w:ind w:right="0" w:firstLine="480"/>
        <w:jc w:val="left"/>
      </w:pPr>
      <w:r>
        <w:rPr>
          <w:spacing w:val="-1"/>
        </w:rPr>
        <w:t>正常营业周期是指本公司从购买用于加工的资产起至实现现金或现金等价物的期间。本公司以</w:t>
      </w:r>
      <w:r>
        <w:rPr>
          <w:rFonts w:ascii="宋体" w:hAnsi="宋体" w:cs="宋体" w:eastAsia="宋体" w:hint="default"/>
          <w:spacing w:val="-1"/>
        </w:rPr>
        <w:t>12</w:t>
      </w:r>
      <w:r>
        <w:rPr>
          <w:spacing w:val="-1"/>
        </w:rPr>
        <w:t>个月作为一个营业周</w:t>
      </w:r>
      <w:r>
        <w:rPr/>
        <w:t> 期，并以其作为资产和负债的流动性划分标准。</w:t>
      </w:r>
    </w:p>
    <w:p>
      <w:pPr>
        <w:spacing w:line="240" w:lineRule="auto" w:before="6"/>
        <w:rPr>
          <w:rFonts w:ascii="宋体" w:hAnsi="宋体" w:cs="宋体" w:eastAsia="宋体" w:hint="default"/>
          <w:sz w:val="24"/>
          <w:szCs w:val="24"/>
        </w:rPr>
      </w:pPr>
    </w:p>
    <w:p>
      <w:pPr>
        <w:pStyle w:val="Heading6"/>
        <w:spacing w:line="240" w:lineRule="auto"/>
        <w:ind w:right="0"/>
        <w:jc w:val="left"/>
        <w:rPr>
          <w:b w:val="0"/>
          <w:bCs w:val="0"/>
        </w:rPr>
      </w:pPr>
      <w:bookmarkStart w:name="4、记账本位币" w:id="169"/>
      <w:bookmarkEnd w:id="169"/>
      <w:r>
        <w:rPr>
          <w:b w:val="0"/>
          <w:bCs w:val="0"/>
        </w:rPr>
      </w:r>
      <w:r>
        <w:rPr>
          <w:rFonts w:ascii="宋体" w:hAnsi="宋体" w:cs="宋体" w:eastAsia="宋体" w:hint="default"/>
        </w:rPr>
        <w:t>4</w:t>
      </w:r>
      <w:r>
        <w:rPr/>
        <w:t>、记账本位币</w:t>
      </w:r>
      <w:r>
        <w:rPr>
          <w:b w:val="0"/>
          <w:bCs w:val="0"/>
        </w:rPr>
      </w:r>
    </w:p>
    <w:p>
      <w:pPr>
        <w:spacing w:line="240" w:lineRule="auto" w:before="0"/>
        <w:rPr>
          <w:rFonts w:ascii="宋体" w:hAnsi="宋体" w:cs="宋体" w:eastAsia="宋体" w:hint="default"/>
          <w:b/>
          <w:bCs/>
          <w:sz w:val="18"/>
          <w:szCs w:val="18"/>
        </w:rPr>
      </w:pPr>
    </w:p>
    <w:p>
      <w:pPr>
        <w:spacing w:line="624" w:lineRule="auto" w:before="141"/>
        <w:ind w:left="154" w:right="6324" w:firstLine="480"/>
        <w:jc w:val="left"/>
        <w:rPr>
          <w:rFonts w:ascii="宋体" w:hAnsi="宋体" w:cs="宋体" w:eastAsia="宋体" w:hint="default"/>
          <w:sz w:val="18"/>
          <w:szCs w:val="18"/>
        </w:rPr>
      </w:pPr>
      <w:r>
        <w:rPr>
          <w:rFonts w:ascii="宋体" w:hAnsi="宋体" w:cs="宋体" w:eastAsia="宋体" w:hint="default"/>
          <w:sz w:val="18"/>
          <w:szCs w:val="18"/>
        </w:rPr>
        <w:t>本公司以人民币为记账本位币。 </w:t>
      </w:r>
      <w:bookmarkStart w:name="5、同一控制下和非同一控制下企业合并的会计处理方法" w:id="170"/>
      <w:bookmarkEnd w:id="170"/>
      <w:r>
        <w:rPr>
          <w:rFonts w:ascii="宋体" w:hAnsi="宋体" w:cs="宋体" w:eastAsia="宋体" w:hint="default"/>
          <w:sz w:val="18"/>
          <w:szCs w:val="18"/>
        </w:rPr>
      </w:r>
      <w:r>
        <w:rPr>
          <w:rFonts w:ascii="宋体" w:hAnsi="宋体" w:cs="宋体" w:eastAsia="宋体" w:hint="default"/>
          <w:b/>
          <w:bCs/>
          <w:sz w:val="18"/>
          <w:szCs w:val="18"/>
        </w:rPr>
        <w:t>5</w:t>
      </w:r>
      <w:r>
        <w:rPr>
          <w:rFonts w:ascii="宋体" w:hAnsi="宋体" w:cs="宋体" w:eastAsia="宋体" w:hint="default"/>
          <w:b/>
          <w:bCs/>
          <w:sz w:val="18"/>
          <w:szCs w:val="18"/>
        </w:rPr>
        <w:t>、同一控制下和非同一控制下企业合并的会计处理方法</w:t>
      </w:r>
      <w:r>
        <w:rPr>
          <w:rFonts w:ascii="宋体" w:hAnsi="宋体" w:cs="宋体" w:eastAsia="宋体" w:hint="default"/>
          <w:sz w:val="18"/>
          <w:szCs w:val="18"/>
        </w:rPr>
      </w:r>
    </w:p>
    <w:p>
      <w:pPr>
        <w:pStyle w:val="BodyText"/>
        <w:spacing w:line="316" w:lineRule="auto" w:before="89"/>
        <w:ind w:left="634" w:right="0"/>
        <w:jc w:val="left"/>
      </w:pPr>
      <w:r>
        <w:rPr/>
        <w:t>（</w:t>
      </w:r>
      <w:r>
        <w:rPr>
          <w:rFonts w:ascii="宋体" w:hAnsi="宋体" w:cs="宋体" w:eastAsia="宋体" w:hint="default"/>
        </w:rPr>
        <w:t>1</w:t>
      </w:r>
      <w:r>
        <w:rPr/>
        <w:t>）同一控制下的企业合并 </w:t>
      </w:r>
      <w:r>
        <w:rPr>
          <w:spacing w:val="-1"/>
        </w:rPr>
        <w:t>参与合并的企业在合并前后均受同一方或相同的多方最终控制且该控制并非暂时性的，为同一控制下的企业合并。通</w:t>
      </w:r>
    </w:p>
    <w:p>
      <w:pPr>
        <w:pStyle w:val="BodyText"/>
        <w:spacing w:line="316" w:lineRule="auto" w:before="19"/>
        <w:ind w:right="1118"/>
        <w:jc w:val="left"/>
      </w:pPr>
      <w:r>
        <w:rPr>
          <w:spacing w:val="-2"/>
        </w:rPr>
        <w:t>常情况下，同一控制下的企业合并是指发生在同一企业公司内部企业之间的合并，除此之外，一般不作为同一控制下的企业</w:t>
      </w:r>
      <w:r>
        <w:rPr>
          <w:spacing w:val="-66"/>
        </w:rPr>
        <w:t> </w:t>
      </w:r>
      <w:r>
        <w:rPr>
          <w:spacing w:val="-66"/>
        </w:rPr>
      </w:r>
      <w:r>
        <w:rPr/>
        <w:t>合并。</w:t>
      </w:r>
    </w:p>
    <w:p>
      <w:pPr>
        <w:pStyle w:val="BodyText"/>
        <w:spacing w:line="319" w:lineRule="auto" w:before="19"/>
        <w:ind w:right="0" w:firstLine="480"/>
        <w:jc w:val="left"/>
      </w:pPr>
      <w:r>
        <w:rPr/>
        <w:t>本公司作为合并方在企业合并中取得的资产、负债，按照合并日被合并方在最终控制方合并财务报表中的账面价值计 </w:t>
      </w:r>
      <w:r>
        <w:rPr>
          <w:spacing w:val="-2"/>
        </w:rPr>
        <w:t>量。同一控制下的控股合并形成的长期股权投资，本公司以合并日应享有被合并方账面所有者权益的份额作为形成长期股权</w:t>
      </w:r>
      <w:r>
        <w:rPr>
          <w:spacing w:val="-64"/>
        </w:rPr>
        <w:t> </w:t>
      </w:r>
      <w:r>
        <w:rPr>
          <w:spacing w:val="-64"/>
        </w:rPr>
      </w:r>
      <w:r>
        <w:rPr>
          <w:spacing w:val="-2"/>
        </w:rPr>
        <w:t>投资的初始投资成本，相关会计处理见长期股权投资；同一控制下的吸收合并取得的资产、负债，本公司按照相关资产、负</w:t>
      </w:r>
      <w:r>
        <w:rPr>
          <w:spacing w:val="-66"/>
        </w:rPr>
        <w:t> </w:t>
      </w:r>
      <w:r>
        <w:rPr>
          <w:spacing w:val="-66"/>
        </w:rPr>
      </w:r>
      <w:r>
        <w:rPr>
          <w:spacing w:val="-4"/>
        </w:rPr>
        <w:t>债在被合并方的原账面价值入账。本公司取得的净资产账面价值与支付的合并对价账面价值（或发行股份面值总额）的差额，</w:t>
      </w:r>
      <w:r>
        <w:rPr>
          <w:spacing w:val="-44"/>
        </w:rPr>
        <w:t> </w:t>
      </w:r>
      <w:r>
        <w:rPr>
          <w:spacing w:val="-44"/>
        </w:rPr>
      </w:r>
      <w:r>
        <w:rPr/>
        <w:t>调整资本公积；资本公积不足冲减的，调整留存收益。</w:t>
      </w:r>
    </w:p>
    <w:p>
      <w:pPr>
        <w:pStyle w:val="BodyText"/>
        <w:spacing w:line="240" w:lineRule="auto" w:before="17"/>
        <w:ind w:left="634" w:right="0"/>
        <w:jc w:val="left"/>
      </w:pPr>
      <w:r>
        <w:rPr/>
        <w:t>本公司作为合并方为进行企业合并发生的各项直接相关费用，包括支付的审计费用、评估费用、法律服务费等，于发</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634" w:right="1118" w:hanging="480"/>
        <w:jc w:val="left"/>
      </w:pPr>
      <w:r>
        <w:rPr/>
        <w:t>生时计入当期损益。 </w:t>
      </w:r>
      <w:r>
        <w:rPr>
          <w:spacing w:val="-1"/>
        </w:rPr>
        <w:t>为企业合并发行的债券或承担其他债务支付的手续费、佣金等，计入所发行债券及其他债务的初始计量金额。企业合</w:t>
      </w:r>
    </w:p>
    <w:p>
      <w:pPr>
        <w:pStyle w:val="BodyText"/>
        <w:spacing w:line="316" w:lineRule="auto" w:before="19"/>
        <w:ind w:left="634" w:right="0" w:hanging="480"/>
        <w:jc w:val="left"/>
      </w:pPr>
      <w:r>
        <w:rPr/>
        <w:t>并中发行权益性证券发生的手续费、佣金等费用，应当抵减权益性证券溢价收入，溢价收入不足冲减的，冲减留存收益。 </w:t>
      </w:r>
      <w:r>
        <w:rPr>
          <w:spacing w:val="-1"/>
        </w:rPr>
        <w:t>同一控制下的控股合并形成母子关系的，母公司在合并日编制合并财务报表，包括合并资产负债表、合并利润表和合</w:t>
      </w:r>
    </w:p>
    <w:p>
      <w:pPr>
        <w:pStyle w:val="BodyText"/>
        <w:spacing w:line="240" w:lineRule="auto" w:before="19"/>
        <w:ind w:right="0"/>
        <w:jc w:val="left"/>
      </w:pPr>
      <w:r>
        <w:rPr/>
        <w:t>并现金流量表。</w:t>
      </w:r>
    </w:p>
    <w:p>
      <w:pPr>
        <w:pStyle w:val="BodyText"/>
        <w:spacing w:line="316" w:lineRule="auto" w:before="76"/>
        <w:ind w:right="1131" w:firstLine="480"/>
        <w:jc w:val="both"/>
      </w:pPr>
      <w:r>
        <w:rPr>
          <w:spacing w:val="-1"/>
        </w:rPr>
        <w:t>合并资产负债表，以被合并方在最终控制方合并财务报表中的的账面价值并入合并财务报表，合并方与被合并方在合</w:t>
      </w:r>
      <w:r>
        <w:rPr/>
        <w:t> </w:t>
      </w:r>
      <w:r>
        <w:rPr>
          <w:spacing w:val="-2"/>
        </w:rPr>
        <w:t>并日及以前期间发生的交易，作为内部交易，按照“合并财务报表”有关原则进行抵消；合并利润表和现金流量表，包含合</w:t>
      </w:r>
      <w:r>
        <w:rPr>
          <w:spacing w:val="-66"/>
        </w:rPr>
        <w:t> </w:t>
      </w:r>
      <w:r>
        <w:rPr>
          <w:spacing w:val="-66"/>
        </w:rPr>
      </w:r>
      <w:r>
        <w:rPr>
          <w:spacing w:val="-2"/>
        </w:rPr>
        <w:t>并方及被合并方自合并当期期初至合并日实现的净利润和产生的现金流量，涉及双方在当期发生的交易及内部交易产生的现</w:t>
      </w:r>
      <w:r>
        <w:rPr>
          <w:spacing w:val="-64"/>
        </w:rPr>
        <w:t> </w:t>
      </w:r>
      <w:r>
        <w:rPr>
          <w:spacing w:val="-64"/>
        </w:rPr>
      </w:r>
      <w:r>
        <w:rPr/>
        <w:t>金流量，按照合并财务报表的有关原则进行抵消。</w:t>
      </w:r>
    </w:p>
    <w:p>
      <w:pPr>
        <w:pStyle w:val="BodyText"/>
        <w:spacing w:line="316" w:lineRule="auto" w:before="19"/>
        <w:ind w:left="634" w:right="1118"/>
        <w:jc w:val="left"/>
      </w:pPr>
      <w:r>
        <w:rPr/>
        <w:t>（</w:t>
      </w:r>
      <w:r>
        <w:rPr>
          <w:rFonts w:ascii="宋体" w:hAnsi="宋体" w:cs="宋体" w:eastAsia="宋体" w:hint="default"/>
        </w:rPr>
        <w:t>2</w:t>
      </w:r>
      <w:r>
        <w:rPr/>
        <w:t>）非同一控制下的企业合并 参与合并的各方在合并前后不受同一方或相同的多方最终控制的，为非同一控制下的企业合并。 </w:t>
      </w:r>
      <w:r>
        <w:rPr>
          <w:spacing w:val="-1"/>
        </w:rPr>
        <w:t>确定企业合并成本：企业合并成本包括购买方为进行企业合并支付的现金或非现金资产、发行或承担的债务、发行的</w:t>
      </w:r>
    </w:p>
    <w:p>
      <w:pPr>
        <w:pStyle w:val="BodyText"/>
        <w:spacing w:line="316" w:lineRule="auto" w:before="19"/>
        <w:ind w:left="634" w:right="0" w:hanging="480"/>
        <w:jc w:val="left"/>
      </w:pPr>
      <w:r>
        <w:rPr/>
        <w:t>权益性证券等在购买日的公允价值。 </w:t>
      </w:r>
      <w:r>
        <w:rPr>
          <w:spacing w:val="-3"/>
        </w:rPr>
        <w:t>非同一控制下的企业合并中，购买方为企业合并发生的审计、法律服务、评估咨询等中介费用以及其他相关管理费用，</w:t>
      </w:r>
    </w:p>
    <w:p>
      <w:pPr>
        <w:pStyle w:val="BodyText"/>
        <w:spacing w:line="316" w:lineRule="auto" w:before="19"/>
        <w:ind w:right="0"/>
        <w:jc w:val="left"/>
      </w:pPr>
      <w:r>
        <w:rPr>
          <w:spacing w:val="-2"/>
        </w:rPr>
        <w:t>于发生时计入当期损益；购买方作为合并对价发行的权益性证券或债务性证券的交易费用，计入权益性证券或债务性证券的</w:t>
      </w:r>
      <w:r>
        <w:rPr>
          <w:spacing w:val="-64"/>
        </w:rPr>
        <w:t> </w:t>
      </w:r>
      <w:r>
        <w:rPr>
          <w:spacing w:val="-64"/>
        </w:rPr>
      </w:r>
      <w:r>
        <w:rPr/>
        <w:t>初始确认金额。</w:t>
      </w:r>
    </w:p>
    <w:p>
      <w:pPr>
        <w:pStyle w:val="BodyText"/>
        <w:spacing w:line="316" w:lineRule="auto" w:before="19"/>
        <w:ind w:right="1131" w:firstLine="480"/>
        <w:jc w:val="both"/>
      </w:pPr>
      <w:r>
        <w:rPr>
          <w:spacing w:val="-1"/>
        </w:rPr>
        <w:t>非同一控制下的控股合并取得的长期股权投资，本公司以购买日确定的企业合并成本（不包括应自被投资单位收取的</w:t>
      </w:r>
      <w:r>
        <w:rPr/>
        <w:t> </w:t>
      </w:r>
      <w:r>
        <w:rPr>
          <w:spacing w:val="-2"/>
        </w:rPr>
        <w:t>现金股利和利润），作为对被购买方长期股权投资的初始投资成本；非同一控制下的吸收合并取得的符合确认条件的各项可</w:t>
      </w:r>
      <w:r>
        <w:rPr>
          <w:spacing w:val="-66"/>
        </w:rPr>
        <w:t> </w:t>
      </w:r>
      <w:r>
        <w:rPr>
          <w:spacing w:val="-66"/>
        </w:rPr>
      </w:r>
      <w:r>
        <w:rPr>
          <w:spacing w:val="-2"/>
        </w:rPr>
        <w:t>辨认资产、负债，本公司在购买日按照公允价值确认为本企业的资产和负债。本公司以非货币资产为对价取得被购买方的控</w:t>
      </w:r>
      <w:r>
        <w:rPr>
          <w:spacing w:val="-66"/>
        </w:rPr>
        <w:t> </w:t>
      </w:r>
      <w:r>
        <w:rPr>
          <w:spacing w:val="-66"/>
        </w:rPr>
      </w:r>
      <w:r>
        <w:rPr>
          <w:spacing w:val="-2"/>
        </w:rPr>
        <w:t>制权或各项可辨认资产、负债的，有关非货币资产在购买日的公允价值与其账面价值的差额，作为资产的处置损益，计入合</w:t>
      </w:r>
      <w:r>
        <w:rPr>
          <w:spacing w:val="-66"/>
        </w:rPr>
        <w:t> </w:t>
      </w:r>
      <w:r>
        <w:rPr>
          <w:spacing w:val="-66"/>
        </w:rPr>
      </w:r>
      <w:r>
        <w:rPr/>
        <w:t>并当期的利润表。</w:t>
      </w:r>
    </w:p>
    <w:p>
      <w:pPr>
        <w:pStyle w:val="BodyText"/>
        <w:spacing w:line="319" w:lineRule="auto" w:before="19"/>
        <w:ind w:right="1131" w:firstLine="480"/>
        <w:jc w:val="both"/>
      </w:pPr>
      <w:r>
        <w:rPr>
          <w:spacing w:val="-1"/>
        </w:rPr>
        <w:t>非同一控制下的企业合并中，企业合并成本大于合并中取得的被购买方可辨认净资产公允价值份额的差额，确认为商</w:t>
      </w:r>
      <w:r>
        <w:rPr/>
        <w:t> </w:t>
      </w:r>
      <w:r>
        <w:rPr>
          <w:spacing w:val="-2"/>
        </w:rPr>
        <w:t>誉；在吸收合并情况下，该差额在母公司个别财务报表中确认为商誉；在控股合并情况下，该差额在合并财务报表中列示为</w:t>
      </w:r>
      <w:r>
        <w:rPr>
          <w:spacing w:val="-66"/>
        </w:rPr>
        <w:t> </w:t>
      </w:r>
      <w:r>
        <w:rPr>
          <w:spacing w:val="-66"/>
        </w:rPr>
      </w:r>
      <w:r>
        <w:rPr/>
        <w:t>商誉。</w:t>
      </w:r>
    </w:p>
    <w:p>
      <w:pPr>
        <w:pStyle w:val="BodyText"/>
        <w:spacing w:line="316" w:lineRule="auto" w:before="17"/>
        <w:ind w:right="1133" w:firstLine="480"/>
        <w:jc w:val="both"/>
      </w:pPr>
      <w:r>
        <w:rPr>
          <w:spacing w:val="-1"/>
        </w:rPr>
        <w:t>企业合并成本小于合并中取得的被购买方可辨认净资产公允价值份额的差额，本公司经复核后计入合并当期损益（营</w:t>
      </w:r>
      <w:r>
        <w:rPr/>
        <w:t> </w:t>
      </w:r>
      <w:r>
        <w:rPr>
          <w:spacing w:val="-2"/>
        </w:rPr>
        <w:t>业外收入）。在吸收合并情况下，该差额计入合并当期母公司个别利润表；在控股合并情况下，该差额计入合并当期的合并</w:t>
      </w:r>
      <w:r>
        <w:rPr>
          <w:spacing w:val="-66"/>
        </w:rPr>
        <w:t> </w:t>
      </w:r>
      <w:r>
        <w:rPr>
          <w:spacing w:val="-66"/>
        </w:rPr>
      </w:r>
      <w:r>
        <w:rPr/>
        <w:t>利润表。</w:t>
      </w:r>
    </w:p>
    <w:p>
      <w:pPr>
        <w:pStyle w:val="BodyText"/>
        <w:spacing w:line="316" w:lineRule="auto" w:before="19"/>
        <w:ind w:right="1131" w:firstLine="480"/>
        <w:jc w:val="both"/>
      </w:pPr>
      <w:r>
        <w:rPr>
          <w:spacing w:val="-1"/>
        </w:rPr>
        <w:t>通过多次交换交易分步实现的非同一控制下企业合并，属于一揽子交易的，将各项交易作为一项取得控制权的交易进</w:t>
      </w:r>
      <w:r>
        <w:rPr/>
        <w:t> </w:t>
      </w:r>
      <w:r>
        <w:rPr>
          <w:spacing w:val="-2"/>
        </w:rPr>
        <w:t>行会计处理；不属于一揽子交易的，对于购买日之前持有的被购买方的股权，应当按照该股权在购买日的公允价值进行重新</w:t>
      </w:r>
      <w:r>
        <w:rPr>
          <w:spacing w:val="-66"/>
        </w:rPr>
        <w:t> </w:t>
      </w:r>
      <w:r>
        <w:rPr>
          <w:spacing w:val="-66"/>
        </w:rPr>
      </w:r>
      <w:r>
        <w:rPr>
          <w:spacing w:val="-2"/>
        </w:rPr>
        <w:t>计量，公允价值与其账面价值的差额计入当期投资收益；购买日之前持有的被购买方的股权涉及其他综合收益的，与其相关</w:t>
      </w:r>
      <w:r>
        <w:rPr>
          <w:spacing w:val="-66"/>
        </w:rPr>
        <w:t> </w:t>
      </w:r>
      <w:r>
        <w:rPr>
          <w:spacing w:val="-66"/>
        </w:rPr>
      </w:r>
      <w:r>
        <w:rPr>
          <w:spacing w:val="-2"/>
        </w:rPr>
        <w:t>的其他综合收益应当转为购买日所属当期投资收益，由于被投资方重新计量设定受益计划净负债或净资产变动而产生的其他</w:t>
      </w:r>
      <w:r>
        <w:rPr>
          <w:spacing w:val="-64"/>
        </w:rPr>
        <w:t> </w:t>
      </w:r>
      <w:r>
        <w:rPr>
          <w:spacing w:val="-64"/>
        </w:rPr>
      </w:r>
      <w:r>
        <w:rPr/>
        <w:t>综合收益除外。</w:t>
      </w:r>
    </w:p>
    <w:p>
      <w:pPr>
        <w:spacing w:line="240" w:lineRule="auto" w:before="6"/>
        <w:rPr>
          <w:rFonts w:ascii="宋体" w:hAnsi="宋体" w:cs="宋体" w:eastAsia="宋体" w:hint="default"/>
          <w:sz w:val="24"/>
          <w:szCs w:val="24"/>
        </w:rPr>
      </w:pPr>
    </w:p>
    <w:p>
      <w:pPr>
        <w:pStyle w:val="Heading6"/>
        <w:spacing w:line="240" w:lineRule="auto"/>
        <w:ind w:right="0"/>
        <w:jc w:val="left"/>
        <w:rPr>
          <w:b w:val="0"/>
          <w:bCs w:val="0"/>
        </w:rPr>
      </w:pPr>
      <w:bookmarkStart w:name="6、合并财务报表的编制方法" w:id="171"/>
      <w:bookmarkEnd w:id="171"/>
      <w:r>
        <w:rPr>
          <w:b w:val="0"/>
          <w:bCs w:val="0"/>
        </w:rPr>
      </w:r>
      <w:r>
        <w:rPr>
          <w:rFonts w:ascii="宋体" w:hAnsi="宋体" w:cs="宋体" w:eastAsia="宋体" w:hint="default"/>
        </w:rPr>
        <w:t>6</w:t>
      </w:r>
      <w:r>
        <w:rPr/>
        <w:t>、合并财务报表的编制方法</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41"/>
        <w:ind w:left="634" w:right="1118"/>
        <w:jc w:val="left"/>
      </w:pPr>
      <w:r>
        <w:rPr/>
        <w:t>（</w:t>
      </w:r>
      <w:r>
        <w:rPr>
          <w:rFonts w:ascii="宋体" w:hAnsi="宋体" w:cs="宋体" w:eastAsia="宋体" w:hint="default"/>
        </w:rPr>
        <w:t>1</w:t>
      </w:r>
      <w:r>
        <w:rPr/>
        <w:t>）合并范围 </w:t>
      </w:r>
      <w:r>
        <w:rPr>
          <w:spacing w:val="-1"/>
        </w:rPr>
        <w:t>合并财务报表的合并范围以控制为基础予以确定。控制，是指本公司拥有对被投资单位的权力，通过参与被投资单位</w:t>
      </w:r>
    </w:p>
    <w:p>
      <w:pPr>
        <w:pStyle w:val="BodyText"/>
        <w:spacing w:line="316" w:lineRule="auto" w:before="19"/>
        <w:ind w:right="0"/>
        <w:jc w:val="left"/>
      </w:pPr>
      <w:r>
        <w:rPr>
          <w:spacing w:val="-2"/>
        </w:rPr>
        <w:t>的相关活动而享有可变回报，并且有能力运用对被投资单位的权力影响其回报金额。子公司，是指被本公司控制的主体（含</w:t>
      </w:r>
      <w:r>
        <w:rPr>
          <w:spacing w:val="-66"/>
        </w:rPr>
        <w:t> </w:t>
      </w:r>
      <w:r>
        <w:rPr>
          <w:spacing w:val="-66"/>
        </w:rPr>
      </w:r>
      <w:r>
        <w:rPr/>
        <w:t>企业、被投资单位中可分割的部分、结构化主体等）。</w:t>
      </w:r>
    </w:p>
    <w:p>
      <w:pPr>
        <w:pStyle w:val="BodyText"/>
        <w:spacing w:line="319" w:lineRule="auto" w:before="19"/>
        <w:ind w:left="634" w:right="0"/>
        <w:jc w:val="left"/>
      </w:pPr>
      <w:r>
        <w:rPr/>
        <w:t>（</w:t>
      </w:r>
      <w:r>
        <w:rPr>
          <w:rFonts w:ascii="宋体" w:hAnsi="宋体" w:cs="宋体" w:eastAsia="宋体" w:hint="default"/>
        </w:rPr>
        <w:t>2</w:t>
      </w:r>
      <w:r>
        <w:rPr/>
        <w:t>）合并财务报表编制方法 </w:t>
      </w:r>
      <w:r>
        <w:rPr>
          <w:spacing w:val="-1"/>
        </w:rPr>
        <w:t>本公司合并财务报表以母公司和各子公司的财务报表为基础，根据其他有关资料编制。编制时将母公司与各子公司及</w:t>
      </w:r>
    </w:p>
    <w:p>
      <w:pPr>
        <w:pStyle w:val="BodyText"/>
        <w:spacing w:line="316" w:lineRule="auto" w:before="17"/>
        <w:ind w:right="1032"/>
        <w:jc w:val="left"/>
      </w:pPr>
      <w:r>
        <w:rPr>
          <w:spacing w:val="-2"/>
        </w:rPr>
        <w:t>各子公司之间的重要投资、往来、存货购销等内部交易及其未实现利润抵销后逐项合并，并计算少数股东权益和少数股东本</w:t>
      </w:r>
      <w:r>
        <w:rPr>
          <w:spacing w:val="-66"/>
        </w:rPr>
        <w:t> </w:t>
      </w:r>
      <w:r>
        <w:rPr>
          <w:spacing w:val="-66"/>
        </w:rPr>
      </w:r>
      <w:r>
        <w:rPr/>
        <w:t>期收益。如果子公司会计政策及会计期间与母公司不一致，合并前先按母公司的会计政策及会计期间调整子公司会计报表。</w:t>
      </w:r>
    </w:p>
    <w:p>
      <w:pPr>
        <w:pStyle w:val="BodyText"/>
        <w:spacing w:line="240" w:lineRule="auto" w:before="19"/>
        <w:ind w:left="634" w:right="0"/>
        <w:jc w:val="left"/>
      </w:pPr>
      <w:r>
        <w:rPr/>
        <w:t>（</w:t>
      </w:r>
      <w:r>
        <w:rPr>
          <w:rFonts w:ascii="宋体" w:hAnsi="宋体" w:cs="宋体" w:eastAsia="宋体" w:hint="default"/>
        </w:rPr>
        <w:t>3</w:t>
      </w:r>
      <w:r>
        <w:rPr/>
        <w:t>）报告期增加减少子公司的合并报表处理</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032" w:firstLine="480"/>
        <w:jc w:val="left"/>
      </w:pPr>
      <w:r>
        <w:rPr/>
        <w:t>在报告期内，因同一控制下企业合并增加的子公司，编制合并资产负债表时，调整合并资产负债表的年初余额。因非 同一控制下企业合并增加的子公司，编制合并资产负债表时，不调整合并资产负债表的年初余额。在报告期内处置子公司， 编制合并资产负债表时，不调整合并资产负债表的年初余额。</w:t>
      </w:r>
    </w:p>
    <w:p>
      <w:pPr>
        <w:pStyle w:val="BodyText"/>
        <w:spacing w:line="319" w:lineRule="auto" w:before="19"/>
        <w:ind w:right="1131" w:firstLine="480"/>
        <w:jc w:val="both"/>
      </w:pPr>
      <w:r>
        <w:rPr>
          <w:spacing w:val="-1"/>
        </w:rPr>
        <w:t>在报告期内，因同一控制下企业合并增加的子公司，将该子公司在合并当期的期初至报告期末的收入、费用、利润纳</w:t>
      </w:r>
      <w:r>
        <w:rPr/>
        <w:t> </w:t>
      </w:r>
      <w:r>
        <w:rPr>
          <w:spacing w:val="-2"/>
        </w:rPr>
        <w:t>入合并利润表，将该子公司合并当期期初至报告期末的现金流量纳入合并现金流量表。因非同一控制下企业合并增加的子公</w:t>
      </w:r>
      <w:r>
        <w:rPr>
          <w:spacing w:val="-64"/>
        </w:rPr>
        <w:t> </w:t>
      </w:r>
      <w:r>
        <w:rPr>
          <w:spacing w:val="-64"/>
        </w:rPr>
      </w:r>
      <w:r>
        <w:rPr>
          <w:spacing w:val="-2"/>
        </w:rPr>
        <w:t>司，将该子公司自购买日至报告期末的收入、费用、利润纳入合并利润表，将该子公司购买日至报告期末的现金流量纳入合</w:t>
      </w:r>
      <w:r>
        <w:rPr>
          <w:spacing w:val="-66"/>
        </w:rPr>
        <w:t> </w:t>
      </w:r>
      <w:r>
        <w:rPr>
          <w:spacing w:val="-66"/>
        </w:rPr>
      </w:r>
      <w:r>
        <w:rPr>
          <w:spacing w:val="-2"/>
        </w:rPr>
        <w:t>并现金流量表。在报告期内处置子公司，将该子公司期初至处置日的收入、费用、利润纳入合并利润表，将该子公司期初至</w:t>
      </w:r>
      <w:r>
        <w:rPr>
          <w:spacing w:val="-66"/>
        </w:rPr>
        <w:t> </w:t>
      </w:r>
      <w:r>
        <w:rPr>
          <w:spacing w:val="-66"/>
        </w:rPr>
      </w:r>
      <w:r>
        <w:rPr/>
        <w:t>处置日的现金流量纳入合并现金流量表。</w:t>
      </w:r>
    </w:p>
    <w:p>
      <w:pPr>
        <w:pStyle w:val="BodyText"/>
        <w:spacing w:line="316" w:lineRule="auto" w:before="17"/>
        <w:ind w:right="1133" w:firstLine="480"/>
        <w:jc w:val="both"/>
      </w:pPr>
      <w:r>
        <w:rPr>
          <w:spacing w:val="-1"/>
        </w:rPr>
        <w:t>因处置部分股权投资或其他原因丧失了对原有子公司控制权时，对于处置后的剩余股权投资，按照其在丧失控制权日</w:t>
      </w:r>
      <w:r>
        <w:rPr/>
        <w:t> </w:t>
      </w:r>
      <w:r>
        <w:rPr>
          <w:spacing w:val="-2"/>
        </w:rPr>
        <w:t>的公允价值进行重新计量。处置股权取得的对价与剩余股权公允价值之和，减去按原持股比例计算应享有原有子公司自购买</w:t>
      </w:r>
      <w:r>
        <w:rPr>
          <w:spacing w:val="-64"/>
        </w:rPr>
        <w:t> </w:t>
      </w:r>
      <w:r>
        <w:rPr>
          <w:spacing w:val="-64"/>
        </w:rPr>
      </w:r>
      <w:r>
        <w:rPr>
          <w:spacing w:val="-2"/>
        </w:rPr>
        <w:t>日开始持续计算的净资产的份额与商誉之和的差额，计入丧失控制权当期的投资收益。与原有子公司股权投资相关的其他综</w:t>
      </w:r>
      <w:r>
        <w:rPr>
          <w:spacing w:val="-64"/>
        </w:rPr>
        <w:t> </w:t>
      </w:r>
      <w:r>
        <w:rPr>
          <w:spacing w:val="-64"/>
        </w:rPr>
      </w:r>
      <w:r>
        <w:rPr>
          <w:spacing w:val="-2"/>
        </w:rPr>
        <w:t>合收益，在丧失控制权时转为当期投资收益，由于被投资方重新计量设定收益计划净负债或净资产变动而产生的其他综合收</w:t>
      </w:r>
      <w:r>
        <w:rPr>
          <w:spacing w:val="-64"/>
        </w:rPr>
        <w:t> </w:t>
      </w:r>
      <w:r>
        <w:rPr>
          <w:spacing w:val="-64"/>
        </w:rPr>
      </w:r>
      <w:r>
        <w:rPr/>
        <w:t>益除外。</w:t>
      </w:r>
    </w:p>
    <w:p>
      <w:pPr>
        <w:pStyle w:val="BodyText"/>
        <w:spacing w:line="316" w:lineRule="auto" w:before="19"/>
        <w:ind w:right="1133" w:firstLine="480"/>
        <w:jc w:val="both"/>
      </w:pPr>
      <w:r>
        <w:rPr>
          <w:spacing w:val="-1"/>
        </w:rPr>
        <w:t>因购买少数股权新取得的长期股权投资与按照新增持股比例计算应享有子公司的可辨认净资产份额之间的差额，以及</w:t>
      </w:r>
      <w:r>
        <w:rPr/>
        <w:t> 在不丧失控制权的情况下因部分处置对子公司的股权投资而取得的处置价款与处置长期股权投资相对应享有子公司净资产</w:t>
      </w:r>
      <w:r>
        <w:rPr>
          <w:spacing w:val="-9"/>
        </w:rPr>
        <w:t> </w:t>
      </w:r>
      <w:r>
        <w:rPr>
          <w:spacing w:val="-9"/>
        </w:rPr>
      </w:r>
      <w:r>
        <w:rPr/>
        <w:t>份额的差额，均调整合并资产负债表中的资本公积中的股本溢价，资本公积中的股本溢价不足冲减的，调整留存收益。</w:t>
      </w:r>
    </w:p>
    <w:p>
      <w:pPr>
        <w:pStyle w:val="BodyText"/>
        <w:spacing w:line="316" w:lineRule="auto" w:before="19"/>
        <w:ind w:left="634" w:right="0"/>
        <w:jc w:val="left"/>
      </w:pPr>
      <w:r>
        <w:rPr/>
        <w:t>（</w:t>
      </w:r>
      <w:r>
        <w:rPr>
          <w:rFonts w:ascii="宋体" w:hAnsi="宋体" w:cs="宋体" w:eastAsia="宋体" w:hint="default"/>
        </w:rPr>
        <w:t>4</w:t>
      </w:r>
      <w:r>
        <w:rPr/>
        <w:t>）分步处置股权至丧失控制权的合并报表处理 </w:t>
      </w:r>
      <w:r>
        <w:rPr>
          <w:spacing w:val="-1"/>
        </w:rPr>
        <w:t>处置对子公司股权投资直至丧失控制权的各项交易属于一揽子交易的，将各项交易作为一项处置子公司并丧失控制权</w:t>
      </w:r>
    </w:p>
    <w:p>
      <w:pPr>
        <w:pStyle w:val="BodyText"/>
        <w:spacing w:line="319" w:lineRule="auto" w:before="19"/>
        <w:ind w:right="1131"/>
        <w:jc w:val="both"/>
      </w:pPr>
      <w:r>
        <w:rPr>
          <w:spacing w:val="-2"/>
        </w:rPr>
        <w:t>的交易进行会计处理；但是，在丧失控制权之前每一次处置价款与处置投资对应的享有该子公司净资产份额的差额，在合并</w:t>
      </w:r>
      <w:r>
        <w:rPr>
          <w:spacing w:val="-66"/>
        </w:rPr>
        <w:t> </w:t>
      </w:r>
      <w:r>
        <w:rPr>
          <w:spacing w:val="-66"/>
        </w:rPr>
      </w:r>
      <w:r>
        <w:rPr>
          <w:spacing w:val="-2"/>
        </w:rPr>
        <w:t>财务报表中确认为其他综合收益，在丧失控制权时一并转入丧失控制权当期的损益，由于被投资方重新计量设定收益计划净</w:t>
      </w:r>
      <w:r>
        <w:rPr>
          <w:spacing w:val="-64"/>
        </w:rPr>
        <w:t> </w:t>
      </w:r>
      <w:r>
        <w:rPr>
          <w:spacing w:val="-64"/>
        </w:rPr>
      </w:r>
      <w:r>
        <w:rPr>
          <w:spacing w:val="-2"/>
        </w:rPr>
        <w:t>负债或净资产变动而产生的其他综合收益除外。不属于一揽子交易的，在丧失控制权之前，处置价款与相对应享有子公司自</w:t>
      </w:r>
      <w:r>
        <w:rPr>
          <w:spacing w:val="-66"/>
        </w:rPr>
        <w:t> </w:t>
      </w:r>
      <w:r>
        <w:rPr>
          <w:spacing w:val="-66"/>
        </w:rPr>
      </w:r>
      <w:r>
        <w:rPr>
          <w:spacing w:val="-2"/>
        </w:rPr>
        <w:t>购买日开始持续计算的净资产之间的差额调整资本公积，资本公积不足冲减的，调整留存收益；丧失控制权时，按照前述丧</w:t>
      </w:r>
      <w:r>
        <w:rPr>
          <w:spacing w:val="-66"/>
        </w:rPr>
        <w:t> </w:t>
      </w:r>
      <w:r>
        <w:rPr>
          <w:spacing w:val="-66"/>
        </w:rPr>
      </w:r>
      <w:r>
        <w:rPr/>
        <w:t>失对原有子公司控制权时的会计政策实施会计处理。</w:t>
      </w:r>
    </w:p>
    <w:p>
      <w:pPr>
        <w:spacing w:line="612" w:lineRule="exact" w:before="39"/>
        <w:ind w:left="634" w:right="0" w:hanging="480"/>
        <w:jc w:val="left"/>
        <w:rPr>
          <w:rFonts w:ascii="宋体" w:hAnsi="宋体" w:cs="宋体" w:eastAsia="宋体" w:hint="default"/>
          <w:sz w:val="18"/>
          <w:szCs w:val="18"/>
        </w:rPr>
      </w:pPr>
      <w:bookmarkStart w:name="7、合营安排分类及共同经营会计处理方法" w:id="172"/>
      <w:bookmarkEnd w:id="172"/>
      <w:r>
        <w:rPr/>
      </w:r>
      <w:r>
        <w:rPr>
          <w:rFonts w:ascii="宋体" w:hAnsi="宋体" w:cs="宋体" w:eastAsia="宋体" w:hint="default"/>
          <w:b/>
          <w:bCs/>
          <w:sz w:val="18"/>
          <w:szCs w:val="18"/>
        </w:rPr>
        <w:t>7</w:t>
      </w:r>
      <w:r>
        <w:rPr>
          <w:rFonts w:ascii="宋体" w:hAnsi="宋体" w:cs="宋体" w:eastAsia="宋体" w:hint="default"/>
          <w:b/>
          <w:bCs/>
          <w:sz w:val="18"/>
          <w:szCs w:val="18"/>
        </w:rPr>
        <w:t>、合营安排分类及共同经营会计处理方法</w:t>
      </w:r>
      <w:r>
        <w:rPr>
          <w:rFonts w:ascii="宋体" w:hAnsi="宋体" w:cs="宋体" w:eastAsia="宋体" w:hint="default"/>
          <w:b/>
          <w:bCs/>
          <w:w w:val="99"/>
          <w:sz w:val="18"/>
          <w:szCs w:val="18"/>
        </w:rPr>
        <w:t> </w:t>
      </w:r>
      <w:r>
        <w:rPr>
          <w:rFonts w:ascii="宋体" w:hAnsi="宋体" w:cs="宋体" w:eastAsia="宋体" w:hint="default"/>
          <w:spacing w:val="-1"/>
          <w:sz w:val="18"/>
          <w:szCs w:val="18"/>
        </w:rPr>
        <w:t>合营安排是一项由本公司作为一个参与方共同控制的安排。合营安排分为两类：共同经营和合营企业。共同经营是指</w:t>
      </w:r>
    </w:p>
    <w:p>
      <w:pPr>
        <w:pStyle w:val="BodyText"/>
        <w:spacing w:line="215" w:lineRule="exact" w:before="0"/>
        <w:ind w:right="0"/>
        <w:jc w:val="both"/>
      </w:pPr>
      <w:r>
        <w:rPr/>
        <w:t>共同控制一项安排的参与方享有与该安排相关资产的权利，并承担与该安排相关负债的合营安排；合营企业是共同控制一项</w:t>
      </w:r>
    </w:p>
    <w:p>
      <w:pPr>
        <w:pStyle w:val="BodyText"/>
        <w:spacing w:line="240" w:lineRule="auto" w:before="76"/>
        <w:ind w:right="0"/>
        <w:jc w:val="both"/>
      </w:pPr>
      <w:r>
        <w:rPr/>
        <w:t>安排的参与方仅对该安排的净资产享有权利的合营安排。</w:t>
      </w:r>
    </w:p>
    <w:p>
      <w:pPr>
        <w:pStyle w:val="BodyText"/>
        <w:spacing w:line="316" w:lineRule="auto" w:before="76"/>
        <w:ind w:left="634" w:right="0"/>
        <w:jc w:val="left"/>
      </w:pPr>
      <w:r>
        <w:rPr/>
        <w:t>（</w:t>
      </w:r>
      <w:r>
        <w:rPr>
          <w:rFonts w:ascii="宋体" w:hAnsi="宋体" w:cs="宋体" w:eastAsia="宋体" w:hint="default"/>
        </w:rPr>
        <w:t>1</w:t>
      </w:r>
      <w:r>
        <w:rPr/>
        <w:t>）合营安排的认定 </w:t>
      </w:r>
      <w:r>
        <w:rPr>
          <w:spacing w:val="-1"/>
        </w:rPr>
        <w:t>只要两个或两个以上的参与方对该安排实施共同控制，一项安排就可以被认定为合营安排，并不要求所有参与方都对</w:t>
      </w:r>
    </w:p>
    <w:p>
      <w:pPr>
        <w:pStyle w:val="BodyText"/>
        <w:spacing w:line="240" w:lineRule="auto" w:before="19"/>
        <w:ind w:right="0"/>
        <w:jc w:val="both"/>
      </w:pPr>
      <w:r>
        <w:rPr/>
        <w:t>该安排享有共同控制。</w:t>
      </w:r>
    </w:p>
    <w:p>
      <w:pPr>
        <w:pStyle w:val="BodyText"/>
        <w:spacing w:line="316" w:lineRule="auto" w:before="76"/>
        <w:ind w:left="634" w:right="1118"/>
        <w:jc w:val="left"/>
      </w:pPr>
      <w:r>
        <w:rPr/>
        <w:t>（</w:t>
      </w:r>
      <w:r>
        <w:rPr>
          <w:rFonts w:ascii="宋体" w:hAnsi="宋体" w:cs="宋体" w:eastAsia="宋体" w:hint="default"/>
        </w:rPr>
        <w:t>2</w:t>
      </w:r>
      <w:r>
        <w:rPr/>
        <w:t>）重新评估 </w:t>
      </w:r>
      <w:r>
        <w:rPr>
          <w:spacing w:val="-1"/>
        </w:rPr>
        <w:t>如果法律形式、合同条款等相关事实和情况发生变化，合营安排参与方应当对合营安排进行重新评估：一是评估原合</w:t>
      </w:r>
    </w:p>
    <w:p>
      <w:pPr>
        <w:pStyle w:val="BodyText"/>
        <w:spacing w:line="240" w:lineRule="auto" w:before="19"/>
        <w:ind w:right="0"/>
        <w:jc w:val="both"/>
      </w:pPr>
      <w:r>
        <w:rPr/>
        <w:t>营方是否仍对该安排拥有共同控制权；二是评估合营安排的类型是否发生变化。</w:t>
      </w:r>
    </w:p>
    <w:p>
      <w:pPr>
        <w:pStyle w:val="BodyText"/>
        <w:spacing w:line="240" w:lineRule="auto" w:before="76"/>
        <w:ind w:left="634" w:right="0"/>
        <w:jc w:val="left"/>
      </w:pPr>
      <w:r>
        <w:rPr/>
        <w:t>（</w:t>
      </w:r>
      <w:r>
        <w:rPr>
          <w:rFonts w:ascii="宋体" w:hAnsi="宋体" w:cs="宋体" w:eastAsia="宋体" w:hint="default"/>
        </w:rPr>
        <w:t>3</w:t>
      </w:r>
      <w:r>
        <w:rPr/>
        <w:t>）共同经营参与方的会计处理</w:t>
      </w:r>
    </w:p>
    <w:p>
      <w:pPr>
        <w:pStyle w:val="BodyText"/>
        <w:spacing w:line="316" w:lineRule="auto" w:before="76"/>
        <w:ind w:left="634" w:right="7482"/>
        <w:jc w:val="left"/>
      </w:pPr>
      <w:r>
        <w:rPr/>
        <w:t>① 共同经营中，合营方的会计处理 </w:t>
      </w:r>
      <w:r>
        <w:rPr>
          <w:rFonts w:ascii="宋体" w:hAnsi="宋体" w:cs="宋体" w:eastAsia="宋体" w:hint="default"/>
        </w:rPr>
        <w:t>A</w:t>
      </w:r>
      <w:r>
        <w:rPr/>
        <w:t>、一般会计处理原则</w:t>
      </w:r>
    </w:p>
    <w:p>
      <w:pPr>
        <w:pStyle w:val="BodyText"/>
        <w:spacing w:line="319" w:lineRule="auto" w:before="19"/>
        <w:ind w:right="1032" w:firstLine="480"/>
        <w:jc w:val="left"/>
      </w:pPr>
      <w:r>
        <w:rPr/>
        <w:t>合营方应当确认其与共同经营中利益份额相关的下列项目，并按照相关企业会计准则的规定进行会计处理：一是确认 单独所持有的资产，以及按其份额确认共同持有的资产；二是确认单独所承担的负债，以及按其份额确认共同承担的负债； </w:t>
      </w:r>
      <w:r>
        <w:rPr>
          <w:spacing w:val="-2"/>
        </w:rPr>
        <w:t>三是确认出售其享有的共同经营产出份额所产生的收入；四是按其份额确认共同经营因出售产出所产生的收入；五是确认单</w:t>
      </w:r>
      <w:r>
        <w:rPr>
          <w:spacing w:val="-64"/>
        </w:rPr>
        <w:t> </w:t>
      </w:r>
      <w:r>
        <w:rPr>
          <w:spacing w:val="-64"/>
        </w:rPr>
      </w:r>
      <w:r>
        <w:rPr/>
        <w:t>独所发生的费用，以及按其份额确认共同经营发生的费用。</w:t>
      </w:r>
    </w:p>
    <w:p>
      <w:pPr>
        <w:pStyle w:val="BodyText"/>
        <w:spacing w:line="316" w:lineRule="auto" w:before="17"/>
        <w:ind w:right="1133" w:firstLine="480"/>
        <w:jc w:val="both"/>
      </w:pPr>
      <w:r>
        <w:rPr>
          <w:spacing w:val="-1"/>
        </w:rPr>
        <w:t>合营方可能将其自有资产用于共同经营，如果合营方保留了对这些资产的全部所有权或控制权，则这些资产的会计处</w:t>
      </w:r>
      <w:r>
        <w:rPr/>
        <w:t> 理与合营方自有资产的会计处理并无差别。</w:t>
      </w:r>
    </w:p>
    <w:p>
      <w:pPr>
        <w:spacing w:after="0" w:line="316" w:lineRule="auto"/>
        <w:jc w:val="both"/>
        <w:sectPr>
          <w:footerReference w:type="default" r:id="rId14"/>
          <w:pgSz w:w="11910" w:h="16840"/>
          <w:pgMar w:footer="979" w:header="747"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133" w:firstLine="480"/>
        <w:jc w:val="both"/>
      </w:pPr>
      <w:r>
        <w:rPr>
          <w:spacing w:val="-1"/>
        </w:rPr>
        <w:t>合营方也可能与其他合营方共同购买资产来投入共同经营，并共同承担共同经营的负债，此时，合营方应当按照企业</w:t>
      </w:r>
      <w:r>
        <w:rPr/>
        <w:t> 会计准则相关规定确认在这些资产和负债中的利益份额。如按照《企业会计准则第</w:t>
      </w:r>
      <w:r>
        <w:rPr>
          <w:rFonts w:ascii="宋体" w:hAnsi="宋体" w:cs="宋体" w:eastAsia="宋体" w:hint="default"/>
        </w:rPr>
        <w:t>4</w:t>
      </w:r>
      <w:r>
        <w:rPr/>
        <w:t>号－固定资产》来确认在相关固定资产 中的利益份额，按照金融工具确认和计量准则来确认在相关金融资产和金融负债中的份额。</w:t>
      </w:r>
    </w:p>
    <w:p>
      <w:pPr>
        <w:pStyle w:val="BodyText"/>
        <w:spacing w:line="319" w:lineRule="auto" w:before="19"/>
        <w:ind w:right="0" w:firstLine="480"/>
        <w:jc w:val="left"/>
      </w:pPr>
      <w:r>
        <w:rPr/>
        <w:t>共同经营通过单独主体达成时，合营方应确认按照上述原则单独所承担的负债，以及按本企业的份额确认共同承担的 </w:t>
      </w:r>
      <w:r>
        <w:rPr>
          <w:spacing w:val="-4"/>
        </w:rPr>
        <w:t>负债。但合营方对于因其他股东未按约定向合营安排提供资金，按照我国相关法律或相关合同约定等规定而承担连带责任的，</w:t>
      </w:r>
      <w:r>
        <w:rPr>
          <w:spacing w:val="-44"/>
        </w:rPr>
        <w:t> </w:t>
      </w:r>
      <w:r>
        <w:rPr>
          <w:spacing w:val="-44"/>
        </w:rPr>
      </w:r>
      <w:r>
        <w:rPr/>
        <w:t>从其规定，在会计处理上应遵循《企业会计准则第</w:t>
      </w:r>
      <w:r>
        <w:rPr>
          <w:rFonts w:ascii="宋体" w:hAnsi="宋体" w:cs="宋体" w:eastAsia="宋体" w:hint="default"/>
        </w:rPr>
        <w:t>13</w:t>
      </w:r>
      <w:r>
        <w:rPr/>
        <w:t>号一一或有事项》。</w:t>
      </w:r>
    </w:p>
    <w:p>
      <w:pPr>
        <w:pStyle w:val="BodyText"/>
        <w:spacing w:line="316" w:lineRule="auto" w:before="17"/>
        <w:ind w:left="634" w:right="0"/>
        <w:jc w:val="left"/>
      </w:pPr>
      <w:r>
        <w:rPr>
          <w:rFonts w:ascii="宋体" w:hAnsi="宋体" w:cs="宋体" w:eastAsia="宋体" w:hint="default"/>
        </w:rPr>
        <w:t>B</w:t>
      </w:r>
      <w:r>
        <w:rPr/>
        <w:t>、合营方向共同经营投出或者出售不构成业务的资产的会计处理 </w:t>
      </w:r>
      <w:r>
        <w:rPr>
          <w:spacing w:val="-1"/>
        </w:rPr>
        <w:t>合营方向共同经营投出或出售资产等（该资产构成业务的除外），在共同经营将相关资产出售给第三方或相关资产消</w:t>
      </w:r>
    </w:p>
    <w:p>
      <w:pPr>
        <w:pStyle w:val="BodyText"/>
        <w:spacing w:line="316" w:lineRule="auto" w:before="19"/>
        <w:ind w:right="1131"/>
        <w:jc w:val="both"/>
      </w:pPr>
      <w:r>
        <w:rPr>
          <w:spacing w:val="-2"/>
        </w:rPr>
        <w:t>耗之前（即，未实现内部利润仍包括在共同经营持有的资产账面价值中时），应当仅确认归属于共同经营其他参与方的利得</w:t>
      </w:r>
      <w:r>
        <w:rPr>
          <w:spacing w:val="-66"/>
        </w:rPr>
        <w:t> </w:t>
      </w:r>
      <w:r>
        <w:rPr>
          <w:spacing w:val="-66"/>
        </w:rPr>
      </w:r>
      <w:r>
        <w:rPr/>
        <w:t>或损失。交易表明投出或出售的资产发生符合《企业会计准则第</w:t>
      </w:r>
      <w:r>
        <w:rPr>
          <w:rFonts w:ascii="宋体" w:hAnsi="宋体" w:cs="宋体" w:eastAsia="宋体" w:hint="default"/>
        </w:rPr>
        <w:t>8</w:t>
      </w:r>
      <w:r>
        <w:rPr/>
        <w:t>号一一资产减值》（以下简称“资产减值损失准则”）等 规定的资产减值损失的，合营方应当全额确认该损失。</w:t>
      </w:r>
    </w:p>
    <w:p>
      <w:pPr>
        <w:pStyle w:val="BodyText"/>
        <w:spacing w:line="316" w:lineRule="auto" w:before="19"/>
        <w:ind w:left="634" w:right="0"/>
        <w:jc w:val="left"/>
      </w:pPr>
      <w:r>
        <w:rPr>
          <w:rFonts w:ascii="宋体" w:hAnsi="宋体" w:cs="宋体" w:eastAsia="宋体" w:hint="default"/>
        </w:rPr>
        <w:t>C</w:t>
      </w:r>
      <w:r>
        <w:rPr/>
        <w:t>、合营方自共同经营购买不构成业务的资产的会计处理 </w:t>
      </w:r>
      <w:r>
        <w:rPr>
          <w:spacing w:val="-1"/>
        </w:rPr>
        <w:t>合营方自共同经营购买资产等（该资产构成业务的除外），在将该资产等出售给第三方之前（即，未实现内部利润仍</w:t>
      </w:r>
    </w:p>
    <w:p>
      <w:pPr>
        <w:pStyle w:val="BodyText"/>
        <w:spacing w:line="316" w:lineRule="auto" w:before="19"/>
        <w:ind w:right="1131"/>
        <w:jc w:val="both"/>
      </w:pPr>
      <w:r>
        <w:rPr>
          <w:spacing w:val="-2"/>
        </w:rPr>
        <w:t>包括在合营方持有的资产账面价值中时），不应当确认因该交易产生的损益中该合营方应享有的部分。即，此时应当仅确认</w:t>
      </w:r>
      <w:r>
        <w:rPr>
          <w:spacing w:val="-66"/>
        </w:rPr>
        <w:t> </w:t>
      </w:r>
      <w:r>
        <w:rPr>
          <w:spacing w:val="-66"/>
        </w:rPr>
      </w:r>
      <w:r>
        <w:rPr/>
        <w:t>因该交易产生的损益中归属于共同经营其他参与方的部分。</w:t>
      </w:r>
    </w:p>
    <w:p>
      <w:pPr>
        <w:pStyle w:val="BodyText"/>
        <w:spacing w:line="316" w:lineRule="auto" w:before="19"/>
        <w:ind w:left="634" w:right="0"/>
        <w:jc w:val="left"/>
      </w:pPr>
      <w:r>
        <w:rPr>
          <w:rFonts w:ascii="宋体" w:hAnsi="宋体" w:cs="宋体" w:eastAsia="宋体" w:hint="default"/>
        </w:rPr>
        <w:t>D</w:t>
      </w:r>
      <w:r>
        <w:rPr/>
        <w:t>、合营方取得构成业务的共同经营的利益份额的会计处理 </w:t>
      </w:r>
      <w:r>
        <w:rPr>
          <w:spacing w:val="-1"/>
        </w:rPr>
        <w:t>合营方取得共同经营中的利益份额，且该共同经营构成业务时，应当按照企业合并准则等相关准则进行相应的会计处</w:t>
      </w:r>
    </w:p>
    <w:p>
      <w:pPr>
        <w:pStyle w:val="BodyText"/>
        <w:spacing w:line="316" w:lineRule="auto" w:before="19"/>
        <w:ind w:right="0"/>
        <w:jc w:val="left"/>
      </w:pPr>
      <w:r>
        <w:rPr>
          <w:spacing w:val="-2"/>
        </w:rPr>
        <w:t>理，但其他相关准则的规定不能与合营安排准则的规定相冲突。企业应当按照企业合并准则的相关规定判断该共同经营是否</w:t>
      </w:r>
      <w:r>
        <w:rPr>
          <w:spacing w:val="-64"/>
        </w:rPr>
        <w:t> </w:t>
      </w:r>
      <w:r>
        <w:rPr>
          <w:spacing w:val="-64"/>
        </w:rPr>
      </w:r>
      <w:r>
        <w:rPr>
          <w:spacing w:val="-4"/>
        </w:rPr>
        <w:t>构成业务。该处理原则不仅适用于收购现有的构成业务的共同经营中的利益份额，也适用于与其他参与方一起设立共同经营，</w:t>
      </w:r>
      <w:r>
        <w:rPr>
          <w:spacing w:val="-44"/>
        </w:rPr>
        <w:t> </w:t>
      </w:r>
      <w:r>
        <w:rPr>
          <w:spacing w:val="-44"/>
        </w:rPr>
      </w:r>
      <w:r>
        <w:rPr/>
        <w:t>且由于有其他参与方注入既存业务，使共同经营设立时即构成业务。</w:t>
      </w:r>
    </w:p>
    <w:p>
      <w:pPr>
        <w:pStyle w:val="BodyText"/>
        <w:spacing w:line="316" w:lineRule="auto" w:before="19"/>
        <w:ind w:left="634" w:right="0"/>
        <w:jc w:val="left"/>
      </w:pPr>
      <w:r>
        <w:rPr/>
        <w:t>② 对共同经营不享有共同控制的参与方的会计处理原则 </w:t>
      </w:r>
      <w:r>
        <w:rPr>
          <w:spacing w:val="-1"/>
        </w:rPr>
        <w:t>对共同经营不享有共同控制的参与方（非合营方），如果享有该共同经营相关资产且承担该共同经营相关负债的，比</w:t>
      </w:r>
    </w:p>
    <w:p>
      <w:pPr>
        <w:pStyle w:val="BodyText"/>
        <w:spacing w:line="316" w:lineRule="auto" w:before="19"/>
        <w:ind w:right="1133"/>
        <w:jc w:val="both"/>
      </w:pPr>
      <w:r>
        <w:rPr>
          <w:spacing w:val="-2"/>
        </w:rPr>
        <w:t>照合营方进行会计处理。即，共同经营的参与方，不论其是否具有共同控制，只要能够享有共同经营相关资产的权利、并承</w:t>
      </w:r>
      <w:r>
        <w:rPr>
          <w:spacing w:val="-66"/>
        </w:rPr>
        <w:t> </w:t>
      </w:r>
      <w:r>
        <w:rPr>
          <w:spacing w:val="-66"/>
        </w:rPr>
      </w:r>
      <w:r>
        <w:rPr>
          <w:spacing w:val="-2"/>
        </w:rPr>
        <w:t>担共同经营相关负债的义务，对在共同经营中的利益份额采用与合营方相同的会计处理。否则，应当按照相关企业会计准则</w:t>
      </w:r>
      <w:r>
        <w:rPr>
          <w:spacing w:val="-66"/>
        </w:rPr>
        <w:t> </w:t>
      </w:r>
      <w:r>
        <w:rPr>
          <w:spacing w:val="-66"/>
        </w:rPr>
      </w:r>
      <w:r>
        <w:rPr/>
        <w:t>的规定对其利益份额进行会计处理。</w:t>
      </w:r>
    </w:p>
    <w:p>
      <w:pPr>
        <w:pStyle w:val="BodyText"/>
        <w:spacing w:line="240" w:lineRule="auto" w:before="19"/>
        <w:ind w:left="634" w:right="0"/>
        <w:jc w:val="left"/>
      </w:pPr>
      <w:r>
        <w:rPr/>
        <w:t>（</w:t>
      </w:r>
      <w:r>
        <w:rPr>
          <w:rFonts w:ascii="宋体" w:hAnsi="宋体" w:cs="宋体" w:eastAsia="宋体" w:hint="default"/>
        </w:rPr>
        <w:t>4</w:t>
      </w:r>
      <w:r>
        <w:rPr/>
        <w:t>）关于合营企业参与方的会计处理</w:t>
      </w:r>
    </w:p>
    <w:p>
      <w:pPr>
        <w:pStyle w:val="BodyText"/>
        <w:spacing w:line="316" w:lineRule="auto" w:before="76"/>
        <w:ind w:left="634" w:right="0"/>
        <w:jc w:val="left"/>
      </w:pPr>
      <w:r>
        <w:rPr/>
        <w:t>合营企业中，参与方应当按照《企业会计准则第</w:t>
      </w:r>
      <w:r>
        <w:rPr>
          <w:rFonts w:ascii="宋体" w:hAnsi="宋体" w:cs="宋体" w:eastAsia="宋体" w:hint="default"/>
        </w:rPr>
        <w:t>2</w:t>
      </w:r>
      <w:r>
        <w:rPr/>
        <w:t>号</w:t>
      </w:r>
      <w:r>
        <w:rPr>
          <w:rFonts w:ascii="宋体" w:hAnsi="宋体" w:cs="宋体" w:eastAsia="宋体" w:hint="default"/>
        </w:rPr>
        <w:t>-</w:t>
      </w:r>
      <w:r>
        <w:rPr/>
        <w:t>长期股权投资》的规定核算其对合营企业的投资。 </w:t>
      </w:r>
      <w:r>
        <w:rPr>
          <w:spacing w:val="-1"/>
        </w:rPr>
        <w:t>对合营企业不享有共同控制的参与方（非合营方）应当根据其对该合营企业的影响程度进行相关会计处理：对该合营</w:t>
      </w:r>
    </w:p>
    <w:p>
      <w:pPr>
        <w:pStyle w:val="BodyText"/>
        <w:spacing w:line="316" w:lineRule="auto" w:before="19"/>
        <w:ind w:right="1132"/>
        <w:jc w:val="both"/>
      </w:pPr>
      <w:r>
        <w:rPr>
          <w:spacing w:val="-2"/>
        </w:rPr>
        <w:t>企业具有重大影响的，应当按照长期股权投资准则的规定核算其对该合营企业的投资；对该合营企业不具有重大影响的，应</w:t>
      </w:r>
      <w:r>
        <w:rPr>
          <w:spacing w:val="-66"/>
        </w:rPr>
        <w:t> </w:t>
      </w:r>
      <w:r>
        <w:rPr>
          <w:spacing w:val="-66"/>
        </w:rPr>
      </w:r>
      <w:r>
        <w:rPr/>
        <w:t>当按照金融工具确认和计量准则的规定核算其对该合营企业的投资。</w:t>
      </w:r>
    </w:p>
    <w:p>
      <w:pPr>
        <w:spacing w:line="612" w:lineRule="exact" w:before="40"/>
        <w:ind w:left="634" w:right="0" w:hanging="480"/>
        <w:jc w:val="left"/>
        <w:rPr>
          <w:rFonts w:ascii="宋体" w:hAnsi="宋体" w:cs="宋体" w:eastAsia="宋体" w:hint="default"/>
          <w:sz w:val="18"/>
          <w:szCs w:val="18"/>
        </w:rPr>
      </w:pPr>
      <w:bookmarkStart w:name="8、现金及现金等价物的确定标准" w:id="173"/>
      <w:bookmarkEnd w:id="173"/>
      <w:r>
        <w:rPr/>
      </w:r>
      <w:r>
        <w:rPr>
          <w:rFonts w:ascii="宋体" w:hAnsi="宋体" w:cs="宋体" w:eastAsia="宋体" w:hint="default"/>
          <w:b/>
          <w:bCs/>
          <w:sz w:val="18"/>
          <w:szCs w:val="18"/>
        </w:rPr>
        <w:t>8</w:t>
      </w:r>
      <w:r>
        <w:rPr>
          <w:rFonts w:ascii="宋体" w:hAnsi="宋体" w:cs="宋体" w:eastAsia="宋体" w:hint="default"/>
          <w:b/>
          <w:bCs/>
          <w:sz w:val="18"/>
          <w:szCs w:val="18"/>
        </w:rPr>
        <w:t>、现金及现金等价物的确定标准</w:t>
      </w:r>
      <w:r>
        <w:rPr>
          <w:rFonts w:ascii="宋体" w:hAnsi="宋体" w:cs="宋体" w:eastAsia="宋体" w:hint="default"/>
          <w:b/>
          <w:bCs/>
          <w:w w:val="99"/>
          <w:sz w:val="18"/>
          <w:szCs w:val="18"/>
        </w:rPr>
        <w:t> </w:t>
      </w:r>
      <w:r>
        <w:rPr>
          <w:rFonts w:ascii="宋体" w:hAnsi="宋体" w:cs="宋体" w:eastAsia="宋体" w:hint="default"/>
          <w:spacing w:val="-1"/>
          <w:sz w:val="18"/>
          <w:szCs w:val="18"/>
        </w:rPr>
        <w:t>本公司现金包括库存现金、可以随时用于支付的存款；现金等价物包括本公司持有的期限短（一般指从购买日起三个</w:t>
      </w:r>
    </w:p>
    <w:p>
      <w:pPr>
        <w:pStyle w:val="BodyText"/>
        <w:spacing w:line="215" w:lineRule="exact" w:before="0"/>
        <w:ind w:right="0"/>
        <w:jc w:val="both"/>
      </w:pPr>
      <w:r>
        <w:rPr/>
        <w:t>月内到期）、流动性强、易于转换为已知金额现金、价值变动风险很小的投资。</w:t>
      </w:r>
    </w:p>
    <w:p>
      <w:pPr>
        <w:spacing w:line="240" w:lineRule="auto" w:before="0"/>
        <w:rPr>
          <w:rFonts w:ascii="宋体" w:hAnsi="宋体" w:cs="宋体" w:eastAsia="宋体" w:hint="default"/>
          <w:sz w:val="18"/>
          <w:szCs w:val="18"/>
        </w:rPr>
      </w:pPr>
    </w:p>
    <w:p>
      <w:pPr>
        <w:pStyle w:val="Heading6"/>
        <w:spacing w:line="240" w:lineRule="auto" w:before="142"/>
        <w:ind w:right="0"/>
        <w:jc w:val="both"/>
        <w:rPr>
          <w:b w:val="0"/>
          <w:bCs w:val="0"/>
        </w:rPr>
      </w:pPr>
      <w:bookmarkStart w:name="9、外币业务和外币报表折算" w:id="174"/>
      <w:bookmarkEnd w:id="174"/>
      <w:r>
        <w:rPr>
          <w:b w:val="0"/>
          <w:bCs w:val="0"/>
        </w:rPr>
      </w:r>
      <w:r>
        <w:rPr>
          <w:rFonts w:ascii="宋体" w:hAnsi="宋体" w:cs="宋体" w:eastAsia="宋体" w:hint="default"/>
        </w:rPr>
        <w:t>9</w:t>
      </w:r>
      <w:r>
        <w:rPr/>
        <w:t>、外币业务和外币报表折算</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41"/>
        <w:ind w:left="634" w:right="4872"/>
        <w:jc w:val="left"/>
      </w:pPr>
      <w:r>
        <w:rPr/>
        <w:t>（</w:t>
      </w:r>
      <w:r>
        <w:rPr>
          <w:rFonts w:ascii="宋体" w:hAnsi="宋体" w:cs="宋体" w:eastAsia="宋体" w:hint="default"/>
        </w:rPr>
        <w:t>1</w:t>
      </w:r>
      <w:r>
        <w:rPr/>
        <w:t>）外币业务 本公司外币交易按照交易发生日的即期汇率折算为记账本位币金额。</w:t>
      </w:r>
    </w:p>
    <w:p>
      <w:pPr>
        <w:pStyle w:val="BodyText"/>
        <w:spacing w:line="316" w:lineRule="auto" w:before="19"/>
        <w:ind w:right="1131" w:firstLine="480"/>
        <w:jc w:val="both"/>
      </w:pPr>
      <w:r>
        <w:rPr>
          <w:spacing w:val="-1"/>
        </w:rPr>
        <w:t>在资产负债表日，按照下列规定对外币货币性项目和外币非货币性项目进行处理：外币货币性项目，采用资产负债表</w:t>
      </w:r>
      <w:r>
        <w:rPr/>
        <w:t> </w:t>
      </w:r>
      <w:r>
        <w:rPr>
          <w:spacing w:val="-2"/>
        </w:rPr>
        <w:t>日即期汇率折算。因资产负债表日即期汇率与初始确认时或前一资产负债表日即期汇率不同而产生的汇兑差额，计入当期损</w:t>
      </w:r>
      <w:r>
        <w:rPr>
          <w:spacing w:val="-64"/>
        </w:rPr>
        <w:t> </w:t>
      </w:r>
      <w:r>
        <w:rPr>
          <w:spacing w:val="-64"/>
        </w:rPr>
      </w:r>
      <w:r>
        <w:rPr>
          <w:spacing w:val="-2"/>
        </w:rPr>
        <w:t>益；以历史成本计量的外币非货币性项目，仍采用交易发生日的即期汇率折算，不改变其记账本位币金额；以公允价值计量</w:t>
      </w:r>
      <w:r>
        <w:rPr>
          <w:spacing w:val="-66"/>
        </w:rPr>
        <w:t> </w:t>
      </w:r>
      <w:r>
        <w:rPr>
          <w:spacing w:val="-66"/>
        </w:rPr>
      </w:r>
      <w:r>
        <w:rPr>
          <w:spacing w:val="-2"/>
        </w:rPr>
        <w:t>的外币非货币性项目，采用公允价值确定日的即期汇率折算，折算后的记账本位币金额与原记账本位币金额的差额，作为公</w:t>
      </w:r>
      <w:r>
        <w:rPr>
          <w:spacing w:val="-66"/>
        </w:rPr>
        <w:t> </w:t>
      </w:r>
      <w:r>
        <w:rPr>
          <w:spacing w:val="-66"/>
        </w:rPr>
      </w:r>
      <w:r>
        <w:rPr>
          <w:spacing w:val="-2"/>
        </w:rPr>
        <w:t>允价值变动（含汇率变动）处理，计入当期损益；在资本化期间内，外币专门借款本金及利息的汇兑差额，予以资本化，计</w:t>
      </w:r>
    </w:p>
    <w:p>
      <w:pPr>
        <w:spacing w:after="0" w:line="316" w:lineRule="auto"/>
        <w:jc w:val="both"/>
        <w:sectPr>
          <w:footerReference w:type="default" r:id="rId15"/>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入符合资本化条件的资产的成本。</w:t>
      </w:r>
    </w:p>
    <w:p>
      <w:pPr>
        <w:pStyle w:val="BodyText"/>
        <w:spacing w:line="316" w:lineRule="auto" w:before="76"/>
        <w:ind w:left="634" w:right="0"/>
        <w:jc w:val="left"/>
      </w:pPr>
      <w:r>
        <w:rPr/>
        <w:t>（</w:t>
      </w:r>
      <w:r>
        <w:rPr>
          <w:rFonts w:ascii="宋体" w:hAnsi="宋体" w:cs="宋体" w:eastAsia="宋体" w:hint="default"/>
        </w:rPr>
        <w:t>2</w:t>
      </w:r>
      <w:r>
        <w:rPr/>
        <w:t>）外币财务报表的折算 </w:t>
      </w:r>
      <w:r>
        <w:rPr>
          <w:spacing w:val="-3"/>
        </w:rPr>
        <w:t>本公司对外币财务报表折算时，遵循下列规定：资产负债表中的资产和负债项目，采用资产负债表日的即期汇率折算，</w:t>
      </w:r>
    </w:p>
    <w:p>
      <w:pPr>
        <w:pStyle w:val="BodyText"/>
        <w:spacing w:line="319" w:lineRule="auto" w:before="19"/>
        <w:ind w:right="1131"/>
        <w:jc w:val="both"/>
      </w:pPr>
      <w:r>
        <w:rPr>
          <w:spacing w:val="-2"/>
        </w:rPr>
        <w:t>所有者权益项目除“未分配利润”项目外，其他项目采用发生时的即期汇率折算；利润表中的收入和费用项目，采用交易发</w:t>
      </w:r>
      <w:r>
        <w:rPr>
          <w:spacing w:val="-66"/>
        </w:rPr>
        <w:t> </w:t>
      </w:r>
      <w:r>
        <w:rPr>
          <w:spacing w:val="-66"/>
        </w:rPr>
      </w:r>
      <w:r>
        <w:rPr>
          <w:spacing w:val="-2"/>
        </w:rPr>
        <w:t>生日的即期汇率（或采用按照系统合理的方法确定的、与交易发生日即期汇率近似的汇率折算）折算。按照上述折算产生的</w:t>
      </w:r>
      <w:r>
        <w:rPr>
          <w:spacing w:val="-66"/>
        </w:rPr>
        <w:t> </w:t>
      </w:r>
      <w:r>
        <w:rPr>
          <w:spacing w:val="-66"/>
        </w:rPr>
      </w:r>
      <w:r>
        <w:rPr/>
        <w:t>外币财务报表折算差额，确认为其他综合收益。比较财务报表的折算比照上述规定处理。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59"/>
        <w:ind w:right="0"/>
        <w:jc w:val="left"/>
        <w:rPr>
          <w:b w:val="0"/>
          <w:bCs w:val="0"/>
        </w:rPr>
      </w:pPr>
      <w:bookmarkStart w:name="10、金融工具" w:id="175"/>
      <w:bookmarkEnd w:id="175"/>
      <w:r>
        <w:rPr>
          <w:b w:val="0"/>
          <w:bCs w:val="0"/>
        </w:rPr>
      </w:r>
      <w:r>
        <w:rPr>
          <w:rFonts w:ascii="宋体" w:hAnsi="宋体" w:cs="宋体" w:eastAsia="宋体" w:hint="default"/>
        </w:rPr>
        <w:t>10</w:t>
      </w:r>
      <w:r>
        <w:rPr/>
        <w:t>、金融工具</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41"/>
        <w:ind w:right="1131" w:firstLine="480"/>
        <w:jc w:val="both"/>
      </w:pPr>
      <w:r>
        <w:rPr>
          <w:spacing w:val="-1"/>
        </w:rPr>
        <w:t>本公司对单项金额重大的金融资产单独进行减值测试；对单项金额不重大的金融资产，单独进行减值测试或包括在具</w:t>
      </w:r>
      <w:r>
        <w:rPr/>
        <w:t> </w:t>
      </w: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16" w:lineRule="auto" w:before="19"/>
        <w:ind w:left="634" w:right="0"/>
        <w:jc w:val="left"/>
      </w:pPr>
      <w:r>
        <w:rPr/>
        <w:t>① 持有至到期投资、贷款和应收款项减值 </w:t>
      </w:r>
      <w:r>
        <w:rPr>
          <w:spacing w:val="-1"/>
        </w:rPr>
        <w:t>以成本或摊余成本计量的金融资产将其账面价值减记至预计未来现金流量现值，减记金额确认为减值损失，计入当期</w:t>
      </w:r>
    </w:p>
    <w:p>
      <w:pPr>
        <w:pStyle w:val="BodyText"/>
        <w:spacing w:line="316" w:lineRule="auto" w:before="19"/>
        <w:ind w:right="1032"/>
        <w:jc w:val="left"/>
      </w:pPr>
      <w:r>
        <w:rPr/>
        <w:t>损益。金融资产在确认减值损失后，如有客观证据表明该金融资产价值已恢复，且客观上与确认该损失后发生的事项有关， </w:t>
      </w:r>
      <w:r>
        <w:rPr>
          <w:spacing w:val="-2"/>
        </w:rPr>
        <w:t>原确认的减值损失予以转回，金融资产转回减值损失后的账面价值不超过假定不计提减值准备情况下该金融资产在转回日的</w:t>
      </w:r>
      <w:r>
        <w:rPr>
          <w:spacing w:val="-64"/>
        </w:rPr>
        <w:t> </w:t>
      </w:r>
      <w:r>
        <w:rPr>
          <w:spacing w:val="-64"/>
        </w:rPr>
      </w:r>
      <w:r>
        <w:rPr/>
        <w:t>摊余成本。</w:t>
      </w:r>
    </w:p>
    <w:p>
      <w:pPr>
        <w:pStyle w:val="BodyText"/>
        <w:spacing w:line="316" w:lineRule="auto" w:before="19"/>
        <w:ind w:left="634" w:right="0"/>
        <w:jc w:val="left"/>
      </w:pPr>
      <w:r>
        <w:rPr/>
        <w:t>② 可供出售金融资产减值 </w:t>
      </w:r>
      <w:r>
        <w:rPr>
          <w:spacing w:val="-1"/>
        </w:rPr>
        <w:t>当综合相关因素判断可供出售权益工具投资公允价值下跌是严重或非暂时性下跌时，表明该可供出售权益工具投资发</w:t>
      </w:r>
    </w:p>
    <w:p>
      <w:pPr>
        <w:pStyle w:val="BodyText"/>
        <w:spacing w:line="319" w:lineRule="auto" w:before="19"/>
        <w:ind w:left="634" w:right="0" w:hanging="480"/>
        <w:jc w:val="left"/>
      </w:pPr>
      <w:r>
        <w:rPr>
          <w:spacing w:val="-2"/>
        </w:rPr>
        <w:t>生减值。其中“严重下跌”是指公允价值下跌幅度累计超过</w:t>
      </w:r>
      <w:r>
        <w:rPr>
          <w:rFonts w:ascii="宋体" w:hAnsi="宋体" w:cs="宋体" w:eastAsia="宋体" w:hint="default"/>
          <w:spacing w:val="-2"/>
        </w:rPr>
        <w:t>20%</w:t>
      </w:r>
      <w:r>
        <w:rPr>
          <w:spacing w:val="-2"/>
        </w:rPr>
        <w:t>；“非暂时性下跌”是指公允价值连续下跌时间超过</w:t>
      </w:r>
      <w:r>
        <w:rPr>
          <w:rFonts w:ascii="宋体" w:hAnsi="宋体" w:cs="宋体" w:eastAsia="宋体" w:hint="default"/>
          <w:spacing w:val="-2"/>
        </w:rPr>
        <w:t>12</w:t>
      </w:r>
      <w:r>
        <w:rPr>
          <w:spacing w:val="-2"/>
        </w:rPr>
        <w:t>个月。</w:t>
      </w:r>
      <w:r>
        <w:rPr>
          <w:spacing w:val="-58"/>
        </w:rPr>
        <w:t> </w:t>
      </w:r>
      <w:r>
        <w:rPr/>
        <w:t>可供出售金融资产发生减值时，将原计入其他综合收益的因公允价值下降形成的累计损失予以转出并计入当期损益，</w:t>
      </w:r>
    </w:p>
    <w:p>
      <w:pPr>
        <w:pStyle w:val="BodyText"/>
        <w:spacing w:line="316" w:lineRule="auto" w:before="17"/>
        <w:ind w:right="1118"/>
        <w:jc w:val="left"/>
      </w:pPr>
      <w:r>
        <w:rPr/>
        <w:t>该转出的累计损失为该资产初始取得成本扣除已收回本金和已摊销金额、当前公允价值和原已计入损益的减值损失后的余</w:t>
      </w:r>
      <w:r>
        <w:rPr>
          <w:spacing w:val="-9"/>
        </w:rPr>
        <w:t> </w:t>
      </w:r>
      <w:r>
        <w:rPr>
          <w:spacing w:val="-9"/>
        </w:rPr>
      </w:r>
      <w:r>
        <w:rPr/>
        <w:t>额。</w:t>
      </w:r>
    </w:p>
    <w:p>
      <w:pPr>
        <w:pStyle w:val="BodyText"/>
        <w:spacing w:line="316" w:lineRule="auto" w:before="19"/>
        <w:ind w:right="1133" w:firstLine="480"/>
        <w:jc w:val="both"/>
      </w:pPr>
      <w:r>
        <w:rPr>
          <w:spacing w:val="-1"/>
        </w:rPr>
        <w:t>在确认减值损失后，期后如有客观证据表明该金融资产价值已恢复，且客观上与确认该损失后发生的事项有关，原确</w:t>
      </w:r>
      <w:r>
        <w:rPr/>
        <w:t> </w:t>
      </w: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before="19"/>
        <w:ind w:right="1133" w:firstLine="480"/>
        <w:jc w:val="both"/>
      </w:pPr>
      <w:r>
        <w:rPr>
          <w:spacing w:val="-1"/>
        </w:rPr>
        <w:t>在活跃市场中没有报价且其公允价值不能可靠计量的权益工具投资，或与该权益工具挂钩并须通过交付该权益工具结</w:t>
      </w:r>
      <w:r>
        <w:rPr/>
        <w:t> 算的衍生金融资产的减值损失，不予转回。</w:t>
      </w:r>
    </w:p>
    <w:p>
      <w:pPr>
        <w:pStyle w:val="BodyText"/>
        <w:spacing w:line="240" w:lineRule="auto" w:before="19"/>
        <w:ind w:left="634" w:right="0"/>
        <w:jc w:val="left"/>
      </w:pPr>
      <w:r>
        <w:rPr/>
        <w:t>（</w:t>
      </w:r>
      <w:r>
        <w:rPr>
          <w:rFonts w:ascii="宋体" w:hAnsi="宋体" w:cs="宋体" w:eastAsia="宋体" w:hint="default"/>
        </w:rPr>
        <w:t>4</w:t>
      </w:r>
      <w:r>
        <w:rPr/>
        <w:t>）金融资产转移的确认依据和计量方法</w:t>
      </w:r>
    </w:p>
    <w:p>
      <w:pPr>
        <w:pStyle w:val="BodyText"/>
        <w:spacing w:line="316" w:lineRule="auto" w:before="76"/>
        <w:ind w:right="1025" w:firstLine="480"/>
        <w:jc w:val="left"/>
      </w:pPr>
      <w:r>
        <w:rPr>
          <w:spacing w:val="-4"/>
        </w:rPr>
        <w:t>满足下列条件之一的金融资产，予以终止确认：① </w:t>
      </w:r>
      <w:r>
        <w:rPr/>
        <w:t>收取该金融资产现金流量的合同权利终止；②</w:t>
      </w:r>
      <w:r>
        <w:rPr>
          <w:spacing w:val="-21"/>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产所有权上几乎所有的风险和报酬，但是放弃了对该金融资产控制。</w:t>
      </w:r>
    </w:p>
    <w:p>
      <w:pPr>
        <w:pStyle w:val="BodyText"/>
        <w:spacing w:line="316" w:lineRule="auto" w:before="19"/>
        <w:ind w:right="1133" w:firstLine="480"/>
        <w:jc w:val="both"/>
      </w:pPr>
      <w:r>
        <w:rPr>
          <w:spacing w:val="-1"/>
        </w:rPr>
        <w:t>若企业既没有转移也没有保留金融资产所有权上几乎所有的风险和报酬，且未放弃对该金融资产的控制的，则按照继</w:t>
      </w:r>
      <w:r>
        <w:rPr/>
        <w:t> </w:t>
      </w:r>
      <w:r>
        <w:rPr>
          <w:spacing w:val="-2"/>
        </w:rPr>
        <w:t>续涉入所转移金融资产的程度确认有关金融资产，并相应确认有关负债。继续涉入所转移金融资产的程度，是指该金融资产</w:t>
      </w:r>
      <w:r>
        <w:rPr>
          <w:spacing w:val="-65"/>
        </w:rPr>
        <w:t> </w:t>
      </w:r>
      <w:r>
        <w:rPr>
          <w:spacing w:val="-65"/>
        </w:rPr>
      </w:r>
      <w:r>
        <w:rPr/>
        <w:t>价值变动使企业面临的风险水平。</w:t>
      </w:r>
    </w:p>
    <w:p>
      <w:pPr>
        <w:pStyle w:val="BodyText"/>
        <w:spacing w:line="316" w:lineRule="auto" w:before="19"/>
        <w:ind w:right="1133" w:firstLine="480"/>
        <w:jc w:val="both"/>
      </w:pPr>
      <w:r>
        <w:rPr>
          <w:spacing w:val="-1"/>
        </w:rPr>
        <w:t>金融资产整体转移满足终止确认条件的，将所转移金融资产的账面价值及因转移而收到的对价与原计入其他综合收益</w:t>
      </w:r>
      <w:r>
        <w:rPr/>
        <w:t> 的公允价值变动累计额之和的差额计入当期损益。</w:t>
      </w:r>
    </w:p>
    <w:p>
      <w:pPr>
        <w:pStyle w:val="BodyText"/>
        <w:spacing w:line="319" w:lineRule="auto" w:before="19"/>
        <w:ind w:right="1131" w:firstLine="480"/>
        <w:jc w:val="both"/>
      </w:pPr>
      <w:r>
        <w:rPr>
          <w:spacing w:val="-1"/>
        </w:rPr>
        <w:t>金融资产部分转移满足终止确认条件的，将所转移金融资产的账面价值在终止确认及未终止确认部分之间按其相对的</w:t>
      </w:r>
      <w:r>
        <w:rPr/>
        <w:t>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316" w:lineRule="auto" w:before="17"/>
        <w:ind w:right="1130" w:firstLine="480"/>
        <w:jc w:val="both"/>
      </w:pPr>
      <w:r>
        <w:rPr>
          <w:spacing w:val="-1"/>
        </w:rPr>
        <w:t>本公司对采用附追索权方式出售的金融资产，或将持有的金融资产背书转让，需确定该金融资产所有权上几乎所有的</w:t>
      </w:r>
      <w:r>
        <w:rPr/>
        <w:t> </w:t>
      </w:r>
      <w:r>
        <w:rPr>
          <w:spacing w:val="-2"/>
        </w:rPr>
        <w:t>风险和报酬是否已经转移。已将该金融资产所有权上几乎所有的风险和报酬转移给转入方的，终止确认该金融资产；保留了</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0"/>
        <w:jc w:val="left"/>
      </w:pP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316" w:lineRule="auto" w:before="19"/>
        <w:ind w:left="634" w:right="0"/>
        <w:jc w:val="left"/>
      </w:pPr>
      <w:r>
        <w:rPr/>
        <w:t>（</w:t>
      </w:r>
      <w:r>
        <w:rPr>
          <w:rFonts w:ascii="宋体" w:hAnsi="宋体" w:cs="宋体" w:eastAsia="宋体" w:hint="default"/>
        </w:rPr>
        <w:t>5</w:t>
      </w:r>
      <w:r>
        <w:rPr/>
        <w:t>）金融负债的分类和计量 </w:t>
      </w:r>
      <w:r>
        <w:rPr>
          <w:spacing w:val="2"/>
        </w:rPr>
        <w:t>金融负债在初始确认时划分为以公允价值计量且其变动计入当期损益的金融负债和其他金融负债。初始确认金融负</w:t>
      </w:r>
    </w:p>
    <w:p>
      <w:pPr>
        <w:pStyle w:val="BodyText"/>
        <w:spacing w:line="316" w:lineRule="auto" w:before="19"/>
        <w:ind w:right="0"/>
        <w:jc w:val="left"/>
      </w:pPr>
      <w:r>
        <w:rPr>
          <w:spacing w:val="-2"/>
        </w:rPr>
        <w:t>债，以公允价值计量。对于以公允价值计量且其变动计入当期损益的金融负债，相关的交易费用直接计入当期损益，对于其</w:t>
      </w:r>
      <w:r>
        <w:rPr>
          <w:spacing w:val="-66"/>
        </w:rPr>
        <w:t> </w:t>
      </w:r>
      <w:r>
        <w:rPr>
          <w:spacing w:val="-66"/>
        </w:rPr>
      </w:r>
      <w:r>
        <w:rPr/>
        <w:t>他金融负债，相关交易费用计入初始确认金额。</w:t>
      </w:r>
    </w:p>
    <w:p>
      <w:pPr>
        <w:pStyle w:val="BodyText"/>
        <w:spacing w:line="316" w:lineRule="auto" w:before="19"/>
        <w:ind w:left="634" w:right="0"/>
        <w:jc w:val="left"/>
      </w:pPr>
      <w:r>
        <w:rPr/>
        <w:t>① 以公允价值计量且其变动计入当期损益的金融负债 </w:t>
      </w:r>
      <w:r>
        <w:rPr>
          <w:spacing w:val="2"/>
        </w:rPr>
        <w:t>分类为交易性金融负债和在初始确认时指定为以公允价值计量且其变动计入当期损益的金融负债的条件与分类为交</w:t>
      </w:r>
    </w:p>
    <w:p>
      <w:pPr>
        <w:pStyle w:val="BodyText"/>
        <w:spacing w:line="316" w:lineRule="auto" w:before="19"/>
        <w:ind w:left="634" w:right="0" w:hanging="480"/>
        <w:jc w:val="left"/>
      </w:pPr>
      <w:r>
        <w:rPr/>
        <w:t>易性金融资产和在初始确认时指定为以公允价值计量且其变动计入当期损益的金融资产的条件一致。 </w:t>
      </w:r>
      <w:r>
        <w:rPr>
          <w:spacing w:val="-1"/>
        </w:rPr>
        <w:t>以公允价值计量且其变动计入当期损益的金融负债采用公允价值进行后续计量，公允价值的变动形成的利得或损失以</w:t>
      </w:r>
    </w:p>
    <w:p>
      <w:pPr>
        <w:pStyle w:val="BodyText"/>
        <w:spacing w:line="240" w:lineRule="auto" w:before="19"/>
        <w:ind w:right="0"/>
        <w:jc w:val="left"/>
      </w:pPr>
      <w:r>
        <w:rPr/>
        <w:t>及与该等金融负债相关的股利和利息支出计入当期损益。</w:t>
      </w:r>
    </w:p>
    <w:p>
      <w:pPr>
        <w:pStyle w:val="BodyText"/>
        <w:spacing w:line="316" w:lineRule="auto" w:before="76"/>
        <w:ind w:left="634" w:right="0"/>
        <w:jc w:val="left"/>
      </w:pPr>
      <w:r>
        <w:rPr/>
        <w:t>② 其他金融负债 </w:t>
      </w:r>
      <w:r>
        <w:rPr>
          <w:spacing w:val="-1"/>
        </w:rPr>
        <w:t>与在活跃市场中没有报价、公允价值不能可靠计量的权益工具挂钩并须通过交付该权益工具结算的衍生金融负债，按</w:t>
      </w:r>
    </w:p>
    <w:p>
      <w:pPr>
        <w:pStyle w:val="BodyText"/>
        <w:spacing w:line="316" w:lineRule="auto" w:before="19"/>
        <w:ind w:right="1118"/>
        <w:jc w:val="left"/>
      </w:pPr>
      <w:r>
        <w:rPr>
          <w:spacing w:val="-2"/>
        </w:rPr>
        <w:t>照成本进行后续计量。其他金融负债采用实际利率法，按摊余成本进行后续计量，终止确认或摊销产生的利得或损失计入当</w:t>
      </w:r>
      <w:r>
        <w:rPr>
          <w:spacing w:val="-66"/>
        </w:rPr>
        <w:t> </w:t>
      </w:r>
      <w:r>
        <w:rPr>
          <w:spacing w:val="-66"/>
        </w:rPr>
      </w:r>
      <w:r>
        <w:rPr/>
        <w:t>期损益。</w:t>
      </w:r>
    </w:p>
    <w:p>
      <w:pPr>
        <w:pStyle w:val="BodyText"/>
        <w:spacing w:line="316" w:lineRule="auto" w:before="19"/>
        <w:ind w:left="634" w:right="0"/>
        <w:jc w:val="left"/>
      </w:pPr>
      <w:r>
        <w:rPr/>
        <w:t>（</w:t>
      </w:r>
      <w:r>
        <w:rPr>
          <w:rFonts w:ascii="宋体" w:hAnsi="宋体" w:cs="宋体" w:eastAsia="宋体" w:hint="default"/>
        </w:rPr>
        <w:t>6</w:t>
      </w:r>
      <w:r>
        <w:rPr/>
        <w:t>）金融负债的终止确认 </w:t>
      </w:r>
      <w:r>
        <w:rPr>
          <w:spacing w:val="-1"/>
        </w:rPr>
        <w:t>金融负债的现时义务全部或部分已经解除的，才能终止确认该金融负债或其一部分。本公司（债务人）与债权人之间</w:t>
      </w:r>
    </w:p>
    <w:p>
      <w:pPr>
        <w:pStyle w:val="BodyText"/>
        <w:spacing w:line="316" w:lineRule="auto" w:before="19"/>
        <w:ind w:right="0"/>
        <w:jc w:val="left"/>
      </w:pPr>
      <w:r>
        <w:rPr>
          <w:spacing w:val="-2"/>
        </w:rPr>
        <w:t>签订协议，以承担新金融负债方式替换现存金融负债，且新金融负债与现存金融负债的合同条款实质上不同的，终止确认现</w:t>
      </w:r>
      <w:r>
        <w:rPr>
          <w:spacing w:val="-66"/>
        </w:rPr>
        <w:t> </w:t>
      </w:r>
      <w:r>
        <w:rPr>
          <w:spacing w:val="-66"/>
        </w:rPr>
      </w:r>
      <w:r>
        <w:rPr/>
        <w:t>存金融负债，并同时确认新金融负债。</w:t>
      </w:r>
    </w:p>
    <w:p>
      <w:pPr>
        <w:pStyle w:val="BodyText"/>
        <w:spacing w:line="316" w:lineRule="auto" w:before="19"/>
        <w:ind w:right="0" w:firstLine="480"/>
        <w:jc w:val="left"/>
      </w:pPr>
      <w:r>
        <w:rPr>
          <w:spacing w:val="-1"/>
        </w:rPr>
        <w:t>金融负债全部或部分终止确认的，将终止确认部分的账面价值与支付的对价（包括转出的非现金资产或承担的新金融</w:t>
      </w:r>
      <w:r>
        <w:rPr/>
        <w:t> 负债）之间的差额，计入当期损益。</w:t>
      </w:r>
    </w:p>
    <w:p>
      <w:pPr>
        <w:pStyle w:val="BodyText"/>
        <w:spacing w:line="319" w:lineRule="auto" w:before="19"/>
        <w:ind w:left="634" w:right="0"/>
        <w:jc w:val="left"/>
      </w:pPr>
      <w:r>
        <w:rPr/>
        <w:t>（</w:t>
      </w:r>
      <w:r>
        <w:rPr>
          <w:rFonts w:ascii="宋体" w:hAnsi="宋体" w:cs="宋体" w:eastAsia="宋体" w:hint="default"/>
        </w:rPr>
        <w:t>7</w:t>
      </w:r>
      <w:r>
        <w:rPr/>
        <w:t>）金融资产和金融负债的抵销 </w:t>
      </w:r>
      <w:r>
        <w:rPr>
          <w:spacing w:val="-1"/>
        </w:rPr>
        <w:t>当本公司具有抵销已确认金融资产和金融负债的法定权利，且目前可执行该种法定权利，同时本公司计划以净额结算</w:t>
      </w:r>
    </w:p>
    <w:p>
      <w:pPr>
        <w:pStyle w:val="BodyText"/>
        <w:spacing w:line="316" w:lineRule="auto" w:before="17"/>
        <w:ind w:right="0"/>
        <w:jc w:val="left"/>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pStyle w:val="BodyText"/>
        <w:spacing w:line="316" w:lineRule="auto" w:before="19"/>
        <w:ind w:left="634" w:right="1118"/>
        <w:jc w:val="left"/>
      </w:pPr>
      <w:r>
        <w:rPr/>
        <w:t>（</w:t>
      </w:r>
      <w:r>
        <w:rPr>
          <w:rFonts w:ascii="宋体" w:hAnsi="宋体" w:cs="宋体" w:eastAsia="宋体" w:hint="default"/>
        </w:rPr>
        <w:t>8</w:t>
      </w:r>
      <w:r>
        <w:rPr/>
        <w:t>）权益工具 </w:t>
      </w:r>
      <w:r>
        <w:rPr>
          <w:spacing w:val="-1"/>
        </w:rPr>
        <w:t>权益工具是指能证明拥有本公司在扣除所有负债后的资产中的剩余权益的合同。企业合并中合并方发行权益工具发生</w:t>
      </w:r>
    </w:p>
    <w:p>
      <w:pPr>
        <w:pStyle w:val="BodyText"/>
        <w:spacing w:line="316" w:lineRule="auto" w:before="19"/>
        <w:ind w:right="1118"/>
        <w:jc w:val="left"/>
      </w:pPr>
      <w:r>
        <w:rPr>
          <w:spacing w:val="-2"/>
        </w:rPr>
        <w:t>的交易费用抵减权益工具的溢价收入，不足抵减的，冲减留存收益。其余权益工具，在发行时收到的对价扣除交易费用后增</w:t>
      </w:r>
      <w:r>
        <w:rPr>
          <w:spacing w:val="-66"/>
        </w:rPr>
        <w:t> </w:t>
      </w:r>
      <w:r>
        <w:rPr>
          <w:spacing w:val="-66"/>
        </w:rPr>
      </w:r>
      <w:r>
        <w:rPr/>
        <w:t>加股东权益。</w:t>
      </w:r>
    </w:p>
    <w:p>
      <w:pPr>
        <w:pStyle w:val="BodyText"/>
        <w:spacing w:line="240" w:lineRule="auto" w:before="19"/>
        <w:ind w:left="634" w:right="0"/>
        <w:jc w:val="left"/>
      </w:pPr>
      <w:r>
        <w:rPr>
          <w:spacing w:val="-3"/>
        </w:rPr>
        <w:t>本公司对权益工具持有方的各种分配（不包括股票股利），减少股东权益。本公司不确认权益工具的公允价值变动额。</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1、应收票据及应收账款" w:id="176"/>
      <w:bookmarkEnd w:id="176"/>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77"/>
      <w:bookmarkEnd w:id="177"/>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单项金额重大的具体标准为：金额在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4"/>
        <w:spacing w:line="240" w:lineRule="auto" w:before="35"/>
        <w:ind w:right="0"/>
        <w:jc w:val="left"/>
        <w:rPr>
          <w:b w:val="0"/>
          <w:bCs w:val="0"/>
        </w:rPr>
      </w:pPr>
      <w:bookmarkStart w:name="（2）按信用风险特征组合计提坏账准备的应收款项" w:id="178"/>
      <w:bookmarkEnd w:id="178"/>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656"/>
        <w:gridCol w:w="1913"/>
      </w:tblGrid>
      <w:tr>
        <w:trPr>
          <w:trHeight w:val="402" w:hRule="exact"/>
        </w:trPr>
        <w:tc>
          <w:tcPr>
            <w:tcW w:w="7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7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除单项金额重大并单项计提坏账和单项金额虽不重大但单项计提坏账的应收款项以外的客户。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40" w:lineRule="auto" w:before="116"/>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79"/>
      <w:bookmarkEnd w:id="179"/>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pStyle w:val="BodyText"/>
        <w:spacing w:line="240" w:lineRule="auto"/>
        <w:ind w:left="0" w:right="1139"/>
        <w:jc w:val="right"/>
      </w:pPr>
      <w:r>
        <w:rPr/>
        <w:pict>
          <v:shape style="position:absolute;margin-left:56.459999pt;margin-top:-20.968285pt;width:479.2pt;height:56.3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存在明显减值迹象的其他单项金额不重大的应收款项</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1"/>
                          <w:jc w:val="left"/>
                          <w:rPr>
                            <w:rFonts w:ascii="宋体" w:hAnsi="宋体" w:cs="宋体" w:eastAsia="宋体" w:hint="default"/>
                            <w:sz w:val="18"/>
                            <w:szCs w:val="18"/>
                          </w:rPr>
                        </w:pPr>
                        <w:r>
                          <w:rPr>
                            <w:rFonts w:ascii="宋体" w:hAnsi="宋体" w:cs="宋体" w:eastAsia="宋体" w:hint="default"/>
                            <w:spacing w:val="-2"/>
                            <w:sz w:val="18"/>
                            <w:szCs w:val="18"/>
                          </w:rPr>
                          <w:t>按其未来现金流量现值低于账面价值的差额，确定减值损失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90"/>
        <w:ind w:right="0"/>
        <w:jc w:val="left"/>
        <w:rPr>
          <w:b w:val="0"/>
          <w:bCs w:val="0"/>
        </w:rPr>
      </w:pPr>
      <w:bookmarkStart w:name="12、存货" w:id="180"/>
      <w:bookmarkEnd w:id="180"/>
      <w:r>
        <w:rPr>
          <w:b w:val="0"/>
          <w:bCs w:val="0"/>
        </w:rPr>
      </w:r>
      <w:r>
        <w:rPr>
          <w:rFonts w:ascii="Times New Roman" w:hAnsi="Times New Roman" w:cs="Times New Roman" w:eastAsia="Times New Roman" w:hint="default"/>
        </w:rPr>
        <w:t>12</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692"/>
        <w:jc w:val="left"/>
      </w:pPr>
      <w:r>
        <w:rPr/>
        <w:t>公司是否需要遵守特殊行业的披露要求 是 软件与信息技术服务业</w:t>
      </w:r>
      <w:r>
        <w:rPr>
          <w:rFonts w:ascii="Times New Roman" w:hAnsi="Times New Roman" w:cs="Times New Roman" w:eastAsia="Times New Roman" w:hint="default"/>
        </w:rPr>
        <w:t>;</w:t>
      </w:r>
      <w:r>
        <w:rPr/>
        <w:t>互联网游戏业</w:t>
      </w:r>
    </w:p>
    <w:p>
      <w:pPr>
        <w:pStyle w:val="BodyText"/>
        <w:spacing w:line="316" w:lineRule="auto" w:before="4"/>
        <w:ind w:left="634" w:right="3972"/>
        <w:jc w:val="left"/>
      </w:pPr>
      <w:r>
        <w:rPr/>
        <w:t>（</w:t>
      </w:r>
      <w:r>
        <w:rPr>
          <w:rFonts w:ascii="宋体" w:hAnsi="宋体" w:cs="宋体" w:eastAsia="宋体" w:hint="default"/>
        </w:rPr>
        <w:t>1</w:t>
      </w:r>
      <w:r>
        <w:rPr/>
        <w:t>） 存货分类 本公司存货主要包括：原材料、在产品、库存商品、低值易耗品、发出商品等。</w:t>
      </w:r>
    </w:p>
    <w:p>
      <w:pPr>
        <w:pStyle w:val="BodyText"/>
        <w:spacing w:line="316" w:lineRule="auto" w:before="19"/>
        <w:ind w:left="634" w:right="0"/>
        <w:jc w:val="left"/>
      </w:pPr>
      <w:r>
        <w:rPr/>
        <w:t>（</w:t>
      </w:r>
      <w:r>
        <w:rPr>
          <w:rFonts w:ascii="宋体" w:hAnsi="宋体" w:cs="宋体" w:eastAsia="宋体" w:hint="default"/>
        </w:rPr>
        <w:t>2</w:t>
      </w:r>
      <w:r>
        <w:rPr/>
        <w:t>）存货取得和发出存货的计价方法 </w:t>
      </w:r>
      <w:r>
        <w:rPr>
          <w:spacing w:val="-3"/>
        </w:rPr>
        <w:t>存货在取得时，按成本进行初始计量，包括采购成本、加工成本和其他成本。存货发出时按月末一次加权平均法计价。</w:t>
      </w:r>
    </w:p>
    <w:p>
      <w:pPr>
        <w:pStyle w:val="BodyText"/>
        <w:spacing w:line="316" w:lineRule="auto" w:before="19"/>
        <w:ind w:left="634" w:right="0" w:hanging="120"/>
        <w:jc w:val="left"/>
      </w:pPr>
      <w:r>
        <w:rPr/>
        <w:t>（</w:t>
      </w:r>
      <w:r>
        <w:rPr>
          <w:rFonts w:ascii="宋体" w:hAnsi="宋体" w:cs="宋体" w:eastAsia="宋体" w:hint="default"/>
        </w:rPr>
        <w:t>3</w:t>
      </w:r>
      <w:r>
        <w:rPr/>
        <w:t>）期末存货的计量 </w:t>
      </w:r>
      <w:r>
        <w:rPr>
          <w:spacing w:val="-1"/>
        </w:rPr>
        <w:t>资产负债表日，存货按成本与可变现净值孰低计量，存货成本高于其可变现净值的，计提存货跌价准备，计入当期损</w:t>
      </w:r>
    </w:p>
    <w:p>
      <w:pPr>
        <w:pStyle w:val="BodyText"/>
        <w:spacing w:line="240" w:lineRule="auto" w:before="19"/>
        <w:ind w:right="0"/>
        <w:jc w:val="left"/>
      </w:pPr>
      <w:r>
        <w:rPr/>
        <w:t>益。</w:t>
      </w:r>
    </w:p>
    <w:p>
      <w:pPr>
        <w:pStyle w:val="BodyText"/>
        <w:spacing w:line="240" w:lineRule="auto" w:before="76"/>
        <w:ind w:left="634" w:right="0"/>
        <w:jc w:val="left"/>
      </w:pPr>
      <w:r>
        <w:rPr/>
        <w:t>按单个存货项目计算的成本高于其可变现净值的差额，计提存货跌价准备，计入当期损益。可变现净值，是指在日常</w:t>
      </w:r>
    </w:p>
    <w:p>
      <w:pPr>
        <w:pStyle w:val="BodyText"/>
        <w:spacing w:line="240" w:lineRule="auto" w:before="76"/>
        <w:ind w:right="0"/>
        <w:jc w:val="left"/>
      </w:pPr>
      <w:r>
        <w:rPr/>
        <w:t>活动中，存货的估计售价减去至完工时估计将要发生的成本、估计的销售费用以及相关税费后的金额。</w:t>
      </w:r>
    </w:p>
    <w:p>
      <w:pPr>
        <w:pStyle w:val="BodyText"/>
        <w:spacing w:line="316" w:lineRule="auto" w:before="77"/>
        <w:ind w:left="634" w:right="8292" w:hanging="120"/>
        <w:jc w:val="left"/>
      </w:pPr>
      <w:r>
        <w:rPr/>
        <w:t>（</w:t>
      </w:r>
      <w:r>
        <w:rPr>
          <w:rFonts w:ascii="宋体" w:hAnsi="宋体" w:cs="宋体" w:eastAsia="宋体" w:hint="default"/>
        </w:rPr>
        <w:t>4</w:t>
      </w:r>
      <w:r>
        <w:rPr/>
        <w:t>）存货的盘存制度 本公司采用永续盘存制。</w:t>
      </w:r>
    </w:p>
    <w:p>
      <w:pPr>
        <w:pStyle w:val="BodyText"/>
        <w:spacing w:line="240" w:lineRule="auto" w:before="17"/>
        <w:ind w:left="634" w:right="0"/>
        <w:jc w:val="left"/>
      </w:pPr>
      <w:r>
        <w:rPr/>
        <w:t>（</w:t>
      </w:r>
      <w:r>
        <w:rPr>
          <w:rFonts w:ascii="宋体" w:hAnsi="宋体" w:cs="宋体" w:eastAsia="宋体" w:hint="default"/>
        </w:rPr>
        <w:t>5</w:t>
      </w:r>
      <w:r>
        <w:rPr/>
        <w:t>） 低值易耗品和包装物的摊销办法</w:t>
      </w:r>
    </w:p>
    <w:p>
      <w:pPr>
        <w:pStyle w:val="BodyText"/>
        <w:spacing w:line="240" w:lineRule="auto" w:before="76"/>
        <w:ind w:left="634" w:right="0"/>
        <w:jc w:val="left"/>
      </w:pPr>
      <w:r>
        <w:rPr/>
        <w:t>①低值易耗品采用一次转销法；</w:t>
      </w:r>
    </w:p>
    <w:p>
      <w:pPr>
        <w:pStyle w:val="BodyText"/>
        <w:spacing w:line="240" w:lineRule="auto" w:before="76"/>
        <w:ind w:left="634" w:right="0"/>
        <w:jc w:val="left"/>
      </w:pPr>
      <w:r>
        <w:rPr/>
        <w:t>②包装物采用一次转销法。</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Heading6"/>
        <w:spacing w:line="240" w:lineRule="auto" w:before="44"/>
        <w:ind w:right="0"/>
        <w:jc w:val="both"/>
        <w:rPr>
          <w:b w:val="0"/>
          <w:bCs w:val="0"/>
        </w:rPr>
      </w:pPr>
      <w:bookmarkStart w:name="13、持有待售资产" w:id="181"/>
      <w:bookmarkEnd w:id="181"/>
      <w:r>
        <w:rPr>
          <w:b w:val="0"/>
          <w:bCs w:val="0"/>
        </w:rPr>
      </w:r>
      <w:r>
        <w:rPr>
          <w:rFonts w:ascii="宋体" w:hAnsi="宋体" w:cs="宋体" w:eastAsia="宋体" w:hint="default"/>
        </w:rPr>
        <w:t>13</w:t>
      </w:r>
      <w:r>
        <w:rPr/>
        <w:t>、持有待售资产</w:t>
      </w:r>
      <w:r>
        <w:rPr>
          <w:b w:val="0"/>
          <w:bCs w:val="0"/>
        </w:rPr>
      </w:r>
    </w:p>
    <w:p>
      <w:pPr>
        <w:spacing w:line="240" w:lineRule="auto" w:before="0"/>
        <w:rPr>
          <w:rFonts w:ascii="宋体" w:hAnsi="宋体" w:cs="宋体" w:eastAsia="宋体" w:hint="default"/>
          <w:b/>
          <w:bCs/>
          <w:sz w:val="18"/>
          <w:szCs w:val="18"/>
        </w:rPr>
      </w:pPr>
    </w:p>
    <w:p>
      <w:pPr>
        <w:pStyle w:val="Heading6"/>
        <w:spacing w:line="240" w:lineRule="auto" w:before="142"/>
        <w:ind w:right="0"/>
        <w:jc w:val="both"/>
        <w:rPr>
          <w:b w:val="0"/>
          <w:bCs w:val="0"/>
        </w:rPr>
      </w:pPr>
      <w:bookmarkStart w:name="14、长期股权投资" w:id="182"/>
      <w:bookmarkEnd w:id="182"/>
      <w:r>
        <w:rPr>
          <w:b w:val="0"/>
          <w:bCs w:val="0"/>
        </w:rPr>
      </w:r>
      <w:r>
        <w:rPr>
          <w:rFonts w:ascii="宋体" w:hAnsi="宋体" w:cs="宋体" w:eastAsia="宋体" w:hint="default"/>
        </w:rPr>
        <w:t>14</w:t>
      </w:r>
      <w:r>
        <w:rPr/>
        <w:t>、长期股权投资</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41"/>
        <w:ind w:left="634" w:right="5772"/>
        <w:jc w:val="left"/>
      </w:pPr>
      <w:r>
        <w:rPr/>
        <w:t>（</w:t>
      </w:r>
      <w:r>
        <w:rPr>
          <w:rFonts w:ascii="宋体" w:hAnsi="宋体" w:cs="宋体" w:eastAsia="宋体" w:hint="default"/>
        </w:rPr>
        <w:t>1</w:t>
      </w:r>
      <w:r>
        <w:rPr/>
        <w:t>） 初始计量 本公司分别下列两种情况对长期股权投资进行初始计量：</w:t>
      </w:r>
    </w:p>
    <w:p>
      <w:pPr>
        <w:pStyle w:val="BodyText"/>
        <w:spacing w:line="316" w:lineRule="auto" w:before="19"/>
        <w:ind w:left="634" w:right="0"/>
        <w:jc w:val="left"/>
      </w:pPr>
      <w:r>
        <w:rPr/>
        <w:t>①企业合并形成的长期股权投资，按照下列规定确定其初始投资成本： </w:t>
      </w:r>
      <w:r>
        <w:rPr>
          <w:rFonts w:ascii="宋体" w:hAnsi="宋体" w:cs="宋体" w:eastAsia="宋体" w:hint="default"/>
        </w:rPr>
        <w:t>A</w:t>
      </w:r>
      <w:r>
        <w:rPr/>
        <w:t>、同一控制下的企业合并中，合并方以支付现金、转让非现金资产或承担债务方式作为合并对价的，在合并日按照</w:t>
      </w:r>
    </w:p>
    <w:p>
      <w:pPr>
        <w:pStyle w:val="BodyText"/>
        <w:spacing w:line="316" w:lineRule="auto" w:before="19"/>
        <w:ind w:right="1131"/>
        <w:jc w:val="both"/>
      </w:pPr>
      <w:r>
        <w:rPr>
          <w:spacing w:val="-2"/>
        </w:rPr>
        <w:t>被合并方所有者权益在最终控制方合并财务报表中的账面价值的份额作为长期股权投资的初始投资成本。长期股权投资初始</w:t>
      </w:r>
      <w:r>
        <w:rPr>
          <w:spacing w:val="-64"/>
        </w:rPr>
        <w:t> </w:t>
      </w:r>
      <w:r>
        <w:rPr>
          <w:spacing w:val="-64"/>
        </w:rPr>
      </w:r>
      <w:r>
        <w:rPr>
          <w:spacing w:val="-2"/>
        </w:rPr>
        <w:t>投资成本与支付的现金、转让的非现金资产以及所承担债务账面价值之间的差额，调整资本公积；资本公积不足冲减的，调</w:t>
      </w:r>
      <w:r>
        <w:rPr>
          <w:spacing w:val="-66"/>
        </w:rPr>
        <w:t> </w:t>
      </w:r>
      <w:r>
        <w:rPr>
          <w:spacing w:val="-66"/>
        </w:rPr>
      </w:r>
      <w:r>
        <w:rPr>
          <w:spacing w:val="-2"/>
        </w:rPr>
        <w:t>整留存收益。为进行企业合并发生的各项直接相关费用，包括为进行企业合并而支付的审计费用、评估费用、法律服务费用</w:t>
      </w:r>
      <w:r>
        <w:rPr>
          <w:spacing w:val="-66"/>
        </w:rPr>
        <w:t> </w:t>
      </w:r>
      <w:r>
        <w:rPr>
          <w:spacing w:val="-66"/>
        </w:rPr>
      </w:r>
      <w:r>
        <w:rPr/>
        <w:t>等，于发生时计入当期损益。</w:t>
      </w:r>
    </w:p>
    <w:p>
      <w:pPr>
        <w:pStyle w:val="BodyText"/>
        <w:spacing w:line="316" w:lineRule="auto" w:before="19"/>
        <w:ind w:left="634" w:right="0"/>
        <w:jc w:val="left"/>
      </w:pPr>
      <w:r>
        <w:rPr>
          <w:rFonts w:ascii="宋体" w:hAnsi="宋体" w:cs="宋体" w:eastAsia="宋体" w:hint="default"/>
        </w:rPr>
        <w:t>B</w:t>
      </w:r>
      <w:r>
        <w:rPr/>
        <w:t>、非同一控制下的企业合并中，本公司区别下列情况确定合并成本： </w:t>
      </w:r>
      <w:r>
        <w:rPr>
          <w:rFonts w:ascii="宋体" w:hAnsi="宋体" w:cs="宋体" w:eastAsia="宋体" w:hint="default"/>
        </w:rPr>
        <w:t>a</w:t>
      </w:r>
      <w:r>
        <w:rPr/>
        <w:t>）一次交换交易实现的企业合并，合并成本为在购买日为取得对被购买方的控制权而付出的资产、发生或承担的负</w:t>
      </w:r>
    </w:p>
    <w:p>
      <w:pPr>
        <w:pStyle w:val="BodyText"/>
        <w:spacing w:line="240" w:lineRule="auto" w:before="19"/>
        <w:ind w:right="0"/>
        <w:jc w:val="both"/>
      </w:pPr>
      <w:r>
        <w:rPr/>
        <w:t>债的公允价值；</w:t>
      </w:r>
    </w:p>
    <w:p>
      <w:pPr>
        <w:pStyle w:val="BodyText"/>
        <w:spacing w:line="316" w:lineRule="auto" w:before="76"/>
        <w:ind w:right="0" w:firstLine="480"/>
        <w:jc w:val="left"/>
      </w:pPr>
      <w:r>
        <w:rPr>
          <w:rFonts w:ascii="宋体" w:hAnsi="宋体" w:cs="宋体" w:eastAsia="宋体" w:hint="default"/>
        </w:rPr>
        <w:t>b</w:t>
      </w:r>
      <w:r>
        <w:rPr/>
        <w:t>）通过多次交换交易分步实现的企业合并，以购买日之前所持被购买方的股权投资的账面价值与购买日新增投资成 本之和，作为该项投资的初始投资成本；</w:t>
      </w:r>
    </w:p>
    <w:p>
      <w:pPr>
        <w:pStyle w:val="BodyText"/>
        <w:spacing w:line="316" w:lineRule="auto" w:before="19"/>
        <w:ind w:left="634" w:right="0"/>
        <w:jc w:val="left"/>
      </w:pPr>
      <w:r>
        <w:rPr>
          <w:rFonts w:ascii="宋体" w:hAnsi="宋体" w:cs="宋体" w:eastAsia="宋体" w:hint="default"/>
        </w:rPr>
        <w:t>c</w:t>
      </w:r>
      <w:r>
        <w:rPr/>
        <w:t>）为企业合并发生的审计、法律服务、评估咨询等中介费用以及其他相关管理费用，于发生时计入当期损益； </w:t>
      </w:r>
      <w:r>
        <w:rPr>
          <w:rFonts w:ascii="宋体" w:hAnsi="宋体" w:cs="宋体" w:eastAsia="宋体" w:hint="default"/>
        </w:rPr>
        <w:t>d</w:t>
      </w:r>
      <w:r>
        <w:rPr/>
        <w:t>）在合并合同或协议中对可能影响合并成本的未来事项作出约定的，购买日如果估计未来事项很可能发生并且对合</w:t>
      </w:r>
    </w:p>
    <w:p>
      <w:pPr>
        <w:pStyle w:val="BodyText"/>
        <w:spacing w:line="240" w:lineRule="auto" w:before="19"/>
        <w:ind w:right="0"/>
        <w:jc w:val="both"/>
      </w:pPr>
      <w:r>
        <w:rPr/>
        <w:t>并成本的影响金额能够可靠计量的，将其计入合并成本。</w:t>
      </w:r>
    </w:p>
    <w:p>
      <w:pPr>
        <w:pStyle w:val="BodyText"/>
        <w:spacing w:line="316" w:lineRule="auto" w:before="76"/>
        <w:ind w:left="634" w:right="0"/>
        <w:jc w:val="left"/>
      </w:pPr>
      <w:r>
        <w:rPr/>
        <w:t>②除企业合并形成的长期股权投资以外，其他方式取得的长期股权投资，按照下列规定确定其初始投资成本： </w:t>
      </w:r>
      <w:r>
        <w:rPr>
          <w:rFonts w:ascii="宋体" w:hAnsi="宋体" w:cs="宋体" w:eastAsia="宋体" w:hint="default"/>
        </w:rPr>
        <w:t>A</w:t>
      </w:r>
      <w:r>
        <w:rPr/>
        <w:t>、以支付现金取得的长期股权投资，按照实际支付的购买价款作为初始投资成本。初始投资成本包括与取得长期股</w:t>
      </w:r>
    </w:p>
    <w:p>
      <w:pPr>
        <w:pStyle w:val="BodyText"/>
        <w:spacing w:line="316" w:lineRule="auto" w:before="19"/>
        <w:ind w:left="634" w:right="1130" w:hanging="480"/>
        <w:jc w:val="left"/>
      </w:pPr>
      <w:r>
        <w:rPr/>
        <w:t>权投资直接相关的费用、税金及其他必要支出。 </w:t>
      </w:r>
      <w:r>
        <w:rPr>
          <w:rFonts w:ascii="宋体" w:hAnsi="宋体" w:cs="宋体" w:eastAsia="宋体" w:hint="default"/>
        </w:rPr>
        <w:t>B</w:t>
      </w:r>
      <w:r>
        <w:rPr/>
        <w:t>、通过非货币性资产交换取得的长期股权投资，其初始投资成本按照《企业会计准则第</w:t>
      </w:r>
      <w:r>
        <w:rPr>
          <w:rFonts w:ascii="宋体" w:hAnsi="宋体" w:cs="宋体" w:eastAsia="宋体" w:hint="default"/>
        </w:rPr>
        <w:t>7</w:t>
      </w:r>
      <w:r>
        <w:rPr/>
        <w:t>号</w:t>
      </w:r>
      <w:r>
        <w:rPr>
          <w:rFonts w:ascii="宋体" w:hAnsi="宋体" w:cs="宋体" w:eastAsia="宋体" w:hint="default"/>
        </w:rPr>
        <w:t>-</w:t>
      </w:r>
      <w:r>
        <w:rPr/>
        <w:t>非货币性资产交换》确</w:t>
      </w:r>
    </w:p>
    <w:p>
      <w:pPr>
        <w:pStyle w:val="BodyText"/>
        <w:spacing w:line="240" w:lineRule="auto" w:before="19"/>
        <w:ind w:right="0"/>
        <w:jc w:val="left"/>
      </w:pPr>
      <w:r>
        <w:rPr/>
        <w:t>定。</w:t>
      </w:r>
    </w:p>
    <w:p>
      <w:pPr>
        <w:pStyle w:val="BodyText"/>
        <w:spacing w:line="240" w:lineRule="auto" w:before="76"/>
        <w:ind w:left="634" w:right="0"/>
        <w:jc w:val="left"/>
      </w:pPr>
      <w:r>
        <w:rPr>
          <w:rFonts w:ascii="宋体" w:hAnsi="宋体" w:cs="宋体" w:eastAsia="宋体" w:hint="default"/>
        </w:rPr>
        <w:t>C</w:t>
      </w:r>
      <w:r>
        <w:rPr/>
        <w:t>、通过债务重组取得的长期股权投资，其初始投资成本按照《企业会计准则第</w:t>
      </w:r>
      <w:r>
        <w:rPr>
          <w:rFonts w:ascii="宋体" w:hAnsi="宋体" w:cs="宋体" w:eastAsia="宋体" w:hint="default"/>
        </w:rPr>
        <w:t>12</w:t>
      </w:r>
      <w:r>
        <w:rPr/>
        <w:t>号</w:t>
      </w:r>
      <w:r>
        <w:rPr>
          <w:rFonts w:ascii="宋体" w:hAnsi="宋体" w:cs="宋体" w:eastAsia="宋体" w:hint="default"/>
        </w:rPr>
        <w:t>--</w:t>
      </w:r>
      <w:r>
        <w:rPr/>
        <w:t>债务重组》确定。</w:t>
      </w:r>
    </w:p>
    <w:p>
      <w:pPr>
        <w:pStyle w:val="BodyText"/>
        <w:spacing w:line="240" w:lineRule="auto" w:before="76"/>
        <w:ind w:left="634" w:right="0"/>
        <w:jc w:val="left"/>
      </w:pPr>
      <w:r>
        <w:rPr/>
        <w:t>③无论是以何种方式取得长期股权投资，取得投资时，对于支付的对价中包含的应享有被投资单位已经宣告但尚未发</w:t>
      </w:r>
    </w:p>
    <w:p>
      <w:pPr>
        <w:pStyle w:val="BodyText"/>
        <w:spacing w:line="240" w:lineRule="auto" w:before="76"/>
        <w:ind w:right="0"/>
        <w:jc w:val="left"/>
      </w:pPr>
      <w:r>
        <w:rPr/>
        <w:t>放的现金股利或利润都作为应收项目单独核算，不构成取得长期股权投资的初始投资成本。</w:t>
      </w:r>
    </w:p>
    <w:p>
      <w:pPr>
        <w:pStyle w:val="BodyText"/>
        <w:spacing w:line="316" w:lineRule="auto" w:before="76"/>
        <w:ind w:left="634" w:right="0"/>
        <w:jc w:val="left"/>
      </w:pPr>
      <w:r>
        <w:rPr/>
        <w:t>（</w:t>
      </w:r>
      <w:r>
        <w:rPr>
          <w:rFonts w:ascii="宋体" w:hAnsi="宋体" w:cs="宋体" w:eastAsia="宋体" w:hint="default"/>
        </w:rPr>
        <w:t>2</w:t>
      </w:r>
      <w:r>
        <w:rPr/>
        <w:t>） 后续计量 </w:t>
      </w:r>
      <w:r>
        <w:rPr>
          <w:spacing w:val="-1"/>
        </w:rPr>
        <w:t>能够对被投资单位实施控制的长期股权投资，在个别财务报表中采用成本法核算。对被投资单位具有共同控制或重大</w:t>
      </w:r>
    </w:p>
    <w:p>
      <w:pPr>
        <w:pStyle w:val="BodyText"/>
        <w:spacing w:line="240" w:lineRule="auto" w:before="19"/>
        <w:ind w:right="0"/>
        <w:jc w:val="left"/>
      </w:pPr>
      <w:r>
        <w:rPr/>
        <w:t>影响的长期股权投资，采用权益法核算。</w:t>
      </w:r>
    </w:p>
    <w:p>
      <w:pPr>
        <w:pStyle w:val="BodyText"/>
        <w:spacing w:line="316" w:lineRule="auto" w:before="76"/>
        <w:ind w:right="1133" w:firstLine="480"/>
        <w:jc w:val="both"/>
      </w:pPr>
      <w:r>
        <w:rPr>
          <w:spacing w:val="-1"/>
        </w:rPr>
        <w:t>①采用成本法核算的长期股权投资按照初始投资成本计价。追加或收回投资调整长期股权投资的成本。被投资单位宣</w:t>
      </w:r>
      <w:r>
        <w:rPr/>
        <w:t> 告分派的现金股利或利润，确认为当期投资收益。</w:t>
      </w:r>
    </w:p>
    <w:p>
      <w:pPr>
        <w:pStyle w:val="BodyText"/>
        <w:spacing w:line="316" w:lineRule="auto" w:before="19"/>
        <w:ind w:right="1131" w:firstLine="480"/>
        <w:jc w:val="both"/>
      </w:pPr>
      <w:r>
        <w:rPr>
          <w:spacing w:val="-1"/>
        </w:rPr>
        <w:t>②采用权益法核算的长期股权投资，其初始投资成本大于投资时应享有被投资单位可辨认净资产公允价值份额的，不</w:t>
      </w:r>
      <w:r>
        <w:rPr/>
        <w:t> </w:t>
      </w:r>
      <w:r>
        <w:rPr>
          <w:spacing w:val="-2"/>
        </w:rPr>
        <w:t>调整长期股权投资的初始投资成本；长期股权投资的初始投资成本小于投资时应享有被投资单位可辨认净资产公允价值份额</w:t>
      </w:r>
      <w:r>
        <w:rPr>
          <w:spacing w:val="-64"/>
        </w:rPr>
        <w:t> </w:t>
      </w:r>
      <w:r>
        <w:rPr>
          <w:spacing w:val="-64"/>
        </w:rPr>
      </w:r>
      <w:r>
        <w:rPr/>
        <w:t>的，其差额计入当期损益，同时调整长期股权投资的成本。</w:t>
      </w:r>
    </w:p>
    <w:p>
      <w:pPr>
        <w:pStyle w:val="BodyText"/>
        <w:spacing w:line="316" w:lineRule="auto" w:before="19"/>
        <w:ind w:right="1131" w:firstLine="480"/>
        <w:jc w:val="both"/>
      </w:pPr>
      <w:r>
        <w:rPr>
          <w:spacing w:val="-1"/>
        </w:rPr>
        <w:t>取得长期股权投资后，按照应享有或应分担的被投资单位实现的净损益和其他综合收益的份额，分别确认投资收益和</w:t>
      </w:r>
      <w:r>
        <w:rPr/>
        <w:t> </w:t>
      </w:r>
      <w:r>
        <w:rPr>
          <w:spacing w:val="-2"/>
        </w:rPr>
        <w:t>其他综合收益，同时调整长期股权投资的账面价值；按照被投资单位宣告分派的利润或现金股利计算应享有的部分，相应减</w:t>
      </w:r>
      <w:r>
        <w:rPr>
          <w:spacing w:val="-66"/>
        </w:rPr>
        <w:t> </w:t>
      </w:r>
      <w:r>
        <w:rPr>
          <w:spacing w:val="-66"/>
        </w:rPr>
      </w:r>
      <w:r>
        <w:rPr>
          <w:spacing w:val="-2"/>
        </w:rPr>
        <w:t>少长期股权投资的账面价值；对于被投资单位除净损益、其他综合收益和利润分配以外所有者权益的其他变动，调整长期股</w:t>
      </w:r>
      <w:r>
        <w:rPr>
          <w:spacing w:val="-66"/>
        </w:rPr>
        <w:t> </w:t>
      </w:r>
      <w:r>
        <w:rPr>
          <w:spacing w:val="-66"/>
        </w:rPr>
      </w:r>
      <w:r>
        <w:rPr>
          <w:spacing w:val="-2"/>
        </w:rPr>
        <w:t>权投资的账面价值并计入所有者权益。在确认应享有被投资单位净损益的份额时，以取得投资时被投资单位可辨认净资产的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6"/>
        </w:rPr>
        <w:t> </w:t>
      </w:r>
      <w:r>
        <w:rPr>
          <w:spacing w:val="-66"/>
        </w:rPr>
      </w:r>
      <w:r>
        <w:rPr>
          <w:spacing w:val="-2"/>
        </w:rPr>
        <w:t>本公司的会计政策及会计期间对被投资单位的财务报表进行调整，并据以确认投资收益和其他综合收益等。确认被投资单位</w:t>
      </w:r>
      <w:r>
        <w:rPr>
          <w:spacing w:val="-64"/>
        </w:rPr>
        <w:t> </w:t>
      </w:r>
      <w:r>
        <w:rPr>
          <w:spacing w:val="-64"/>
        </w:rPr>
      </w:r>
      <w:r>
        <w:rPr>
          <w:spacing w:val="-2"/>
        </w:rPr>
        <w:t>发生的净亏损，以长期股权投资的账面价值以及其他实质上构成对被投资单位净投资的长期权益减记至零为限，本公司负有</w:t>
      </w:r>
      <w:r>
        <w:rPr>
          <w:spacing w:val="-64"/>
        </w:rPr>
        <w:t> </w:t>
      </w:r>
      <w:r>
        <w:rPr>
          <w:spacing w:val="-64"/>
        </w:rPr>
      </w:r>
      <w:r>
        <w:rPr>
          <w:spacing w:val="-2"/>
        </w:rPr>
        <w:t>承担额外损失义务的除外。被投资单位以后实现净利润的，本公司在其收益分享额弥补未确认的亏损分担额后，恢复确认收</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益分享额。</w:t>
      </w:r>
    </w:p>
    <w:p>
      <w:pPr>
        <w:pStyle w:val="BodyText"/>
        <w:spacing w:line="316" w:lineRule="auto" w:before="76"/>
        <w:ind w:right="1131" w:firstLine="480"/>
        <w:jc w:val="both"/>
      </w:pPr>
      <w:r>
        <w:rPr>
          <w:spacing w:val="-1"/>
        </w:rPr>
        <w:t>计算确认应享有或应分担被投资单位的净损益时，与联营企业、合营企业之间发生的未实现内部交易损益按照应享有</w:t>
      </w:r>
      <w:r>
        <w:rPr/>
        <w:t> </w:t>
      </w:r>
      <w:r>
        <w:rPr>
          <w:spacing w:val="-2"/>
        </w:rPr>
        <w:t>的比例计算归属于本公司的部分，予以抵销，在此基础上确认投资收益。本公司与被投资单位发生的未实现内部交易损失属</w:t>
      </w:r>
      <w:r>
        <w:rPr>
          <w:spacing w:val="-66"/>
        </w:rPr>
        <w:t> </w:t>
      </w:r>
      <w:r>
        <w:rPr>
          <w:spacing w:val="-66"/>
        </w:rPr>
      </w:r>
      <w:r>
        <w:rPr/>
        <w:t>于资产减值损失的，予以全额确认。</w:t>
      </w:r>
    </w:p>
    <w:p>
      <w:pPr>
        <w:pStyle w:val="BodyText"/>
        <w:spacing w:line="316" w:lineRule="auto" w:before="19"/>
        <w:ind w:right="1133" w:firstLine="480"/>
        <w:jc w:val="both"/>
      </w:pPr>
      <w:r>
        <w:rPr>
          <w:spacing w:val="-1"/>
        </w:rPr>
        <w:t>本公司对联营企业的权益性投资，其中一部分通过风险投资机构、共同基金、信托公司或包括投连险基金在内的类似</w:t>
      </w:r>
      <w:r>
        <w:rPr/>
        <w:t> </w:t>
      </w:r>
      <w:r>
        <w:rPr>
          <w:spacing w:val="-2"/>
        </w:rPr>
        <w:t>主体间接持有的，无论以上主体是否对这部分投资具有重大影响，本公司都按照《企业会计准则第</w:t>
      </w:r>
      <w:r>
        <w:rPr>
          <w:rFonts w:ascii="宋体" w:hAnsi="宋体" w:cs="宋体" w:eastAsia="宋体" w:hint="default"/>
          <w:spacing w:val="-2"/>
        </w:rPr>
        <w:t>22</w:t>
      </w:r>
      <w:r>
        <w:rPr>
          <w:spacing w:val="-2"/>
        </w:rPr>
        <w:t>号——金融工具确认和</w:t>
      </w:r>
      <w:r>
        <w:rPr>
          <w:spacing w:val="-63"/>
        </w:rPr>
        <w:t> </w:t>
      </w:r>
      <w:r>
        <w:rPr/>
        <w:t>计量》的有关规定，对间接持有的该部分投资选择以公允价值计量且其变动计入损益，并对其余部分采用权益法核算。</w:t>
      </w:r>
    </w:p>
    <w:p>
      <w:pPr>
        <w:pStyle w:val="BodyText"/>
        <w:spacing w:line="316" w:lineRule="auto" w:before="19"/>
        <w:ind w:right="1110" w:firstLine="480"/>
        <w:jc w:val="both"/>
      </w:pPr>
      <w:r>
        <w:rPr/>
        <w:t>③本公司处置长期股权投资，其账面价值与实际取得价款的差额，计入当期损益。采用权益法核算的长期股权投资， </w:t>
      </w:r>
      <w:r>
        <w:rPr>
          <w:spacing w:val="-2"/>
        </w:rPr>
        <w:t>在处置该项投资时，采用与被投资单位直接处置相关资产或负债相同的基础，按相应比例对原计入其他综合收益的部分进行</w:t>
      </w:r>
      <w:r>
        <w:rPr>
          <w:spacing w:val="-64"/>
        </w:rPr>
        <w:t> </w:t>
      </w:r>
      <w:r>
        <w:rPr>
          <w:spacing w:val="-64"/>
        </w:rPr>
      </w:r>
      <w:r>
        <w:rPr/>
        <w:t>会计处理。</w:t>
      </w:r>
    </w:p>
    <w:p>
      <w:pPr>
        <w:pStyle w:val="BodyText"/>
        <w:spacing w:line="316" w:lineRule="auto" w:before="19"/>
        <w:ind w:left="634" w:right="0"/>
        <w:jc w:val="left"/>
      </w:pPr>
      <w:r>
        <w:rPr/>
        <w:t>（</w:t>
      </w:r>
      <w:r>
        <w:rPr>
          <w:rFonts w:ascii="宋体" w:hAnsi="宋体" w:cs="宋体" w:eastAsia="宋体" w:hint="default"/>
        </w:rPr>
        <w:t>3</w:t>
      </w:r>
      <w:r>
        <w:rPr/>
        <w:t>）确定对被投资单位具有共同控制、重大影响的依据 </w:t>
      </w:r>
      <w:r>
        <w:rPr>
          <w:spacing w:val="-1"/>
        </w:rPr>
        <w:t>共同控制，是指按照相关约定对某项安排所共有的控制，并且该安排的相关活动必须经过分享控制权的参与方一致同</w:t>
      </w:r>
    </w:p>
    <w:p>
      <w:pPr>
        <w:pStyle w:val="BodyText"/>
        <w:spacing w:line="316" w:lineRule="auto" w:before="19"/>
        <w:ind w:right="1131"/>
        <w:jc w:val="both"/>
      </w:pPr>
      <w:r>
        <w:rPr>
          <w:spacing w:val="-2"/>
        </w:rPr>
        <w:t>意后才能决策。重大影响，是指投资方对被投资单位的财务和经营政策有参与决策的权力，但并不能够控制或者与其他方一</w:t>
      </w:r>
      <w:r>
        <w:rPr>
          <w:spacing w:val="-66"/>
        </w:rPr>
        <w:t> </w:t>
      </w:r>
      <w:r>
        <w:rPr>
          <w:spacing w:val="-66"/>
        </w:rPr>
      </w:r>
      <w:r>
        <w:rPr>
          <w:spacing w:val="-2"/>
        </w:rPr>
        <w:t>起共同控制这些政策的制定。在确定能否对被投资单位实施控制或施加重大影响时，同时考虑本公司和其他方持有的被投资</w:t>
      </w:r>
      <w:r>
        <w:rPr>
          <w:spacing w:val="-64"/>
        </w:rPr>
        <w:t> </w:t>
      </w:r>
      <w:r>
        <w:rPr>
          <w:spacing w:val="-64"/>
        </w:rPr>
      </w:r>
      <w:r>
        <w:rPr/>
        <w:t>单位当期可转换债券、当期可执行认股权证等潜在表决权因素。</w:t>
      </w:r>
    </w:p>
    <w:p>
      <w:pPr>
        <w:spacing w:line="240" w:lineRule="auto" w:before="6"/>
        <w:rPr>
          <w:rFonts w:ascii="宋体" w:hAnsi="宋体" w:cs="宋体" w:eastAsia="宋体" w:hint="default"/>
          <w:sz w:val="24"/>
          <w:szCs w:val="24"/>
        </w:rPr>
      </w:pPr>
    </w:p>
    <w:p>
      <w:pPr>
        <w:pStyle w:val="Heading6"/>
        <w:spacing w:line="240" w:lineRule="auto"/>
        <w:ind w:right="0"/>
        <w:jc w:val="left"/>
        <w:rPr>
          <w:b w:val="0"/>
          <w:bCs w:val="0"/>
        </w:rPr>
      </w:pPr>
      <w:bookmarkStart w:name="15、投资性房地产" w:id="183"/>
      <w:bookmarkEnd w:id="183"/>
      <w:r>
        <w:rPr>
          <w:b w:val="0"/>
          <w:bCs w:val="0"/>
        </w:rPr>
      </w:r>
      <w:r>
        <w:rPr>
          <w:rFonts w:ascii="宋体" w:hAnsi="宋体" w:cs="宋体" w:eastAsia="宋体" w:hint="default"/>
        </w:rPr>
        <w:t>15</w:t>
      </w:r>
      <w:r>
        <w:rPr/>
        <w:t>、投资性房地产</w:t>
      </w:r>
      <w:r>
        <w:rPr>
          <w:b w:val="0"/>
          <w:bCs w:val="0"/>
        </w:rPr>
      </w:r>
    </w:p>
    <w:p>
      <w:pPr>
        <w:spacing w:line="240" w:lineRule="auto" w:before="0"/>
        <w:rPr>
          <w:rFonts w:ascii="宋体" w:hAnsi="宋体" w:cs="宋体" w:eastAsia="宋体" w:hint="default"/>
          <w:b/>
          <w:bCs/>
          <w:sz w:val="18"/>
          <w:szCs w:val="18"/>
        </w:rPr>
      </w:pPr>
    </w:p>
    <w:p>
      <w:pPr>
        <w:pStyle w:val="BodyText"/>
        <w:spacing w:line="360" w:lineRule="auto" w:before="142"/>
        <w:ind w:right="8952"/>
        <w:jc w:val="left"/>
      </w:pPr>
      <w:r>
        <w:rPr/>
        <w:t>投资性房地产计量模式 成本法计量 折旧或摊销方法</w:t>
      </w:r>
    </w:p>
    <w:p>
      <w:pPr>
        <w:pStyle w:val="BodyText"/>
        <w:spacing w:line="319" w:lineRule="auto" w:before="25"/>
        <w:ind w:left="634" w:right="1092"/>
        <w:jc w:val="left"/>
      </w:pPr>
      <w:r>
        <w:rPr/>
        <w:t>本公司的投资性房地产是指为赚取租金或资本增值，或两者兼有而持有的房地产。主要包括：已出租的建筑物。 本公司采用成本模式对投资性房地产进行后续计量，并按照与房屋建筑物或土地使用权一致的政策进行折旧或摊销。 投资性房地产的减值测试方法和减值准备计提方法详见附注三、</w:t>
      </w:r>
      <w:r>
        <w:rPr>
          <w:rFonts w:ascii="宋体" w:hAnsi="宋体" w:cs="宋体" w:eastAsia="宋体" w:hint="default"/>
        </w:rPr>
        <w:t>17</w:t>
      </w:r>
      <w:r>
        <w:rPr/>
        <w:t>“长期资产减值”。 </w:t>
      </w:r>
      <w:r>
        <w:rPr>
          <w:spacing w:val="-1"/>
        </w:rPr>
        <w:t>自用房地产或存货转换为投资性房地产或投资性房地产转换为自用房地产时，按转换前的账面价值作为转换后的入账</w:t>
      </w:r>
    </w:p>
    <w:p>
      <w:pPr>
        <w:pStyle w:val="BodyText"/>
        <w:spacing w:line="240" w:lineRule="auto" w:before="17"/>
        <w:ind w:right="0"/>
        <w:jc w:val="left"/>
      </w:pPr>
      <w:r>
        <w:rPr/>
        <w:t>价值。</w:t>
      </w:r>
    </w:p>
    <w:p>
      <w:pPr>
        <w:pStyle w:val="BodyText"/>
        <w:spacing w:line="316" w:lineRule="auto" w:before="76"/>
        <w:ind w:right="0" w:firstLine="480"/>
        <w:jc w:val="left"/>
      </w:pPr>
      <w:r>
        <w:rPr/>
        <w:t>投资性房地产的用途改变为自用时，自改变之日起，将该投资性房地产转换为固定资产或无形资产。自用房地产的用 </w:t>
      </w:r>
      <w:r>
        <w:rPr>
          <w:spacing w:val="-2"/>
        </w:rPr>
        <w:t>途改变为赚取租金或资本增值时，自改变之日起，将固定资产或无形资产转换为投资性房地产。发生转换时，转换为采用成</w:t>
      </w:r>
      <w:r>
        <w:rPr>
          <w:spacing w:val="-66"/>
        </w:rPr>
        <w:t> </w:t>
      </w:r>
      <w:r>
        <w:rPr>
          <w:spacing w:val="-66"/>
        </w:rPr>
      </w:r>
      <w:r>
        <w:rPr>
          <w:spacing w:val="-4"/>
        </w:rPr>
        <w:t>本模式计量的投资性房地产的，以转换前的账面价值作为转换后的入账价值；转换为以公允价值模式计量的投资性房地产的，</w:t>
      </w:r>
      <w:r>
        <w:rPr>
          <w:spacing w:val="-44"/>
        </w:rPr>
        <w:t> </w:t>
      </w:r>
      <w:r>
        <w:rPr>
          <w:spacing w:val="-44"/>
        </w:rPr>
      </w:r>
      <w:r>
        <w:rPr/>
        <w:t>以转换日的公允价值作为转换后的入账价值。</w:t>
      </w:r>
    </w:p>
    <w:p>
      <w:pPr>
        <w:pStyle w:val="BodyText"/>
        <w:spacing w:line="316" w:lineRule="auto" w:before="19"/>
        <w:ind w:right="1131" w:firstLine="480"/>
        <w:jc w:val="both"/>
      </w:pPr>
      <w:r>
        <w:rPr>
          <w:spacing w:val="-1"/>
        </w:rPr>
        <w:t>当投资性房地产被处置、或者永久退出使用且预计不能从其处置中取得经济利益时，终止确认该项投资性房地产。投</w:t>
      </w:r>
      <w:r>
        <w:rPr/>
        <w:t> 资性房地产出售、转让、报废或毁损的处置收入扣除其账面价值和相关税费后计入当期损益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6、固定资产" w:id="184"/>
      <w:bookmarkEnd w:id="18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5"/>
      <w:bookmarkEnd w:id="18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0"/>
        <w:jc w:val="left"/>
      </w:pPr>
      <w:r>
        <w:rPr>
          <w:spacing w:val="-2"/>
        </w:rPr>
        <w:t>本公司固定资产是指为生产商品、提供劳务、出租或经营管理而持有的，并且使用年限超过一年，与该资产有关的经济利益</w:t>
      </w:r>
      <w:r>
        <w:rPr>
          <w:spacing w:val="-66"/>
        </w:rPr>
        <w:t> </w:t>
      </w:r>
      <w:r>
        <w:rPr>
          <w:spacing w:val="-66"/>
        </w:rPr>
      </w:r>
      <w:r>
        <w:rPr/>
        <w:t>很可能流入本公司且其成本能够可靠计量的有形资产。</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2）折旧方法" w:id="186"/>
      <w:bookmarkEnd w:id="18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w:t>
            </w:r>
            <w:r>
              <w:rPr>
                <w:rFonts w:ascii="宋体" w:hAnsi="宋体" w:cs="宋体" w:eastAsia="宋体" w:hint="default"/>
                <w:sz w:val="18"/>
                <w:szCs w:val="18"/>
              </w:rPr>
              <w:t>、</w:t>
            </w:r>
            <w:r>
              <w:rPr>
                <w:rFonts w:ascii="Times New Roman" w:hAnsi="Times New Roman" w:cs="Times New Roman" w:eastAsia="Times New Roman" w:hint="default"/>
                <w:sz w:val="18"/>
                <w:szCs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18</w:t>
            </w:r>
          </w:p>
        </w:tc>
      </w:tr>
    </w:tbl>
    <w:p>
      <w:pPr>
        <w:pStyle w:val="BodyText"/>
        <w:spacing w:line="316" w:lineRule="auto" w:before="10"/>
        <w:ind w:right="1133" w:firstLine="480"/>
        <w:jc w:val="both"/>
      </w:pPr>
      <w:r>
        <w:rPr>
          <w:spacing w:val="-1"/>
        </w:rPr>
        <w:t>除已提足折旧仍继续使用的固定资产之外，固定资产折旧采用年限平均法分类计提，根据固定资产类别、预计使用寿</w:t>
      </w:r>
      <w:r>
        <w:rPr/>
        <w:t> 命和预计净残值率确定折旧率。</w:t>
      </w:r>
    </w:p>
    <w:p>
      <w:pPr>
        <w:pStyle w:val="BodyText"/>
        <w:spacing w:line="316" w:lineRule="auto" w:before="19"/>
        <w:ind w:right="1133" w:firstLine="480"/>
        <w:jc w:val="both"/>
      </w:pPr>
      <w:r>
        <w:rPr>
          <w:spacing w:val="-1"/>
        </w:rPr>
        <w:t>利用专项储备支出形成的固定资产，按照形成固定资产的成本冲减专项储备，并确认相同金额的累计折旧。该固定资</w:t>
      </w:r>
      <w:r>
        <w:rPr/>
        <w:t> 产在以后期间不再计提折旧。</w:t>
      </w:r>
    </w:p>
    <w:p>
      <w:pPr>
        <w:pStyle w:val="BodyText"/>
        <w:spacing w:line="316" w:lineRule="auto" w:before="19"/>
        <w:ind w:right="1133" w:firstLine="480"/>
        <w:jc w:val="both"/>
      </w:pPr>
      <w:r>
        <w:rPr>
          <w:spacing w:val="-1"/>
        </w:rPr>
        <w:t>本公司根据固定资产的性质和使用情况，确定固定资产的使用寿命和预计净残值。并在年度终了，对固定资产的使用</w:t>
      </w:r>
      <w:r>
        <w:rPr/>
        <w:t> 寿命、预计净残值和折旧方法进行复核，如与原先估计数存在差异的，进行相应的调整。</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融资租入固定资产的认定依据、计价和折旧方法" w:id="187"/>
      <w:bookmarkEnd w:id="18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before="0"/>
        <w:ind w:right="1130"/>
        <w:jc w:val="both"/>
      </w:pPr>
      <w:r>
        <w:rPr>
          <w:spacing w:val="-2"/>
        </w:rPr>
        <w:t>本公司在租入的固定资产实质上转移了与资产有关的全部风险和报酬时确认该项固定资产的租赁为融资租赁。融资租赁取得</w:t>
      </w:r>
      <w:r>
        <w:rPr>
          <w:spacing w:val="-64"/>
        </w:rPr>
        <w:t> </w:t>
      </w:r>
      <w:r>
        <w:rPr>
          <w:spacing w:val="-64"/>
        </w:rPr>
      </w:r>
      <w:r>
        <w:rPr>
          <w:spacing w:val="-2"/>
        </w:rPr>
        <w:t>的固定资产的成本，按租赁开始日租赁资产公允价值与最低租赁付款额现值两者中较低者确定。融资租入的固定资产采用与</w:t>
      </w:r>
      <w:r>
        <w:rPr>
          <w:spacing w:val="-64"/>
        </w:rPr>
        <w:t> </w:t>
      </w:r>
      <w:r>
        <w:rPr>
          <w:spacing w:val="-64"/>
        </w:rPr>
      </w:r>
      <w:r>
        <w:rPr>
          <w:spacing w:val="-2"/>
        </w:rPr>
        <w:t>自有应计折旧资产相一致的折旧政策。能够合理确定租赁期届满时取得租赁资产所有权的，在租赁资产尚可使用年限内计提</w:t>
      </w:r>
      <w:r>
        <w:rPr>
          <w:spacing w:val="-64"/>
        </w:rPr>
        <w:t> </w:t>
      </w:r>
      <w:r>
        <w:rPr>
          <w:spacing w:val="-64"/>
        </w:rPr>
      </w:r>
      <w:r>
        <w:rPr>
          <w:spacing w:val="-2"/>
        </w:rPr>
        <w:t>折旧；无法合理确定租赁期届满时能够取得租赁资产所有权的，在租赁期与租赁资产尚可使用年限两者中较短的期间内计提</w:t>
      </w:r>
      <w:r>
        <w:rPr>
          <w:spacing w:val="-63"/>
        </w:rPr>
        <w:t> </w:t>
      </w:r>
      <w:r>
        <w:rPr>
          <w:spacing w:val="-63"/>
        </w:rPr>
      </w:r>
      <w:r>
        <w:rPr/>
        <w:t>折旧。</w:t>
      </w:r>
    </w:p>
    <w:p>
      <w:pPr>
        <w:spacing w:line="240" w:lineRule="auto" w:before="4"/>
        <w:rPr>
          <w:rFonts w:ascii="宋体" w:hAnsi="宋体" w:cs="宋体" w:eastAsia="宋体" w:hint="default"/>
          <w:sz w:val="22"/>
          <w:szCs w:val="22"/>
        </w:rPr>
      </w:pPr>
    </w:p>
    <w:p>
      <w:pPr>
        <w:pStyle w:val="Heading4"/>
        <w:spacing w:line="240" w:lineRule="auto"/>
        <w:ind w:right="0"/>
        <w:jc w:val="left"/>
        <w:rPr>
          <w:b w:val="0"/>
          <w:bCs w:val="0"/>
        </w:rPr>
      </w:pPr>
      <w:bookmarkStart w:name="17、在建工程" w:id="188"/>
      <w:bookmarkEnd w:id="18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是 软件与信息技术服务业</w:t>
      </w:r>
      <w:r>
        <w:rPr>
          <w:rFonts w:ascii="宋体" w:hAnsi="宋体" w:cs="宋体" w:eastAsia="宋体" w:hint="default"/>
        </w:rPr>
        <w:t>;</w:t>
      </w:r>
      <w:r>
        <w:rPr/>
        <w:t>互联网游戏业</w:t>
      </w:r>
    </w:p>
    <w:p>
      <w:pPr>
        <w:pStyle w:val="BodyText"/>
        <w:spacing w:line="316" w:lineRule="auto" w:before="25"/>
        <w:ind w:right="1131" w:firstLine="480"/>
        <w:jc w:val="both"/>
      </w:pPr>
      <w:r>
        <w:rPr>
          <w:spacing w:val="-1"/>
        </w:rPr>
        <w:t>本公司在建工程指兴建中的厂房与设备及其他固定资产，按工程项目进行明细核算，按实际成本入账，其中包括直接</w:t>
      </w:r>
      <w:r>
        <w:rPr/>
        <w:t> </w:t>
      </w:r>
      <w:r>
        <w:rPr>
          <w:spacing w:val="-2"/>
        </w:rPr>
        <w:t>建筑及安装成本，以及符合资本化条件的借款费用。在建工程达到预定可使用状态时，暂估结转为固定资产，停止利息资本</w:t>
      </w:r>
      <w:r>
        <w:rPr>
          <w:spacing w:val="-66"/>
        </w:rPr>
        <w:t> </w:t>
      </w:r>
      <w:r>
        <w:rPr>
          <w:spacing w:val="-66"/>
        </w:rPr>
      </w:r>
      <w:r>
        <w:rPr>
          <w:spacing w:val="-2"/>
        </w:rPr>
        <w:t>化，并开始按确定的固定资产折旧方法计提折旧，待工程竣工决算后，按竣工决算的金额调整原暂估金额，但不调整原已计</w:t>
      </w:r>
      <w:r>
        <w:rPr>
          <w:spacing w:val="-66"/>
        </w:rPr>
        <w:t> </w:t>
      </w:r>
      <w:r>
        <w:rPr>
          <w:spacing w:val="-66"/>
        </w:rPr>
      </w:r>
      <w:r>
        <w:rPr/>
        <w:t>提的折旧额。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6"/>
        <w:spacing w:line="240" w:lineRule="auto" w:before="161"/>
        <w:ind w:right="0"/>
        <w:jc w:val="left"/>
        <w:rPr>
          <w:b w:val="0"/>
          <w:bCs w:val="0"/>
        </w:rPr>
      </w:pPr>
      <w:bookmarkStart w:name="18、借款费用" w:id="189"/>
      <w:bookmarkEnd w:id="189"/>
      <w:r>
        <w:rPr>
          <w:b w:val="0"/>
          <w:bCs w:val="0"/>
        </w:rPr>
      </w:r>
      <w:r>
        <w:rPr>
          <w:rFonts w:ascii="宋体" w:hAnsi="宋体" w:cs="宋体" w:eastAsia="宋体" w:hint="default"/>
        </w:rPr>
        <w:t>18</w:t>
      </w:r>
      <w:r>
        <w:rPr/>
        <w:t>、借款费用</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42"/>
        <w:ind w:left="634" w:right="1092"/>
        <w:jc w:val="left"/>
      </w:pPr>
      <w:r>
        <w:rPr/>
        <w:t>（</w:t>
      </w:r>
      <w:r>
        <w:rPr>
          <w:rFonts w:ascii="宋体" w:hAnsi="宋体" w:cs="宋体" w:eastAsia="宋体" w:hint="default"/>
        </w:rPr>
        <w:t>1</w:t>
      </w:r>
      <w:r>
        <w:rPr/>
        <w:t>）借款费用资本化的确认原则和资本化期间 本公司发生的借款费用，可直接归属于符合资本化条件的资产的购建或生产的，在同时满足下列条件时予以资本化，</w:t>
      </w:r>
    </w:p>
    <w:p>
      <w:pPr>
        <w:pStyle w:val="BodyText"/>
        <w:spacing w:line="240" w:lineRule="auto" w:before="19"/>
        <w:ind w:right="0"/>
        <w:jc w:val="left"/>
      </w:pPr>
      <w:r>
        <w:rPr/>
        <w:t>计入相关资产成本：</w:t>
      </w:r>
    </w:p>
    <w:p>
      <w:pPr>
        <w:pStyle w:val="BodyText"/>
        <w:spacing w:line="240" w:lineRule="auto" w:before="76"/>
        <w:ind w:left="634" w:right="0"/>
        <w:jc w:val="left"/>
      </w:pPr>
      <w:r>
        <w:rPr/>
        <w:t>① 资产支出已经发生；</w:t>
      </w:r>
    </w:p>
    <w:p>
      <w:pPr>
        <w:pStyle w:val="BodyText"/>
        <w:spacing w:line="240" w:lineRule="auto" w:before="76"/>
        <w:ind w:left="634" w:right="0"/>
        <w:jc w:val="left"/>
      </w:pPr>
      <w:r>
        <w:rPr/>
        <w:t>② 借款费用已经发生；</w:t>
      </w:r>
    </w:p>
    <w:p>
      <w:pPr>
        <w:pStyle w:val="BodyText"/>
        <w:spacing w:line="316" w:lineRule="auto" w:before="77"/>
        <w:ind w:left="634" w:right="0"/>
        <w:jc w:val="left"/>
      </w:pPr>
      <w:r>
        <w:rPr/>
        <w:t>③ 为使资产达到预定可使用或者可销售状态所必要的购建或者生产活动已经开始。 符合资本化条件的资产在购建或者生产过程中发生非正常中断、且中断时间连续超过</w:t>
      </w:r>
      <w:r>
        <w:rPr>
          <w:rFonts w:ascii="宋体" w:hAnsi="宋体" w:cs="宋体" w:eastAsia="宋体" w:hint="default"/>
        </w:rPr>
        <w:t>3</w:t>
      </w:r>
      <w:r>
        <w:rPr/>
        <w:t>个月的，暂停借款费用的资本</w:t>
      </w:r>
    </w:p>
    <w:p>
      <w:pPr>
        <w:pStyle w:val="BodyText"/>
        <w:spacing w:line="316" w:lineRule="auto" w:before="19"/>
        <w:ind w:right="0"/>
        <w:jc w:val="left"/>
      </w:pPr>
      <w:r>
        <w:rPr>
          <w:spacing w:val="-2"/>
        </w:rPr>
        <w:t>化。在中断期间发生的借款费用确认为费用，计入当期损益，直至资产的购建或者生产活动重新开始。如果中断是所购建或</w:t>
      </w:r>
      <w:r>
        <w:rPr>
          <w:spacing w:val="-66"/>
        </w:rPr>
        <w:t> </w:t>
      </w:r>
      <w:r>
        <w:rPr>
          <w:spacing w:val="-66"/>
        </w:rPr>
      </w:r>
      <w:r>
        <w:rPr/>
        <w:t>者生产的符合资本化条件的资产达到预定可使用或者可销售状态必要的程序，借款费用的资本化继续进行。</w:t>
      </w:r>
    </w:p>
    <w:p>
      <w:pPr>
        <w:pStyle w:val="BodyText"/>
        <w:spacing w:line="240" w:lineRule="auto" w:before="19"/>
        <w:ind w:left="634" w:right="0"/>
        <w:jc w:val="left"/>
      </w:pPr>
      <w:r>
        <w:rPr/>
        <w:t>购建或者生产符合资本化条件的资产达到预定可使用或者可销售状态时，借款费用停止资本化。以后发生的借款费用</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left"/>
      </w:pPr>
      <w:r>
        <w:rPr/>
        <w:t>于发生当期确认为费用。</w:t>
      </w:r>
    </w:p>
    <w:p>
      <w:pPr>
        <w:pStyle w:val="BodyText"/>
        <w:spacing w:line="316" w:lineRule="auto" w:before="76"/>
        <w:ind w:left="634" w:right="0"/>
        <w:jc w:val="left"/>
      </w:pPr>
      <w:r>
        <w:rPr/>
        <w:t>（</w:t>
      </w:r>
      <w:r>
        <w:rPr>
          <w:rFonts w:ascii="宋体" w:hAnsi="宋体" w:cs="宋体" w:eastAsia="宋体" w:hint="default"/>
        </w:rPr>
        <w:t>2</w:t>
      </w:r>
      <w:r>
        <w:rPr/>
        <w:t>）借款费用资本化金额的计算方法 </w:t>
      </w:r>
      <w:r>
        <w:rPr>
          <w:spacing w:val="-1"/>
        </w:rPr>
        <w:t>为购建或者生产符合资本化条件的资产而借入专门借款的，以专门借款当期实际发生的利息费用，减去将尚未动用的</w:t>
      </w:r>
    </w:p>
    <w:p>
      <w:pPr>
        <w:pStyle w:val="BodyText"/>
        <w:spacing w:line="319" w:lineRule="auto" w:before="19"/>
        <w:ind w:left="634" w:right="0" w:hanging="480"/>
        <w:jc w:val="left"/>
      </w:pPr>
      <w:r>
        <w:rPr/>
        <w:t>借款资金存入银行取得的利息收入或进行暂时性投资取得的投资收益后的金额确定。 </w:t>
      </w:r>
      <w:r>
        <w:rPr>
          <w:spacing w:val="-1"/>
        </w:rPr>
        <w:t>为购建或者生产符合资本化条件的资产而占用了一般借款的，根据累计资产支出超过专门借款部分的资产支出加权平</w:t>
      </w:r>
    </w:p>
    <w:p>
      <w:pPr>
        <w:pStyle w:val="BodyText"/>
        <w:spacing w:line="316" w:lineRule="auto" w:before="17"/>
        <w:ind w:right="1118"/>
        <w:jc w:val="left"/>
      </w:pPr>
      <w:r>
        <w:rPr>
          <w:spacing w:val="-2"/>
        </w:rPr>
        <w:t>均数乘以所占用一般借款的资本化率，计算确定一般借款应予资本化的利息金额。资本化率根据一般借款加权平均利率计算</w:t>
      </w:r>
      <w:r>
        <w:rPr>
          <w:spacing w:val="-64"/>
        </w:rPr>
        <w:t> </w:t>
      </w:r>
      <w:r>
        <w:rPr>
          <w:spacing w:val="-64"/>
        </w:rPr>
      </w:r>
      <w:r>
        <w:rPr/>
        <w:t>确定。</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19、生物资产" w:id="190"/>
      <w:bookmarkEnd w:id="190"/>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0、油气资产" w:id="191"/>
      <w:bookmarkEnd w:id="191"/>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1、无形资产" w:id="192"/>
      <w:bookmarkEnd w:id="192"/>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193"/>
      <w:bookmarkEnd w:id="193"/>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60" w:lineRule="auto" w:before="0"/>
        <w:ind w:right="7692"/>
        <w:jc w:val="left"/>
      </w:pPr>
      <w:r>
        <w:rPr/>
        <w:t>公司是否需要遵守特殊行业的披露要求 是 软件与信息技术服务业</w:t>
      </w:r>
      <w:r>
        <w:rPr>
          <w:rFonts w:ascii="宋体" w:hAnsi="宋体" w:cs="宋体" w:eastAsia="宋体" w:hint="default"/>
        </w:rPr>
        <w:t>;</w:t>
      </w:r>
      <w:r>
        <w:rPr/>
        <w:t>互联网游戏业</w:t>
      </w:r>
    </w:p>
    <w:p>
      <w:pPr>
        <w:pStyle w:val="BodyText"/>
        <w:spacing w:line="316" w:lineRule="auto" w:before="25"/>
        <w:ind w:right="1133" w:firstLine="480"/>
        <w:jc w:val="both"/>
      </w:pPr>
      <w:r>
        <w:rPr>
          <w:spacing w:val="-1"/>
        </w:rPr>
        <w:t>本公司将企业拥有或者控制的没有实物形态，并且与该资产相关的预计未来经济利益很可能流入企业、该资产的成本</w:t>
      </w:r>
      <w:r>
        <w:rPr/>
        <w:t> 能够可靠计量的可辨认非货币性资产确认为无形资产。</w:t>
      </w:r>
    </w:p>
    <w:p>
      <w:pPr>
        <w:pStyle w:val="BodyText"/>
        <w:spacing w:line="240" w:lineRule="auto" w:before="19"/>
        <w:ind w:left="634" w:right="0"/>
        <w:jc w:val="left"/>
      </w:pPr>
      <w:r>
        <w:rPr/>
        <w:t>本公司的无形资产按实际支付的金额或确定的价值入账。</w:t>
      </w:r>
    </w:p>
    <w:p>
      <w:pPr>
        <w:pStyle w:val="BodyText"/>
        <w:spacing w:line="316" w:lineRule="auto" w:before="77"/>
        <w:ind w:right="1043" w:firstLine="480"/>
        <w:jc w:val="both"/>
      </w:pPr>
      <w:r>
        <w:rPr/>
        <w:t>（</w:t>
      </w:r>
      <w:r>
        <w:rPr>
          <w:rFonts w:ascii="宋体" w:hAnsi="宋体" w:cs="宋体" w:eastAsia="宋体" w:hint="default"/>
        </w:rPr>
        <w:t>1</w:t>
      </w:r>
      <w:r>
        <w:rPr/>
        <w:t>）购买无形资产的价款超过正常信用条件延期支付，实质上具有融资性质，无形资产的成本以购买价款的现值为 </w:t>
      </w:r>
      <w:r>
        <w:rPr>
          <w:spacing w:val="-4"/>
        </w:rPr>
        <w:t>基础确定。实际支付的价款与购买价款的现值之间的差额，除按照规定应予资本化的以外，应当在信用期间内计入当期损益。</w:t>
      </w:r>
    </w:p>
    <w:p>
      <w:pPr>
        <w:pStyle w:val="BodyText"/>
        <w:spacing w:line="240" w:lineRule="auto" w:before="19"/>
        <w:ind w:left="634" w:right="0"/>
        <w:jc w:val="left"/>
      </w:pPr>
      <w:r>
        <w:rPr/>
        <w:t>（</w:t>
      </w:r>
      <w:r>
        <w:rPr>
          <w:rFonts w:ascii="宋体" w:hAnsi="宋体" w:cs="宋体" w:eastAsia="宋体" w:hint="default"/>
        </w:rPr>
        <w:t>2</w:t>
      </w:r>
      <w:r>
        <w:rPr/>
        <w:t>）投资者投入的无形资产，按照投资合同或协议约定的价值作为成本，但合同或协议约定价值不公允的除外。</w:t>
      </w:r>
    </w:p>
    <w:p>
      <w:pPr>
        <w:pStyle w:val="BodyText"/>
        <w:spacing w:line="316" w:lineRule="auto" w:before="76"/>
        <w:ind w:right="1133" w:firstLine="480"/>
        <w:jc w:val="both"/>
      </w:pPr>
      <w:r>
        <w:rPr/>
        <w:t>（</w:t>
      </w:r>
      <w:r>
        <w:rPr>
          <w:rFonts w:ascii="宋体" w:hAnsi="宋体" w:cs="宋体" w:eastAsia="宋体" w:hint="default"/>
        </w:rPr>
        <w:t>3</w:t>
      </w:r>
      <w:r>
        <w:rPr/>
        <w:t>）本公司使用寿命有限的无形资产，自该无形资产可供使用时起在使用寿命期内平均摊销。使用寿命不确定的无 </w:t>
      </w:r>
      <w:r>
        <w:rPr>
          <w:spacing w:val="-2"/>
        </w:rPr>
        <w:t>形资产不予摊销。无形资产摊销金额为其成本扣除预计残值后的金额，已计提减值准备的无形资产，还需扣除已计提的无形</w:t>
      </w:r>
      <w:r>
        <w:rPr>
          <w:spacing w:val="-66"/>
        </w:rPr>
        <w:t> </w:t>
      </w:r>
      <w:r>
        <w:rPr>
          <w:spacing w:val="-66"/>
        </w:rPr>
      </w:r>
      <w:r>
        <w:rPr/>
        <w:t>资产减值准备累计金额。</w:t>
      </w:r>
    </w:p>
    <w:p>
      <w:pPr>
        <w:pStyle w:val="BodyText"/>
        <w:spacing w:line="240" w:lineRule="auto" w:before="19"/>
        <w:ind w:left="634" w:right="0"/>
        <w:jc w:val="left"/>
      </w:pPr>
      <w:r>
        <w:rPr/>
        <w:t>对于使用寿命有限的各项无形资产的摊销年限分别为：</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5262"/>
        <w:gridCol w:w="3257"/>
      </w:tblGrid>
      <w:tr>
        <w:trPr>
          <w:trHeight w:val="342"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tabs>
                <w:tab w:pos="849" w:val="left" w:leader="none"/>
              </w:tabs>
              <w:spacing w:line="240" w:lineRule="auto" w:before="21"/>
              <w:ind w:left="361" w:right="0"/>
              <w:jc w:val="center"/>
              <w:rPr>
                <w:rFonts w:ascii="宋体" w:hAnsi="宋体" w:cs="宋体" w:eastAsia="宋体" w:hint="default"/>
                <w:sz w:val="18"/>
                <w:szCs w:val="18"/>
              </w:rPr>
            </w:pPr>
            <w:r>
              <w:rPr>
                <w:rFonts w:ascii="宋体" w:hAnsi="宋体" w:cs="宋体" w:eastAsia="宋体" w:hint="default"/>
                <w:b/>
                <w:bCs/>
                <w:w w:val="95"/>
                <w:sz w:val="18"/>
                <w:szCs w:val="18"/>
              </w:rPr>
              <w:t>类</w:t>
              <w:tab/>
            </w:r>
            <w:r>
              <w:rPr>
                <w:rFonts w:ascii="宋体" w:hAnsi="宋体" w:cs="宋体" w:eastAsia="宋体" w:hint="default"/>
                <w:b/>
                <w:bCs/>
                <w:sz w:val="18"/>
                <w:szCs w:val="18"/>
              </w:rPr>
              <w:t>别</w:t>
            </w:r>
            <w:r>
              <w:rPr>
                <w:rFonts w:ascii="宋体" w:hAnsi="宋体" w:cs="宋体" w:eastAsia="宋体" w:hint="default"/>
                <w:sz w:val="18"/>
                <w:szCs w:val="18"/>
              </w:rPr>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1" w:right="0"/>
              <w:jc w:val="center"/>
              <w:rPr>
                <w:rFonts w:ascii="宋体" w:hAnsi="宋体" w:cs="宋体" w:eastAsia="宋体" w:hint="default"/>
                <w:sz w:val="18"/>
                <w:szCs w:val="18"/>
              </w:rPr>
            </w:pPr>
            <w:r>
              <w:rPr>
                <w:rFonts w:ascii="宋体" w:hAnsi="宋体" w:cs="宋体" w:eastAsia="宋体" w:hint="default"/>
                <w:b/>
                <w:bCs/>
                <w:sz w:val="18"/>
                <w:szCs w:val="18"/>
              </w:rPr>
              <w:t>摊销年限</w:t>
            </w:r>
            <w:r>
              <w:rPr>
                <w:rFonts w:ascii="宋体" w:hAnsi="宋体" w:cs="宋体" w:eastAsia="宋体" w:hint="default"/>
                <w:sz w:val="18"/>
                <w:szCs w:val="18"/>
              </w:rPr>
            </w:r>
          </w:p>
        </w:tc>
      </w:tr>
      <w:tr>
        <w:trPr>
          <w:trHeight w:val="342"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center"/>
              <w:rPr>
                <w:rFonts w:ascii="Times New Roman" w:hAnsi="Times New Roman" w:cs="Times New Roman" w:eastAsia="Times New Roman" w:hint="default"/>
                <w:sz w:val="18"/>
                <w:szCs w:val="18"/>
              </w:rPr>
            </w:pPr>
            <w:r>
              <w:rPr>
                <w:rFonts w:ascii="Times New Roman"/>
                <w:sz w:val="18"/>
              </w:rPr>
              <w:t>5</w:t>
            </w:r>
          </w:p>
        </w:tc>
      </w:tr>
      <w:tr>
        <w:trPr>
          <w:trHeight w:val="342"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软件著作权</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center"/>
              <w:rPr>
                <w:rFonts w:ascii="Times New Roman" w:hAnsi="Times New Roman" w:cs="Times New Roman" w:eastAsia="Times New Roman" w:hint="default"/>
                <w:sz w:val="18"/>
                <w:szCs w:val="18"/>
              </w:rPr>
            </w:pPr>
            <w:r>
              <w:rPr>
                <w:rFonts w:ascii="Times New Roman"/>
                <w:sz w:val="18"/>
              </w:rPr>
              <w:t>5</w:t>
            </w:r>
          </w:p>
        </w:tc>
      </w:tr>
      <w:tr>
        <w:trPr>
          <w:trHeight w:val="343" w:hRule="exact"/>
        </w:trPr>
        <w:tc>
          <w:tcPr>
            <w:tcW w:w="5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361" w:right="0"/>
              <w:jc w:val="center"/>
              <w:rPr>
                <w:rFonts w:ascii="Times New Roman" w:hAnsi="Times New Roman" w:cs="Times New Roman" w:eastAsia="Times New Roman" w:hint="default"/>
                <w:sz w:val="18"/>
                <w:szCs w:val="18"/>
              </w:rPr>
            </w:pPr>
            <w:r>
              <w:rPr>
                <w:rFonts w:ascii="Times New Roman"/>
                <w:sz w:val="18"/>
              </w:rPr>
              <w:t>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2）内部研究开发支出会计政策" w:id="194"/>
      <w:bookmarkEnd w:id="194"/>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1133" w:firstLine="480"/>
        <w:jc w:val="both"/>
      </w:pPr>
      <w:r>
        <w:rPr>
          <w:spacing w:val="-1"/>
        </w:rPr>
        <w:t>本公司内部研究开发项目的支出，区分研究阶段支出与开发阶段支出。研究是指为获取并理解新的科学或技术知识而</w:t>
      </w:r>
      <w:r>
        <w:rPr/>
        <w:t> </w:t>
      </w:r>
      <w:r>
        <w:rPr>
          <w:spacing w:val="-2"/>
        </w:rPr>
        <w:t>进行的独创性的有计划调查。开发是指在进行商业性生产或使用前，将研究成果或其他知识应用于某项计划或设计，以生产</w:t>
      </w:r>
      <w:r>
        <w:rPr>
          <w:spacing w:val="-66"/>
        </w:rPr>
        <w:t> </w:t>
      </w:r>
      <w:r>
        <w:rPr>
          <w:spacing w:val="-66"/>
        </w:rPr>
      </w:r>
      <w:r>
        <w:rPr/>
        <w:t>出新的或具有实质性改进的材料、装置、产品等。</w:t>
      </w:r>
    </w:p>
    <w:p>
      <w:pPr>
        <w:pStyle w:val="BodyText"/>
        <w:spacing w:line="316" w:lineRule="auto" w:before="19"/>
        <w:ind w:right="0" w:firstLine="480"/>
        <w:jc w:val="left"/>
      </w:pPr>
      <w:r>
        <w:rPr/>
        <w:t>内部研究开发项目研究阶段的支出，于发生时计入当期损益。内部研究开发项目开发阶段的支出，同时满足下列条件 </w:t>
      </w:r>
      <w:r>
        <w:rPr>
          <w:spacing w:val="-4"/>
        </w:rPr>
        <w:t>的确认为无形资产：完成该无形资产以使其能够使用或出售在技术上具有可行性；具有完成该无形资产并使用或出售的意图；</w:t>
      </w:r>
      <w:r>
        <w:rPr>
          <w:spacing w:val="-44"/>
        </w:rPr>
        <w:t> </w:t>
      </w:r>
      <w:r>
        <w:rPr>
          <w:spacing w:val="-44"/>
        </w:rPr>
      </w:r>
      <w:r>
        <w:rPr>
          <w:spacing w:val="-2"/>
        </w:rPr>
        <w:t>无形资产产生经济利益的方式，包括能够证明运用该无形资产生产的产品存在市场或无形资产自身存在市场，无形资产将在</w:t>
      </w:r>
      <w:r>
        <w:rPr>
          <w:spacing w:val="-64"/>
        </w:rPr>
        <w:t> </w:t>
      </w:r>
      <w:r>
        <w:rPr>
          <w:spacing w:val="-64"/>
        </w:rPr>
      </w:r>
      <w:r>
        <w:rPr>
          <w:spacing w:val="-2"/>
        </w:rPr>
        <w:t>内部使用的，应当证明其有用性；有足够的技术、财务资源和其他资源支持，以完成该无形资产的开发，并有能力使用或出</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624" w:lineRule="auto" w:before="44"/>
        <w:ind w:left="154" w:right="5352" w:firstLine="0"/>
        <w:jc w:val="left"/>
        <w:rPr>
          <w:rFonts w:ascii="宋体" w:hAnsi="宋体" w:cs="宋体" w:eastAsia="宋体" w:hint="default"/>
          <w:sz w:val="18"/>
          <w:szCs w:val="18"/>
        </w:rPr>
      </w:pPr>
      <w:r>
        <w:rPr>
          <w:rFonts w:ascii="宋体" w:hAnsi="宋体" w:cs="宋体" w:eastAsia="宋体" w:hint="default"/>
          <w:sz w:val="18"/>
          <w:szCs w:val="18"/>
        </w:rPr>
        <w:t>售该无形资产；归属于该无形资产开发阶段的支出能够可靠地计量。 </w:t>
      </w:r>
      <w:bookmarkStart w:name="22、长期资产减值" w:id="195"/>
      <w:bookmarkEnd w:id="195"/>
      <w:r>
        <w:rPr>
          <w:rFonts w:ascii="宋体" w:hAnsi="宋体" w:cs="宋体" w:eastAsia="宋体" w:hint="default"/>
          <w:sz w:val="18"/>
          <w:szCs w:val="18"/>
        </w:rPr>
      </w:r>
      <w:r>
        <w:rPr>
          <w:rFonts w:ascii="宋体" w:hAnsi="宋体" w:cs="宋体" w:eastAsia="宋体" w:hint="default"/>
          <w:b/>
          <w:bCs/>
          <w:sz w:val="18"/>
          <w:szCs w:val="18"/>
        </w:rPr>
        <w:t>22</w:t>
      </w:r>
      <w:r>
        <w:rPr>
          <w:rFonts w:ascii="宋体" w:hAnsi="宋体" w:cs="宋体" w:eastAsia="宋体" w:hint="default"/>
          <w:b/>
          <w:bCs/>
          <w:sz w:val="18"/>
          <w:szCs w:val="18"/>
        </w:rPr>
        <w:t>、长期资产减值</w:t>
      </w:r>
      <w:r>
        <w:rPr>
          <w:rFonts w:ascii="宋体" w:hAnsi="宋体" w:cs="宋体" w:eastAsia="宋体" w:hint="default"/>
          <w:sz w:val="18"/>
          <w:szCs w:val="18"/>
        </w:rPr>
      </w:r>
    </w:p>
    <w:p>
      <w:pPr>
        <w:pStyle w:val="Heading6"/>
        <w:spacing w:line="240" w:lineRule="auto" w:before="90"/>
        <w:ind w:right="0"/>
        <w:jc w:val="left"/>
        <w:rPr>
          <w:b w:val="0"/>
          <w:bCs w:val="0"/>
        </w:rPr>
      </w:pPr>
      <w:bookmarkStart w:name="23、长期待摊费用" w:id="196"/>
      <w:bookmarkEnd w:id="196"/>
      <w:r>
        <w:rPr>
          <w:b w:val="0"/>
          <w:bCs w:val="0"/>
        </w:rPr>
      </w:r>
      <w:r>
        <w:rPr>
          <w:rFonts w:ascii="宋体" w:hAnsi="宋体" w:cs="宋体" w:eastAsia="宋体" w:hint="default"/>
        </w:rPr>
        <w:t>23</w:t>
      </w:r>
      <w:r>
        <w:rPr/>
        <w:t>、长期待摊费用</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41"/>
        <w:ind w:right="0" w:firstLine="480"/>
        <w:jc w:val="left"/>
      </w:pPr>
      <w:r>
        <w:rPr>
          <w:spacing w:val="-1"/>
        </w:rPr>
        <w:t>长期待摊费用按实际发生额入账，在受益期或规定的期限内分期平均摊销。如果长期待摊的费用项目不能使以后会计</w:t>
      </w:r>
      <w:r>
        <w:rPr/>
        <w:t> 期间受益则将尚未摊销的该项目的摊余价值全部转入当期损益。</w:t>
      </w:r>
    </w:p>
    <w:p>
      <w:pPr>
        <w:spacing w:line="240" w:lineRule="auto" w:before="6"/>
        <w:rPr>
          <w:rFonts w:ascii="宋体" w:hAnsi="宋体" w:cs="宋体" w:eastAsia="宋体" w:hint="default"/>
          <w:sz w:val="24"/>
          <w:szCs w:val="24"/>
        </w:rPr>
      </w:pPr>
    </w:p>
    <w:p>
      <w:pPr>
        <w:pStyle w:val="Heading6"/>
        <w:spacing w:line="240" w:lineRule="auto"/>
        <w:ind w:right="0"/>
        <w:jc w:val="left"/>
        <w:rPr>
          <w:b w:val="0"/>
          <w:bCs w:val="0"/>
        </w:rPr>
      </w:pPr>
      <w:bookmarkStart w:name="24、职工薪酬" w:id="197"/>
      <w:bookmarkEnd w:id="197"/>
      <w:r>
        <w:rPr>
          <w:b w:val="0"/>
          <w:bCs w:val="0"/>
        </w:rPr>
      </w:r>
      <w:r>
        <w:rPr>
          <w:rFonts w:ascii="宋体" w:hAnsi="宋体" w:cs="宋体" w:eastAsia="宋体" w:hint="default"/>
        </w:rPr>
        <w:t>24</w:t>
      </w:r>
      <w:r>
        <w:rPr/>
        <w:t>、职工薪酬</w:t>
      </w:r>
      <w:r>
        <w:rPr>
          <w:b w:val="0"/>
          <w:bCs w:val="0"/>
        </w:rPr>
      </w:r>
    </w:p>
    <w:p>
      <w:pPr>
        <w:spacing w:line="610" w:lineRule="atLeast" w:before="3"/>
        <w:ind w:left="634" w:right="0" w:hanging="480"/>
        <w:jc w:val="left"/>
        <w:rPr>
          <w:rFonts w:ascii="宋体" w:hAnsi="宋体" w:cs="宋体" w:eastAsia="宋体" w:hint="default"/>
          <w:sz w:val="18"/>
          <w:szCs w:val="18"/>
        </w:rPr>
      </w:pPr>
      <w:bookmarkStart w:name="（1）短期薪酬的会计处理方法" w:id="198"/>
      <w:bookmarkEnd w:id="198"/>
      <w:r>
        <w:rPr/>
      </w: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）短期薪酬的会计处理方法</w:t>
      </w:r>
      <w:r>
        <w:rPr>
          <w:rFonts w:ascii="宋体" w:hAnsi="宋体" w:cs="宋体" w:eastAsia="宋体" w:hint="default"/>
          <w:b/>
          <w:bCs/>
          <w:w w:val="99"/>
          <w:sz w:val="18"/>
          <w:szCs w:val="18"/>
        </w:rPr>
        <w:t> </w:t>
      </w:r>
      <w:r>
        <w:rPr>
          <w:rFonts w:ascii="宋体" w:hAnsi="宋体" w:cs="宋体" w:eastAsia="宋体" w:hint="default"/>
          <w:spacing w:val="-1"/>
          <w:sz w:val="18"/>
          <w:szCs w:val="18"/>
        </w:rPr>
        <w:t>本公司在职工为其提供服务的会计期间，将实际发生的短期薪酬确认为负债，并计入当期损益，其他会计准则要求或</w:t>
      </w:r>
    </w:p>
    <w:p>
      <w:pPr>
        <w:pStyle w:val="BodyText"/>
        <w:spacing w:line="240" w:lineRule="auto" w:before="76"/>
        <w:ind w:right="0"/>
        <w:jc w:val="left"/>
      </w:pPr>
      <w:r>
        <w:rPr/>
        <w:t>允许计入资产成本的除外。</w:t>
      </w:r>
    </w:p>
    <w:p>
      <w:pPr>
        <w:spacing w:line="610" w:lineRule="atLeast" w:before="3"/>
        <w:ind w:left="634" w:right="0" w:hanging="480"/>
        <w:jc w:val="left"/>
        <w:rPr>
          <w:rFonts w:ascii="宋体" w:hAnsi="宋体" w:cs="宋体" w:eastAsia="宋体" w:hint="default"/>
          <w:sz w:val="18"/>
          <w:szCs w:val="18"/>
        </w:rPr>
      </w:pPr>
      <w:bookmarkStart w:name="（2）离职后福利的会计处理方法" w:id="199"/>
      <w:bookmarkEnd w:id="199"/>
      <w:r>
        <w:rPr/>
      </w: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）离职后福利的会计处理方法</w:t>
      </w:r>
      <w:r>
        <w:rPr>
          <w:rFonts w:ascii="宋体" w:hAnsi="宋体" w:cs="宋体" w:eastAsia="宋体" w:hint="default"/>
          <w:b/>
          <w:bCs/>
          <w:w w:val="99"/>
          <w:sz w:val="18"/>
          <w:szCs w:val="18"/>
        </w:rPr>
        <w:t> </w:t>
      </w:r>
      <w:r>
        <w:rPr>
          <w:rFonts w:ascii="宋体" w:hAnsi="宋体" w:cs="宋体" w:eastAsia="宋体" w:hint="default"/>
          <w:spacing w:val="-1"/>
          <w:sz w:val="18"/>
          <w:szCs w:val="18"/>
        </w:rPr>
        <w:t>本公司将离职后福利计划分类为设定提存计划和设定受益计划。离职后福利计划，是指本公司与职工就离职后福利达</w:t>
      </w:r>
    </w:p>
    <w:p>
      <w:pPr>
        <w:pStyle w:val="BodyText"/>
        <w:spacing w:line="316" w:lineRule="auto" w:before="76"/>
        <w:ind w:right="0"/>
        <w:jc w:val="left"/>
      </w:pPr>
      <w:r>
        <w:rPr>
          <w:spacing w:val="-2"/>
        </w:rPr>
        <w:t>成的协议，或者本公司为向职工提供离职后福利制定的规章或办法等。其中，设定提存计划，是指向独立的基金缴存固定费</w:t>
      </w:r>
      <w:r>
        <w:rPr>
          <w:spacing w:val="-66"/>
        </w:rPr>
        <w:t> </w:t>
      </w:r>
      <w:r>
        <w:rPr>
          <w:spacing w:val="-66"/>
        </w:rPr>
      </w:r>
      <w:r>
        <w:rPr/>
        <w:t>用后，本公司不再承担进一步支付义务的离职后福利计划；设定受益计划，是指除设定提存计划以外的离职后福利计划。</w:t>
      </w:r>
    </w:p>
    <w:p>
      <w:pPr>
        <w:spacing w:line="612" w:lineRule="exact" w:before="41"/>
        <w:ind w:left="634" w:right="0" w:hanging="480"/>
        <w:jc w:val="left"/>
        <w:rPr>
          <w:rFonts w:ascii="宋体" w:hAnsi="宋体" w:cs="宋体" w:eastAsia="宋体" w:hint="default"/>
          <w:sz w:val="18"/>
          <w:szCs w:val="18"/>
        </w:rPr>
      </w:pPr>
      <w:bookmarkStart w:name="（3）辞退福利的会计处理方法" w:id="200"/>
      <w:bookmarkEnd w:id="200"/>
      <w:r>
        <w:rPr/>
      </w: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）辞退福利的会计处理方法</w:t>
      </w:r>
      <w:r>
        <w:rPr>
          <w:rFonts w:ascii="宋体" w:hAnsi="宋体" w:cs="宋体" w:eastAsia="宋体" w:hint="default"/>
          <w:b/>
          <w:bCs/>
          <w:w w:val="99"/>
          <w:sz w:val="18"/>
          <w:szCs w:val="18"/>
        </w:rPr>
        <w:t> </w:t>
      </w:r>
      <w:r>
        <w:rPr>
          <w:rFonts w:ascii="宋体" w:hAnsi="宋体" w:cs="宋体" w:eastAsia="宋体" w:hint="default"/>
          <w:spacing w:val="-1"/>
          <w:sz w:val="18"/>
          <w:szCs w:val="18"/>
        </w:rPr>
        <w:t>本公司向职工提供辞退福利的，在下列两者孰早日确认辞退福利产生的职工薪酬负债，并计入当期损益：本公司不能</w:t>
      </w:r>
    </w:p>
    <w:p>
      <w:pPr>
        <w:pStyle w:val="BodyText"/>
        <w:spacing w:line="215" w:lineRule="exact" w:before="0"/>
        <w:ind w:right="0"/>
        <w:jc w:val="left"/>
      </w:pPr>
      <w:r>
        <w:rPr/>
        <w:t>单方面撤回因解除劳动关系计划或裁减建议所提供的辞退福利时</w:t>
      </w:r>
      <w:r>
        <w:rPr>
          <w:spacing w:val="-82"/>
        </w:rPr>
        <w:t>；</w:t>
      </w:r>
      <w:r>
        <w:rPr/>
        <w:t>本公司确认与涉及支付辞退福利的重组相关的成本或费用</w:t>
      </w:r>
    </w:p>
    <w:p>
      <w:pPr>
        <w:pStyle w:val="BodyText"/>
        <w:spacing w:line="240" w:lineRule="auto" w:before="76"/>
        <w:ind w:right="0"/>
        <w:jc w:val="left"/>
      </w:pPr>
      <w:r>
        <w:rPr/>
        <w:t>时。</w:t>
      </w:r>
    </w:p>
    <w:p>
      <w:pPr>
        <w:spacing w:line="610" w:lineRule="atLeast" w:before="3"/>
        <w:ind w:left="634" w:right="0" w:hanging="480"/>
        <w:jc w:val="left"/>
        <w:rPr>
          <w:rFonts w:ascii="宋体" w:hAnsi="宋体" w:cs="宋体" w:eastAsia="宋体" w:hint="default"/>
          <w:sz w:val="18"/>
          <w:szCs w:val="18"/>
        </w:rPr>
      </w:pPr>
      <w:bookmarkStart w:name="（4）其他长期职工福利的会计处理方法" w:id="201"/>
      <w:bookmarkEnd w:id="201"/>
      <w:r>
        <w:rPr/>
      </w:r>
      <w:r>
        <w:rPr>
          <w:rFonts w:ascii="宋体" w:hAnsi="宋体" w:cs="宋体" w:eastAsia="宋体" w:hint="default"/>
          <w:b/>
          <w:bCs/>
          <w:sz w:val="18"/>
          <w:szCs w:val="18"/>
        </w:rPr>
        <w:t>（</w:t>
      </w:r>
      <w:r>
        <w:rPr>
          <w:rFonts w:ascii="宋体" w:hAnsi="宋体" w:cs="宋体" w:eastAsia="宋体" w:hint="default"/>
          <w:b/>
          <w:bCs/>
          <w:sz w:val="18"/>
          <w:szCs w:val="18"/>
        </w:rPr>
        <w:t>4</w:t>
      </w:r>
      <w:r>
        <w:rPr>
          <w:rFonts w:ascii="宋体" w:hAnsi="宋体" w:cs="宋体" w:eastAsia="宋体" w:hint="default"/>
          <w:b/>
          <w:bCs/>
          <w:sz w:val="18"/>
          <w:szCs w:val="18"/>
        </w:rPr>
        <w:t>）其他长期职工福利的会计处理方法</w:t>
      </w:r>
      <w:r>
        <w:rPr>
          <w:rFonts w:ascii="宋体" w:hAnsi="宋体" w:cs="宋体" w:eastAsia="宋体" w:hint="default"/>
          <w:b/>
          <w:bCs/>
          <w:w w:val="99"/>
          <w:sz w:val="18"/>
          <w:szCs w:val="18"/>
        </w:rPr>
        <w:t> </w:t>
      </w:r>
      <w:r>
        <w:rPr>
          <w:rFonts w:ascii="宋体" w:hAnsi="宋体" w:cs="宋体" w:eastAsia="宋体" w:hint="default"/>
          <w:spacing w:val="-1"/>
          <w:sz w:val="18"/>
          <w:szCs w:val="18"/>
        </w:rPr>
        <w:t>本公司向职工提供的其他长期职工福利，符合设定提存计划条件的，按照上述设定提存计划的会计政策进行处理；除</w:t>
      </w:r>
    </w:p>
    <w:p>
      <w:pPr>
        <w:pStyle w:val="BodyText"/>
        <w:spacing w:line="624" w:lineRule="auto" w:before="76"/>
        <w:ind w:right="3372"/>
        <w:jc w:val="left"/>
        <w:rPr>
          <w:rFonts w:ascii="宋体" w:hAnsi="宋体" w:cs="宋体" w:eastAsia="宋体" w:hint="default"/>
        </w:rPr>
      </w:pPr>
      <w:r>
        <w:rPr/>
        <w:t>此以外的，按照上述设定受益计划的会计政策确认和计量其他长期职工福利净负债或净资产。 </w:t>
      </w:r>
      <w:bookmarkStart w:name="25、预计负债" w:id="202"/>
      <w:bookmarkEnd w:id="202"/>
      <w:r>
        <w:rPr/>
      </w:r>
      <w:r>
        <w:rPr>
          <w:rFonts w:ascii="宋体" w:hAnsi="宋体" w:cs="宋体" w:eastAsia="宋体" w:hint="default"/>
          <w:b/>
          <w:bCs/>
        </w:rPr>
        <w:t>25</w:t>
      </w:r>
      <w:r>
        <w:rPr>
          <w:rFonts w:ascii="宋体" w:hAnsi="宋体" w:cs="宋体" w:eastAsia="宋体" w:hint="default"/>
          <w:b/>
          <w:bCs/>
        </w:rPr>
        <w:t>、预计负债</w:t>
      </w:r>
      <w:r>
        <w:rPr>
          <w:rFonts w:ascii="宋体" w:hAnsi="宋体" w:cs="宋体" w:eastAsia="宋体" w:hint="default"/>
        </w:rPr>
      </w:r>
    </w:p>
    <w:p>
      <w:pPr>
        <w:pStyle w:val="BodyText"/>
        <w:spacing w:line="316" w:lineRule="auto" w:before="88"/>
        <w:ind w:left="634" w:right="4332"/>
        <w:jc w:val="left"/>
      </w:pPr>
      <w:r>
        <w:rPr/>
        <w:t>（</w:t>
      </w:r>
      <w:r>
        <w:rPr>
          <w:rFonts w:ascii="宋体" w:hAnsi="宋体" w:cs="宋体" w:eastAsia="宋体" w:hint="default"/>
        </w:rPr>
        <w:t>1</w:t>
      </w:r>
      <w:r>
        <w:rPr/>
        <w:t>）预计负债的确认标准 本公司规定与或有事项相关的义务同时满足下列条件的，确认为预计负债：</w:t>
      </w:r>
    </w:p>
    <w:p>
      <w:pPr>
        <w:pStyle w:val="BodyText"/>
        <w:spacing w:line="240" w:lineRule="auto" w:before="19"/>
        <w:ind w:left="634" w:right="0"/>
        <w:jc w:val="left"/>
      </w:pPr>
      <w:r>
        <w:rPr/>
        <w:t>①该义务是企业承担的现时义务；</w:t>
      </w:r>
    </w:p>
    <w:p>
      <w:pPr>
        <w:pStyle w:val="BodyText"/>
        <w:spacing w:line="240" w:lineRule="auto" w:before="76"/>
        <w:ind w:left="634" w:right="0"/>
        <w:jc w:val="left"/>
      </w:pPr>
      <w:r>
        <w:rPr/>
        <w:t>②履行该义务很可能导致经济利益流出企业；</w:t>
      </w:r>
    </w:p>
    <w:p>
      <w:pPr>
        <w:pStyle w:val="BodyText"/>
        <w:spacing w:line="240" w:lineRule="auto" w:before="76"/>
        <w:ind w:left="634" w:right="0"/>
        <w:jc w:val="left"/>
      </w:pPr>
      <w:r>
        <w:rPr/>
        <w:t>③该义务的金额能够可靠地计量。</w:t>
      </w:r>
    </w:p>
    <w:p>
      <w:pPr>
        <w:pStyle w:val="BodyText"/>
        <w:spacing w:line="319" w:lineRule="auto" w:before="76"/>
        <w:ind w:left="634" w:right="0"/>
        <w:jc w:val="left"/>
      </w:pPr>
      <w:r>
        <w:rPr/>
        <w:t>（</w:t>
      </w:r>
      <w:r>
        <w:rPr>
          <w:rFonts w:ascii="宋体" w:hAnsi="宋体" w:cs="宋体" w:eastAsia="宋体" w:hint="default"/>
        </w:rPr>
        <w:t>2</w:t>
      </w:r>
      <w:r>
        <w:rPr/>
        <w:t>）预计负债的计量方法 </w:t>
      </w:r>
      <w:r>
        <w:rPr>
          <w:spacing w:val="-1"/>
        </w:rPr>
        <w:t>预计负债按照履行相关现时义务所需支出的最佳估计数进行初始计量。所需支出存在一个连续范围，且该范围内各种</w:t>
      </w:r>
    </w:p>
    <w:p>
      <w:pPr>
        <w:pStyle w:val="BodyText"/>
        <w:spacing w:line="240" w:lineRule="auto" w:before="17"/>
        <w:ind w:right="0"/>
        <w:jc w:val="left"/>
      </w:pPr>
      <w:r>
        <w:rPr/>
        <w:t>结果发生的可能性相同的，最佳估计数按照该范围内的中间值确定。在其他情况下，最佳估计数分别下列情况处理：</w:t>
      </w:r>
    </w:p>
    <w:p>
      <w:pPr>
        <w:pStyle w:val="BodyText"/>
        <w:spacing w:line="240" w:lineRule="auto" w:before="76"/>
        <w:ind w:left="634" w:right="0"/>
        <w:jc w:val="left"/>
      </w:pPr>
      <w:r>
        <w:rPr/>
        <w:t>①或有事项涉及单个项目的，按照最可能发生金额确定。</w:t>
      </w:r>
    </w:p>
    <w:p>
      <w:pPr>
        <w:pStyle w:val="BodyText"/>
        <w:spacing w:line="240" w:lineRule="auto" w:before="76"/>
        <w:ind w:left="634" w:right="0"/>
        <w:jc w:val="left"/>
      </w:pPr>
      <w:r>
        <w:rPr/>
        <w:t>②或有事项涉及多个项目的，按照各种可能结果及相关概率计算确定。</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0" w:firstLine="480"/>
        <w:jc w:val="left"/>
      </w:pPr>
      <w:r>
        <w:rPr>
          <w:spacing w:val="-3"/>
        </w:rPr>
        <w:t>在确定最佳估计数时，综合考虑与或有事项有关的风险、不确定性和货币时间价值等因素。货币时间价值影响重大的，</w:t>
      </w:r>
      <w:r>
        <w:rPr/>
        <w:t> 通过对相关未来现金流出进行折现后确定最佳估计数。</w:t>
      </w:r>
    </w:p>
    <w:p>
      <w:pPr>
        <w:pStyle w:val="BodyText"/>
        <w:spacing w:line="316" w:lineRule="auto" w:before="19"/>
        <w:ind w:right="1182" w:firstLine="570"/>
        <w:jc w:val="left"/>
      </w:pPr>
      <w:r>
        <w:rPr/>
        <w:t>本公司清偿预计负债所需支出全部或部分预期由第三方补偿的，补偿金额只有在基本确定能够收到时才能作为资产 单独确认。确认的补偿金额不超过预计负债的账面价值。</w:t>
      </w:r>
    </w:p>
    <w:p>
      <w:pPr>
        <w:pStyle w:val="BodyText"/>
        <w:spacing w:line="316" w:lineRule="auto" w:before="19"/>
        <w:ind w:right="1272" w:firstLine="480"/>
        <w:jc w:val="left"/>
      </w:pPr>
      <w:r>
        <w:rPr/>
        <w:t>本公司在资产负债表日对预计负债的账面价值进行复核。有确凿证据表明该账面价值不能真实反映当前最佳估计数 的，按照当前最佳估计数对该账面价值进行调整。</w:t>
      </w:r>
    </w:p>
    <w:p>
      <w:pPr>
        <w:spacing w:line="240" w:lineRule="auto" w:before="6"/>
        <w:rPr>
          <w:rFonts w:ascii="宋体" w:hAnsi="宋体" w:cs="宋体" w:eastAsia="宋体" w:hint="default"/>
          <w:sz w:val="24"/>
          <w:szCs w:val="24"/>
        </w:rPr>
      </w:pPr>
    </w:p>
    <w:p>
      <w:pPr>
        <w:pStyle w:val="Heading6"/>
        <w:spacing w:line="240" w:lineRule="auto"/>
        <w:ind w:right="0"/>
        <w:jc w:val="left"/>
        <w:rPr>
          <w:b w:val="0"/>
          <w:bCs w:val="0"/>
        </w:rPr>
      </w:pPr>
      <w:bookmarkStart w:name="26、股份支付" w:id="203"/>
      <w:bookmarkEnd w:id="203"/>
      <w:r>
        <w:rPr>
          <w:b w:val="0"/>
          <w:bCs w:val="0"/>
        </w:rPr>
      </w:r>
      <w:r>
        <w:rPr>
          <w:rFonts w:ascii="宋体" w:hAnsi="宋体" w:cs="宋体" w:eastAsia="宋体" w:hint="default"/>
        </w:rPr>
        <w:t>26</w:t>
      </w:r>
      <w:r>
        <w:rPr/>
        <w:t>、股份支付</w:t>
      </w:r>
      <w:r>
        <w:rPr>
          <w:b w:val="0"/>
          <w:bCs w:val="0"/>
        </w:rPr>
      </w:r>
    </w:p>
    <w:p>
      <w:pPr>
        <w:spacing w:line="240" w:lineRule="auto" w:before="0"/>
        <w:rPr>
          <w:rFonts w:ascii="宋体" w:hAnsi="宋体" w:cs="宋体" w:eastAsia="宋体" w:hint="default"/>
          <w:b/>
          <w:bCs/>
          <w:sz w:val="18"/>
          <w:szCs w:val="18"/>
        </w:rPr>
      </w:pPr>
    </w:p>
    <w:p>
      <w:pPr>
        <w:pStyle w:val="BodyText"/>
        <w:spacing w:line="316" w:lineRule="auto" w:before="141"/>
        <w:ind w:left="634" w:right="4692"/>
        <w:jc w:val="left"/>
      </w:pPr>
      <w:r>
        <w:rPr/>
        <w:t>（</w:t>
      </w:r>
      <w:r>
        <w:rPr>
          <w:rFonts w:ascii="宋体" w:hAnsi="宋体" w:cs="宋体" w:eastAsia="宋体" w:hint="default"/>
        </w:rPr>
        <w:t>1</w:t>
      </w:r>
      <w:r>
        <w:rPr/>
        <w:t>）股份支付的种类 本公司股份支付分为以权益结算的股份支付和以现金结算的股份支付。</w:t>
      </w:r>
    </w:p>
    <w:p>
      <w:pPr>
        <w:pStyle w:val="BodyText"/>
        <w:spacing w:line="316" w:lineRule="auto" w:before="19"/>
        <w:ind w:left="634" w:right="0"/>
        <w:jc w:val="left"/>
      </w:pPr>
      <w:r>
        <w:rPr/>
        <w:t>（</w:t>
      </w:r>
      <w:r>
        <w:rPr>
          <w:rFonts w:ascii="宋体" w:hAnsi="宋体" w:cs="宋体" w:eastAsia="宋体" w:hint="default"/>
        </w:rPr>
        <w:t>2</w:t>
      </w:r>
      <w:r>
        <w:rPr/>
        <w:t>）权益工具公允价值的确定方法 </w:t>
      </w:r>
      <w:r>
        <w:rPr>
          <w:spacing w:val="-1"/>
        </w:rPr>
        <w:t>本公司对于授予的存在活跃市场的期权等权益工具，按照活跃市场中的报价确定其公允价值。对于授予的不存在活跃</w:t>
      </w:r>
    </w:p>
    <w:p>
      <w:pPr>
        <w:pStyle w:val="BodyText"/>
        <w:spacing w:line="316" w:lineRule="auto" w:before="19"/>
        <w:ind w:right="0"/>
        <w:jc w:val="left"/>
      </w:pPr>
      <w:r>
        <w:rPr>
          <w:spacing w:val="-4"/>
        </w:rPr>
        <w:t>市场的期权等权益工具，采用期权定价模型等确定其公允价值。选用的期权定价模型考虑以下因素：</w:t>
      </w:r>
      <w:r>
        <w:rPr>
          <w:rFonts w:ascii="宋体" w:hAnsi="宋体" w:cs="宋体" w:eastAsia="宋体" w:hint="default"/>
          <w:spacing w:val="-4"/>
        </w:rPr>
        <w:t>A</w:t>
      </w:r>
      <w:r>
        <w:rPr>
          <w:spacing w:val="-4"/>
        </w:rPr>
        <w:t>、期权的行权价格；</w:t>
      </w:r>
      <w:r>
        <w:rPr>
          <w:rFonts w:ascii="宋体" w:hAnsi="宋体" w:cs="宋体" w:eastAsia="宋体" w:hint="default"/>
          <w:spacing w:val="-4"/>
        </w:rPr>
        <w:t>B</w:t>
      </w:r>
      <w:r>
        <w:rPr>
          <w:spacing w:val="-4"/>
        </w:rPr>
        <w:t>、</w:t>
      </w:r>
      <w:r>
        <w:rPr>
          <w:spacing w:val="-39"/>
        </w:rPr>
        <w:t> </w:t>
      </w:r>
      <w:r>
        <w:rPr/>
        <w:t>期权的有效期；</w:t>
      </w:r>
      <w:r>
        <w:rPr>
          <w:rFonts w:ascii="宋体" w:hAnsi="宋体" w:cs="宋体" w:eastAsia="宋体" w:hint="default"/>
        </w:rPr>
        <w:t>C</w:t>
      </w:r>
      <w:r>
        <w:rPr/>
        <w:t>、标的股份的现行价格；</w:t>
      </w:r>
      <w:r>
        <w:rPr>
          <w:rFonts w:ascii="宋体" w:hAnsi="宋体" w:cs="宋体" w:eastAsia="宋体" w:hint="default"/>
        </w:rPr>
        <w:t>D</w:t>
      </w:r>
      <w:r>
        <w:rPr/>
        <w:t>、股价预计波动率；</w:t>
      </w:r>
      <w:r>
        <w:rPr>
          <w:rFonts w:ascii="宋体" w:hAnsi="宋体" w:cs="宋体" w:eastAsia="宋体" w:hint="default"/>
        </w:rPr>
        <w:t>E</w:t>
      </w:r>
      <w:r>
        <w:rPr/>
        <w:t>、股份的预计股利；</w:t>
      </w:r>
      <w:r>
        <w:rPr>
          <w:rFonts w:ascii="宋体" w:hAnsi="宋体" w:cs="宋体" w:eastAsia="宋体" w:hint="default"/>
        </w:rPr>
        <w:t>F</w:t>
      </w:r>
      <w:r>
        <w:rPr/>
        <w:t>、期权有效期内的无风险利率。</w:t>
      </w:r>
    </w:p>
    <w:p>
      <w:pPr>
        <w:pStyle w:val="BodyText"/>
        <w:spacing w:line="316" w:lineRule="auto" w:before="19"/>
        <w:ind w:left="634" w:right="0"/>
        <w:jc w:val="left"/>
      </w:pPr>
      <w:r>
        <w:rPr/>
        <w:t>（</w:t>
      </w:r>
      <w:r>
        <w:rPr>
          <w:rFonts w:ascii="宋体" w:hAnsi="宋体" w:cs="宋体" w:eastAsia="宋体" w:hint="default"/>
        </w:rPr>
        <w:t>3</w:t>
      </w:r>
      <w:r>
        <w:rPr/>
        <w:t>）确认可行权权益工具最佳估计的依据 </w:t>
      </w:r>
      <w:r>
        <w:rPr>
          <w:spacing w:val="-1"/>
        </w:rPr>
        <w:t>等待期内每个资产负债表日，本公司根据最新取得的可行权职工人数变动等后续信息作出最佳估计，修正预计可行权</w:t>
      </w:r>
    </w:p>
    <w:p>
      <w:pPr>
        <w:pStyle w:val="BodyText"/>
        <w:spacing w:line="240" w:lineRule="auto" w:before="19"/>
        <w:ind w:right="0"/>
        <w:jc w:val="left"/>
      </w:pPr>
      <w:r>
        <w:rPr/>
        <w:t>的权益工具数量。在可行权日，最终预计可行权权益工具的数量应当与实际可行权数量一致。</w:t>
      </w:r>
    </w:p>
    <w:p>
      <w:pPr>
        <w:pStyle w:val="BodyText"/>
        <w:spacing w:line="316" w:lineRule="auto" w:before="76"/>
        <w:ind w:left="634" w:right="0"/>
        <w:jc w:val="left"/>
      </w:pPr>
      <w:r>
        <w:rPr/>
        <w:t>（</w:t>
      </w:r>
      <w:r>
        <w:rPr>
          <w:rFonts w:ascii="宋体" w:hAnsi="宋体" w:cs="宋体" w:eastAsia="宋体" w:hint="default"/>
        </w:rPr>
        <w:t>4</w:t>
      </w:r>
      <w:r>
        <w:rPr/>
        <w:t>）实施、修改、终止股份支付计划的相关会计处理 </w:t>
      </w:r>
      <w:r>
        <w:rPr>
          <w:spacing w:val="-1"/>
        </w:rPr>
        <w:t>以权益结算的股份支付，按授予职工权益工具的公允价值计量。授予后立即可行权的，在授予日按照权益工具的公允</w:t>
      </w:r>
    </w:p>
    <w:p>
      <w:pPr>
        <w:pStyle w:val="BodyText"/>
        <w:spacing w:line="319" w:lineRule="auto" w:before="19"/>
        <w:ind w:right="1132"/>
        <w:jc w:val="both"/>
      </w:pPr>
      <w:r>
        <w:rPr>
          <w:spacing w:val="-2"/>
        </w:rPr>
        <w:t>价值计入相关成本或费用，相应增加资本公积。在完成等待期内的服务或达到规定业绩条件才可行权的，在等待期内的每个</w:t>
      </w:r>
      <w:r>
        <w:rPr>
          <w:spacing w:val="-66"/>
        </w:rPr>
        <w:t> </w:t>
      </w:r>
      <w:r>
        <w:rPr>
          <w:spacing w:val="-66"/>
        </w:rPr>
      </w:r>
      <w:r>
        <w:rPr>
          <w:spacing w:val="-2"/>
        </w:rPr>
        <w:t>资产负债表日，以对可行权权益工具数量的最佳估计为基础，按照权益工具授予日的公允价值，将当期取得的服务计入相关</w:t>
      </w:r>
      <w:r>
        <w:rPr>
          <w:spacing w:val="-66"/>
        </w:rPr>
        <w:t> </w:t>
      </w:r>
      <w:r>
        <w:rPr>
          <w:spacing w:val="-66"/>
        </w:rPr>
      </w:r>
      <w:r>
        <w:rPr/>
        <w:t>成本或费用和资本公积。在可行权日之后不再对已确认的相关成本或费用和所有者权益总额进行调整。</w:t>
      </w:r>
    </w:p>
    <w:p>
      <w:pPr>
        <w:pStyle w:val="BodyText"/>
        <w:spacing w:line="316" w:lineRule="auto" w:before="17"/>
        <w:ind w:right="1032" w:firstLine="480"/>
        <w:jc w:val="left"/>
      </w:pPr>
      <w:r>
        <w:rPr/>
        <w:t>以现金结算的股份支付，按照本公司承担的以股份或其他权益工具为基础计算确定的负债的公允价值计量。授予后立 </w:t>
      </w:r>
      <w:r>
        <w:rPr>
          <w:spacing w:val="-2"/>
        </w:rPr>
        <w:t>即可行权的，在授予日以本公司承担负债的公允价值计入相关成本或费用，相应增加负债。在完成等待期内的服务或达到规</w:t>
      </w:r>
      <w:r>
        <w:rPr>
          <w:spacing w:val="-66"/>
        </w:rPr>
        <w:t> </w:t>
      </w:r>
      <w:r>
        <w:rPr>
          <w:spacing w:val="-66"/>
        </w:rPr>
      </w:r>
      <w:r>
        <w:rPr/>
        <w:t>定业绩条件以后才可行权的以现金结算的股份支付，在等待期内的每个资产负债表日，以对可行权情况的最佳估计为基础， </w:t>
      </w:r>
      <w:r>
        <w:rPr>
          <w:spacing w:val="-2"/>
        </w:rPr>
        <w:t>按照本公司承担负债的公允价值金额，将当期取得的服务计入成本或费用和相应的负债。在相关负债结算前的每个资产负债</w:t>
      </w:r>
      <w:r>
        <w:rPr>
          <w:spacing w:val="-64"/>
        </w:rPr>
        <w:t> </w:t>
      </w:r>
      <w:r>
        <w:rPr>
          <w:spacing w:val="-64"/>
        </w:rPr>
      </w:r>
      <w:r>
        <w:rPr/>
        <w:t>表日以及结算日，对负债的公允价值重新计量，其变动计入当期损益。</w:t>
      </w:r>
    </w:p>
    <w:p>
      <w:pPr>
        <w:pStyle w:val="BodyText"/>
        <w:spacing w:line="316" w:lineRule="auto" w:before="19"/>
        <w:ind w:right="0" w:firstLine="480"/>
        <w:jc w:val="left"/>
      </w:pPr>
      <w:r>
        <w:rPr/>
        <w:t>本公司对股份支付计划进行修改时，若修改增加了所授予权益工具的公允价值，按照权益工具公允价值的增加相应地 </w:t>
      </w:r>
      <w:r>
        <w:rPr>
          <w:spacing w:val="-4"/>
        </w:rPr>
        <w:t>确认取得服务的增加；若修改增加了所授予权益工具的数量，则将增加的权益工具的公允价值相应地确认为取得服务的增加。</w:t>
      </w:r>
      <w:r>
        <w:rPr>
          <w:spacing w:val="-44"/>
        </w:rPr>
        <w:t> </w:t>
      </w:r>
      <w:r>
        <w:rPr>
          <w:spacing w:val="-44"/>
        </w:rPr>
      </w:r>
      <w:r>
        <w:rPr>
          <w:spacing w:val="-2"/>
        </w:rPr>
        <w:t>权益工具公允价值的增加是指修改前后的权益工具在修改日的公允价值之间的差额。若修改减少了股份支付公允价值总额或</w:t>
      </w:r>
      <w:r>
        <w:rPr>
          <w:spacing w:val="-64"/>
        </w:rPr>
        <w:t> </w:t>
      </w:r>
      <w:r>
        <w:rPr>
          <w:spacing w:val="-64"/>
        </w:rPr>
      </w:r>
      <w:r>
        <w:rPr>
          <w:spacing w:val="-4"/>
        </w:rPr>
        <w:t>采用了其他不利于职工的方式修改股份支付计划的条款和条件，则仍继续对取得的服务进行会计处理，视同该变更从未发生，</w:t>
      </w:r>
      <w:r>
        <w:rPr>
          <w:spacing w:val="-43"/>
        </w:rPr>
        <w:t> </w:t>
      </w:r>
      <w:r>
        <w:rPr>
          <w:spacing w:val="-43"/>
        </w:rPr>
      </w:r>
      <w:r>
        <w:rPr/>
        <w:t>除非本公司取消了部分或全部已授予的权益工具。</w:t>
      </w:r>
    </w:p>
    <w:p>
      <w:pPr>
        <w:pStyle w:val="BodyText"/>
        <w:spacing w:line="316" w:lineRule="auto" w:before="19"/>
        <w:ind w:right="1133" w:firstLine="480"/>
        <w:jc w:val="both"/>
      </w:pPr>
      <w:r>
        <w:rPr>
          <w:spacing w:val="-1"/>
        </w:rPr>
        <w:t>在等待期内，如果取消了授予的权益工具（因未满足可行权条件的非市场条件而被取消的除外），本公司对取消所授</w:t>
      </w:r>
      <w:r>
        <w:rPr/>
        <w:t> </w:t>
      </w:r>
      <w:r>
        <w:rPr>
          <w:spacing w:val="-2"/>
        </w:rPr>
        <w:t>予的权益性工具作为加速行权处理，将剩余等待期内应确认的金额立即计入当期损益，同时确认资本公积。职工或其他方能</w:t>
      </w:r>
      <w:r>
        <w:rPr>
          <w:spacing w:val="-66"/>
        </w:rPr>
        <w:t> </w:t>
      </w:r>
      <w:r>
        <w:rPr>
          <w:spacing w:val="-66"/>
        </w:rPr>
      </w:r>
      <w:r>
        <w:rPr/>
        <w:t>够选择满足非可行权条件但在等待期内未满足的，本公司将其作为授予权益工具的取消处理。</w:t>
      </w:r>
    </w:p>
    <w:p>
      <w:pPr>
        <w:spacing w:line="240" w:lineRule="auto" w:before="6"/>
        <w:rPr>
          <w:rFonts w:ascii="宋体" w:hAnsi="宋体" w:cs="宋体" w:eastAsia="宋体" w:hint="default"/>
          <w:sz w:val="24"/>
          <w:szCs w:val="24"/>
        </w:rPr>
      </w:pPr>
    </w:p>
    <w:p>
      <w:pPr>
        <w:pStyle w:val="Heading6"/>
        <w:spacing w:line="240" w:lineRule="auto"/>
        <w:ind w:right="0"/>
        <w:jc w:val="left"/>
        <w:rPr>
          <w:b w:val="0"/>
          <w:bCs w:val="0"/>
        </w:rPr>
      </w:pPr>
      <w:bookmarkStart w:name="27、优先股、永续债等其他金融工具" w:id="204"/>
      <w:bookmarkEnd w:id="204"/>
      <w:r>
        <w:rPr>
          <w:b w:val="0"/>
          <w:bCs w:val="0"/>
        </w:rPr>
      </w:r>
      <w:r>
        <w:rPr>
          <w:rFonts w:ascii="宋体" w:hAnsi="宋体" w:cs="宋体" w:eastAsia="宋体" w:hint="default"/>
        </w:rPr>
        <w:t>27</w:t>
      </w:r>
      <w:r>
        <w:rPr/>
        <w:t>、优先股、永续债等其他金融工具</w:t>
      </w:r>
      <w:r>
        <w:rPr>
          <w:b w:val="0"/>
          <w:bCs w:val="0"/>
        </w:rPr>
      </w:r>
    </w:p>
    <w:p>
      <w:pPr>
        <w:spacing w:line="240" w:lineRule="auto" w:before="0"/>
        <w:rPr>
          <w:rFonts w:ascii="宋体" w:hAnsi="宋体" w:cs="宋体" w:eastAsia="宋体" w:hint="default"/>
          <w:b/>
          <w:bCs/>
          <w:sz w:val="18"/>
          <w:szCs w:val="18"/>
        </w:rPr>
      </w:pPr>
    </w:p>
    <w:p>
      <w:pPr>
        <w:pStyle w:val="Heading6"/>
        <w:spacing w:line="240" w:lineRule="auto" w:before="142"/>
        <w:ind w:right="0"/>
        <w:jc w:val="left"/>
        <w:rPr>
          <w:b w:val="0"/>
          <w:bCs w:val="0"/>
        </w:rPr>
      </w:pPr>
      <w:bookmarkStart w:name="28、收入" w:id="205"/>
      <w:bookmarkEnd w:id="205"/>
      <w:r>
        <w:rPr>
          <w:b w:val="0"/>
          <w:bCs w:val="0"/>
        </w:rPr>
      </w:r>
      <w:r>
        <w:rPr>
          <w:rFonts w:ascii="宋体" w:hAnsi="宋体" w:cs="宋体" w:eastAsia="宋体" w:hint="default"/>
        </w:rPr>
        <w:t>28</w:t>
      </w:r>
      <w:r>
        <w:rPr/>
        <w:t>、收入</w:t>
      </w:r>
      <w:r>
        <w:rPr>
          <w:b w:val="0"/>
          <w:bCs w:val="0"/>
        </w:rPr>
      </w:r>
    </w:p>
    <w:p>
      <w:pPr>
        <w:spacing w:line="240" w:lineRule="auto" w:before="0"/>
        <w:rPr>
          <w:rFonts w:ascii="宋体" w:hAnsi="宋体" w:cs="宋体" w:eastAsia="宋体" w:hint="default"/>
          <w:b/>
          <w:bCs/>
          <w:sz w:val="18"/>
          <w:szCs w:val="18"/>
        </w:rPr>
      </w:pPr>
    </w:p>
    <w:p>
      <w:pPr>
        <w:pStyle w:val="BodyText"/>
        <w:spacing w:line="360" w:lineRule="auto" w:before="142"/>
        <w:ind w:right="7692"/>
        <w:jc w:val="left"/>
      </w:pPr>
      <w:r>
        <w:rPr/>
        <w:t>公司是否需要遵守特殊行业的披露要求 是 软件与信息技术服务业</w:t>
      </w:r>
      <w:r>
        <w:rPr>
          <w:rFonts w:ascii="宋体" w:hAnsi="宋体" w:cs="宋体" w:eastAsia="宋体" w:hint="default"/>
        </w:rPr>
        <w:t>;</w:t>
      </w:r>
      <w:r>
        <w:rPr/>
        <w:t>互联网游戏业</w:t>
      </w:r>
    </w:p>
    <w:p>
      <w:pPr>
        <w:spacing w:after="0" w:line="36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ind w:left="634" w:right="0" w:hanging="480"/>
        <w:jc w:val="left"/>
      </w:pPr>
      <w:r>
        <w:rPr/>
        <w:t>公司需遵守《深圳证券交易所创业板行业信息披露指引第</w:t>
      </w:r>
      <w:r>
        <w:rPr>
          <w:spacing w:val="-46"/>
        </w:rPr>
        <w:t> </w:t>
      </w:r>
      <w:r>
        <w:rPr>
          <w:rFonts w:ascii="宋体" w:hAnsi="宋体" w:cs="宋体" w:eastAsia="宋体" w:hint="default"/>
        </w:rPr>
        <w:t>5</w:t>
      </w:r>
      <w:r>
        <w:rPr>
          <w:rFonts w:ascii="宋体" w:hAnsi="宋体" w:cs="宋体" w:eastAsia="宋体" w:hint="default"/>
          <w:spacing w:val="-46"/>
        </w:rPr>
        <w:t> </w:t>
      </w:r>
      <w:r>
        <w:rPr/>
        <w:t>号——上市公司从事互联网游戏业务》的披露要求 </w:t>
      </w:r>
      <w:r>
        <w:rPr>
          <w:spacing w:val="-1"/>
        </w:rPr>
        <w:t>收入是本公司在日常活动中形成的、会导致股东权益增加且与股东投入资本无关的经济利益的总流入。收入在其金额</w:t>
      </w:r>
    </w:p>
    <w:p>
      <w:pPr>
        <w:pStyle w:val="BodyText"/>
        <w:spacing w:line="224" w:lineRule="exact" w:before="0"/>
        <w:ind w:right="0"/>
        <w:jc w:val="left"/>
      </w:pPr>
      <w:r>
        <w:rPr/>
        <w:t>及相关成本能够可靠计量、相关的经济利益很可能流入本公司、并且同时满足以下不同类型收入的其他确认条件时，予以确</w:t>
      </w:r>
    </w:p>
    <w:p>
      <w:pPr>
        <w:pStyle w:val="BodyText"/>
        <w:spacing w:line="240" w:lineRule="auto" w:before="76"/>
        <w:ind w:right="0"/>
        <w:jc w:val="left"/>
      </w:pPr>
      <w:r>
        <w:rPr/>
        <w:t>认。</w:t>
      </w:r>
    </w:p>
    <w:p>
      <w:pPr>
        <w:pStyle w:val="BodyText"/>
        <w:spacing w:line="316" w:lineRule="auto" w:before="77"/>
        <w:ind w:left="634" w:right="1118"/>
        <w:jc w:val="left"/>
      </w:pPr>
      <w:r>
        <w:rPr/>
        <w:t>（</w:t>
      </w:r>
      <w:r>
        <w:rPr>
          <w:rFonts w:ascii="宋体" w:hAnsi="宋体" w:cs="宋体" w:eastAsia="宋体" w:hint="default"/>
        </w:rPr>
        <w:t>1</w:t>
      </w:r>
      <w:r>
        <w:rPr/>
        <w:t>）销售商品 </w:t>
      </w:r>
      <w:r>
        <w:rPr>
          <w:spacing w:val="-1"/>
        </w:rPr>
        <w:t>销售商品在将商品所有权上的重要风险和报酬转移给买方，不再对该等商品实施继续管理权和实际控制权，与交易相</w:t>
      </w:r>
    </w:p>
    <w:p>
      <w:pPr>
        <w:pStyle w:val="BodyText"/>
        <w:spacing w:line="240" w:lineRule="auto" w:before="19"/>
        <w:ind w:right="0"/>
        <w:jc w:val="both"/>
      </w:pPr>
      <w:r>
        <w:rPr/>
        <w:t>关的经济利益能够流入企业，相关的收入和成本能够可靠地计量时，确认营业收入的实现。</w:t>
      </w:r>
    </w:p>
    <w:p>
      <w:pPr>
        <w:pStyle w:val="BodyText"/>
        <w:spacing w:line="316" w:lineRule="auto" w:before="76"/>
        <w:ind w:left="634" w:right="1118"/>
        <w:jc w:val="left"/>
      </w:pPr>
      <w:r>
        <w:rPr/>
        <w:t>（</w:t>
      </w:r>
      <w:r>
        <w:rPr>
          <w:rFonts w:ascii="宋体" w:hAnsi="宋体" w:cs="宋体" w:eastAsia="宋体" w:hint="default"/>
        </w:rPr>
        <w:t>2</w:t>
      </w:r>
      <w:r>
        <w:rPr/>
        <w:t>）提供劳务 </w:t>
      </w:r>
      <w:r>
        <w:rPr>
          <w:spacing w:val="-1"/>
        </w:rPr>
        <w:t>本公司对外提供劳务，于劳务已实际提供时确认相关的收入，在确认收入时，以劳务已提供，与交易相关的价款能够</w:t>
      </w:r>
    </w:p>
    <w:p>
      <w:pPr>
        <w:pStyle w:val="BodyText"/>
        <w:spacing w:line="240" w:lineRule="auto" w:before="19"/>
        <w:ind w:right="0"/>
        <w:jc w:val="both"/>
      </w:pPr>
      <w:r>
        <w:rPr/>
        <w:t>流入，并且与该项劳务有关的成本能够可靠计量为前提。</w:t>
      </w:r>
    </w:p>
    <w:p>
      <w:pPr>
        <w:pStyle w:val="BodyText"/>
        <w:spacing w:line="316" w:lineRule="auto" w:before="76"/>
        <w:ind w:left="634" w:right="6132"/>
        <w:jc w:val="left"/>
      </w:pPr>
      <w:r>
        <w:rPr/>
        <w:t>（</w:t>
      </w:r>
      <w:r>
        <w:rPr>
          <w:rFonts w:ascii="宋体" w:hAnsi="宋体" w:cs="宋体" w:eastAsia="宋体" w:hint="default"/>
        </w:rPr>
        <w:t>3</w:t>
      </w:r>
      <w:r>
        <w:rPr/>
        <w:t>）让渡资产使用权 让渡资产使用权收入包括利息收入、使用费收入等。</w:t>
      </w:r>
    </w:p>
    <w:p>
      <w:pPr>
        <w:pStyle w:val="BodyText"/>
        <w:spacing w:line="240" w:lineRule="auto" w:before="19"/>
        <w:ind w:left="634" w:right="0"/>
        <w:jc w:val="left"/>
      </w:pPr>
      <w:r>
        <w:rPr/>
        <w:t>本公司在收入的金额能够可靠地计量，相关的经济利益很可能流入企业时，确认让渡资产使用权收入。</w:t>
      </w:r>
    </w:p>
    <w:p>
      <w:pPr>
        <w:pStyle w:val="BodyText"/>
        <w:spacing w:line="240" w:lineRule="auto" w:before="76"/>
        <w:ind w:left="634" w:right="0"/>
        <w:jc w:val="left"/>
      </w:pPr>
      <w:r>
        <w:rPr/>
        <w:t>（</w:t>
      </w:r>
      <w:r>
        <w:rPr>
          <w:rFonts w:ascii="宋体" w:hAnsi="宋体" w:cs="宋体" w:eastAsia="宋体" w:hint="default"/>
        </w:rPr>
        <w:t>4</w:t>
      </w:r>
      <w:r>
        <w:rPr/>
        <w:t>）收入确认的具体方法：</w:t>
      </w:r>
    </w:p>
    <w:p>
      <w:pPr>
        <w:pStyle w:val="BodyText"/>
        <w:spacing w:line="316" w:lineRule="auto" w:before="76"/>
        <w:ind w:left="634" w:right="6312"/>
        <w:jc w:val="left"/>
      </w:pPr>
      <w:r>
        <w:rPr/>
        <w:t>①硬件销售收入 硬件销售收入按照商品销售的确认原则确认收入。</w:t>
      </w:r>
    </w:p>
    <w:p>
      <w:pPr>
        <w:pStyle w:val="BodyText"/>
        <w:spacing w:line="316" w:lineRule="auto" w:before="19"/>
        <w:ind w:left="634" w:right="0"/>
        <w:jc w:val="left"/>
      </w:pPr>
      <w:r>
        <w:rPr/>
        <w:t>②应用软件开发与销售：包括自行开发研制软件产品销售与定制开发软件销售。 </w:t>
      </w:r>
      <w:r>
        <w:rPr>
          <w:spacing w:val="-1"/>
        </w:rPr>
        <w:t>自行开发研制的软件产品是指公司拥有著作权，销售时不转让所有权的软件产品。该类产品，需安装调试的按合同约</w:t>
      </w:r>
    </w:p>
    <w:p>
      <w:pPr>
        <w:pStyle w:val="BodyText"/>
        <w:spacing w:line="316" w:lineRule="auto" w:before="19"/>
        <w:ind w:left="634" w:right="0" w:hanging="480"/>
        <w:jc w:val="left"/>
      </w:pPr>
      <w:r>
        <w:rPr/>
        <w:t>定在实施完成并经对方验收合格后确认收入；不需安装的以产品交付并经购货方验收合格后确认收入。 </w:t>
      </w:r>
      <w:r>
        <w:rPr>
          <w:spacing w:val="-1"/>
        </w:rPr>
        <w:t>定制软件是指根据与客户签订的技术开发、委托开发合同，对用户的业务进行充分实地调查，并根据用户的实际需求</w:t>
      </w:r>
    </w:p>
    <w:p>
      <w:pPr>
        <w:pStyle w:val="BodyText"/>
        <w:spacing w:line="319" w:lineRule="auto" w:before="19"/>
        <w:ind w:right="1132"/>
        <w:jc w:val="both"/>
      </w:pPr>
      <w:r>
        <w:rPr>
          <w:spacing w:val="-2"/>
        </w:rPr>
        <w:t>进行专门的软件设计与开发，由此开发出来不具有通用性的软件。定制软件项目在同一会计年度内开始并完成的，按照合同</w:t>
      </w:r>
      <w:r>
        <w:rPr>
          <w:spacing w:val="-66"/>
        </w:rPr>
        <w:t> </w:t>
      </w:r>
      <w:r>
        <w:rPr>
          <w:spacing w:val="-66"/>
        </w:rPr>
      </w:r>
      <w:r>
        <w:rPr>
          <w:spacing w:val="-2"/>
        </w:rPr>
        <w:t>约定、在项目实施完成并经对方验收合格后确认收入；跨年度定制软件由公司业务技术部门根据合同分阶段提供项目开发进</w:t>
      </w:r>
      <w:r>
        <w:rPr>
          <w:spacing w:val="-64"/>
        </w:rPr>
        <w:t> </w:t>
      </w:r>
      <w:r>
        <w:rPr>
          <w:spacing w:val="-64"/>
        </w:rPr>
      </w:r>
      <w:r>
        <w:rPr/>
        <w:t>度，经用户确认后，按照完工百分比法确认收入。</w:t>
      </w:r>
    </w:p>
    <w:p>
      <w:pPr>
        <w:pStyle w:val="BodyText"/>
        <w:spacing w:line="316" w:lineRule="auto" w:before="17"/>
        <w:ind w:right="1133" w:firstLine="480"/>
        <w:jc w:val="both"/>
      </w:pPr>
      <w:r>
        <w:rPr>
          <w:spacing w:val="-1"/>
        </w:rPr>
        <w:t>③系统集成：系统集成是指通过结构化的综合布线系统和计算机网络技术，将各个分离的设备、功能和信息等集成到</w:t>
      </w:r>
      <w:r>
        <w:rPr/>
        <w:t> 相互关联的、统一和协调的系统之中，使资源达到充分共享，实现集中、高效、便利的管理系统。</w:t>
      </w:r>
    </w:p>
    <w:p>
      <w:pPr>
        <w:pStyle w:val="BodyText"/>
        <w:spacing w:line="316" w:lineRule="auto" w:before="19"/>
        <w:ind w:right="1032" w:firstLine="480"/>
        <w:jc w:val="left"/>
      </w:pPr>
      <w:r>
        <w:rPr/>
        <w:t>对于系统集成业务，如果软件收入与设备配件及安装服务收入能分开核算，则硬件收入按照上述商品销售收入的原则 进行确认，软件收入按照上述软件产品销售的原则进行确认。如果软件收入与设备配件及安装服务服务收入不能分开核算， 则将其一并核算，待系统集成于安装完成后确认收入。</w:t>
      </w:r>
    </w:p>
    <w:p>
      <w:pPr>
        <w:pStyle w:val="BodyText"/>
        <w:spacing w:line="316" w:lineRule="auto" w:before="19"/>
        <w:ind w:right="1131" w:firstLine="480"/>
        <w:jc w:val="both"/>
      </w:pPr>
      <w:r>
        <w:rPr>
          <w:spacing w:val="-1"/>
        </w:rPr>
        <w:t>④安全审计相关服务：主要是指维护服务和其他服务，维护服务是在合同约定的服务期间为客户提供产品维护和升级</w:t>
      </w:r>
      <w:r>
        <w:rPr/>
        <w:t> 服务，其他服务则根据客户的需求和合同约定提供相应的服务。</w:t>
      </w:r>
    </w:p>
    <w:p>
      <w:pPr>
        <w:pStyle w:val="BodyText"/>
        <w:spacing w:line="316" w:lineRule="auto" w:before="19"/>
        <w:ind w:right="1133" w:firstLine="480"/>
        <w:jc w:val="both"/>
      </w:pPr>
      <w:r>
        <w:rPr>
          <w:spacing w:val="-1"/>
        </w:rPr>
        <w:t>维护服务在服务期间采用直线法确认收入，其他服务（在同一年度完成）在劳务已经提供，收到价款或取得收取款项</w:t>
      </w:r>
      <w:r>
        <w:rPr/>
        <w:t> 的证据时，确认劳务收入。对于跨期提供服务的，按提供劳务确认原则确认收入。</w:t>
      </w:r>
    </w:p>
    <w:p>
      <w:pPr>
        <w:pStyle w:val="BodyText"/>
        <w:spacing w:line="316" w:lineRule="auto" w:before="19"/>
        <w:ind w:left="634" w:right="4152"/>
        <w:jc w:val="left"/>
      </w:pPr>
      <w:r>
        <w:rPr/>
        <w:t>⑤网络游戏运营： 公司目前的网络游戏运营模式主要包括公司自主运营、联合发行、代理运营。 </w:t>
      </w:r>
      <w:r>
        <w:rPr>
          <w:rFonts w:ascii="宋体" w:hAnsi="宋体" w:cs="宋体" w:eastAsia="宋体" w:hint="default"/>
        </w:rPr>
        <w:t>A</w:t>
      </w:r>
      <w:r>
        <w:rPr/>
        <w:t>、公司自主运营收入的确认原则、方式和流程</w:t>
      </w:r>
    </w:p>
    <w:p>
      <w:pPr>
        <w:pStyle w:val="BodyText"/>
        <w:spacing w:line="316" w:lineRule="auto" w:before="19"/>
        <w:ind w:right="1130" w:firstLine="480"/>
        <w:jc w:val="both"/>
      </w:pPr>
      <w:r>
        <w:rPr>
          <w:spacing w:val="-1"/>
        </w:rPr>
        <w:t>公司是通过游戏玩家在网络游戏中使用虚拟货币支付棋牌游戏服务费、虚拟货币购买道具装备或某些特殊游戏功能模</w:t>
      </w:r>
      <w:r>
        <w:rPr/>
        <w:t> </w:t>
      </w:r>
      <w:r>
        <w:rPr>
          <w:spacing w:val="-2"/>
        </w:rPr>
        <w:t>块的方式取得网络游戏运营收入。游戏玩家可以从公司的游戏点卡经销商处购得游戏点卡，也可以从公司的官方运营网站上</w:t>
      </w:r>
      <w:r>
        <w:rPr>
          <w:spacing w:val="-64"/>
        </w:rPr>
        <w:t> </w:t>
      </w:r>
      <w:r>
        <w:rPr>
          <w:spacing w:val="-64"/>
        </w:rPr>
      </w:r>
      <w:r>
        <w:rPr>
          <w:spacing w:val="-2"/>
        </w:rPr>
        <w:t>通过银行借记卡、信用卡、第三方支付、手机支付以及银行转账等方式购得游戏点卡。游戏玩家可以使用上述游戏点卡进入</w:t>
      </w:r>
      <w:r>
        <w:rPr>
          <w:spacing w:val="-66"/>
        </w:rPr>
        <w:t> </w:t>
      </w:r>
      <w:r>
        <w:rPr>
          <w:spacing w:val="-66"/>
        </w:rPr>
      </w:r>
      <w:r>
        <w:rPr/>
        <w:t>公司运营的网络游戏中使用虚拟货币进行消费。</w:t>
      </w:r>
    </w:p>
    <w:p>
      <w:pPr>
        <w:pStyle w:val="BodyText"/>
        <w:spacing w:line="319" w:lineRule="auto" w:before="19"/>
        <w:ind w:right="1131" w:firstLine="480"/>
        <w:jc w:val="both"/>
      </w:pPr>
      <w:r>
        <w:rPr>
          <w:spacing w:val="-1"/>
        </w:rPr>
        <w:t>公司在棋牌游戏服务费收费模式下，游戏玩家可以免费体验公司棋牌类游戏中的非财富类游戏的所有功能，如休闲类</w:t>
      </w:r>
      <w:r>
        <w:rPr/>
        <w:t> </w:t>
      </w:r>
      <w:r>
        <w:rPr>
          <w:spacing w:val="-2"/>
        </w:rPr>
        <w:t>游戏、棋类游戏等，只有游戏玩家参与财富类游戏时才需要支付费用。棋牌游戏服务费收费模式下，在游戏玩家实际使用虚</w:t>
      </w:r>
      <w:r>
        <w:rPr>
          <w:spacing w:val="-66"/>
        </w:rPr>
        <w:t> </w:t>
      </w:r>
      <w:r>
        <w:rPr>
          <w:spacing w:val="-66"/>
        </w:rPr>
      </w:r>
      <w:r>
        <w:rPr/>
        <w:t>拟货币支付每局棋牌游戏服务费时确认收入。</w:t>
      </w:r>
    </w:p>
    <w:p>
      <w:pPr>
        <w:pStyle w:val="BodyText"/>
        <w:spacing w:line="316" w:lineRule="auto" w:before="17"/>
        <w:ind w:right="1133" w:firstLine="480"/>
        <w:jc w:val="both"/>
      </w:pPr>
      <w:r>
        <w:rPr>
          <w:spacing w:val="-1"/>
        </w:rPr>
        <w:t>公司在道具收费模式下，游戏玩家可以免费体验公司在线运营的网络游戏的基本功能，只有游戏玩家购买游戏中的虚</w:t>
      </w:r>
      <w:r>
        <w:rPr/>
        <w:t> 拟道具时才需要支付费用。在道具收费模式下，公司在游戏玩家实际使用虚拟货币购买道具时确认收入。</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left="634" w:right="0"/>
        <w:jc w:val="left"/>
      </w:pPr>
      <w:r>
        <w:rPr/>
        <w:t>自主运营模式下收入确认流程如下：</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line="5745" w:lineRule="exact"/>
        <w:ind w:left="154" w:right="0" w:firstLine="0"/>
        <w:rPr>
          <w:rFonts w:ascii="宋体" w:hAnsi="宋体" w:cs="宋体" w:eastAsia="宋体" w:hint="default"/>
          <w:sz w:val="20"/>
          <w:szCs w:val="20"/>
        </w:rPr>
      </w:pPr>
      <w:r>
        <w:rPr>
          <w:rFonts w:ascii="宋体" w:hAnsi="宋体" w:cs="宋体" w:eastAsia="宋体" w:hint="default"/>
          <w:position w:val="-114"/>
          <w:sz w:val="20"/>
          <w:szCs w:val="20"/>
        </w:rPr>
        <w:drawing>
          <wp:inline distT="0" distB="0" distL="0" distR="0">
            <wp:extent cx="4162335" cy="3648075"/>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6" cstate="print"/>
                    <a:stretch>
                      <a:fillRect/>
                    </a:stretch>
                  </pic:blipFill>
                  <pic:spPr>
                    <a:xfrm>
                      <a:off x="0" y="0"/>
                      <a:ext cx="4162335" cy="3648075"/>
                    </a:xfrm>
                    <a:prstGeom prst="rect">
                      <a:avLst/>
                    </a:prstGeom>
                  </pic:spPr>
                </pic:pic>
              </a:graphicData>
            </a:graphic>
          </wp:inline>
        </w:drawing>
      </w:r>
      <w:r>
        <w:rPr>
          <w:rFonts w:ascii="宋体" w:hAnsi="宋体" w:cs="宋体" w:eastAsia="宋体" w:hint="default"/>
          <w:position w:val="-114"/>
          <w:sz w:val="20"/>
          <w:szCs w:val="20"/>
        </w:rPr>
      </w:r>
    </w:p>
    <w:p>
      <w:pPr>
        <w:spacing w:line="240" w:lineRule="auto" w:before="5"/>
        <w:rPr>
          <w:rFonts w:ascii="宋体" w:hAnsi="宋体" w:cs="宋体" w:eastAsia="宋体" w:hint="default"/>
          <w:sz w:val="28"/>
          <w:szCs w:val="28"/>
        </w:rPr>
      </w:pPr>
    </w:p>
    <w:p>
      <w:pPr>
        <w:pStyle w:val="BodyText"/>
        <w:spacing w:line="300" w:lineRule="auto"/>
        <w:ind w:left="634" w:right="0"/>
        <w:jc w:val="left"/>
      </w:pPr>
      <w:r>
        <w:rPr>
          <w:rFonts w:ascii="Times New Roman" w:hAnsi="Times New Roman" w:cs="Times New Roman" w:eastAsia="Times New Roman" w:hint="default"/>
        </w:rPr>
        <w:t>B</w:t>
      </w:r>
      <w:r>
        <w:rPr/>
        <w:t>、联合发行收入的会计政策、确认方式和流程 </w:t>
      </w:r>
      <w:r>
        <w:rPr>
          <w:spacing w:val="-1"/>
        </w:rPr>
        <w:t>联合发行是指公司利用自有互联网平台发布第三方游戏产品，即平台用户可以将持有的平台虚拟代币直接转换为第三</w:t>
      </w:r>
    </w:p>
    <w:p>
      <w:pPr>
        <w:pStyle w:val="BodyText"/>
        <w:spacing w:line="316" w:lineRule="auto" w:before="31"/>
        <w:ind w:right="1131"/>
        <w:jc w:val="both"/>
      </w:pPr>
      <w:r>
        <w:rPr>
          <w:spacing w:val="-2"/>
        </w:rPr>
        <w:t>方游戏产品定义的虚拟货币，从而将平台用户溢余资源转化为第三方游戏产品的游戏用户。在联合发行模式下，第三方游戏</w:t>
      </w:r>
      <w:r>
        <w:rPr>
          <w:spacing w:val="-66"/>
        </w:rPr>
        <w:t> </w:t>
      </w:r>
      <w:r>
        <w:rPr>
          <w:spacing w:val="-66"/>
        </w:rPr>
      </w:r>
      <w:r>
        <w:rPr>
          <w:spacing w:val="-2"/>
        </w:rPr>
        <w:t>研发商或运行商架设服务器并负责游戏的运营、更新维护、技术支持和客户服务；公司负责游戏产品的推广、导入用户和玩</w:t>
      </w:r>
      <w:r>
        <w:rPr>
          <w:spacing w:val="-66"/>
        </w:rPr>
        <w:t> </w:t>
      </w:r>
      <w:r>
        <w:rPr>
          <w:spacing w:val="-66"/>
        </w:rPr>
      </w:r>
      <w:r>
        <w:rPr/>
        <w:t>家账号、玩家充值服务及计费系统的管理。</w:t>
      </w:r>
    </w:p>
    <w:p>
      <w:pPr>
        <w:pStyle w:val="BodyText"/>
        <w:spacing w:line="316" w:lineRule="auto" w:before="19"/>
        <w:ind w:right="0" w:firstLine="480"/>
        <w:jc w:val="left"/>
      </w:pPr>
      <w:r>
        <w:rPr>
          <w:spacing w:val="-1"/>
        </w:rPr>
        <w:t>在联合发行模式下，公司在游戏玩家实际充值并消费虚拟货币时确认收入，并将按协议约定比例分成给游戏研发商或</w:t>
      </w:r>
      <w:r>
        <w:rPr/>
        <w:t> 运营商的金额确认为营业成本。</w:t>
      </w:r>
    </w:p>
    <w:p>
      <w:pPr>
        <w:pStyle w:val="BodyText"/>
        <w:tabs>
          <w:tab w:pos="994" w:val="left" w:leader="none"/>
        </w:tabs>
        <w:spacing w:line="300" w:lineRule="auto" w:before="19"/>
        <w:ind w:left="634" w:right="1110"/>
        <w:jc w:val="left"/>
      </w:pPr>
      <w:r>
        <w:rPr>
          <w:rFonts w:ascii="Times New Roman" w:hAnsi="Times New Roman" w:cs="Times New Roman" w:eastAsia="Times New Roman" w:hint="default"/>
        </w:rPr>
        <w:t>C</w:t>
        <w:tab/>
      </w:r>
      <w:r>
        <w:rPr/>
        <w:t>、代理运营收入的会计政策、确认方式和流程 公司与代理商签订合作运营协议，代理商负责游戏的发行推广、游戏运营收入的结算，公司主要负责提供游戏产品、</w:t>
      </w:r>
    </w:p>
    <w:p>
      <w:pPr>
        <w:pStyle w:val="BodyText"/>
        <w:spacing w:line="316" w:lineRule="auto" w:before="31"/>
        <w:ind w:right="1132"/>
        <w:jc w:val="both"/>
      </w:pPr>
      <w:r>
        <w:rPr>
          <w:spacing w:val="-2"/>
        </w:rPr>
        <w:t>相关的软件及技术支持、部分客服等。在代理运营模式下，代理商向公司按照合作协议所约定的分成比例及双方确认的充值</w:t>
      </w:r>
      <w:r>
        <w:rPr>
          <w:spacing w:val="-66"/>
        </w:rPr>
        <w:t> </w:t>
      </w:r>
      <w:r>
        <w:rPr>
          <w:spacing w:val="-66"/>
        </w:rPr>
      </w:r>
      <w:r>
        <w:rPr>
          <w:spacing w:val="-2"/>
        </w:rPr>
        <w:t>数据进行付款，公司每月根据平台游戏终端充值数据扣除相关渠道费用后按分成比例计算后确认收入。代理运营模式下收入</w:t>
      </w:r>
      <w:r>
        <w:rPr>
          <w:spacing w:val="-64"/>
        </w:rPr>
        <w:t> </w:t>
      </w:r>
      <w:r>
        <w:rPr>
          <w:spacing w:val="-64"/>
        </w:rPr>
      </w:r>
      <w:r>
        <w:rPr/>
        <w:t>确认流程如下：</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line="4425" w:lineRule="exact"/>
        <w:ind w:left="154" w:right="0" w:firstLine="0"/>
        <w:rPr>
          <w:rFonts w:ascii="宋体" w:hAnsi="宋体" w:cs="宋体" w:eastAsia="宋体" w:hint="default"/>
          <w:sz w:val="20"/>
          <w:szCs w:val="20"/>
        </w:rPr>
      </w:pPr>
      <w:r>
        <w:rPr>
          <w:rFonts w:ascii="宋体" w:hAnsi="宋体" w:cs="宋体" w:eastAsia="宋体" w:hint="default"/>
          <w:position w:val="-88"/>
          <w:sz w:val="20"/>
          <w:szCs w:val="20"/>
        </w:rPr>
        <w:drawing>
          <wp:inline distT="0" distB="0" distL="0" distR="0">
            <wp:extent cx="5047109" cy="280987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7" cstate="print"/>
                    <a:stretch>
                      <a:fillRect/>
                    </a:stretch>
                  </pic:blipFill>
                  <pic:spPr>
                    <a:xfrm>
                      <a:off x="0" y="0"/>
                      <a:ext cx="5047109" cy="2809875"/>
                    </a:xfrm>
                    <a:prstGeom prst="rect">
                      <a:avLst/>
                    </a:prstGeom>
                  </pic:spPr>
                </pic:pic>
              </a:graphicData>
            </a:graphic>
          </wp:inline>
        </w:drawing>
      </w:r>
      <w:r>
        <w:rPr>
          <w:rFonts w:ascii="宋体" w:hAnsi="宋体" w:cs="宋体" w:eastAsia="宋体" w:hint="default"/>
          <w:position w:val="-88"/>
          <w:sz w:val="20"/>
          <w:szCs w:val="20"/>
        </w:rPr>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316" w:lineRule="auto" w:before="0"/>
        <w:ind w:left="634" w:right="0"/>
        <w:jc w:val="left"/>
      </w:pPr>
      <w:r>
        <w:rPr/>
        <w:t>⑥受托开发网络游戏软件： </w:t>
      </w:r>
      <w:r>
        <w:rPr>
          <w:spacing w:val="-1"/>
        </w:rPr>
        <w:t>受托开发网络游戏软件是指根据与客户签订的技术开发、委托开发合同，根据客户的需求进行网络游戏软件的设计与</w:t>
      </w:r>
    </w:p>
    <w:p>
      <w:pPr>
        <w:pStyle w:val="BodyText"/>
        <w:spacing w:line="316" w:lineRule="auto" w:before="19"/>
        <w:ind w:right="1133"/>
        <w:jc w:val="both"/>
      </w:pPr>
      <w:r>
        <w:rPr>
          <w:spacing w:val="-2"/>
        </w:rPr>
        <w:t>开发。受托开发网络游戏软件项目在同一会计年度内开始并完成的，按照合同约定、在项目实施完成并经对方验收合格后确</w:t>
      </w:r>
      <w:r>
        <w:rPr>
          <w:spacing w:val="-66"/>
        </w:rPr>
        <w:t> </w:t>
      </w:r>
      <w:r>
        <w:rPr>
          <w:spacing w:val="-66"/>
        </w:rPr>
      </w:r>
      <w:r>
        <w:rPr>
          <w:spacing w:val="-2"/>
        </w:rPr>
        <w:t>认收入；跨年度受托开发网络游戏软件由公司业务技术部门根据合同分阶段提供项目开发进度，经客户确认后，按照完工百</w:t>
      </w:r>
      <w:r>
        <w:rPr>
          <w:spacing w:val="-66"/>
        </w:rPr>
        <w:t> </w:t>
      </w:r>
      <w:r>
        <w:rPr>
          <w:spacing w:val="-66"/>
        </w:rPr>
      </w:r>
      <w:r>
        <w:rPr/>
        <w:t>分比法确认收入。</w:t>
      </w:r>
    </w:p>
    <w:p>
      <w:pPr>
        <w:pStyle w:val="BodyText"/>
        <w:spacing w:line="319" w:lineRule="auto" w:before="19"/>
        <w:ind w:left="634" w:right="0"/>
        <w:jc w:val="left"/>
      </w:pPr>
      <w:r>
        <w:rPr/>
        <w:t>⑦游戏运营业务 </w:t>
      </w:r>
      <w:r>
        <w:rPr>
          <w:spacing w:val="-1"/>
        </w:rPr>
        <w:t>游戏运营业务是指公司利用自有的泡椒平台运营第三方游戏产品，游戏玩家下载、安装并注册后，可以通过集成在游</w:t>
      </w:r>
    </w:p>
    <w:p>
      <w:pPr>
        <w:pStyle w:val="BodyText"/>
        <w:spacing w:line="300" w:lineRule="auto" w:before="17"/>
        <w:ind w:right="0"/>
        <w:jc w:val="left"/>
      </w:pPr>
      <w:r>
        <w:rPr>
          <w:spacing w:val="-2"/>
        </w:rPr>
        <w:t>戏中的泡椒自主研发的</w:t>
      </w:r>
      <w:r>
        <w:rPr>
          <w:rFonts w:ascii="Times New Roman" w:hAnsi="Times New Roman" w:cs="Times New Roman" w:eastAsia="Times New Roman" w:hint="default"/>
          <w:spacing w:val="-2"/>
        </w:rPr>
        <w:t>SDK</w:t>
      </w:r>
      <w:r>
        <w:rPr>
          <w:spacing w:val="-2"/>
        </w:rPr>
        <w:t>的支付功能进行充值，充值成功后，游戏玩家将获得一定数量的、可以直接用于游戏内消费的游</w:t>
      </w:r>
      <w:r>
        <w:rPr>
          <w:spacing w:val="-67"/>
        </w:rPr>
        <w:t> </w:t>
      </w:r>
      <w:r>
        <w:rPr>
          <w:spacing w:val="-67"/>
        </w:rPr>
      </w:r>
      <w:r>
        <w:rPr>
          <w:spacing w:val="-4"/>
        </w:rPr>
        <w:t>戏币或泡椒币（泡椒平台虚拟货币）。游戏运营收入在玩家充值获取泡椒币或游戏币，且将泡椒币兑换为游戏币时确认收入。</w:t>
      </w:r>
    </w:p>
    <w:p>
      <w:pPr>
        <w:pStyle w:val="BodyText"/>
        <w:spacing w:line="316" w:lineRule="auto" w:before="31"/>
        <w:ind w:left="634" w:right="0"/>
        <w:jc w:val="left"/>
      </w:pPr>
      <w:r>
        <w:rPr/>
        <w:t>⑧分发推广业务 </w:t>
      </w:r>
      <w:r>
        <w:rPr>
          <w:spacing w:val="-1"/>
        </w:rPr>
        <w:t>分发推广业务是指公司与合作商签订合作协议，在泡椒平台上推广合作商的各种应用产品、业务、服务或内容等。在</w:t>
      </w:r>
    </w:p>
    <w:p>
      <w:pPr>
        <w:pStyle w:val="BodyText"/>
        <w:spacing w:line="300" w:lineRule="auto" w:before="19"/>
        <w:ind w:left="634" w:right="1034" w:hanging="480"/>
        <w:jc w:val="left"/>
      </w:pPr>
      <w:r>
        <w:rPr/>
        <w:t>分发推广业务模式下，公司的收入模式主要有</w:t>
      </w:r>
      <w:r>
        <w:rPr>
          <w:rFonts w:ascii="Times New Roman" w:hAnsi="Times New Roman" w:cs="Times New Roman" w:eastAsia="Times New Roman" w:hint="default"/>
        </w:rPr>
        <w:t>CPA</w:t>
      </w:r>
      <w:r>
        <w:rPr/>
        <w:t>（</w:t>
      </w:r>
      <w:r>
        <w:rPr>
          <w:rFonts w:ascii="Times New Roman" w:hAnsi="Times New Roman" w:cs="Times New Roman" w:eastAsia="Times New Roman" w:hint="default"/>
        </w:rPr>
        <w:t>Cost Per Action</w:t>
      </w:r>
      <w:r>
        <w:rPr/>
        <w:t>）和</w:t>
      </w:r>
      <w:r>
        <w:rPr>
          <w:rFonts w:ascii="Times New Roman" w:hAnsi="Times New Roman" w:cs="Times New Roman" w:eastAsia="Times New Roman" w:hint="default"/>
        </w:rPr>
        <w:t>CPS</w:t>
      </w:r>
      <w:r>
        <w:rPr/>
        <w:t>（</w:t>
      </w:r>
      <w:r>
        <w:rPr>
          <w:rFonts w:ascii="Times New Roman" w:hAnsi="Times New Roman" w:cs="Times New Roman" w:eastAsia="Times New Roman" w:hint="default"/>
        </w:rPr>
        <w:t>Cost Per Sales</w:t>
      </w:r>
      <w:r>
        <w:rPr/>
        <w:t>）两种模式。 </w:t>
      </w:r>
      <w:r>
        <w:rPr>
          <w:rFonts w:ascii="Times New Roman" w:hAnsi="Times New Roman" w:cs="Times New Roman" w:eastAsia="Times New Roman" w:hint="default"/>
          <w:spacing w:val="-3"/>
          <w:w w:val="99"/>
        </w:rPr>
        <w:t>CPA</w:t>
      </w:r>
      <w:r>
        <w:rPr>
          <w:spacing w:val="-3"/>
          <w:w w:val="99"/>
        </w:rPr>
        <w:t>模式：指按照新增有效激活用户数量取得收入。即合作商按照泡椒平台实际导给合作方的用户注册</w:t>
      </w:r>
      <w:r>
        <w:rPr>
          <w:rFonts w:ascii="Times New Roman" w:hAnsi="Times New Roman" w:cs="Times New Roman" w:eastAsia="Times New Roman" w:hint="default"/>
          <w:spacing w:val="-3"/>
          <w:w w:val="99"/>
        </w:rPr>
        <w:t>/</w:t>
      </w:r>
      <w:r>
        <w:rPr>
          <w:spacing w:val="-3"/>
          <w:w w:val="99"/>
        </w:rPr>
        <w:t>激活数为基准、</w:t>
      </w:r>
    </w:p>
    <w:p>
      <w:pPr>
        <w:pStyle w:val="BodyText"/>
        <w:spacing w:line="240" w:lineRule="auto" w:before="13"/>
        <w:ind w:right="0"/>
        <w:jc w:val="both"/>
      </w:pPr>
      <w:r>
        <w:rPr/>
        <w:t>以事先约定的价格进行结算，来确认</w:t>
      </w:r>
      <w:r>
        <w:rPr>
          <w:rFonts w:ascii="Times New Roman" w:hAnsi="Times New Roman" w:cs="Times New Roman" w:eastAsia="Times New Roman" w:hint="default"/>
        </w:rPr>
        <w:t>CPA</w:t>
      </w:r>
      <w:r>
        <w:rPr/>
        <w:t>收入；</w:t>
      </w:r>
    </w:p>
    <w:p>
      <w:pPr>
        <w:pStyle w:val="BodyText"/>
        <w:spacing w:line="309" w:lineRule="auto" w:before="63"/>
        <w:ind w:right="1133" w:firstLine="480"/>
        <w:jc w:val="both"/>
      </w:pPr>
      <w:r>
        <w:rPr>
          <w:rFonts w:ascii="Times New Roman" w:hAnsi="Times New Roman" w:cs="Times New Roman" w:eastAsia="Times New Roman" w:hint="default"/>
        </w:rPr>
        <w:t>CPS</w:t>
      </w:r>
      <w:r>
        <w:rPr/>
        <w:t>模式：指按照用户的实际消费分成来获得收入。泡椒平台将合作商的应用、产品、业务、服务或内容等放置在泡 </w:t>
      </w:r>
      <w:r>
        <w:rPr>
          <w:spacing w:val="-2"/>
        </w:rPr>
        <w:t>椒平台上供用户下载、体验、访问，若用户在合作商的产品、业务与服务中发生了购买消费行为，则合作商按合作协议中约</w:t>
      </w:r>
      <w:r>
        <w:rPr>
          <w:spacing w:val="-66"/>
        </w:rPr>
        <w:t> </w:t>
      </w:r>
      <w:r>
        <w:rPr>
          <w:spacing w:val="-66"/>
        </w:rPr>
      </w:r>
      <w:r>
        <w:rPr/>
        <w:t>定的分成比例、以用户实际消费的金额向泡椒支付分成，确认</w:t>
      </w:r>
      <w:r>
        <w:rPr>
          <w:rFonts w:ascii="Times New Roman" w:hAnsi="Times New Roman" w:cs="Times New Roman" w:eastAsia="Times New Roman" w:hint="default"/>
        </w:rPr>
        <w:t>CPS</w:t>
      </w:r>
      <w:r>
        <w:rPr/>
        <w:t>收入。</w:t>
      </w:r>
    </w:p>
    <w:p>
      <w:pPr>
        <w:pStyle w:val="BodyText"/>
        <w:spacing w:line="316" w:lineRule="auto" w:before="5"/>
        <w:ind w:left="634" w:right="0"/>
        <w:jc w:val="left"/>
      </w:pPr>
      <w:r>
        <w:rPr/>
        <w:t>⑨代理发行业务 </w:t>
      </w:r>
      <w:r>
        <w:rPr>
          <w:spacing w:val="-1"/>
        </w:rPr>
        <w:t>代理发行业务是指公司从游戏研发商获得游戏运营的授权后，将游戏发行到第三方平台进行推广。代理发行业务模式</w:t>
      </w:r>
    </w:p>
    <w:p>
      <w:pPr>
        <w:pStyle w:val="BodyText"/>
        <w:spacing w:line="300" w:lineRule="auto" w:before="19"/>
        <w:ind w:right="0"/>
        <w:jc w:val="left"/>
      </w:pPr>
      <w:r>
        <w:rPr>
          <w:spacing w:val="-2"/>
        </w:rPr>
        <w:t>下，游戏玩家对游戏进行充值时确认收入（自有</w:t>
      </w:r>
      <w:r>
        <w:rPr>
          <w:rFonts w:ascii="Times New Roman" w:hAnsi="Times New Roman" w:cs="Times New Roman" w:eastAsia="Times New Roman" w:hint="default"/>
          <w:spacing w:val="-2"/>
        </w:rPr>
        <w:t>SDK</w:t>
      </w:r>
      <w:r>
        <w:rPr>
          <w:spacing w:val="-2"/>
        </w:rPr>
        <w:t>）或收到联合运营方提供的计费账单并核对数据确认无误时按照与联合</w:t>
      </w:r>
      <w:r>
        <w:rPr>
          <w:spacing w:val="-66"/>
        </w:rPr>
        <w:t> </w:t>
      </w:r>
      <w:r>
        <w:rPr>
          <w:spacing w:val="-66"/>
        </w:rPr>
      </w:r>
      <w:r>
        <w:rPr/>
        <w:t>运营方合作协议约定的分成比例确认收入（联合运营方提供</w:t>
      </w:r>
      <w:r>
        <w:rPr>
          <w:rFonts w:ascii="Times New Roman" w:hAnsi="Times New Roman" w:cs="Times New Roman" w:eastAsia="Times New Roman" w:hint="default"/>
        </w:rPr>
        <w:t>SDK</w:t>
      </w:r>
      <w:r>
        <w:rPr/>
        <w:t>）。</w:t>
      </w:r>
    </w:p>
    <w:p>
      <w:pPr>
        <w:pStyle w:val="BodyText"/>
        <w:spacing w:line="240" w:lineRule="auto" w:before="53"/>
        <w:ind w:right="0"/>
        <w:jc w:val="both"/>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4"/>
        <w:spacing w:line="240" w:lineRule="auto"/>
        <w:ind w:right="0"/>
        <w:jc w:val="both"/>
        <w:rPr>
          <w:b w:val="0"/>
          <w:bCs w:val="0"/>
        </w:rPr>
      </w:pPr>
      <w:bookmarkStart w:name="29、政府补助" w:id="206"/>
      <w:bookmarkEnd w:id="206"/>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634" w:right="0"/>
        <w:jc w:val="left"/>
      </w:pPr>
      <w:r>
        <w:rPr/>
        <w:t>政府补助在满足政府补助所附条件并能够收到时确认。 </w:t>
      </w:r>
      <w:r>
        <w:rPr>
          <w:spacing w:val="-1"/>
        </w:rPr>
        <w:t>对于货币性资产的政府补助，按照收到或应收的金额计量。对于非货币性资产的政府补助，按照公允价值计量；公允</w:t>
      </w:r>
    </w:p>
    <w:p>
      <w:pPr>
        <w:pStyle w:val="BodyText"/>
        <w:spacing w:line="240" w:lineRule="auto" w:before="19"/>
        <w:ind w:right="0"/>
        <w:jc w:val="both"/>
      </w:pPr>
      <w:r>
        <w:rPr/>
        <w:t>价值不能够可靠取得的，按照名义金额</w:t>
      </w:r>
      <w:r>
        <w:rPr>
          <w:rFonts w:ascii="宋体" w:hAnsi="宋体" w:cs="宋体" w:eastAsia="宋体" w:hint="default"/>
        </w:rPr>
        <w:t>1</w:t>
      </w:r>
      <w:r>
        <w:rPr/>
        <w:t>元计量。</w:t>
      </w:r>
    </w:p>
    <w:p>
      <w:pPr>
        <w:spacing w:after="0" w:line="24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0" w:firstLine="480"/>
        <w:jc w:val="left"/>
      </w:pPr>
      <w:r>
        <w:rPr>
          <w:spacing w:val="-1"/>
        </w:rPr>
        <w:t>与资产相关的政府补助，是指本公司取得的、用于购建或以其他方式形成长期资产的政府补助；除此之外，作为与收</w:t>
      </w:r>
      <w:r>
        <w:rPr/>
        <w:t> 益相关的政府补助。</w:t>
      </w:r>
    </w:p>
    <w:p>
      <w:pPr>
        <w:pStyle w:val="BodyText"/>
        <w:spacing w:line="316" w:lineRule="auto" w:before="19"/>
        <w:ind w:right="0" w:firstLine="480"/>
        <w:jc w:val="left"/>
      </w:pPr>
      <w:r>
        <w:rPr>
          <w:spacing w:val="-1"/>
        </w:rPr>
        <w:t>对于政府文件未明确规定补助对象的，能够形成长期资产的，与资产价值相对应的政府补助部分作为与资产相关的政</w:t>
      </w:r>
      <w:r>
        <w:rPr/>
        <w:t> 府补助，其余部分作为与收益相关的政府补助；难以区分的，将政府补助整体作为与收益相关的政府补助。</w:t>
      </w:r>
    </w:p>
    <w:p>
      <w:pPr>
        <w:pStyle w:val="BodyText"/>
        <w:spacing w:line="316" w:lineRule="auto" w:before="19"/>
        <w:ind w:right="1032" w:firstLine="480"/>
        <w:jc w:val="left"/>
      </w:pPr>
      <w:r>
        <w:rPr/>
        <w:t>与资产相关的政府补助，冲减相关资产的账面价值，或者确认为递延收益在相关资产使用期限内按照合理、系统的方 </w:t>
      </w:r>
      <w:r>
        <w:rPr>
          <w:spacing w:val="-2"/>
        </w:rPr>
        <w:t>法分期计入损益。与收益相关的政府补助，用于补偿已发生的相关成本费用或损失的，计入当期损益或冲减相关成本；用于</w:t>
      </w:r>
      <w:r>
        <w:rPr>
          <w:spacing w:val="-66"/>
        </w:rPr>
        <w:t> </w:t>
      </w:r>
      <w:r>
        <w:rPr>
          <w:spacing w:val="-66"/>
        </w:rPr>
      </w:r>
      <w:r>
        <w:rPr/>
        <w:t>补偿以后期间的相关成本费用或损失的，则计入递延收益，于相关成本费用或损失确认期间计入当期损益或冲减相关成本。 按照名义金额计量的政府补助，直接计入当期损益。本公司对相同或类似的政府补助业务，采用一致的方法处理。</w:t>
      </w:r>
    </w:p>
    <w:p>
      <w:pPr>
        <w:pStyle w:val="BodyText"/>
        <w:spacing w:line="316" w:lineRule="auto" w:before="19"/>
        <w:ind w:right="1092" w:firstLine="480"/>
        <w:jc w:val="left"/>
      </w:pPr>
      <w:r>
        <w:rPr/>
        <w:t>与日常活动相关的政府补助，按照经济业务实质，计入其他收益或冲减相关成本费用。与日常活动无关的政府补助， 计入营业外收支。</w:t>
      </w:r>
    </w:p>
    <w:p>
      <w:pPr>
        <w:pStyle w:val="BodyText"/>
        <w:spacing w:line="316" w:lineRule="auto" w:before="19"/>
        <w:ind w:right="0" w:firstLine="480"/>
        <w:jc w:val="left"/>
      </w:pPr>
      <w:r>
        <w:rPr>
          <w:spacing w:val="-3"/>
        </w:rPr>
        <w:t>已确认的政府补助需要返还时，初始确认时冲减相关资产账面价值的，调整资产账面价值；存在相关递延收益余额的，</w:t>
      </w:r>
      <w:r>
        <w:rPr/>
        <w:t> 冲减相关递延收益账面余额，超出部分计入当期损益；属于其他情况的，直接计入当期损益。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0、递延所得税资产/递延所得税负债" w:id="207"/>
      <w:bookmarkEnd w:id="207"/>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634" w:right="0"/>
        <w:jc w:val="left"/>
      </w:pPr>
      <w:r>
        <w:rPr/>
        <w:t>本公司采用资产负债表债务法进行所得税会计处理。</w:t>
      </w:r>
    </w:p>
    <w:p>
      <w:pPr>
        <w:pStyle w:val="BodyText"/>
        <w:spacing w:line="240" w:lineRule="auto" w:before="76"/>
        <w:ind w:left="634" w:right="0"/>
        <w:jc w:val="left"/>
      </w:pPr>
      <w:r>
        <w:rPr/>
        <w:t>（</w:t>
      </w:r>
      <w:r>
        <w:rPr>
          <w:rFonts w:ascii="宋体" w:hAnsi="宋体" w:cs="宋体" w:eastAsia="宋体" w:hint="default"/>
        </w:rPr>
        <w:t>1</w:t>
      </w:r>
      <w:r>
        <w:rPr/>
        <w:t>）递延所得税资产</w:t>
      </w:r>
    </w:p>
    <w:p>
      <w:pPr>
        <w:pStyle w:val="BodyText"/>
        <w:spacing w:line="316" w:lineRule="auto" w:before="76"/>
        <w:ind w:right="1133" w:firstLine="480"/>
        <w:jc w:val="both"/>
      </w:pPr>
      <w:r>
        <w:rPr>
          <w:spacing w:val="-1"/>
        </w:rPr>
        <w:t>①资产、负债的账面价值与其计税基础存在可抵扣暂时性差异的，以未来期间很可能取得的用以抵扣可抵扣暂时性差</w:t>
      </w:r>
      <w:r>
        <w:rPr/>
        <w:t> </w:t>
      </w:r>
      <w:r>
        <w:rPr>
          <w:spacing w:val="-2"/>
        </w:rPr>
        <w:t>异的应纳税所得额为限，按照预期收回该资产或清偿该负债期间的适用税率，计算确认由可抵扣暂时性差异产生的递延所得</w:t>
      </w:r>
      <w:r>
        <w:rPr>
          <w:spacing w:val="-64"/>
        </w:rPr>
        <w:t> </w:t>
      </w:r>
      <w:r>
        <w:rPr>
          <w:spacing w:val="-64"/>
        </w:rPr>
      </w:r>
      <w:r>
        <w:rPr/>
        <w:t>税资产。</w:t>
      </w:r>
    </w:p>
    <w:p>
      <w:pPr>
        <w:pStyle w:val="BodyText"/>
        <w:spacing w:line="316" w:lineRule="auto" w:before="19"/>
        <w:ind w:right="0" w:firstLine="480"/>
        <w:jc w:val="left"/>
      </w:pPr>
      <w:r>
        <w:rPr>
          <w:spacing w:val="-1"/>
        </w:rPr>
        <w:t>②资产负债表日，有确凿证据表明未来期间很可能获得足够的应纳税所得额用来抵扣可抵扣暂时性差异的，确认以前</w:t>
      </w:r>
      <w:r>
        <w:rPr/>
        <w:t> 期间未确认的递延所得税资产。</w:t>
      </w:r>
    </w:p>
    <w:p>
      <w:pPr>
        <w:pStyle w:val="BodyText"/>
        <w:spacing w:line="316" w:lineRule="auto" w:before="19"/>
        <w:ind w:right="0" w:firstLine="480"/>
        <w:jc w:val="left"/>
      </w:pPr>
      <w:r>
        <w:rPr>
          <w:spacing w:val="-1"/>
        </w:rPr>
        <w:t>③资产负债表日，对递延所得税资产的账面价值进行复核。如果未来期间很可能无法获得足够的应纳税所得额用以抵</w:t>
      </w:r>
      <w:r>
        <w:rPr/>
        <w:t> 扣递延所得税资产的利益，减记递延所得税资产的账面价值。在很可能获得足够的应纳税所得额时，转回减记的金额。</w:t>
      </w:r>
    </w:p>
    <w:p>
      <w:pPr>
        <w:pStyle w:val="BodyText"/>
        <w:spacing w:line="316" w:lineRule="auto" w:before="19"/>
        <w:ind w:left="634" w:right="1092"/>
        <w:jc w:val="left"/>
      </w:pPr>
      <w:r>
        <w:rPr/>
        <w:t>（</w:t>
      </w:r>
      <w:r>
        <w:rPr>
          <w:rFonts w:ascii="宋体" w:hAnsi="宋体" w:cs="宋体" w:eastAsia="宋体" w:hint="default"/>
        </w:rPr>
        <w:t>2</w:t>
      </w:r>
      <w:r>
        <w:rPr/>
        <w:t>）递延所得税负债 资产、负债的账面价值与其计税基础存在应纳税暂时性差异的，按照预期收回该资产或清偿该负债期间的适用税率，</w:t>
      </w:r>
    </w:p>
    <w:p>
      <w:pPr>
        <w:pStyle w:val="BodyText"/>
        <w:spacing w:line="240" w:lineRule="auto" w:before="19"/>
        <w:ind w:right="0"/>
        <w:jc w:val="left"/>
      </w:pPr>
      <w:r>
        <w:rPr/>
        <w:t>确认由应纳税暂时性差异产生的递延所得税负债。</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1、租赁" w:id="208"/>
      <w:bookmarkEnd w:id="208"/>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经营租赁的会计处理方法" w:id="209"/>
      <w:bookmarkEnd w:id="209"/>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right="0" w:firstLine="480"/>
        <w:jc w:val="left"/>
      </w:pPr>
      <w:r>
        <w:rPr>
          <w:spacing w:val="-1"/>
        </w:rPr>
        <w:t>作为承租人，本公司对于经营租赁的租金，在租赁期内各个期间按照直线法计入相关资产成本或当期损益；发生的初</w:t>
      </w:r>
      <w:r>
        <w:rPr/>
        <w:t> 始直接费用，计入当期损益；或有租金在实际发生时计入当期损益。</w:t>
      </w:r>
    </w:p>
    <w:p>
      <w:pPr>
        <w:pStyle w:val="BodyText"/>
        <w:spacing w:line="316" w:lineRule="auto" w:before="19"/>
        <w:ind w:right="1032" w:firstLine="480"/>
        <w:jc w:val="left"/>
      </w:pPr>
      <w:r>
        <w:rPr/>
        <w:t>作为出租人，本公司按资产的性质将用作经营租赁的资产包括在资产负债表中的相关项目内；对于经营租赁的租金， 在租赁期内各个期间按照直线法确认为当期损益；发生的初始直接费用，计入当期损益；对于经营租赁资产中的固定资产， </w:t>
      </w:r>
      <w:r>
        <w:rPr>
          <w:spacing w:val="-2"/>
        </w:rPr>
        <w:t>采用类似资产的折旧政策计提折旧；对于其他经营租赁资产，采用系统合理的方法进行摊销；或有租金在实际发生时计入当</w:t>
      </w:r>
      <w:r>
        <w:rPr>
          <w:spacing w:val="-66"/>
        </w:rPr>
        <w:t> </w:t>
      </w:r>
      <w:r>
        <w:rPr>
          <w:spacing w:val="-66"/>
        </w:rPr>
      </w:r>
      <w:r>
        <w:rPr/>
        <w:t>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融资租赁的会计处理方法" w:id="210"/>
      <w:bookmarkEnd w:id="210"/>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634" w:right="1272"/>
        <w:jc w:val="left"/>
      </w:pPr>
      <w:r>
        <w:rPr/>
        <w:t>①作为承租人 本公司在租赁期开始日将租赁开始日租赁资产公允价值与最低租赁付款额现值两者中较低者作为租入资产的入账价</w:t>
      </w:r>
    </w:p>
    <w:p>
      <w:pPr>
        <w:pStyle w:val="BodyText"/>
        <w:spacing w:line="316" w:lineRule="auto" w:before="19"/>
        <w:ind w:right="0"/>
        <w:jc w:val="left"/>
      </w:pPr>
      <w:r>
        <w:rPr>
          <w:spacing w:val="-4"/>
        </w:rPr>
        <w:t>值，将最低租赁付款额作为长期应付款的入账价值，其差额作为未确认融资费用；在租赁谈判和签订租赁合同过程中发生的，</w:t>
      </w:r>
      <w:r>
        <w:rPr>
          <w:spacing w:val="-44"/>
        </w:rPr>
        <w:t> </w:t>
      </w:r>
      <w:r>
        <w:rPr>
          <w:spacing w:val="-44"/>
        </w:rPr>
      </w:r>
      <w:r>
        <w:rPr>
          <w:spacing w:val="-2"/>
        </w:rPr>
        <w:t>可归属于租赁项目的手续费、律师费、差旅费、印花税等初始直接费用，计入租入资产价值；未确认融资费用在租赁期内各</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left="634" w:right="0" w:hanging="480"/>
        <w:jc w:val="left"/>
      </w:pPr>
      <w:r>
        <w:rPr/>
        <w:t>个期间进行分摊，采用实际利率法计算确认当期的融资费用；或有租金在实际发生时计入当期损益。 </w:t>
      </w:r>
      <w:r>
        <w:rPr>
          <w:spacing w:val="-1"/>
        </w:rPr>
        <w:t>在计算最低租赁付款额的现值时，能够取得出租人租赁内含利率的，采用租赁内含利率作为折现率；否则，采用租赁</w:t>
      </w:r>
    </w:p>
    <w:p>
      <w:pPr>
        <w:pStyle w:val="BodyText"/>
        <w:spacing w:line="316" w:lineRule="auto" w:before="19"/>
        <w:ind w:right="1118"/>
        <w:jc w:val="left"/>
      </w:pPr>
      <w:r>
        <w:rPr>
          <w:spacing w:val="-2"/>
        </w:rPr>
        <w:t>合同规定的利率作为折现率。无法取得出租人的租赁内含利率且租赁合同没有规定利率的，采用同期银行贷款利率作为折现</w:t>
      </w:r>
      <w:r>
        <w:rPr>
          <w:spacing w:val="-64"/>
        </w:rPr>
        <w:t> </w:t>
      </w:r>
      <w:r>
        <w:rPr>
          <w:spacing w:val="-64"/>
        </w:rPr>
      </w:r>
      <w:r>
        <w:rPr/>
        <w:t>率。</w:t>
      </w:r>
    </w:p>
    <w:p>
      <w:pPr>
        <w:pStyle w:val="BodyText"/>
        <w:spacing w:line="316" w:lineRule="auto" w:before="19"/>
        <w:ind w:right="1133" w:firstLine="480"/>
        <w:jc w:val="both"/>
      </w:pPr>
      <w:r>
        <w:rPr>
          <w:spacing w:val="2"/>
        </w:rPr>
        <w:t>本公司采用与自有固定资产相一致的折旧政策计提租赁资产折旧。能够合理确定租赁期届满时取得租赁资产所有权</w:t>
      </w:r>
      <w:r>
        <w:rPr/>
        <w:t> </w:t>
      </w:r>
      <w:r>
        <w:rPr>
          <w:spacing w:val="-2"/>
        </w:rPr>
        <w:t>的，在租赁资产使用寿命内计提折旧。无法合理确定租赁期届满时能够取得租赁资产所有权的，在租赁期与租赁资产使用寿</w:t>
      </w:r>
      <w:r>
        <w:rPr>
          <w:spacing w:val="-66"/>
        </w:rPr>
        <w:t> </w:t>
      </w:r>
      <w:r>
        <w:rPr>
          <w:spacing w:val="-66"/>
        </w:rPr>
      </w:r>
      <w:r>
        <w:rPr/>
        <w:t>命两者中较短的期间内计提折旧。</w:t>
      </w:r>
    </w:p>
    <w:p>
      <w:pPr>
        <w:pStyle w:val="BodyText"/>
        <w:spacing w:line="316" w:lineRule="auto" w:before="19"/>
        <w:ind w:left="634" w:right="1118"/>
        <w:jc w:val="left"/>
      </w:pPr>
      <w:r>
        <w:rPr/>
        <w:t>②作为出租人 </w:t>
      </w:r>
      <w:r>
        <w:rPr>
          <w:spacing w:val="-1"/>
        </w:rPr>
        <w:t>本公司在租赁期开始日将租赁开始日最低租赁收款额与初始直接费用之和作为应收融资租赁款的入账价值，同时记录</w:t>
      </w:r>
    </w:p>
    <w:p>
      <w:pPr>
        <w:pStyle w:val="BodyText"/>
        <w:spacing w:line="316" w:lineRule="auto" w:before="19"/>
        <w:ind w:right="0"/>
        <w:jc w:val="left"/>
      </w:pPr>
      <w:r>
        <w:rPr>
          <w:spacing w:val="-2"/>
        </w:rPr>
        <w:t>未担保余值；将最低租赁收款额、初始直接费用及未担保余值之和与其现值之和的差额确认为未实现融资收益；未实现融资</w:t>
      </w:r>
      <w:r>
        <w:rPr>
          <w:spacing w:val="-65"/>
        </w:rPr>
        <w:t> </w:t>
      </w:r>
      <w:r>
        <w:rPr>
          <w:spacing w:val="-65"/>
        </w:rPr>
      </w:r>
      <w:r>
        <w:rPr/>
        <w:t>收益在租赁期内各个期间进行分配；采用实际利率法计算确认当期的融资收入；或有租金在实际发生时计入当期损益。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2、其他重要的会计政策和会计估计" w:id="211"/>
      <w:bookmarkEnd w:id="211"/>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Heading6"/>
        <w:spacing w:line="240" w:lineRule="auto"/>
        <w:ind w:right="0"/>
        <w:jc w:val="left"/>
        <w:rPr>
          <w:b w:val="0"/>
          <w:bCs w:val="0"/>
        </w:rPr>
      </w:pPr>
      <w:r>
        <w:rPr>
          <w:rFonts w:ascii="宋体" w:hAnsi="宋体" w:cs="宋体" w:eastAsia="宋体" w:hint="default"/>
        </w:rPr>
        <w:t>1.</w:t>
      </w:r>
      <w:r>
        <w:rPr/>
        <w:t>商誉</w:t>
      </w:r>
      <w:r>
        <w:rPr>
          <w:b w:val="0"/>
          <w:bCs w:val="0"/>
        </w:rPr>
      </w:r>
    </w:p>
    <w:p>
      <w:pPr>
        <w:pStyle w:val="BodyText"/>
        <w:spacing w:line="316" w:lineRule="auto" w:before="76"/>
        <w:ind w:right="1142" w:firstLine="480"/>
        <w:jc w:val="both"/>
      </w:pPr>
      <w:r>
        <w:rPr>
          <w:spacing w:val="2"/>
        </w:rPr>
        <w:t>商誉为非同一控制下企业合并成本超过应享有的被投资单位或被购买方可辨认净资产于取得日或购买日的公允价值</w:t>
      </w:r>
      <w:r>
        <w:rPr/>
        <w:t> 份额的差额。</w:t>
      </w:r>
    </w:p>
    <w:p>
      <w:pPr>
        <w:pStyle w:val="BodyText"/>
        <w:spacing w:line="316" w:lineRule="auto" w:before="19"/>
        <w:ind w:right="1133" w:firstLine="480"/>
        <w:jc w:val="both"/>
      </w:pPr>
      <w:r>
        <w:rPr>
          <w:spacing w:val="-1"/>
        </w:rPr>
        <w:t>与子公司有关的商誉在合并财务报表上单独列示，与联营企业和合营企业有关的商誉，包含在长期股权投资的账面价</w:t>
      </w:r>
      <w:r>
        <w:rPr/>
        <w:t> 值中。</w:t>
      </w:r>
    </w:p>
    <w:p>
      <w:pPr>
        <w:pStyle w:val="BodyText"/>
        <w:spacing w:line="316" w:lineRule="auto" w:before="19"/>
        <w:ind w:right="1118" w:firstLine="480"/>
        <w:jc w:val="left"/>
        <w:rPr>
          <w:rFonts w:ascii="宋体" w:hAnsi="宋体" w:cs="宋体" w:eastAsia="宋体" w:hint="default"/>
        </w:rPr>
      </w:pPr>
      <w:r>
        <w:rPr>
          <w:spacing w:val="-1"/>
        </w:rPr>
        <w:t>在财务报表中单独列示的商誉至少在每年年终进行减值测试。减值测试时，商誉的账面价值依据相关的资产组或者资</w:t>
      </w:r>
      <w:r>
        <w:rPr/>
        <w:t> 产组组合能够从企业合并的协同效应中受益的情况分摊至受益的资产组或资产组组合。 </w:t>
      </w:r>
      <w:r>
        <w:rPr>
          <w:rFonts w:ascii="宋体" w:hAnsi="宋体" w:cs="宋体" w:eastAsia="宋体" w:hint="default"/>
          <w:b/>
          <w:bCs/>
        </w:rPr>
        <w:t>2.</w:t>
      </w:r>
      <w:r>
        <w:rPr>
          <w:rFonts w:ascii="宋体" w:hAnsi="宋体" w:cs="宋体" w:eastAsia="宋体" w:hint="default"/>
          <w:b/>
          <w:bCs/>
        </w:rPr>
        <w:t>持有待售的非流动资产、处置组和终止经营</w:t>
      </w:r>
      <w:r>
        <w:rPr>
          <w:rFonts w:ascii="宋体" w:hAnsi="宋体" w:cs="宋体" w:eastAsia="宋体" w:hint="default"/>
        </w:rPr>
      </w:r>
    </w:p>
    <w:p>
      <w:pPr>
        <w:pStyle w:val="BodyText"/>
        <w:spacing w:line="316" w:lineRule="auto" w:before="19"/>
        <w:ind w:left="634" w:right="0"/>
        <w:jc w:val="left"/>
      </w:pPr>
      <w:r>
        <w:rPr/>
        <w:t>（</w:t>
      </w:r>
      <w:r>
        <w:rPr>
          <w:rFonts w:ascii="宋体" w:hAnsi="宋体" w:cs="宋体" w:eastAsia="宋体" w:hint="default"/>
        </w:rPr>
        <w:t>1</w:t>
      </w:r>
      <w:r>
        <w:rPr/>
        <w:t>）持有待售的非流动资产或处置组的分类与计量 </w:t>
      </w:r>
      <w:r>
        <w:rPr>
          <w:spacing w:val="-1"/>
        </w:rPr>
        <w:t>本公司主要通过出售（包括具有商业实质的非货币性资产交换）而非持续使用一项非流动资产或处置组收回其账面价</w:t>
      </w:r>
    </w:p>
    <w:p>
      <w:pPr>
        <w:pStyle w:val="BodyText"/>
        <w:spacing w:line="316" w:lineRule="auto" w:before="19"/>
        <w:ind w:left="634" w:right="0" w:hanging="480"/>
        <w:jc w:val="left"/>
      </w:pPr>
      <w:r>
        <w:rPr/>
        <w:t>值时，该非流动资产或处置组被划分为持有待售类别。 </w:t>
      </w:r>
      <w:r>
        <w:rPr>
          <w:spacing w:val="-1"/>
        </w:rPr>
        <w:t>上述非流动资产不包括采用公允价值模式进行后续计量的投资性房地产、采用公允价值减去出售费用后的净额计量的</w:t>
      </w:r>
    </w:p>
    <w:p>
      <w:pPr>
        <w:pStyle w:val="BodyText"/>
        <w:spacing w:line="316" w:lineRule="auto" w:before="19"/>
        <w:ind w:left="634" w:right="0" w:hanging="480"/>
        <w:jc w:val="left"/>
      </w:pPr>
      <w:r>
        <w:rPr/>
        <w:t>生物资产、职工薪酬形成的资产、金融资产、递延所得税资产及保险合同产生的权利。 </w:t>
      </w:r>
      <w:r>
        <w:rPr>
          <w:spacing w:val="-1"/>
        </w:rPr>
        <w:t>处置组，是指在一项交易中作为整体通过出售或其他方式一并处置的一组资产，以及在该交易中转让的与这些资产直</w:t>
      </w:r>
    </w:p>
    <w:p>
      <w:pPr>
        <w:pStyle w:val="BodyText"/>
        <w:spacing w:line="316" w:lineRule="auto" w:before="19"/>
        <w:ind w:left="634" w:right="0" w:hanging="480"/>
        <w:jc w:val="left"/>
      </w:pPr>
      <w:r>
        <w:rPr/>
        <w:t>接相关的负债。在特定情况下，处置组包括企业合并中取得的商誉等。 </w:t>
      </w:r>
      <w:r>
        <w:rPr>
          <w:spacing w:val="-1"/>
        </w:rPr>
        <w:t>同时满足下列条件的非流动资产或处置组被划分为持有待售类别：根据类似交易中出售此类资产或处置组的惯例，该</w:t>
      </w:r>
    </w:p>
    <w:p>
      <w:pPr>
        <w:pStyle w:val="BodyText"/>
        <w:spacing w:line="316" w:lineRule="auto" w:before="19"/>
        <w:ind w:right="0"/>
        <w:jc w:val="left"/>
      </w:pPr>
      <w:r>
        <w:rPr>
          <w:spacing w:val="-4"/>
        </w:rPr>
        <w:t>非流动资产或处置组在当前状况下即可立即出售；出售极可能发生，即已经就一项出售计划作出决议且获得确定的购买承诺，</w:t>
      </w:r>
      <w:r>
        <w:rPr>
          <w:spacing w:val="-44"/>
        </w:rPr>
        <w:t> </w:t>
      </w:r>
      <w:r>
        <w:rPr>
          <w:spacing w:val="-44"/>
        </w:rPr>
      </w:r>
      <w:r>
        <w:rPr>
          <w:spacing w:val="-2"/>
        </w:rPr>
        <w:t>预计出售将在一年内完成。因出售对子公司的投资等原因导致丧失对子公司控制权的，无论出售后本公司是否保留部分权益</w:t>
      </w:r>
      <w:r>
        <w:rPr>
          <w:spacing w:val="-64"/>
        </w:rPr>
        <w:t> </w:t>
      </w:r>
      <w:r>
        <w:rPr>
          <w:spacing w:val="-64"/>
        </w:rPr>
      </w:r>
      <w:r>
        <w:rPr>
          <w:spacing w:val="-2"/>
        </w:rPr>
        <w:t>性投资，在拟出售的对子公司投资满足持有待售类别划分条件时，在个别财务报表中将对子公司投资整体划分为持有待售类</w:t>
      </w:r>
      <w:r>
        <w:rPr>
          <w:spacing w:val="-64"/>
        </w:rPr>
        <w:t> </w:t>
      </w:r>
      <w:r>
        <w:rPr>
          <w:spacing w:val="-64"/>
        </w:rPr>
      </w:r>
      <w:r>
        <w:rPr/>
        <w:t>别，在合并财务报表中将子公司所有资产和负债划分为持有待售类别。</w:t>
      </w:r>
    </w:p>
    <w:p>
      <w:pPr>
        <w:pStyle w:val="BodyText"/>
        <w:spacing w:line="316" w:lineRule="auto" w:before="19"/>
        <w:ind w:right="1133" w:firstLine="480"/>
        <w:jc w:val="both"/>
      </w:pPr>
      <w:r>
        <w:rPr>
          <w:spacing w:val="-1"/>
        </w:rPr>
        <w:t>初始计量或在资产负债表日重新计量持有待售的非流动资产或处置组时，账面价值高于公允价值减去出售费用后净额</w:t>
      </w:r>
      <w:r>
        <w:rPr/>
        <w:t> </w:t>
      </w:r>
      <w:r>
        <w:rPr>
          <w:spacing w:val="-2"/>
        </w:rPr>
        <w:t>的差额确认为资产减值损失。对于持有待售的处置组确认的资产减值损失金额，先抵减处置组中商誉的账面价值，再根据处</w:t>
      </w:r>
      <w:r>
        <w:rPr>
          <w:spacing w:val="-66"/>
        </w:rPr>
        <w:t> </w:t>
      </w:r>
      <w:r>
        <w:rPr>
          <w:spacing w:val="-66"/>
        </w:rPr>
      </w:r>
      <w:r>
        <w:rPr/>
        <w:t>置组中的各项非流动资产账面价值所占比重，按比例抵减其账面价值。</w:t>
      </w:r>
    </w:p>
    <w:p>
      <w:pPr>
        <w:pStyle w:val="BodyText"/>
        <w:spacing w:line="316" w:lineRule="auto" w:before="19"/>
        <w:ind w:right="1042" w:firstLine="480"/>
        <w:jc w:val="both"/>
      </w:pPr>
      <w:r>
        <w:rPr>
          <w:spacing w:val="2"/>
        </w:rPr>
        <w:t>后续资产负债表日持有待售的非流动资产或处置组公允价值减去出售费用后的净额增加的，以前减记的金额予以恢</w:t>
      </w:r>
      <w:r>
        <w:rPr/>
        <w:t> </w:t>
      </w:r>
      <w:r>
        <w:rPr>
          <w:spacing w:val="-4"/>
        </w:rPr>
        <w:t>复，并在划分为持有待售类别后确认的资产减值损失金额内转回，转回金额计入当期损益。已抵减的商誉账面价值不得转回。</w:t>
      </w:r>
    </w:p>
    <w:p>
      <w:pPr>
        <w:pStyle w:val="BodyText"/>
        <w:spacing w:line="319" w:lineRule="auto" w:before="19"/>
        <w:ind w:right="1131" w:firstLine="480"/>
        <w:jc w:val="both"/>
      </w:pPr>
      <w:r>
        <w:rPr>
          <w:spacing w:val="-1"/>
        </w:rPr>
        <w:t>持有待售的非流动资产和持有待售的处置组中的资产不计提折旧或进行摊销；持有待售的处置组中负债的利息和其他</w:t>
      </w:r>
      <w:r>
        <w:rPr/>
        <w:t> </w:t>
      </w:r>
      <w:r>
        <w:rPr>
          <w:spacing w:val="-2"/>
        </w:rPr>
        <w:t>费用继续予以确认。被划分为持有待售的联营企业或合营企业的全部或部分投资，对于划分为持有待售的部分停止权益法核</w:t>
      </w:r>
      <w:r>
        <w:rPr>
          <w:spacing w:val="-64"/>
        </w:rPr>
        <w:t> </w:t>
      </w:r>
      <w:r>
        <w:rPr>
          <w:spacing w:val="-64"/>
        </w:rPr>
      </w:r>
      <w:r>
        <w:rPr>
          <w:spacing w:val="-2"/>
        </w:rPr>
        <w:t>算，保留的部分（未被划分为持有待售类别）则继续采用权益法核算；当本公司因出售丧失对联营企业和合营企业的重大影</w:t>
      </w:r>
      <w:r>
        <w:rPr>
          <w:spacing w:val="-66"/>
        </w:rPr>
        <w:t> </w:t>
      </w:r>
      <w:r>
        <w:rPr>
          <w:spacing w:val="-66"/>
        </w:rPr>
      </w:r>
      <w:r>
        <w:rPr/>
        <w:t>响时，停止使用权益法。</w:t>
      </w:r>
    </w:p>
    <w:p>
      <w:pPr>
        <w:pStyle w:val="BodyText"/>
        <w:spacing w:line="240" w:lineRule="auto" w:before="17"/>
        <w:ind w:left="634" w:right="0"/>
        <w:jc w:val="left"/>
      </w:pPr>
      <w:r>
        <w:rPr/>
        <w:t>某项非流动资产或处置组被划分为持有待售类别，但后来不再满足持有待售类别划分条件的，本公司停止将其划分为</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ind w:right="0"/>
        <w:jc w:val="both"/>
      </w:pPr>
      <w:r>
        <w:rPr/>
        <w:t>持有待售类别，并按照下列两项金额中较低者计量：</w:t>
      </w:r>
    </w:p>
    <w:p>
      <w:pPr>
        <w:pStyle w:val="BodyText"/>
        <w:spacing w:line="316" w:lineRule="auto" w:before="76"/>
        <w:ind w:right="0" w:firstLine="480"/>
        <w:jc w:val="left"/>
      </w:pPr>
      <w:r>
        <w:rPr>
          <w:spacing w:val="-1"/>
        </w:rPr>
        <w:t>①该资产或处置组被划分为持有待售类别之前的账面价值，按照其假定在没有被划分为持有待售类别的情况下本应确</w:t>
      </w:r>
      <w:r>
        <w:rPr/>
        <w:t> 认的折旧、摊销或减值进行调整后的金额；</w:t>
      </w:r>
    </w:p>
    <w:p>
      <w:pPr>
        <w:pStyle w:val="BodyText"/>
        <w:spacing w:line="240" w:lineRule="auto" w:before="19"/>
        <w:ind w:left="634" w:right="0"/>
        <w:jc w:val="left"/>
      </w:pPr>
      <w:r>
        <w:rPr/>
        <w:t>②可收回金额。</w:t>
      </w:r>
    </w:p>
    <w:p>
      <w:pPr>
        <w:pStyle w:val="BodyText"/>
        <w:spacing w:line="316" w:lineRule="auto" w:before="77"/>
        <w:ind w:left="634" w:right="1092"/>
        <w:jc w:val="left"/>
      </w:pPr>
      <w:r>
        <w:rPr/>
        <w:t>（</w:t>
      </w:r>
      <w:r>
        <w:rPr>
          <w:rFonts w:ascii="宋体" w:hAnsi="宋体" w:cs="宋体" w:eastAsia="宋体" w:hint="default"/>
        </w:rPr>
        <w:t>2</w:t>
      </w:r>
      <w:r>
        <w:rPr/>
        <w:t>）终止经营 终止经营，是指满足下列条件之一的已被本公司处置或被本公司划分为持有待售类别的、能够单独区分的组成部分：</w:t>
      </w:r>
    </w:p>
    <w:p>
      <w:pPr>
        <w:pStyle w:val="BodyText"/>
        <w:spacing w:line="240" w:lineRule="auto" w:before="19"/>
        <w:ind w:left="634" w:right="0"/>
        <w:jc w:val="left"/>
      </w:pPr>
      <w:r>
        <w:rPr/>
        <w:t>①该组成部分代表一项独立的主要业务或一个单独的主要经营地区。</w:t>
      </w:r>
    </w:p>
    <w:p>
      <w:pPr>
        <w:pStyle w:val="BodyText"/>
        <w:spacing w:line="240" w:lineRule="auto" w:before="76"/>
        <w:ind w:left="634" w:right="0"/>
        <w:jc w:val="left"/>
      </w:pPr>
      <w:r>
        <w:rPr/>
        <w:t>②该组成部分是拟对一项独立的主要业务或一个单独的主要经营地区进行处置的一项相关联计划的一部分。</w:t>
      </w:r>
    </w:p>
    <w:p>
      <w:pPr>
        <w:pStyle w:val="BodyText"/>
        <w:spacing w:line="240" w:lineRule="auto" w:before="76"/>
        <w:ind w:left="634" w:right="0"/>
        <w:jc w:val="left"/>
      </w:pPr>
      <w:r>
        <w:rPr/>
        <w:t>③该组成部分是专为转售而取得的子公司。</w:t>
      </w:r>
    </w:p>
    <w:p>
      <w:pPr>
        <w:pStyle w:val="BodyText"/>
        <w:spacing w:line="316" w:lineRule="auto" w:before="76"/>
        <w:ind w:left="634" w:right="1143"/>
        <w:jc w:val="left"/>
      </w:pPr>
      <w:r>
        <w:rPr/>
        <w:t>（</w:t>
      </w:r>
      <w:r>
        <w:rPr>
          <w:rFonts w:ascii="宋体" w:hAnsi="宋体" w:cs="宋体" w:eastAsia="宋体" w:hint="default"/>
        </w:rPr>
        <w:t>3</w:t>
      </w:r>
      <w:r>
        <w:rPr/>
        <w:t>）列报 </w:t>
      </w:r>
      <w:r>
        <w:rPr>
          <w:spacing w:val="-1"/>
        </w:rPr>
        <w:t>本公司在资产负债表中将持有待售的非流动资产或持有待售的处置组中的资产列报于“划分为持有待售的资产”，将</w:t>
      </w:r>
      <w:r>
        <w:rPr/>
      </w:r>
    </w:p>
    <w:p>
      <w:pPr>
        <w:pStyle w:val="BodyText"/>
        <w:spacing w:line="316" w:lineRule="auto" w:before="19"/>
        <w:ind w:left="634" w:right="1092" w:hanging="480"/>
        <w:jc w:val="left"/>
      </w:pPr>
      <w:r>
        <w:rPr/>
        <w:t>持有待售的处置组中的负债列报于“划分为持有待售的负债”。 本公司在利润表中分别列示持续经营损益和终止经营损益。不符合终止经营定义的持有待售的非流动资产或处置组，</w:t>
      </w:r>
    </w:p>
    <w:p>
      <w:pPr>
        <w:pStyle w:val="BodyText"/>
        <w:spacing w:line="316" w:lineRule="auto" w:before="19"/>
        <w:ind w:right="1131"/>
        <w:jc w:val="both"/>
      </w:pPr>
      <w:r>
        <w:rPr>
          <w:spacing w:val="-2"/>
        </w:rPr>
        <w:t>其减值损失和转回金额及处置损益作为持续经营损益列报。终止经营的减值损失和转回金额等经营损益及处置损益作为终止</w:t>
      </w:r>
      <w:r>
        <w:rPr>
          <w:spacing w:val="-64"/>
        </w:rPr>
        <w:t> </w:t>
      </w:r>
      <w:r>
        <w:rPr>
          <w:spacing w:val="-64"/>
        </w:rPr>
      </w:r>
      <w:r>
        <w:rPr/>
        <w:t>经营损益列报。</w:t>
      </w:r>
    </w:p>
    <w:p>
      <w:pPr>
        <w:pStyle w:val="BodyText"/>
        <w:spacing w:line="316" w:lineRule="auto" w:before="19"/>
        <w:ind w:left="634" w:right="0"/>
        <w:jc w:val="left"/>
      </w:pPr>
      <w:r>
        <w:rPr/>
        <w:t>拟结束使用而非出售且满足终止经营定义中有关组成部分的条件的处置组，自其停止使用日起作为终止经营列报。 </w:t>
      </w:r>
      <w:r>
        <w:rPr>
          <w:spacing w:val="-1"/>
        </w:rPr>
        <w:t>对于当期列报的终止经营，在当期财务报表中，原来作为持续经营损益列报的信息被重新作为可比会计期间的终止经</w:t>
      </w:r>
    </w:p>
    <w:p>
      <w:pPr>
        <w:pStyle w:val="BodyText"/>
        <w:spacing w:line="316" w:lineRule="auto" w:before="19"/>
        <w:ind w:right="1133"/>
        <w:jc w:val="both"/>
      </w:pPr>
      <w:r>
        <w:rPr>
          <w:spacing w:val="-2"/>
        </w:rPr>
        <w:t>营损益列报。终止经营不再满足持有待售类别划分条件的，在当期财务报表中，原来作为终止经营损益列报的信息被重新作</w:t>
      </w:r>
      <w:r>
        <w:rPr>
          <w:spacing w:val="-66"/>
        </w:rPr>
        <w:t> </w:t>
      </w:r>
      <w:r>
        <w:rPr>
          <w:spacing w:val="-66"/>
        </w:rPr>
      </w:r>
      <w:r>
        <w:rPr/>
        <w:t>为可比会计期间的持续经营损益列报。</w:t>
      </w:r>
    </w:p>
    <w:p>
      <w:pPr>
        <w:pStyle w:val="Heading6"/>
        <w:spacing w:line="240" w:lineRule="auto" w:before="19"/>
        <w:ind w:right="0"/>
        <w:jc w:val="both"/>
        <w:rPr>
          <w:b w:val="0"/>
          <w:bCs w:val="0"/>
        </w:rPr>
      </w:pPr>
      <w:r>
        <w:rPr>
          <w:rFonts w:ascii="宋体" w:hAnsi="宋体" w:cs="宋体" w:eastAsia="宋体" w:hint="default"/>
        </w:rPr>
        <w:t>3.</w:t>
      </w:r>
      <w:r>
        <w:rPr/>
        <w:t>资产减值</w:t>
      </w:r>
      <w:r>
        <w:rPr>
          <w:b w:val="0"/>
          <w:bCs w:val="0"/>
        </w:rPr>
      </w:r>
    </w:p>
    <w:p>
      <w:pPr>
        <w:pStyle w:val="BodyText"/>
        <w:spacing w:line="240" w:lineRule="auto" w:before="76"/>
        <w:ind w:left="634" w:right="0"/>
        <w:jc w:val="left"/>
      </w:pPr>
      <w:r>
        <w:rPr/>
        <w:t>当存在下列迹象的，表明资产可能发生了减值：</w:t>
      </w:r>
    </w:p>
    <w:p>
      <w:pPr>
        <w:pStyle w:val="BodyText"/>
        <w:spacing w:line="240" w:lineRule="auto" w:before="76"/>
        <w:ind w:left="634" w:right="0"/>
        <w:jc w:val="left"/>
      </w:pPr>
      <w:r>
        <w:rPr/>
        <w:t>（</w:t>
      </w:r>
      <w:r>
        <w:rPr>
          <w:rFonts w:ascii="宋体" w:hAnsi="宋体" w:cs="宋体" w:eastAsia="宋体" w:hint="default"/>
        </w:rPr>
        <w:t>1</w:t>
      </w:r>
      <w:r>
        <w:rPr/>
        <w:t>）资产的市价当期大幅度下跌，其跌幅明显高于因时间的推移或者正常使用而预计的下跌。</w:t>
      </w:r>
    </w:p>
    <w:p>
      <w:pPr>
        <w:pStyle w:val="BodyText"/>
        <w:spacing w:line="316" w:lineRule="auto" w:before="77"/>
        <w:ind w:right="0" w:firstLine="480"/>
        <w:jc w:val="left"/>
      </w:pPr>
      <w:r>
        <w:rPr/>
        <w:t>（</w:t>
      </w:r>
      <w:r>
        <w:rPr>
          <w:rFonts w:ascii="宋体" w:hAnsi="宋体" w:cs="宋体" w:eastAsia="宋体" w:hint="default"/>
        </w:rPr>
        <w:t>2</w:t>
      </w:r>
      <w:r>
        <w:rPr/>
        <w:t>）本公司经营所处的经济、技术或法律等环境以及资产所处的市场在当期或将在近期发生重大变化，从而对本公 司产生不利影响。</w:t>
      </w:r>
    </w:p>
    <w:p>
      <w:pPr>
        <w:pStyle w:val="BodyText"/>
        <w:spacing w:line="316" w:lineRule="auto" w:before="19"/>
        <w:ind w:right="0" w:firstLine="480"/>
        <w:jc w:val="left"/>
      </w:pPr>
      <w:r>
        <w:rPr/>
        <w:t>（</w:t>
      </w:r>
      <w:r>
        <w:rPr>
          <w:rFonts w:ascii="宋体" w:hAnsi="宋体" w:cs="宋体" w:eastAsia="宋体" w:hint="default"/>
        </w:rPr>
        <w:t>3</w:t>
      </w:r>
      <w:r>
        <w:rPr/>
        <w:t>）市场利率或者其他市场投资回报率在当期已经提高，从而影响企业用来计算资产预计未来现金流量现值的折现 率，导致资产可收回金额大幅度降低。</w:t>
      </w:r>
    </w:p>
    <w:p>
      <w:pPr>
        <w:pStyle w:val="BodyText"/>
        <w:spacing w:line="240" w:lineRule="auto" w:before="19"/>
        <w:ind w:left="634" w:right="0"/>
        <w:jc w:val="left"/>
      </w:pPr>
      <w:r>
        <w:rPr/>
        <w:t>（</w:t>
      </w:r>
      <w:r>
        <w:rPr>
          <w:rFonts w:ascii="宋体" w:hAnsi="宋体" w:cs="宋体" w:eastAsia="宋体" w:hint="default"/>
        </w:rPr>
        <w:t>4</w:t>
      </w:r>
      <w:r>
        <w:rPr/>
        <w:t>）有证据表明资产已经陈旧过时或其实体已经损坏。</w:t>
      </w:r>
    </w:p>
    <w:p>
      <w:pPr>
        <w:pStyle w:val="BodyText"/>
        <w:spacing w:line="240" w:lineRule="auto" w:before="76"/>
        <w:ind w:left="634" w:right="0"/>
        <w:jc w:val="left"/>
      </w:pPr>
      <w:r>
        <w:rPr/>
        <w:t>（</w:t>
      </w:r>
      <w:r>
        <w:rPr>
          <w:rFonts w:ascii="宋体" w:hAnsi="宋体" w:cs="宋体" w:eastAsia="宋体" w:hint="default"/>
        </w:rPr>
        <w:t>5</w:t>
      </w:r>
      <w:r>
        <w:rPr/>
        <w:t>）资产已经或者将被闲置、终止使用或者计划提前处置。</w:t>
      </w:r>
    </w:p>
    <w:p>
      <w:pPr>
        <w:pStyle w:val="BodyText"/>
        <w:spacing w:line="316" w:lineRule="auto" w:before="76"/>
        <w:ind w:right="0" w:firstLine="480"/>
        <w:jc w:val="left"/>
      </w:pPr>
      <w:r>
        <w:rPr/>
        <w:t>（</w:t>
      </w:r>
      <w:r>
        <w:rPr>
          <w:rFonts w:ascii="宋体" w:hAnsi="宋体" w:cs="宋体" w:eastAsia="宋体" w:hint="default"/>
        </w:rPr>
        <w:t>6</w:t>
      </w:r>
      <w:r>
        <w:rPr/>
        <w:t>）本公司内部报告的证据表明资产的经济绩效已经低于或者将低于预期，如资产所创造的净现金流量或者实现的 营业利润（或者损失）远远低于预计金额等。</w:t>
      </w:r>
    </w:p>
    <w:p>
      <w:pPr>
        <w:pStyle w:val="BodyText"/>
        <w:spacing w:line="316" w:lineRule="auto" w:before="19"/>
        <w:ind w:left="634" w:right="0"/>
        <w:jc w:val="left"/>
      </w:pPr>
      <w:r>
        <w:rPr/>
        <w:t>（</w:t>
      </w:r>
      <w:r>
        <w:rPr>
          <w:rFonts w:ascii="宋体" w:hAnsi="宋体" w:cs="宋体" w:eastAsia="宋体" w:hint="default"/>
        </w:rPr>
        <w:t>7</w:t>
      </w:r>
      <w:r>
        <w:rPr/>
        <w:t>）其他表明资产可能已经发生减值的迹象。 </w:t>
      </w:r>
      <w:r>
        <w:rPr>
          <w:spacing w:val="-1"/>
        </w:rPr>
        <w:t>本公司在资产负债表日对长期股权投资、固定资产、工程物资、在建工程、无形资产（使用寿命不确定的除外）等适</w:t>
      </w:r>
    </w:p>
    <w:p>
      <w:pPr>
        <w:pStyle w:val="BodyText"/>
        <w:spacing w:line="316" w:lineRule="auto" w:before="19"/>
        <w:ind w:right="1130"/>
        <w:jc w:val="both"/>
      </w:pPr>
      <w:r>
        <w:rPr>
          <w:spacing w:val="-2"/>
        </w:rPr>
        <w:t>用《企业会计准则第</w:t>
      </w:r>
      <w:r>
        <w:rPr>
          <w:rFonts w:ascii="宋体" w:hAnsi="宋体" w:cs="宋体" w:eastAsia="宋体" w:hint="default"/>
          <w:spacing w:val="-2"/>
        </w:rPr>
        <w:t>8</w:t>
      </w:r>
      <w:r>
        <w:rPr>
          <w:spacing w:val="-2"/>
        </w:rPr>
        <w:t>号——资产减值》的各项资产进行判断，当存在减值迹象时对其进行减值测试</w:t>
      </w:r>
      <w:r>
        <w:rPr>
          <w:rFonts w:ascii="宋体" w:hAnsi="宋体" w:cs="宋体" w:eastAsia="宋体" w:hint="default"/>
          <w:spacing w:val="-2"/>
        </w:rPr>
        <w:t>-</w:t>
      </w:r>
      <w:r>
        <w:rPr>
          <w:spacing w:val="-2"/>
        </w:rPr>
        <w:t>估计其可收回金额。可</w:t>
      </w:r>
      <w:r>
        <w:rPr>
          <w:spacing w:val="-64"/>
        </w:rPr>
        <w:t> </w:t>
      </w:r>
      <w:r>
        <w:rPr>
          <w:spacing w:val="-64"/>
        </w:rPr>
      </w:r>
      <w:r>
        <w:rPr>
          <w:spacing w:val="-2"/>
        </w:rPr>
        <w:t>收回金额以资产的公允价值减去处置费用后的净额与资产预计未来现金流量的现值两者之间较高者确定。资产的可收回金额</w:t>
      </w:r>
      <w:r>
        <w:rPr>
          <w:spacing w:val="-64"/>
        </w:rPr>
        <w:t> </w:t>
      </w:r>
      <w:r>
        <w:rPr>
          <w:spacing w:val="-64"/>
        </w:rPr>
      </w:r>
      <w:r>
        <w:rPr>
          <w:spacing w:val="-2"/>
        </w:rPr>
        <w:t>低于其账面价值的，将资产的账面价值减记至可收回金额，减记的金额确认为资产减值损失，计入当期损益，同时计提相应</w:t>
      </w:r>
      <w:r>
        <w:rPr>
          <w:spacing w:val="-66"/>
        </w:rPr>
        <w:t> </w:t>
      </w:r>
      <w:r>
        <w:rPr>
          <w:spacing w:val="-66"/>
        </w:rPr>
      </w:r>
      <w:r>
        <w:rPr/>
        <w:t>的资产减值准备。</w:t>
      </w:r>
    </w:p>
    <w:p>
      <w:pPr>
        <w:pStyle w:val="BodyText"/>
        <w:spacing w:line="316" w:lineRule="auto" w:before="19"/>
        <w:ind w:right="0" w:firstLine="480"/>
        <w:jc w:val="left"/>
      </w:pPr>
      <w:r>
        <w:rPr>
          <w:spacing w:val="-1"/>
        </w:rPr>
        <w:t>有迹象表明一项资产可能发生减值的，本公司通常以单项资产为基础估计其可收回金额。当难以对单项资产的可收回</w:t>
      </w:r>
      <w:r>
        <w:rPr/>
        <w:t> 金额进行估计的，以该资产所属的资产组为基础确定资产组的可收回金额。</w:t>
      </w:r>
    </w:p>
    <w:p>
      <w:pPr>
        <w:pStyle w:val="BodyText"/>
        <w:spacing w:line="316" w:lineRule="auto" w:before="19"/>
        <w:ind w:right="0" w:firstLine="480"/>
        <w:jc w:val="left"/>
      </w:pPr>
      <w:r>
        <w:rPr>
          <w:spacing w:val="-1"/>
        </w:rPr>
        <w:t>资产组是本公司可以认定的最小资产组合，其产生的现金流入基本上独立于其他资产或者资产组。资产组由创造现金</w:t>
      </w:r>
      <w:r>
        <w:rPr/>
        <w:t> 流入相关的资产组成。资产组的认定，以资产组产生的主要现金流入是否独立于其他资产或者资产组的现金流入为依据。</w:t>
      </w:r>
    </w:p>
    <w:p>
      <w:pPr>
        <w:pStyle w:val="BodyText"/>
        <w:spacing w:line="316" w:lineRule="auto" w:before="19"/>
        <w:ind w:right="0" w:firstLine="480"/>
        <w:jc w:val="left"/>
      </w:pPr>
      <w:r>
        <w:rPr>
          <w:spacing w:val="-1"/>
        </w:rPr>
        <w:t>本公司对因企业合并所形成的商誉和使用寿命不确定及尚未达到可使用状态的无形资产，无论是否存在减值迹象，每</w:t>
      </w:r>
      <w:r>
        <w:rPr/>
        <w:t> 年都进行减值测试。商誉的减值测试结合与其相关的资产组或者资产组组合进行。</w:t>
      </w:r>
    </w:p>
    <w:p>
      <w:pPr>
        <w:spacing w:line="316" w:lineRule="auto" w:before="19"/>
        <w:ind w:left="154" w:right="6132" w:firstLine="480"/>
        <w:jc w:val="left"/>
        <w:rPr>
          <w:rFonts w:ascii="宋体" w:hAnsi="宋体" w:cs="宋体" w:eastAsia="宋体" w:hint="default"/>
          <w:sz w:val="18"/>
          <w:szCs w:val="18"/>
        </w:rPr>
      </w:pPr>
      <w:r>
        <w:rPr>
          <w:rFonts w:ascii="宋体" w:hAnsi="宋体" w:cs="宋体" w:eastAsia="宋体" w:hint="default"/>
          <w:sz w:val="18"/>
          <w:szCs w:val="18"/>
        </w:rPr>
        <w:t>资产减值损失一经确认，在以后会计期间不予转回。 </w:t>
      </w:r>
      <w:r>
        <w:rPr>
          <w:rFonts w:ascii="宋体" w:hAnsi="宋体" w:cs="宋体" w:eastAsia="宋体" w:hint="default"/>
          <w:b/>
          <w:bCs/>
          <w:sz w:val="18"/>
          <w:szCs w:val="18"/>
        </w:rPr>
        <w:t>4.</w:t>
      </w:r>
      <w:r>
        <w:rPr>
          <w:rFonts w:ascii="宋体" w:hAnsi="宋体" w:cs="宋体" w:eastAsia="宋体" w:hint="default"/>
          <w:b/>
          <w:bCs/>
          <w:sz w:val="18"/>
          <w:szCs w:val="18"/>
        </w:rPr>
        <w:t>公允价值计量</w:t>
      </w:r>
      <w:r>
        <w:rPr>
          <w:rFonts w:ascii="宋体" w:hAnsi="宋体" w:cs="宋体" w:eastAsia="宋体" w:hint="default"/>
          <w:sz w:val="18"/>
          <w:szCs w:val="18"/>
        </w:rPr>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BodyText"/>
        <w:spacing w:line="316" w:lineRule="auto"/>
        <w:ind w:left="634" w:right="1092"/>
        <w:jc w:val="left"/>
      </w:pPr>
      <w:r>
        <w:rPr/>
        <w:t>公允价值是指市场参与者在计量日发生的有序交易中，出售一项资产所能收到或者转移一项负债所需支付的价格。 本公司以公允价值计量相关资产或负债，假定出售资产或者转移负债的有序交易在相关资产或负债的主要市场进行；</w:t>
      </w:r>
    </w:p>
    <w:p>
      <w:pPr>
        <w:pStyle w:val="BodyText"/>
        <w:spacing w:line="316" w:lineRule="auto" w:before="19"/>
        <w:ind w:right="0"/>
        <w:jc w:val="left"/>
      </w:pPr>
      <w:r>
        <w:rPr>
          <w:spacing w:val="-2"/>
        </w:rPr>
        <w:t>不存在主要市场的，本公司假定该交易在相关资产或负债的最有利市场进行。主要市场（或最有利市场）是本公司在计量日</w:t>
      </w:r>
      <w:r>
        <w:rPr>
          <w:spacing w:val="-66"/>
        </w:rPr>
        <w:t> </w:t>
      </w:r>
      <w:r>
        <w:rPr>
          <w:spacing w:val="-66"/>
        </w:rPr>
      </w:r>
      <w:r>
        <w:rPr/>
        <w:t>能够进入的交易市场。本公司采用市场参与者在对该资产或负债定价时为实现其经济利益最大化所使用的假设。</w:t>
      </w:r>
    </w:p>
    <w:p>
      <w:pPr>
        <w:pStyle w:val="BodyText"/>
        <w:spacing w:line="316" w:lineRule="auto" w:before="19"/>
        <w:ind w:right="1133" w:firstLine="480"/>
        <w:jc w:val="both"/>
      </w:pPr>
      <w:r>
        <w:rPr>
          <w:spacing w:val="-1"/>
        </w:rPr>
        <w:t>以公允价值计量非金融资产的，考虑市场参与者将该资产用于最佳用途产生经济利益的能力，或者将该资产出售给能</w:t>
      </w:r>
      <w:r>
        <w:rPr/>
        <w:t> 够用于最佳用途的其他市场参与者产生经济利益的能力。</w:t>
      </w:r>
    </w:p>
    <w:p>
      <w:pPr>
        <w:pStyle w:val="BodyText"/>
        <w:spacing w:line="316" w:lineRule="auto" w:before="19"/>
        <w:ind w:right="1133" w:firstLine="480"/>
        <w:jc w:val="both"/>
      </w:pPr>
      <w:r>
        <w:rPr>
          <w:spacing w:val="-1"/>
        </w:rPr>
        <w:t>本公司采用在当前情况下适用并且有足够可利用数据和其他信息支持的估值技术，优先使用相关可观察输入值，只有</w:t>
      </w:r>
      <w:r>
        <w:rPr/>
        <w:t> 在可观察输入值无法取得或取得不切实可行的情况下，才使用不可观察输入值。</w:t>
      </w:r>
    </w:p>
    <w:p>
      <w:pPr>
        <w:pStyle w:val="BodyText"/>
        <w:spacing w:line="316" w:lineRule="auto" w:before="19"/>
        <w:ind w:right="1110" w:firstLine="480"/>
        <w:jc w:val="both"/>
      </w:pPr>
      <w:r>
        <w:rPr/>
        <w:t>在财务报表中以公允价值计量或披露的资产和负债，根据对公允价值计量整体而言具有重要意义的最低层次输入值， </w:t>
      </w:r>
      <w:r>
        <w:rPr>
          <w:spacing w:val="-2"/>
        </w:rPr>
        <w:t>确定所属的公允价值层次：第一层次输入值，是在计量日能够取得的相同资产或负债在活跃市场上未经调整的报价；第二层</w:t>
      </w:r>
      <w:r>
        <w:rPr>
          <w:spacing w:val="-66"/>
        </w:rPr>
        <w:t> </w:t>
      </w:r>
      <w:r>
        <w:rPr>
          <w:spacing w:val="-66"/>
        </w:rPr>
      </w:r>
      <w:r>
        <w:rPr>
          <w:spacing w:val="-2"/>
        </w:rPr>
        <w:t>次输入值，是除第一层次输入值外相关资产或负债直接或间接可观察的输入值；第三层次输入值，是相关资产或负债的不可</w:t>
      </w:r>
      <w:r>
        <w:rPr>
          <w:spacing w:val="-65"/>
        </w:rPr>
        <w:t> </w:t>
      </w:r>
      <w:r>
        <w:rPr>
          <w:spacing w:val="-65"/>
        </w:rPr>
      </w:r>
      <w:r>
        <w:rPr/>
        <w:t>观察输入值。</w:t>
      </w:r>
    </w:p>
    <w:p>
      <w:pPr>
        <w:pStyle w:val="BodyText"/>
        <w:spacing w:line="316" w:lineRule="auto" w:before="19"/>
        <w:ind w:right="1133" w:firstLine="480"/>
        <w:jc w:val="both"/>
      </w:pPr>
      <w:r>
        <w:rPr>
          <w:spacing w:val="-1"/>
        </w:rPr>
        <w:t>每个资产负债表日，本公司对在财务报表中确认的持续以公允价值计量的资产和负债进行重新评估，以确定是否在公</w:t>
      </w:r>
      <w:r>
        <w:rPr/>
        <w:t> 允价值计量层次之间发生转换。</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5"/>
        <w:ind w:right="0"/>
        <w:jc w:val="left"/>
        <w:rPr>
          <w:b w:val="0"/>
          <w:bCs w:val="0"/>
        </w:rPr>
      </w:pPr>
      <w:bookmarkStart w:name="33、重要会计政策和会计估计变更" w:id="212"/>
      <w:bookmarkEnd w:id="212"/>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13"/>
      <w:bookmarkEnd w:id="213"/>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77"/>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300" w:lineRule="auto" w:before="11"/>
        <w:ind w:right="1132" w:firstLine="480"/>
        <w:jc w:val="both"/>
      </w:pP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日，财政部以财会</w:t>
      </w:r>
      <w:r>
        <w:rPr>
          <w:rFonts w:ascii="Times New Roman" w:hAnsi="Times New Roman" w:cs="Times New Roman" w:eastAsia="Times New Roman" w:hint="default"/>
          <w:spacing w:val="-1"/>
        </w:rPr>
        <w:t>[2018]15</w:t>
      </w:r>
      <w:r>
        <w:rPr>
          <w:spacing w:val="-1"/>
        </w:rPr>
        <w:t>号发布了《关于修订</w:t>
      </w:r>
      <w:r>
        <w:rPr>
          <w:rFonts w:ascii="Times New Roman" w:hAnsi="Times New Roman" w:cs="Times New Roman" w:eastAsia="Times New Roman" w:hint="default"/>
          <w:spacing w:val="-1"/>
        </w:rPr>
        <w:t>2018</w:t>
      </w:r>
      <w:r>
        <w:rPr>
          <w:spacing w:val="-1"/>
        </w:rPr>
        <w:t>年度一般企业财务报表格式的通知》，对尚未执行新</w:t>
      </w:r>
      <w:r>
        <w:rPr/>
        <w:t> 金融准则和新收入准则的企业应按如下规定编制财务报表：</w:t>
      </w:r>
    </w:p>
    <w:p>
      <w:pPr>
        <w:pStyle w:val="BodyText"/>
        <w:spacing w:line="300" w:lineRule="auto" w:before="31"/>
        <w:ind w:right="1130" w:firstLine="480"/>
        <w:jc w:val="both"/>
      </w:pPr>
      <w:r>
        <w:rPr/>
        <w:t>资产负债表中将</w:t>
      </w:r>
      <w:r>
        <w:rPr>
          <w:rFonts w:ascii="Times New Roman" w:hAnsi="Times New Roman" w:cs="Times New Roman" w:eastAsia="Times New Roman" w:hint="default"/>
        </w:rPr>
        <w:t>“</w:t>
      </w:r>
      <w:r>
        <w:rPr/>
        <w:t>应收票据</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应收账款</w:t>
      </w:r>
      <w:r>
        <w:rPr>
          <w:rFonts w:ascii="Times New Roman" w:hAnsi="Times New Roman" w:cs="Times New Roman" w:eastAsia="Times New Roman" w:hint="default"/>
        </w:rPr>
        <w:t>”</w:t>
      </w:r>
      <w:r>
        <w:rPr/>
        <w:t>归并至新增的</w:t>
      </w:r>
      <w:r>
        <w:rPr>
          <w:rFonts w:ascii="Times New Roman" w:hAnsi="Times New Roman" w:cs="Times New Roman" w:eastAsia="Times New Roman" w:hint="default"/>
        </w:rPr>
        <w:t>“</w:t>
      </w:r>
      <w:r>
        <w:rPr/>
        <w:t>应收票据及应收账款</w:t>
      </w:r>
      <w:r>
        <w:rPr>
          <w:rFonts w:ascii="Times New Roman" w:hAnsi="Times New Roman" w:cs="Times New Roman" w:eastAsia="Times New Roman" w:hint="default"/>
        </w:rPr>
        <w:t>”</w:t>
      </w:r>
      <w:r>
        <w:rPr/>
        <w:t>项目；将</w:t>
      </w:r>
      <w:r>
        <w:rPr>
          <w:rFonts w:ascii="Times New Roman" w:hAnsi="Times New Roman" w:cs="Times New Roman" w:eastAsia="Times New Roman" w:hint="default"/>
        </w:rPr>
        <w:t>“</w:t>
      </w:r>
      <w:r>
        <w:rPr/>
        <w:t>应收股利</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应收利息</w:t>
      </w:r>
      <w:r>
        <w:rPr>
          <w:rFonts w:ascii="Times New Roman" w:hAnsi="Times New Roman" w:cs="Times New Roman" w:eastAsia="Times New Roman" w:hint="default"/>
        </w:rPr>
        <w:t>”</w:t>
      </w:r>
      <w:r>
        <w:rPr/>
        <w:t>归并</w:t>
      </w:r>
      <w:r>
        <w:rPr>
          <w:spacing w:val="1"/>
        </w:rPr>
        <w:t> </w:t>
      </w:r>
      <w:r>
        <w:rPr>
          <w:spacing w:val="-1"/>
        </w:rPr>
        <w:t>至</w:t>
      </w:r>
      <w:r>
        <w:rPr>
          <w:rFonts w:ascii="Times New Roman" w:hAnsi="Times New Roman" w:cs="Times New Roman" w:eastAsia="Times New Roman" w:hint="default"/>
          <w:spacing w:val="-1"/>
        </w:rPr>
        <w:t>“</w:t>
      </w:r>
      <w:r>
        <w:rPr>
          <w:spacing w:val="-1"/>
        </w:rPr>
        <w:t>其他应收款</w:t>
      </w:r>
      <w:r>
        <w:rPr>
          <w:rFonts w:ascii="Times New Roman" w:hAnsi="Times New Roman" w:cs="Times New Roman" w:eastAsia="Times New Roman" w:hint="default"/>
          <w:spacing w:val="-1"/>
        </w:rPr>
        <w:t>”</w:t>
      </w:r>
      <w:r>
        <w:rPr>
          <w:spacing w:val="-1"/>
        </w:rPr>
        <w:t>项目；将</w:t>
      </w:r>
      <w:r>
        <w:rPr>
          <w:rFonts w:ascii="Times New Roman" w:hAnsi="Times New Roman" w:cs="Times New Roman" w:eastAsia="Times New Roman" w:hint="default"/>
          <w:spacing w:val="-1"/>
        </w:rPr>
        <w:t>“</w:t>
      </w:r>
      <w:r>
        <w:rPr>
          <w:spacing w:val="-1"/>
        </w:rPr>
        <w:t>固定资产清理</w:t>
      </w:r>
      <w:r>
        <w:rPr>
          <w:rFonts w:ascii="Times New Roman" w:hAnsi="Times New Roman" w:cs="Times New Roman" w:eastAsia="Times New Roman" w:hint="default"/>
          <w:spacing w:val="-1"/>
        </w:rPr>
        <w:t>”</w:t>
      </w:r>
      <w:r>
        <w:rPr>
          <w:spacing w:val="-1"/>
        </w:rPr>
        <w:t>归并至</w:t>
      </w:r>
      <w:r>
        <w:rPr>
          <w:rFonts w:ascii="Times New Roman" w:hAnsi="Times New Roman" w:cs="Times New Roman" w:eastAsia="Times New Roman" w:hint="default"/>
          <w:spacing w:val="-1"/>
        </w:rPr>
        <w:t>“</w:t>
      </w:r>
      <w:r>
        <w:rPr>
          <w:spacing w:val="-1"/>
        </w:rPr>
        <w:t>固定资产</w:t>
      </w:r>
      <w:r>
        <w:rPr>
          <w:rFonts w:ascii="Times New Roman" w:hAnsi="Times New Roman" w:cs="Times New Roman" w:eastAsia="Times New Roman" w:hint="default"/>
          <w:spacing w:val="-1"/>
        </w:rPr>
        <w:t>”</w:t>
      </w:r>
      <w:r>
        <w:rPr>
          <w:spacing w:val="-1"/>
        </w:rPr>
        <w:t>项目；将</w:t>
      </w:r>
      <w:r>
        <w:rPr>
          <w:rFonts w:ascii="Times New Roman" w:hAnsi="Times New Roman" w:cs="Times New Roman" w:eastAsia="Times New Roman" w:hint="default"/>
          <w:spacing w:val="-1"/>
        </w:rPr>
        <w:t>“</w:t>
      </w:r>
      <w:r>
        <w:rPr>
          <w:spacing w:val="-1"/>
        </w:rPr>
        <w:t>工程物资</w:t>
      </w:r>
      <w:r>
        <w:rPr>
          <w:rFonts w:ascii="Times New Roman" w:hAnsi="Times New Roman" w:cs="Times New Roman" w:eastAsia="Times New Roman" w:hint="default"/>
          <w:spacing w:val="-1"/>
        </w:rPr>
        <w:t>”</w:t>
      </w:r>
      <w:r>
        <w:rPr>
          <w:spacing w:val="-1"/>
        </w:rPr>
        <w:t>归并至</w:t>
      </w:r>
      <w:r>
        <w:rPr>
          <w:rFonts w:ascii="Times New Roman" w:hAnsi="Times New Roman" w:cs="Times New Roman" w:eastAsia="Times New Roman" w:hint="default"/>
          <w:spacing w:val="-1"/>
        </w:rPr>
        <w:t>“</w:t>
      </w:r>
      <w:r>
        <w:rPr>
          <w:spacing w:val="-1"/>
        </w:rPr>
        <w:t>在建工程</w:t>
      </w:r>
      <w:r>
        <w:rPr>
          <w:rFonts w:ascii="Times New Roman" w:hAnsi="Times New Roman" w:cs="Times New Roman" w:eastAsia="Times New Roman" w:hint="default"/>
          <w:spacing w:val="-1"/>
        </w:rPr>
        <w:t>”</w:t>
      </w:r>
      <w:r>
        <w:rPr>
          <w:spacing w:val="-1"/>
        </w:rPr>
        <w:t>项目；将</w:t>
      </w:r>
      <w:r>
        <w:rPr>
          <w:rFonts w:ascii="Times New Roman" w:hAnsi="Times New Roman" w:cs="Times New Roman" w:eastAsia="Times New Roman" w:hint="default"/>
          <w:spacing w:val="-1"/>
        </w:rPr>
        <w:t>“</w:t>
      </w:r>
      <w:r>
        <w:rPr>
          <w:spacing w:val="-1"/>
        </w:rPr>
        <w:t>应付票据</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应</w:t>
      </w:r>
      <w:r>
        <w:rPr>
          <w:spacing w:val="-80"/>
        </w:rPr>
        <w:t> </w:t>
      </w:r>
      <w:r>
        <w:rPr>
          <w:spacing w:val="-3"/>
        </w:rPr>
        <w:t>付账款</w:t>
      </w:r>
      <w:r>
        <w:rPr>
          <w:rFonts w:ascii="Times New Roman" w:hAnsi="Times New Roman" w:cs="Times New Roman" w:eastAsia="Times New Roman" w:hint="default"/>
          <w:spacing w:val="-3"/>
        </w:rPr>
        <w:t>”</w:t>
      </w:r>
      <w:r>
        <w:rPr>
          <w:spacing w:val="-3"/>
        </w:rPr>
        <w:t>归并至</w:t>
      </w:r>
      <w:r>
        <w:rPr>
          <w:rFonts w:ascii="Times New Roman" w:hAnsi="Times New Roman" w:cs="Times New Roman" w:eastAsia="Times New Roman" w:hint="default"/>
          <w:spacing w:val="-3"/>
        </w:rPr>
        <w:t>“</w:t>
      </w:r>
      <w:r>
        <w:rPr>
          <w:spacing w:val="-3"/>
        </w:rPr>
        <w:t>应付票据及应付账款</w:t>
      </w:r>
      <w:r>
        <w:rPr>
          <w:rFonts w:ascii="Times New Roman" w:hAnsi="Times New Roman" w:cs="Times New Roman" w:eastAsia="Times New Roman" w:hint="default"/>
          <w:spacing w:val="-3"/>
        </w:rPr>
        <w:t>”</w:t>
      </w:r>
      <w:r>
        <w:rPr>
          <w:spacing w:val="-3"/>
        </w:rPr>
        <w:t>项目；将</w:t>
      </w:r>
      <w:r>
        <w:rPr>
          <w:rFonts w:ascii="Times New Roman" w:hAnsi="Times New Roman" w:cs="Times New Roman" w:eastAsia="Times New Roman" w:hint="default"/>
          <w:spacing w:val="-3"/>
        </w:rPr>
        <w:t>“</w:t>
      </w:r>
      <w:r>
        <w:rPr>
          <w:spacing w:val="-3"/>
        </w:rPr>
        <w:t>应付股利</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应付利息</w:t>
      </w:r>
      <w:r>
        <w:rPr>
          <w:rFonts w:ascii="Times New Roman" w:hAnsi="Times New Roman" w:cs="Times New Roman" w:eastAsia="Times New Roman" w:hint="default"/>
          <w:spacing w:val="-3"/>
        </w:rPr>
        <w:t>”</w:t>
      </w:r>
      <w:r>
        <w:rPr>
          <w:spacing w:val="-3"/>
        </w:rPr>
        <w:t>归并至</w:t>
      </w:r>
      <w:r>
        <w:rPr>
          <w:rFonts w:ascii="Times New Roman" w:hAnsi="Times New Roman" w:cs="Times New Roman" w:eastAsia="Times New Roman" w:hint="default"/>
          <w:spacing w:val="-3"/>
        </w:rPr>
        <w:t>“</w:t>
      </w:r>
      <w:r>
        <w:rPr>
          <w:spacing w:val="-3"/>
        </w:rPr>
        <w:t>其他应付款</w:t>
      </w:r>
      <w:r>
        <w:rPr>
          <w:rFonts w:ascii="Times New Roman" w:hAnsi="Times New Roman" w:cs="Times New Roman" w:eastAsia="Times New Roman" w:hint="default"/>
          <w:spacing w:val="-3"/>
        </w:rPr>
        <w:t>”</w:t>
      </w:r>
      <w:r>
        <w:rPr>
          <w:spacing w:val="-3"/>
        </w:rPr>
        <w:t>项目；将</w:t>
      </w:r>
      <w:r>
        <w:rPr>
          <w:rFonts w:ascii="Times New Roman" w:hAnsi="Times New Roman" w:cs="Times New Roman" w:eastAsia="Times New Roman" w:hint="default"/>
          <w:spacing w:val="-3"/>
        </w:rPr>
        <w:t>“</w:t>
      </w:r>
      <w:r>
        <w:rPr>
          <w:spacing w:val="-3"/>
        </w:rPr>
        <w:t>专项应付款</w:t>
      </w:r>
      <w:r>
        <w:rPr>
          <w:rFonts w:ascii="Times New Roman" w:hAnsi="Times New Roman" w:cs="Times New Roman" w:eastAsia="Times New Roman" w:hint="default"/>
          <w:spacing w:val="-3"/>
        </w:rPr>
        <w:t>”</w:t>
      </w:r>
      <w:r>
        <w:rPr>
          <w:spacing w:val="-3"/>
        </w:rPr>
        <w:t>归并至</w:t>
      </w:r>
      <w:r>
        <w:rPr>
          <w:rFonts w:ascii="Times New Roman" w:hAnsi="Times New Roman" w:cs="Times New Roman" w:eastAsia="Times New Roman" w:hint="default"/>
          <w:spacing w:val="-3"/>
        </w:rPr>
        <w:t>“</w:t>
      </w:r>
      <w:r>
        <w:rPr>
          <w:spacing w:val="-3"/>
        </w:rPr>
        <w:t>长</w:t>
      </w:r>
      <w:r>
        <w:rPr>
          <w:spacing w:val="-55"/>
        </w:rPr>
        <w:t> </w:t>
      </w:r>
      <w:r>
        <w:rPr/>
        <w:t>期应付款</w:t>
      </w:r>
      <w:r>
        <w:rPr>
          <w:rFonts w:ascii="Times New Roman" w:hAnsi="Times New Roman" w:cs="Times New Roman" w:eastAsia="Times New Roman" w:hint="default"/>
        </w:rPr>
        <w:t>”</w:t>
      </w:r>
      <w:r>
        <w:rPr/>
        <w:t>项目。</w:t>
      </w:r>
    </w:p>
    <w:p>
      <w:pPr>
        <w:pStyle w:val="BodyText"/>
        <w:spacing w:line="300" w:lineRule="auto" w:before="13"/>
        <w:ind w:left="634" w:right="1353"/>
        <w:jc w:val="left"/>
      </w:pPr>
      <w:r>
        <w:rPr/>
        <w:t>利润表中从</w:t>
      </w:r>
      <w:r>
        <w:rPr>
          <w:rFonts w:ascii="Times New Roman" w:hAnsi="Times New Roman" w:cs="Times New Roman" w:eastAsia="Times New Roman" w:hint="default"/>
        </w:rPr>
        <w:t>“</w:t>
      </w:r>
      <w:r>
        <w:rPr/>
        <w:t>管理费用</w:t>
      </w:r>
      <w:r>
        <w:rPr>
          <w:rFonts w:ascii="Times New Roman" w:hAnsi="Times New Roman" w:cs="Times New Roman" w:eastAsia="Times New Roman" w:hint="default"/>
        </w:rPr>
        <w:t>”</w:t>
      </w:r>
      <w:r>
        <w:rPr/>
        <w:t>项目中分拆出</w:t>
      </w:r>
      <w:r>
        <w:rPr>
          <w:rFonts w:ascii="Times New Roman" w:hAnsi="Times New Roman" w:cs="Times New Roman" w:eastAsia="Times New Roman" w:hint="default"/>
        </w:rPr>
        <w:t>“</w:t>
      </w:r>
      <w:r>
        <w:rPr/>
        <w:t>研发费用</w:t>
      </w:r>
      <w:r>
        <w:rPr>
          <w:rFonts w:ascii="Times New Roman" w:hAnsi="Times New Roman" w:cs="Times New Roman" w:eastAsia="Times New Roman" w:hint="default"/>
        </w:rPr>
        <w:t>”</w:t>
      </w:r>
      <w:r>
        <w:rPr/>
        <w:t>项目，在财务费用项目下分拆</w:t>
      </w:r>
      <w:r>
        <w:rPr>
          <w:rFonts w:ascii="Times New Roman" w:hAnsi="Times New Roman" w:cs="Times New Roman" w:eastAsia="Times New Roman" w:hint="default"/>
        </w:rPr>
        <w:t>“</w:t>
      </w:r>
      <w:r>
        <w:rPr/>
        <w:t>利息费用</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利息收入</w:t>
      </w:r>
      <w:r>
        <w:rPr>
          <w:rFonts w:ascii="Times New Roman" w:hAnsi="Times New Roman" w:cs="Times New Roman" w:eastAsia="Times New Roman" w:hint="default"/>
        </w:rPr>
        <w:t>”</w:t>
      </w:r>
      <w:r>
        <w:rPr/>
        <w:t>明细项目。 本公司按照财政部财会</w:t>
      </w:r>
      <w:r>
        <w:rPr>
          <w:rFonts w:ascii="Times New Roman" w:hAnsi="Times New Roman" w:cs="Times New Roman" w:eastAsia="Times New Roman" w:hint="default"/>
        </w:rPr>
        <w:t>[2018]15</w:t>
      </w:r>
      <w:r>
        <w:rPr/>
        <w:t>号文规定的财务报表格式编制</w:t>
      </w:r>
      <w:r>
        <w:rPr>
          <w:rFonts w:ascii="Times New Roman" w:hAnsi="Times New Roman" w:cs="Times New Roman" w:eastAsia="Times New Roman" w:hint="default"/>
        </w:rPr>
        <w:t>2018</w:t>
      </w:r>
      <w:r>
        <w:rPr/>
        <w:t>年度财务报表。</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重要会计估计变更" w:id="214"/>
      <w:bookmarkEnd w:id="214"/>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15"/>
      <w:bookmarkEnd w:id="215"/>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16"/>
      <w:bookmarkEnd w:id="216"/>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7"/>
      <w:bookmarkEnd w:id="217"/>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应税增值额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任子行网络技术股份有限公司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深圳市任网游科技开发有限公司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深圳市任子行科技开发有限公司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成都网娱互动网络科技有限公司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苏州争渡科技有限公司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苏州唐人数码科技有限公司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北京亚鸿世纪科技发展有限公司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深圳泡椒思志信息技术有限公司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上海穆冠信息技术有限公司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深圳银狐游戏网络有限公司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海南银狐思志网络科技有限公司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广州数沃信息科技有限公司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北京任子行网络安全技术有限公司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深圳市任知聚科技有限公司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深圳九合信息安全产业投资一期合伙企业（有限合伙）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深圳九合文化创意产业投资合伙企业（有限合伙）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18"/>
      <w:bookmarkEnd w:id="218"/>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0"/>
        <w:ind w:left="634" w:right="0"/>
        <w:jc w:val="left"/>
      </w:pPr>
      <w:r>
        <w:rPr>
          <w:sz w:val="24"/>
          <w:szCs w:val="24"/>
        </w:rPr>
        <w:t>（</w:t>
      </w:r>
      <w:r>
        <w:rPr>
          <w:rFonts w:ascii="宋体" w:hAnsi="宋体" w:cs="宋体" w:eastAsia="宋体" w:hint="default"/>
        </w:rPr>
        <w:t>1</w:t>
      </w:r>
      <w:r>
        <w:rPr/>
        <w:t>）增值税及享受的税收优惠政策</w:t>
      </w:r>
    </w:p>
    <w:p>
      <w:pPr>
        <w:pStyle w:val="BodyText"/>
        <w:spacing w:line="316" w:lineRule="auto" w:before="47"/>
        <w:ind w:right="1026" w:firstLine="480"/>
        <w:jc w:val="left"/>
      </w:pPr>
      <w:r>
        <w:rPr>
          <w:spacing w:val="-2"/>
        </w:rPr>
        <w:t>根据国务院发布的国发</w:t>
      </w:r>
      <w:r>
        <w:rPr>
          <w:rFonts w:ascii="宋体" w:hAnsi="宋体" w:cs="宋体" w:eastAsia="宋体" w:hint="default"/>
          <w:spacing w:val="-2"/>
        </w:rPr>
        <w:t>[2000]18</w:t>
      </w:r>
      <w:r>
        <w:rPr>
          <w:spacing w:val="-2"/>
        </w:rPr>
        <w:t>号《国务院关于印发</w:t>
      </w:r>
      <w:r>
        <w:rPr>
          <w:rFonts w:ascii="宋体" w:hAnsi="宋体" w:cs="宋体" w:eastAsia="宋体" w:hint="default"/>
          <w:spacing w:val="-2"/>
        </w:rPr>
        <w:t>&lt;</w:t>
      </w:r>
      <w:r>
        <w:rPr>
          <w:spacing w:val="-2"/>
        </w:rPr>
        <w:t>鼓励软件产业和集成电路产业发展若干政策</w:t>
      </w:r>
      <w:r>
        <w:rPr>
          <w:rFonts w:ascii="宋体" w:hAnsi="宋体" w:cs="宋体" w:eastAsia="宋体" w:hint="default"/>
          <w:spacing w:val="-2"/>
        </w:rPr>
        <w:t>&gt;</w:t>
      </w:r>
      <w:r>
        <w:rPr>
          <w:spacing w:val="-2"/>
        </w:rPr>
        <w:t>的通知》和财政部、</w:t>
      </w:r>
      <w:r>
        <w:rPr/>
        <w:t> </w:t>
      </w:r>
      <w:r>
        <w:rPr>
          <w:spacing w:val="-2"/>
        </w:rPr>
        <w:t>国家税务总局、海关总署发布的财税</w:t>
      </w:r>
      <w:r>
        <w:rPr>
          <w:rFonts w:ascii="宋体" w:hAnsi="宋体" w:cs="宋体" w:eastAsia="宋体" w:hint="default"/>
          <w:spacing w:val="-2"/>
        </w:rPr>
        <w:t>[2000]25</w:t>
      </w:r>
      <w:r>
        <w:rPr>
          <w:spacing w:val="-2"/>
        </w:rPr>
        <w:t>号《关于鼓励软件产业和集成电路产业发展有关税收政策问题的通知》以及国</w:t>
      </w:r>
      <w:r>
        <w:rPr>
          <w:spacing w:val="-58"/>
        </w:rPr>
        <w:t> </w:t>
      </w:r>
      <w:r>
        <w:rPr>
          <w:spacing w:val="-58"/>
        </w:rPr>
      </w:r>
      <w:r>
        <w:rPr>
          <w:spacing w:val="-2"/>
        </w:rPr>
        <w:t>务院</w:t>
      </w:r>
      <w:r>
        <w:rPr>
          <w:rFonts w:ascii="宋体" w:hAnsi="宋体" w:cs="宋体" w:eastAsia="宋体" w:hint="default"/>
          <w:spacing w:val="-2"/>
        </w:rPr>
        <w:t>2011</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28</w:t>
      </w:r>
      <w:r>
        <w:rPr>
          <w:spacing w:val="-2"/>
        </w:rPr>
        <w:t>日发布的国发</w:t>
      </w:r>
      <w:r>
        <w:rPr>
          <w:rFonts w:ascii="宋体" w:hAnsi="宋体" w:cs="宋体" w:eastAsia="宋体" w:hint="default"/>
          <w:spacing w:val="-2"/>
        </w:rPr>
        <w:t>[2011]4</w:t>
      </w:r>
      <w:r>
        <w:rPr>
          <w:spacing w:val="-2"/>
        </w:rPr>
        <w:t>号《关于印发进一步鼓励软件产业和集成电路产业发展若干政策的通知》中的有关规</w:t>
      </w:r>
      <w:r>
        <w:rPr>
          <w:spacing w:val="-50"/>
        </w:rPr>
        <w:t> </w:t>
      </w:r>
      <w:r>
        <w:rPr>
          <w:spacing w:val="-50"/>
        </w:rPr>
      </w:r>
      <w:r>
        <w:rPr/>
        <w:t>定，本公司及子公司销售自行开发生产的软件产品，按</w:t>
      </w:r>
      <w:r>
        <w:rPr>
          <w:rFonts w:ascii="宋体" w:hAnsi="宋体" w:cs="宋体" w:eastAsia="宋体" w:hint="default"/>
        </w:rPr>
        <w:t>17</w:t>
      </w:r>
      <w:r>
        <w:rPr/>
        <w:t>％的法定税率征收增值税后，增值税实际税负超过</w:t>
      </w:r>
      <w:r>
        <w:rPr>
          <w:rFonts w:ascii="宋体" w:hAnsi="宋体" w:cs="宋体" w:eastAsia="宋体" w:hint="default"/>
        </w:rPr>
        <w:t>3</w:t>
      </w:r>
      <w:r>
        <w:rPr/>
        <w:t>％的部分实行 即征即退政策。</w:t>
      </w:r>
    </w:p>
    <w:p>
      <w:pPr>
        <w:pStyle w:val="BodyText"/>
        <w:spacing w:line="240" w:lineRule="auto" w:before="19"/>
        <w:ind w:left="634" w:right="0"/>
        <w:jc w:val="left"/>
      </w:pPr>
      <w:r>
        <w:rPr/>
        <w:t>根据《财政部、国家税务总局关于在全国开展交通运输业和部分现代服务业营业税改征增值税试点税收政策的通知》</w:t>
      </w:r>
    </w:p>
    <w:p>
      <w:pPr>
        <w:pStyle w:val="BodyText"/>
        <w:spacing w:line="316" w:lineRule="auto" w:before="76"/>
        <w:ind w:right="1122"/>
        <w:jc w:val="left"/>
      </w:pPr>
      <w:r>
        <w:rPr/>
        <w:t>（财税〔</w:t>
      </w:r>
      <w:r>
        <w:rPr>
          <w:rFonts w:ascii="宋体" w:hAnsi="宋体" w:cs="宋体" w:eastAsia="宋体" w:hint="default"/>
        </w:rPr>
        <w:t>2013</w:t>
      </w:r>
      <w:r>
        <w:rPr/>
        <w:t>〕</w:t>
      </w:r>
      <w:r>
        <w:rPr>
          <w:rFonts w:ascii="宋体" w:hAnsi="宋体" w:cs="宋体" w:eastAsia="宋体" w:hint="default"/>
        </w:rPr>
        <w:t>37</w:t>
      </w:r>
      <w:r>
        <w:rPr/>
        <w:t>号）附件</w:t>
      </w:r>
      <w:r>
        <w:rPr>
          <w:rFonts w:ascii="宋体" w:hAnsi="宋体" w:cs="宋体" w:eastAsia="宋体" w:hint="default"/>
        </w:rPr>
        <w:t>3</w:t>
      </w:r>
      <w:r>
        <w:rPr/>
        <w:t>《交通运输业和部分现代服务业营业税改征增值税试点过渡政策的规定》第一条，试点纳税人 提供技术转让、技术开发和与之相关的技术咨询、技术服务，免征增值税。</w:t>
      </w:r>
    </w:p>
    <w:p>
      <w:pPr>
        <w:pStyle w:val="BodyText"/>
        <w:spacing w:line="316" w:lineRule="auto" w:before="19"/>
        <w:ind w:left="634" w:right="1092"/>
        <w:jc w:val="left"/>
      </w:pPr>
      <w:r>
        <w:rPr/>
        <w:t>（</w:t>
      </w:r>
      <w:r>
        <w:rPr>
          <w:rFonts w:ascii="宋体" w:hAnsi="宋体" w:cs="宋体" w:eastAsia="宋体" w:hint="default"/>
        </w:rPr>
        <w:t>2</w:t>
      </w:r>
      <w:r>
        <w:rPr/>
        <w:t>）企业所得税及享受的税收优惠政策 本公司于</w:t>
      </w:r>
      <w:r>
        <w:rPr>
          <w:rFonts w:ascii="宋体" w:hAnsi="宋体" w:cs="宋体" w:eastAsia="宋体" w:hint="default"/>
        </w:rPr>
        <w:t>2017</w:t>
      </w:r>
      <w:r>
        <w:rPr/>
        <w:t>年被认定为国家高新技术企业，自</w:t>
      </w:r>
      <w:r>
        <w:rPr>
          <w:rFonts w:ascii="宋体" w:hAnsi="宋体" w:cs="宋体" w:eastAsia="宋体" w:hint="default"/>
        </w:rPr>
        <w:t>2017</w:t>
      </w:r>
      <w:r>
        <w:rPr/>
        <w:t>年起可减按</w:t>
      </w:r>
      <w:r>
        <w:rPr>
          <w:rFonts w:ascii="宋体" w:hAnsi="宋体" w:cs="宋体" w:eastAsia="宋体" w:hint="default"/>
        </w:rPr>
        <w:t>15%</w:t>
      </w:r>
      <w:r>
        <w:rPr/>
        <w:t>的税率计缴，认定有效期</w:t>
      </w:r>
      <w:r>
        <w:rPr>
          <w:rFonts w:ascii="宋体" w:hAnsi="宋体" w:cs="宋体" w:eastAsia="宋体" w:hint="default"/>
        </w:rPr>
        <w:t>3</w:t>
      </w:r>
      <w:r>
        <w:rPr/>
        <w:t>年。根据财税〔</w:t>
      </w:r>
      <w:r>
        <w:rPr>
          <w:rFonts w:ascii="宋体" w:hAnsi="宋体" w:cs="宋体" w:eastAsia="宋体" w:hint="default"/>
        </w:rPr>
        <w:t>2012</w:t>
      </w:r>
      <w:r>
        <w:rPr/>
        <w:t>〕</w:t>
      </w:r>
    </w:p>
    <w:p>
      <w:pPr>
        <w:pStyle w:val="BodyText"/>
        <w:spacing w:line="316" w:lineRule="auto" w:before="19"/>
        <w:ind w:right="0"/>
        <w:jc w:val="left"/>
      </w:pPr>
      <w:r>
        <w:rPr>
          <w:rFonts w:ascii="宋体" w:hAnsi="宋体" w:cs="宋体" w:eastAsia="宋体" w:hint="default"/>
          <w:spacing w:val="-2"/>
        </w:rPr>
        <w:t>27</w:t>
      </w:r>
      <w:r>
        <w:rPr>
          <w:spacing w:val="-2"/>
        </w:rPr>
        <w:t>号《关于进一步鼓励软件产业和集成电路产业发展企业所得税政策的通知》的规定，对国家规划布局内的重点软件企业和</w:t>
      </w:r>
      <w:r>
        <w:rPr>
          <w:spacing w:val="-64"/>
        </w:rPr>
        <w:t> </w:t>
      </w:r>
      <w:r>
        <w:rPr>
          <w:spacing w:val="-64"/>
        </w:rPr>
      </w:r>
      <w:r>
        <w:rPr/>
        <w:t>集成电路设计企业，如当年未享受免税优惠的，可减按</w:t>
      </w:r>
      <w:r>
        <w:rPr>
          <w:rFonts w:ascii="宋体" w:hAnsi="宋体" w:cs="宋体" w:eastAsia="宋体" w:hint="default"/>
        </w:rPr>
        <w:t>10%</w:t>
      </w:r>
      <w:r>
        <w:rPr/>
        <w:t>的税率征收企业所得税。本公司</w:t>
      </w:r>
      <w:r>
        <w:rPr>
          <w:rFonts w:ascii="宋体" w:hAnsi="宋体" w:cs="宋体" w:eastAsia="宋体" w:hint="default"/>
        </w:rPr>
        <w:t>2018</w:t>
      </w:r>
      <w:r>
        <w:rPr/>
        <w:t>年度按</w:t>
      </w:r>
      <w:r>
        <w:rPr>
          <w:rFonts w:ascii="宋体" w:hAnsi="宋体" w:cs="宋体" w:eastAsia="宋体" w:hint="default"/>
        </w:rPr>
        <w:t>10%</w:t>
      </w:r>
      <w:r>
        <w:rPr/>
        <w:t>的税率计缴。</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032" w:firstLine="480"/>
        <w:jc w:val="left"/>
      </w:pPr>
      <w:r>
        <w:rPr/>
        <w:t>子公司北京亚鸿世纪科技发展有限公司根据国发</w:t>
      </w:r>
      <w:r>
        <w:rPr>
          <w:rFonts w:ascii="宋体" w:hAnsi="宋体" w:cs="宋体" w:eastAsia="宋体" w:hint="default"/>
        </w:rPr>
        <w:t>[2011]4</w:t>
      </w:r>
      <w:r>
        <w:rPr/>
        <w:t>号《国务院关于印发进一步鼓励软件产业和集成电路产业发 </w:t>
      </w:r>
      <w:r>
        <w:rPr>
          <w:spacing w:val="-3"/>
        </w:rPr>
        <w:t>展若干政策的通知》（国发</w:t>
      </w:r>
      <w:r>
        <w:rPr>
          <w:rFonts w:ascii="宋体" w:hAnsi="宋体" w:cs="宋体" w:eastAsia="宋体" w:hint="default"/>
          <w:spacing w:val="-3"/>
        </w:rPr>
        <w:t>[2011]4</w:t>
      </w:r>
      <w:r>
        <w:rPr>
          <w:spacing w:val="-3"/>
        </w:rPr>
        <w:t>号）和《关于软件和集成电路产业企业所得税优惠政策有关问题的通知》（财税</w:t>
      </w:r>
      <w:r>
        <w:rPr>
          <w:rFonts w:ascii="宋体" w:hAnsi="宋体" w:cs="宋体" w:eastAsia="宋体" w:hint="default"/>
          <w:spacing w:val="-3"/>
        </w:rPr>
        <w:t>[2016]49</w:t>
      </w:r>
      <w:r>
        <w:rPr>
          <w:rFonts w:ascii="宋体" w:hAnsi="宋体" w:cs="宋体" w:eastAsia="宋体" w:hint="default"/>
          <w:spacing w:val="-78"/>
        </w:rPr>
        <w:t> </w:t>
      </w:r>
      <w:r>
        <w:rPr>
          <w:spacing w:val="-2"/>
        </w:rPr>
        <w:t>号）的规定，对新办的符合条件的软件企业，经备案后，自获利年度起，享受企业所得税“两免三减半”优惠政策，于</w:t>
      </w:r>
      <w:r>
        <w:rPr>
          <w:rFonts w:ascii="宋体" w:hAnsi="宋体" w:cs="宋体" w:eastAsia="宋体" w:hint="default"/>
          <w:spacing w:val="-2"/>
        </w:rPr>
        <w:t>2014</w:t>
      </w:r>
      <w:r>
        <w:rPr>
          <w:rFonts w:ascii="宋体" w:hAnsi="宋体" w:cs="宋体" w:eastAsia="宋体" w:hint="default"/>
          <w:spacing w:val="-64"/>
        </w:rPr>
        <w:t> </w:t>
      </w:r>
      <w:r>
        <w:rPr/>
        <w:t>年</w:t>
      </w:r>
      <w:r>
        <w:rPr>
          <w:rFonts w:ascii="宋体" w:hAnsi="宋体" w:cs="宋体" w:eastAsia="宋体" w:hint="default"/>
        </w:rPr>
        <w:t>5</w:t>
      </w:r>
      <w:r>
        <w:rPr/>
        <w:t>月</w:t>
      </w:r>
      <w:r>
        <w:rPr>
          <w:rFonts w:ascii="宋体" w:hAnsi="宋体" w:cs="宋体" w:eastAsia="宋体" w:hint="default"/>
        </w:rPr>
        <w:t>12</w:t>
      </w:r>
      <w:r>
        <w:rPr/>
        <w:t>日获得北京市软件行业颁发的《软件企业证书》，</w:t>
      </w:r>
      <w:r>
        <w:rPr>
          <w:rFonts w:ascii="宋体" w:hAnsi="宋体" w:cs="宋体" w:eastAsia="宋体" w:hint="default"/>
        </w:rPr>
        <w:t>2018</w:t>
      </w:r>
      <w:r>
        <w:rPr/>
        <w:t>年度为可享受企业所得税“两免三减半”优惠政策第三年。 北京亚鸿世纪科技发展有限公司于</w:t>
      </w:r>
      <w:r>
        <w:rPr>
          <w:rFonts w:ascii="宋体" w:hAnsi="宋体" w:cs="宋体" w:eastAsia="宋体" w:hint="default"/>
        </w:rPr>
        <w:t>2017</w:t>
      </w:r>
      <w:r>
        <w:rPr/>
        <w:t>年被认定为国家高新技术企业，自</w:t>
      </w:r>
      <w:r>
        <w:rPr>
          <w:rFonts w:ascii="宋体" w:hAnsi="宋体" w:cs="宋体" w:eastAsia="宋体" w:hint="default"/>
        </w:rPr>
        <w:t>2017</w:t>
      </w:r>
      <w:r>
        <w:rPr/>
        <w:t>年起可减按</w:t>
      </w:r>
      <w:r>
        <w:rPr>
          <w:rFonts w:ascii="宋体" w:hAnsi="宋体" w:cs="宋体" w:eastAsia="宋体" w:hint="default"/>
        </w:rPr>
        <w:t>15%</w:t>
      </w:r>
      <w:r>
        <w:rPr/>
        <w:t>的税率计缴，认定有效期</w:t>
      </w:r>
      <w:r>
        <w:rPr>
          <w:rFonts w:ascii="宋体" w:hAnsi="宋体" w:cs="宋体" w:eastAsia="宋体" w:hint="default"/>
        </w:rPr>
        <w:t>3</w:t>
      </w:r>
      <w:r>
        <w:rPr/>
        <w:t>年。 </w:t>
      </w:r>
      <w:r>
        <w:rPr>
          <w:spacing w:val="-2"/>
        </w:rPr>
        <w:t>北京亚鸿世纪科技发展有限公司根据财税〔</w:t>
      </w:r>
      <w:r>
        <w:rPr>
          <w:rFonts w:ascii="宋体" w:hAnsi="宋体" w:cs="宋体" w:eastAsia="宋体" w:hint="default"/>
          <w:spacing w:val="-2"/>
        </w:rPr>
        <w:t>2012</w:t>
      </w:r>
      <w:r>
        <w:rPr>
          <w:spacing w:val="-2"/>
        </w:rPr>
        <w:t>〕</w:t>
      </w:r>
      <w:r>
        <w:rPr>
          <w:rFonts w:ascii="宋体" w:hAnsi="宋体" w:cs="宋体" w:eastAsia="宋体" w:hint="default"/>
          <w:spacing w:val="-2"/>
        </w:rPr>
        <w:t>27</w:t>
      </w:r>
      <w:r>
        <w:rPr>
          <w:spacing w:val="-2"/>
        </w:rPr>
        <w:t>号《关于进一步鼓励软件产业和集成电路产业发展企业所得税政策的通</w:t>
      </w:r>
      <w:r>
        <w:rPr>
          <w:spacing w:val="-59"/>
        </w:rPr>
        <w:t> </w:t>
      </w:r>
      <w:r>
        <w:rPr>
          <w:spacing w:val="-59"/>
        </w:rPr>
      </w:r>
      <w:r>
        <w:rPr/>
        <w:t>知》的规定，对国家规划布局内的重点软件企业和集成电路设计企业，如当年未享受免税优惠的，可减按</w:t>
      </w:r>
      <w:r>
        <w:rPr>
          <w:rFonts w:ascii="宋体" w:hAnsi="宋体" w:cs="宋体" w:eastAsia="宋体" w:hint="default"/>
        </w:rPr>
        <w:t>10%</w:t>
      </w:r>
      <w:r>
        <w:rPr/>
        <w:t>的税率征收企 业所得税。该公司</w:t>
      </w:r>
      <w:r>
        <w:rPr>
          <w:rFonts w:ascii="宋体" w:hAnsi="宋体" w:cs="宋体" w:eastAsia="宋体" w:hint="default"/>
        </w:rPr>
        <w:t>2018</w:t>
      </w:r>
      <w:r>
        <w:rPr/>
        <w:t>年度按</w:t>
      </w:r>
      <w:r>
        <w:rPr>
          <w:rFonts w:ascii="宋体" w:hAnsi="宋体" w:cs="宋体" w:eastAsia="宋体" w:hint="default"/>
        </w:rPr>
        <w:t>10%</w:t>
      </w:r>
      <w:r>
        <w:rPr/>
        <w:t>的税率计缴。</w:t>
      </w:r>
    </w:p>
    <w:p>
      <w:pPr>
        <w:pStyle w:val="BodyText"/>
        <w:spacing w:line="316" w:lineRule="auto" w:before="19"/>
        <w:ind w:right="1182" w:firstLine="480"/>
        <w:jc w:val="left"/>
      </w:pPr>
      <w:r>
        <w:rPr/>
        <w:t>子公司深圳市任网游科技发展有限公司于</w:t>
      </w:r>
      <w:r>
        <w:rPr>
          <w:rFonts w:ascii="宋体" w:hAnsi="宋体" w:cs="宋体" w:eastAsia="宋体" w:hint="default"/>
        </w:rPr>
        <w:t>2017</w:t>
      </w:r>
      <w:r>
        <w:rPr/>
        <w:t>年被认定为国家高新技术企业，自</w:t>
      </w:r>
      <w:r>
        <w:rPr>
          <w:rFonts w:ascii="宋体" w:hAnsi="宋体" w:cs="宋体" w:eastAsia="宋体" w:hint="default"/>
        </w:rPr>
        <w:t>2017</w:t>
      </w:r>
      <w:r>
        <w:rPr/>
        <w:t>年起减按</w:t>
      </w:r>
      <w:r>
        <w:rPr>
          <w:rFonts w:ascii="宋体" w:hAnsi="宋体" w:cs="宋体" w:eastAsia="宋体" w:hint="default"/>
        </w:rPr>
        <w:t>15%</w:t>
      </w:r>
      <w:r>
        <w:rPr/>
        <w:t>的税率计缴，认定 有效期</w:t>
      </w:r>
      <w:r>
        <w:rPr>
          <w:rFonts w:ascii="宋体" w:hAnsi="宋体" w:cs="宋体" w:eastAsia="宋体" w:hint="default"/>
        </w:rPr>
        <w:t>3</w:t>
      </w:r>
      <w:r>
        <w:rPr/>
        <w:t>年。</w:t>
      </w:r>
    </w:p>
    <w:p>
      <w:pPr>
        <w:pStyle w:val="BodyText"/>
        <w:spacing w:line="316" w:lineRule="auto" w:before="19"/>
        <w:ind w:right="1182" w:firstLine="480"/>
        <w:jc w:val="left"/>
      </w:pPr>
      <w:r>
        <w:rPr/>
        <w:t>子公司深圳市任子行科技开发有限公司于</w:t>
      </w:r>
      <w:r>
        <w:rPr>
          <w:rFonts w:ascii="宋体" w:hAnsi="宋体" w:cs="宋体" w:eastAsia="宋体" w:hint="default"/>
        </w:rPr>
        <w:t>2017</w:t>
      </w:r>
      <w:r>
        <w:rPr/>
        <w:t>年被认定为国家高新技术企业，自</w:t>
      </w:r>
      <w:r>
        <w:rPr>
          <w:rFonts w:ascii="宋体" w:hAnsi="宋体" w:cs="宋体" w:eastAsia="宋体" w:hint="default"/>
        </w:rPr>
        <w:t>2017</w:t>
      </w:r>
      <w:r>
        <w:rPr/>
        <w:t>年起减按</w:t>
      </w:r>
      <w:r>
        <w:rPr>
          <w:rFonts w:ascii="宋体" w:hAnsi="宋体" w:cs="宋体" w:eastAsia="宋体" w:hint="default"/>
        </w:rPr>
        <w:t>15%</w:t>
      </w:r>
      <w:r>
        <w:rPr/>
        <w:t>的税率计缴，认定 有效期</w:t>
      </w:r>
      <w:r>
        <w:rPr>
          <w:rFonts w:ascii="宋体" w:hAnsi="宋体" w:cs="宋体" w:eastAsia="宋体" w:hint="default"/>
        </w:rPr>
        <w:t>3</w:t>
      </w:r>
      <w:r>
        <w:rPr/>
        <w:t>年。</w:t>
      </w:r>
    </w:p>
    <w:p>
      <w:pPr>
        <w:pStyle w:val="BodyText"/>
        <w:spacing w:line="316" w:lineRule="auto" w:before="19"/>
        <w:ind w:left="634" w:right="1028"/>
        <w:jc w:val="left"/>
      </w:pPr>
      <w:r>
        <w:rPr>
          <w:spacing w:val="-2"/>
        </w:rPr>
        <w:t>子公司苏州唐人数码科技有限公司于</w:t>
      </w:r>
      <w:r>
        <w:rPr>
          <w:rFonts w:ascii="宋体" w:hAnsi="宋体" w:cs="宋体" w:eastAsia="宋体" w:hint="default"/>
          <w:spacing w:val="-2"/>
        </w:rPr>
        <w:t>2017</w:t>
      </w:r>
      <w:r>
        <w:rPr>
          <w:spacing w:val="-2"/>
        </w:rPr>
        <w:t>年被认定为高新技术企业，自</w:t>
      </w:r>
      <w:r>
        <w:rPr>
          <w:rFonts w:ascii="宋体" w:hAnsi="宋体" w:cs="宋体" w:eastAsia="宋体" w:hint="default"/>
          <w:spacing w:val="-2"/>
        </w:rPr>
        <w:t>2017</w:t>
      </w:r>
      <w:r>
        <w:rPr>
          <w:spacing w:val="-2"/>
        </w:rPr>
        <w:t>年起减按</w:t>
      </w:r>
      <w:r>
        <w:rPr>
          <w:rFonts w:ascii="宋体" w:hAnsi="宋体" w:cs="宋体" w:eastAsia="宋体" w:hint="default"/>
          <w:spacing w:val="-2"/>
        </w:rPr>
        <w:t>15%</w:t>
      </w:r>
      <w:r>
        <w:rPr>
          <w:spacing w:val="-2"/>
        </w:rPr>
        <w:t>的税率计缴，认定有效期</w:t>
      </w:r>
      <w:r>
        <w:rPr>
          <w:rFonts w:ascii="宋体" w:hAnsi="宋体" w:cs="宋体" w:eastAsia="宋体" w:hint="default"/>
          <w:spacing w:val="-2"/>
        </w:rPr>
        <w:t>3</w:t>
      </w:r>
      <w:r>
        <w:rPr>
          <w:spacing w:val="-2"/>
        </w:rPr>
        <w:t>年。</w:t>
      </w:r>
      <w:r>
        <w:rPr/>
        <w:t> 子公司深圳泡椒信息技术有限公司</w:t>
      </w:r>
      <w:r>
        <w:rPr>
          <w:rFonts w:ascii="宋体" w:hAnsi="宋体" w:cs="宋体" w:eastAsia="宋体" w:hint="default"/>
        </w:rPr>
        <w:t>2016</w:t>
      </w:r>
      <w:r>
        <w:rPr/>
        <w:t>年被认定为高新技术企业，自</w:t>
      </w:r>
      <w:r>
        <w:rPr>
          <w:rFonts w:ascii="宋体" w:hAnsi="宋体" w:cs="宋体" w:eastAsia="宋体" w:hint="default"/>
        </w:rPr>
        <w:t>2016</w:t>
      </w:r>
      <w:r>
        <w:rPr/>
        <w:t>年起减按</w:t>
      </w:r>
      <w:r>
        <w:rPr>
          <w:rFonts w:ascii="宋体" w:hAnsi="宋体" w:cs="宋体" w:eastAsia="宋体" w:hint="default"/>
        </w:rPr>
        <w:t>15%</w:t>
      </w:r>
      <w:r>
        <w:rPr/>
        <w:t>的税率计缴，认定有效期</w:t>
      </w:r>
      <w:r>
        <w:rPr>
          <w:rFonts w:ascii="宋体" w:hAnsi="宋体" w:cs="宋体" w:eastAsia="宋体" w:hint="default"/>
        </w:rPr>
        <w:t>3</w:t>
      </w:r>
      <w:r>
        <w:rPr/>
        <w:t>年。 孙公司深圳银狐深圳银狐游戏网络有限公司</w:t>
      </w:r>
      <w:r>
        <w:rPr>
          <w:rFonts w:ascii="宋体" w:hAnsi="宋体" w:cs="宋体" w:eastAsia="宋体" w:hint="default"/>
        </w:rPr>
        <w:t>2017</w:t>
      </w:r>
      <w:r>
        <w:rPr/>
        <w:t>年被认定为高新技术企业，自</w:t>
      </w:r>
      <w:r>
        <w:rPr>
          <w:rFonts w:ascii="宋体" w:hAnsi="宋体" w:cs="宋体" w:eastAsia="宋体" w:hint="default"/>
        </w:rPr>
        <w:t>2017</w:t>
      </w:r>
      <w:r>
        <w:rPr/>
        <w:t>年起减按</w:t>
      </w:r>
      <w:r>
        <w:rPr>
          <w:rFonts w:ascii="宋体" w:hAnsi="宋体" w:cs="宋体" w:eastAsia="宋体" w:hint="default"/>
        </w:rPr>
        <w:t>15%</w:t>
      </w:r>
      <w:r>
        <w:rPr/>
        <w:t>的税率计缴，认定有</w:t>
      </w:r>
    </w:p>
    <w:p>
      <w:pPr>
        <w:pStyle w:val="BodyText"/>
        <w:spacing w:line="240" w:lineRule="auto" w:before="19"/>
        <w:ind w:right="0"/>
        <w:jc w:val="left"/>
      </w:pPr>
      <w:r>
        <w:rPr/>
        <w:t>效期</w:t>
      </w:r>
      <w:r>
        <w:rPr>
          <w:rFonts w:ascii="宋体" w:hAnsi="宋体" w:cs="宋体" w:eastAsia="宋体" w:hint="default"/>
        </w:rPr>
        <w:t>3</w:t>
      </w:r>
      <w:r>
        <w:rPr/>
        <w:t>年。</w:t>
      </w:r>
    </w:p>
    <w:p>
      <w:pPr>
        <w:pStyle w:val="BodyText"/>
        <w:spacing w:line="240" w:lineRule="auto" w:before="117"/>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spacing w:line="487" w:lineRule="auto" w:before="0"/>
        <w:ind w:left="154" w:right="7692" w:firstLine="0"/>
        <w:jc w:val="left"/>
        <w:rPr>
          <w:rFonts w:ascii="宋体" w:hAnsi="宋体" w:cs="宋体" w:eastAsia="宋体" w:hint="default"/>
          <w:sz w:val="21"/>
          <w:szCs w:val="21"/>
        </w:rPr>
      </w:pPr>
      <w:bookmarkStart w:name="3、其他" w:id="219"/>
      <w:bookmarkEnd w:id="219"/>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0"/>
      <w:bookmarkEnd w:id="220"/>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1"/>
      <w:bookmarkEnd w:id="221"/>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9"/>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28,040.44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64,720.60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289,099,090.75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311,720,976.55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17,070,683.44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9,476,304.16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306,197,814.63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321,262,001.31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306,197,814.63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321,262,001.31</w:t>
            </w:r>
          </w:p>
        </w:tc>
      </w:tr>
    </w:tbl>
    <w:p>
      <w:pPr>
        <w:pStyle w:val="BodyText"/>
        <w:spacing w:line="240" w:lineRule="auto" w:before="51"/>
        <w:ind w:right="0"/>
        <w:jc w:val="left"/>
      </w:pPr>
      <w:r>
        <w:rPr/>
        <w:t>其他说明</w:t>
      </w:r>
    </w:p>
    <w:p>
      <w:pPr>
        <w:pStyle w:val="BodyText"/>
        <w:spacing w:line="240" w:lineRule="auto" w:before="116"/>
        <w:ind w:left="634" w:right="0"/>
        <w:jc w:val="left"/>
      </w:pPr>
      <w:r>
        <w:rPr/>
        <w:t>期末其他货币资金中</w:t>
      </w:r>
      <w:r>
        <w:rPr>
          <w:rFonts w:ascii="Times New Roman" w:hAnsi="Times New Roman" w:cs="Times New Roman" w:eastAsia="Times New Roman" w:hint="default"/>
        </w:rPr>
        <w:t>15,142,422.84</w:t>
      </w:r>
      <w:r>
        <w:rPr/>
        <w:t>元系保函保证金，</w:t>
      </w:r>
      <w:r>
        <w:rPr>
          <w:rFonts w:ascii="Times New Roman" w:hAnsi="Times New Roman" w:cs="Times New Roman" w:eastAsia="Times New Roman" w:hint="default"/>
        </w:rPr>
        <w:t>1,928,260.60</w:t>
      </w:r>
      <w:r>
        <w:rPr/>
        <w:t>元为第三方平台支付账户未结算余额。</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以公允价值计量且其变动计入当期损益的金融资产" w:id="222"/>
      <w:bookmarkEnd w:id="222"/>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衍生金融资产" w:id="223"/>
      <w:bookmarkEnd w:id="223"/>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应收票据及应收账款" w:id="224"/>
      <w:bookmarkEnd w:id="224"/>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27,251,568.28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11,606,753.00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469,067,642.20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368,671,700.79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496,319,210.48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380,278,453.79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225"/>
      <w:bookmarkEnd w:id="225"/>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27,251,568.28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8,749,277.00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2,857,476.00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27,251,568.28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11,606,753.00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收账款" w:id="226"/>
      <w:bookmarkEnd w:id="226"/>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550,113,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643.14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81,046,0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00.94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469,067,6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42.20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417,285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,696.45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48,613,99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5.66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11.65%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368,671,70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550,113,</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643.14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81,046,0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00.94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14.73%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469,067,6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42.20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417,285</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,696.45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48,613,99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5.66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11.65%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368,671,70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0.79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5"/>
        <w:gridCol w:w="2398"/>
        <w:gridCol w:w="2392"/>
        <w:gridCol w:w="2392"/>
      </w:tblGrid>
      <w:tr>
        <w:trPr>
          <w:trHeight w:val="206" w:hRule="exact"/>
        </w:trPr>
        <w:tc>
          <w:tcPr>
            <w:tcW w:w="23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1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账龄</w:t>
            </w:r>
          </w:p>
        </w:tc>
        <w:tc>
          <w:tcPr>
            <w:tcW w:w="718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75" w:type="dxa"/>
            <w:vMerge/>
            <w:tcBorders>
              <w:left w:val="single" w:sz="4" w:space="0" w:color="000000"/>
              <w:bottom w:val="nil" w:sz="6" w:space="0" w:color="auto"/>
              <w:right w:val="single" w:sz="4" w:space="0" w:color="000000"/>
            </w:tcBorders>
            <w:shd w:val="clear" w:color="auto" w:fill="D2D2D2"/>
          </w:tcPr>
          <w:p>
            <w:pPr/>
          </w:p>
        </w:tc>
        <w:tc>
          <w:tcPr>
            <w:tcW w:w="23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5"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8"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373,433,489.71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18,079,639.26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101,527,402.46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10,152,740.25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31,913,042.21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9,573,912.67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43,239,708.76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43,239,708.76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550,113,643.14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81,046,000.94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确定该组合依据的说明： 组合中，采用余额百分比法计提坏账准备的应收账款：</w:t>
      </w:r>
    </w:p>
    <w:p>
      <w:pPr>
        <w:pStyle w:val="BodyText"/>
        <w:spacing w:line="340" w:lineRule="auto" w:before="2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40"/>
        <w:ind w:right="0"/>
        <w:jc w:val="left"/>
      </w:pPr>
      <w:r>
        <w:rPr/>
        <w:t>公司需遵守《深圳证券交易所行业信息披露指引第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2"/>
        <w:ind w:right="0"/>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4770"/>
        <w:jc w:val="left"/>
      </w:pPr>
      <w:r>
        <w:rPr/>
        <w:t>本期计提坏账准备金额</w:t>
      </w:r>
      <w:r>
        <w:rPr>
          <w:spacing w:val="-47"/>
        </w:rPr>
        <w:t> </w:t>
      </w:r>
      <w:r>
        <w:rPr>
          <w:rFonts w:ascii="Times New Roman" w:hAnsi="Times New Roman" w:cs="Times New Roman" w:eastAsia="Times New Roman" w:hint="default"/>
        </w:rPr>
        <w:t>32,432,005.28</w:t>
      </w:r>
      <w:r>
        <w:rPr>
          <w:rFonts w:ascii="Times New Roman" w:hAnsi="Times New Roman" w:cs="Times New Roman" w:eastAsia="Times New Roman" w:hint="default"/>
          <w:spacing w:val="-1"/>
        </w:rPr>
        <w:t> </w:t>
      </w:r>
      <w:r>
        <w:rPr/>
        <w:t>元；本期收回或转回坏账准备金额元。 其中本期坏账准备收回或转回金额重要的：</w:t>
      </w:r>
    </w:p>
    <w:p>
      <w:pPr>
        <w:pStyle w:val="BodyText"/>
        <w:spacing w:line="240" w:lineRule="auto" w:before="4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48" w:lineRule="auto" w:before="52"/>
        <w:ind w:right="6822"/>
        <w:jc w:val="left"/>
      </w:pPr>
      <w:r>
        <w:rPr/>
        <w:t>应收账款核销说明： </w:t>
      </w:r>
      <w:r>
        <w:rPr>
          <w:rFonts w:ascii="Times New Roman" w:hAnsi="Times New Roman" w:cs="Times New Roman" w:eastAsia="Times New Roman" w:hint="default"/>
        </w:rPr>
        <w:t>4)</w:t>
      </w:r>
      <w:r>
        <w:rPr/>
        <w:t>按欠款方归集的期末余额前五名的应收账款情况 公司是否需要遵守特殊行业的披露要求</w:t>
      </w:r>
    </w:p>
    <w:p>
      <w:pPr>
        <w:pStyle w:val="BodyText"/>
        <w:spacing w:line="357" w:lineRule="auto" w:before="35"/>
        <w:ind w:right="7822"/>
        <w:jc w:val="left"/>
      </w:pPr>
      <w:r>
        <w:rPr/>
        <w:t>是 软件与信息技术服务业</w:t>
      </w:r>
      <w:r>
        <w:rPr>
          <w:rFonts w:ascii="Times New Roman" w:hAnsi="Times New Roman" w:cs="Times New Roman" w:eastAsia="Times New Roman" w:hint="default"/>
        </w:rPr>
        <w:t>;</w:t>
      </w:r>
      <w:r>
        <w:rPr/>
        <w:t>互联网游戏业</w:t>
      </w:r>
    </w:p>
    <w:p>
      <w:pPr>
        <w:pStyle w:val="BodyText"/>
        <w:spacing w:line="300" w:lineRule="auto" w:before="4"/>
        <w:ind w:right="0" w:firstLine="480"/>
        <w:jc w:val="left"/>
      </w:pPr>
      <w:r>
        <w:rPr>
          <w:spacing w:val="-2"/>
        </w:rPr>
        <w:t>本公司本年按欠款方归集的年末余额前五名应收账款汇总金额为</w:t>
      </w:r>
      <w:r>
        <w:rPr>
          <w:rFonts w:ascii="Times New Roman" w:hAnsi="Times New Roman" w:cs="Times New Roman" w:eastAsia="Times New Roman" w:hint="default"/>
          <w:spacing w:val="-2"/>
        </w:rPr>
        <w:t>107,805,042.44</w:t>
      </w:r>
      <w:r>
        <w:rPr>
          <w:spacing w:val="-2"/>
        </w:rPr>
        <w:t>元，占应收账款年末余额合计数的比例</w:t>
      </w:r>
      <w:r>
        <w:rPr/>
        <w:t> 为</w:t>
      </w:r>
      <w:r>
        <w:rPr>
          <w:rFonts w:ascii="Times New Roman" w:hAnsi="Times New Roman" w:cs="Times New Roman" w:eastAsia="Times New Roman" w:hint="default"/>
        </w:rPr>
        <w:t>19.69%</w:t>
      </w:r>
      <w:r>
        <w:rPr/>
        <w:t>，相应计提的坏账准备年末余额汇总金额为</w:t>
      </w:r>
      <w:r>
        <w:rPr>
          <w:rFonts w:ascii="Times New Roman" w:hAnsi="Times New Roman" w:cs="Times New Roman" w:eastAsia="Times New Roman" w:hint="default"/>
        </w:rPr>
        <w:t>5,278,349.32</w:t>
      </w:r>
      <w:r>
        <w:rPr/>
        <w:t>元。</w:t>
      </w:r>
    </w:p>
    <w:p>
      <w:pPr>
        <w:pStyle w:val="BodyText"/>
        <w:spacing w:line="240" w:lineRule="auto" w:before="13"/>
        <w:ind w:left="634" w:right="0"/>
        <w:jc w:val="left"/>
      </w:pPr>
      <w:r>
        <w:rPr/>
        <w:t>分别披露期末余额前五名：</w:t>
      </w:r>
    </w:p>
    <w:p>
      <w:pPr>
        <w:pStyle w:val="BodyText"/>
        <w:spacing w:line="240" w:lineRule="auto" w:before="76"/>
        <w:ind w:left="5540" w:right="0"/>
        <w:jc w:val="left"/>
      </w:pPr>
      <w:r>
        <w:rPr/>
        <w:t>单位：元</w:t>
      </w:r>
      <w:r>
        <w:rPr>
          <w:spacing w:val="53"/>
        </w:rPr>
        <w:t> </w:t>
      </w:r>
      <w:r>
        <w:rPr/>
        <w:t>币种：人民币</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433"/>
        <w:gridCol w:w="1272"/>
        <w:gridCol w:w="1564"/>
        <w:gridCol w:w="1542"/>
        <w:gridCol w:w="1365"/>
        <w:gridCol w:w="1366"/>
      </w:tblGrid>
      <w:tr>
        <w:trPr>
          <w:trHeight w:val="6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49" w:right="270"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152" w:right="46" w:hanging="106"/>
              <w:jc w:val="left"/>
              <w:rPr>
                <w:rFonts w:ascii="宋体" w:hAnsi="宋体" w:cs="宋体" w:eastAsia="宋体" w:hint="default"/>
                <w:sz w:val="18"/>
                <w:szCs w:val="18"/>
              </w:rPr>
            </w:pPr>
            <w:r>
              <w:rPr>
                <w:rFonts w:ascii="宋体" w:hAnsi="宋体" w:cs="宋体" w:eastAsia="宋体" w:hint="default"/>
                <w:sz w:val="18"/>
                <w:szCs w:val="18"/>
              </w:rPr>
              <w:t>占应收账款总额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86" w:right="47" w:hanging="540"/>
              <w:jc w:val="left"/>
              <w:rPr>
                <w:rFonts w:ascii="宋体" w:hAnsi="宋体" w:cs="宋体" w:eastAsia="宋体" w:hint="default"/>
                <w:sz w:val="18"/>
                <w:szCs w:val="18"/>
              </w:rPr>
            </w:pPr>
            <w:r>
              <w:rPr>
                <w:rFonts w:ascii="宋体" w:hAnsi="宋体" w:cs="宋体" w:eastAsia="宋体" w:hint="default"/>
                <w:sz w:val="18"/>
                <w:szCs w:val="18"/>
              </w:rPr>
              <w:t>坏账准备期末金 额</w:t>
            </w:r>
          </w:p>
        </w:tc>
      </w:tr>
      <w:tr>
        <w:trPr>
          <w:trHeight w:val="654"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513" w:right="0"/>
              <w:jc w:val="left"/>
              <w:rPr>
                <w:rFonts w:ascii="Times New Roman" w:hAnsi="Times New Roman" w:cs="Times New Roman" w:eastAsia="Times New Roman" w:hint="default"/>
                <w:sz w:val="18"/>
                <w:szCs w:val="18"/>
              </w:rPr>
            </w:pPr>
            <w:r>
              <w:rPr>
                <w:rFonts w:ascii="Times New Roman"/>
                <w:sz w:val="18"/>
              </w:rPr>
              <w:t>32,263,252.97</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p>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5.86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5" w:right="0"/>
              <w:jc w:val="left"/>
              <w:rPr>
                <w:rFonts w:ascii="Times New Roman" w:hAnsi="Times New Roman" w:cs="Times New Roman" w:eastAsia="Times New Roman" w:hint="default"/>
                <w:sz w:val="18"/>
                <w:szCs w:val="18"/>
              </w:rPr>
            </w:pPr>
            <w:r>
              <w:rPr>
                <w:rFonts w:ascii="Times New Roman"/>
                <w:sz w:val="18"/>
              </w:rPr>
              <w:t>1,764,752.79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3"/>
        <w:gridCol w:w="1272"/>
        <w:gridCol w:w="1564"/>
        <w:gridCol w:w="1542"/>
        <w:gridCol w:w="1365"/>
        <w:gridCol w:w="1366"/>
      </w:tblGrid>
      <w:tr>
        <w:trPr>
          <w:trHeight w:val="342"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25,747,876.20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19" w:right="0"/>
              <w:jc w:val="left"/>
              <w:rPr>
                <w:rFonts w:ascii="Times New Roman" w:hAnsi="Times New Roman" w:cs="Times New Roman" w:eastAsia="Times New Roman" w:hint="default"/>
                <w:sz w:val="18"/>
                <w:szCs w:val="18"/>
              </w:rPr>
            </w:pPr>
            <w:r>
              <w:rPr>
                <w:rFonts w:ascii="Times New Roman"/>
                <w:sz w:val="18"/>
              </w:rPr>
              <w:t>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1,287,393.81</w:t>
            </w:r>
          </w:p>
        </w:tc>
      </w:tr>
      <w:tr>
        <w:trPr>
          <w:trHeight w:val="342"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22,536,170.00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19" w:right="0"/>
              <w:jc w:val="left"/>
              <w:rPr>
                <w:rFonts w:ascii="Times New Roman" w:hAnsi="Times New Roman" w:cs="Times New Roman" w:eastAsia="Times New Roman" w:hint="default"/>
                <w:sz w:val="18"/>
                <w:szCs w:val="18"/>
              </w:rPr>
            </w:pPr>
            <w:r>
              <w:rPr>
                <w:rFonts w:ascii="Times New Roman"/>
                <w:sz w:val="18"/>
              </w:rPr>
              <w:t>4.10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1,126,808.50</w:t>
            </w:r>
          </w:p>
        </w:tc>
      </w:tr>
      <w:tr>
        <w:trPr>
          <w:trHeight w:val="342"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13,757,743.27</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19" w:right="0"/>
              <w:jc w:val="left"/>
              <w:rPr>
                <w:rFonts w:ascii="Times New Roman" w:hAnsi="Times New Roman" w:cs="Times New Roman" w:eastAsia="Times New Roman" w:hint="default"/>
                <w:sz w:val="18"/>
                <w:szCs w:val="18"/>
              </w:rPr>
            </w:pPr>
            <w:r>
              <w:rPr>
                <w:rFonts w:ascii="Times New Roman"/>
                <w:sz w:val="18"/>
              </w:rPr>
              <w:t>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687,887.16</w:t>
            </w:r>
          </w:p>
        </w:tc>
      </w:tr>
      <w:tr>
        <w:trPr>
          <w:trHeight w:val="342"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13,500,000.00</w:t>
            </w:r>
          </w:p>
        </w:tc>
        <w:tc>
          <w:tcPr>
            <w:tcW w:w="1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19" w:right="0"/>
              <w:jc w:val="left"/>
              <w:rPr>
                <w:rFonts w:ascii="Times New Roman" w:hAnsi="Times New Roman" w:cs="Times New Roman" w:eastAsia="Times New Roman" w:hint="default"/>
                <w:sz w:val="18"/>
                <w:szCs w:val="18"/>
              </w:rPr>
            </w:pPr>
            <w:r>
              <w:rPr>
                <w:rFonts w:ascii="Times New Roman"/>
                <w:sz w:val="18"/>
              </w:rPr>
              <w:t>2.45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675,000.00</w:t>
            </w:r>
          </w:p>
        </w:tc>
      </w:tr>
      <w:tr>
        <w:trPr>
          <w:trHeight w:val="342" w:hRule="exact"/>
        </w:trPr>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2"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107,805,042.44</w:t>
            </w:r>
            <w:r>
              <w:rPr>
                <w:rFonts w:ascii="Times New Roman"/>
                <w:spacing w:val="-1"/>
                <w:sz w:val="18"/>
              </w:rPr>
            </w:r>
          </w:p>
        </w:tc>
        <w:tc>
          <w:tcPr>
            <w:tcW w:w="1542" w:type="dxa"/>
            <w:tcBorders>
              <w:top w:val="single" w:sz="4" w:space="0" w:color="000000"/>
              <w:left w:val="single" w:sz="4" w:space="0" w:color="000000"/>
              <w:bottom w:val="single" w:sz="4" w:space="0" w:color="000000"/>
              <w:right w:val="single" w:sz="4" w:space="0" w:color="000000"/>
            </w:tcBorders>
          </w:tcPr>
          <w:p>
            <w:pP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75" w:right="0"/>
              <w:jc w:val="left"/>
              <w:rPr>
                <w:rFonts w:ascii="Times New Roman" w:hAnsi="Times New Roman" w:cs="Times New Roman" w:eastAsia="Times New Roman" w:hint="default"/>
                <w:sz w:val="18"/>
                <w:szCs w:val="18"/>
              </w:rPr>
            </w:pPr>
            <w:r>
              <w:rPr>
                <w:rFonts w:ascii="Times New Roman"/>
                <w:b/>
                <w:sz w:val="18"/>
              </w:rPr>
              <w:t>19.59</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5,541,842.26</w:t>
            </w:r>
            <w:r>
              <w:rPr>
                <w:rFonts w:ascii="Times New Roman"/>
                <w:spacing w:val="-1"/>
                <w:sz w:val="18"/>
              </w:rPr>
            </w:r>
          </w:p>
        </w:tc>
      </w:tr>
    </w:tbl>
    <w:p>
      <w:pPr>
        <w:pStyle w:val="BodyText"/>
        <w:spacing w:line="240" w:lineRule="auto" w:before="51"/>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5、预付款项" w:id="227"/>
      <w:bookmarkEnd w:id="227"/>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28"/>
      <w:bookmarkEnd w:id="228"/>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69,305,595.32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31,512,751.34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9,920,280.40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826,626.26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1,251.20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108,146.04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106,894.84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79,344,371.76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32,447,523.64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按预付对象归集的期末余额前五名的预付款情况" w:id="229"/>
      <w:bookmarkEnd w:id="229"/>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before="0"/>
        <w:ind w:right="1118" w:firstLine="480"/>
        <w:jc w:val="left"/>
      </w:pPr>
      <w:r>
        <w:rPr/>
        <w:t>本公司本年按欠款方归集的年末余额前五名预付账款汇总金额为</w:t>
      </w:r>
      <w:r>
        <w:rPr>
          <w:rFonts w:ascii="Times New Roman" w:hAnsi="Times New Roman" w:cs="Times New Roman" w:eastAsia="Times New Roman" w:hint="default"/>
        </w:rPr>
        <w:t>27,230,481.99</w:t>
      </w:r>
      <w:r>
        <w:rPr/>
        <w:t>元，占预付账款年末余额合计数的比例 为</w:t>
      </w:r>
      <w:r>
        <w:rPr>
          <w:rFonts w:ascii="Times New Roman" w:hAnsi="Times New Roman" w:cs="Times New Roman" w:eastAsia="Times New Roman" w:hint="default"/>
        </w:rPr>
        <w:t>34.32%</w:t>
      </w:r>
      <w:r>
        <w:rPr/>
        <w:t>。</w:t>
      </w:r>
    </w:p>
    <w:p>
      <w:pPr>
        <w:pStyle w:val="BodyText"/>
        <w:spacing w:line="240" w:lineRule="auto" w:before="13"/>
        <w:ind w:left="634" w:right="0"/>
        <w:jc w:val="left"/>
      </w:pPr>
      <w:r>
        <w:rPr/>
        <w:t>分别披露期末余额前五名：</w:t>
      </w:r>
    </w:p>
    <w:p>
      <w:pPr>
        <w:pStyle w:val="BodyText"/>
        <w:spacing w:line="240" w:lineRule="auto" w:before="76"/>
        <w:ind w:left="5540" w:right="0"/>
        <w:jc w:val="left"/>
      </w:pPr>
      <w:r>
        <w:rPr/>
        <w:t>单位：元</w:t>
      </w:r>
      <w:r>
        <w:rPr>
          <w:spacing w:val="53"/>
        </w:rPr>
        <w:t> </w:t>
      </w:r>
      <w:r>
        <w:rPr/>
        <w:t>币种：人民币</w:t>
      </w:r>
    </w:p>
    <w:p>
      <w:pPr>
        <w:spacing w:line="240" w:lineRule="auto" w:before="11"/>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23"/>
        <w:gridCol w:w="1100"/>
        <w:gridCol w:w="1480"/>
        <w:gridCol w:w="958"/>
        <w:gridCol w:w="1241"/>
        <w:gridCol w:w="1228"/>
      </w:tblGrid>
      <w:tr>
        <w:trPr>
          <w:trHeight w:val="65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65"/>
              <w:jc w:val="right"/>
              <w:rPr>
                <w:rFonts w:ascii="宋体" w:hAnsi="宋体" w:cs="宋体" w:eastAsia="宋体" w:hint="default"/>
                <w:sz w:val="18"/>
                <w:szCs w:val="18"/>
              </w:rPr>
            </w:pPr>
            <w:r>
              <w:rPr>
                <w:rFonts w:ascii="宋体" w:hAnsi="宋体" w:cs="宋体" w:eastAsia="宋体" w:hint="default"/>
                <w:sz w:val="18"/>
                <w:szCs w:val="18"/>
              </w:rPr>
              <w:t>未结算原因</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84" w:right="67" w:hanging="16"/>
              <w:jc w:val="left"/>
              <w:rPr>
                <w:rFonts w:ascii="宋体" w:hAnsi="宋体" w:cs="宋体" w:eastAsia="宋体" w:hint="default"/>
                <w:sz w:val="18"/>
                <w:szCs w:val="18"/>
              </w:rPr>
            </w:pPr>
            <w:r>
              <w:rPr>
                <w:rFonts w:ascii="宋体" w:hAnsi="宋体" w:cs="宋体" w:eastAsia="宋体" w:hint="default"/>
                <w:sz w:val="18"/>
                <w:szCs w:val="18"/>
              </w:rPr>
              <w:t>占预付账款总 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5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17,839,662.42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4"/>
              <w:jc w:val="left"/>
              <w:rPr>
                <w:rFonts w:ascii="宋体" w:hAnsi="宋体" w:cs="宋体" w:eastAsia="宋体" w:hint="default"/>
                <w:sz w:val="18"/>
                <w:szCs w:val="18"/>
              </w:rPr>
            </w:pPr>
            <w:r>
              <w:rPr>
                <w:rFonts w:ascii="宋体" w:hAnsi="宋体" w:cs="宋体" w:eastAsia="宋体" w:hint="default"/>
                <w:sz w:val="18"/>
                <w:szCs w:val="18"/>
              </w:rPr>
              <w:t>未到达结算条 件</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6" w:right="0"/>
              <w:jc w:val="left"/>
              <w:rPr>
                <w:rFonts w:ascii="Times New Roman" w:hAnsi="Times New Roman" w:cs="Times New Roman" w:eastAsia="Times New Roman" w:hint="default"/>
                <w:sz w:val="18"/>
                <w:szCs w:val="18"/>
              </w:rPr>
            </w:pPr>
            <w:r>
              <w:rPr>
                <w:rFonts w:ascii="Times New Roman"/>
                <w:sz w:val="18"/>
              </w:rPr>
              <w:t>22.48</w:t>
            </w:r>
          </w:p>
        </w:tc>
      </w:tr>
      <w:tr>
        <w:trPr>
          <w:trHeight w:val="65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10,218,058.28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4" w:right="144"/>
              <w:jc w:val="left"/>
              <w:rPr>
                <w:rFonts w:ascii="宋体" w:hAnsi="宋体" w:cs="宋体" w:eastAsia="宋体" w:hint="default"/>
                <w:sz w:val="18"/>
                <w:szCs w:val="18"/>
              </w:rPr>
            </w:pPr>
            <w:r>
              <w:rPr>
                <w:rFonts w:ascii="宋体" w:hAnsi="宋体" w:cs="宋体" w:eastAsia="宋体" w:hint="default"/>
                <w:sz w:val="18"/>
                <w:szCs w:val="18"/>
              </w:rPr>
              <w:t>未到达结算条 件</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06" w:right="0"/>
              <w:jc w:val="left"/>
              <w:rPr>
                <w:rFonts w:ascii="Times New Roman" w:hAnsi="Times New Roman" w:cs="Times New Roman" w:eastAsia="Times New Roman" w:hint="default"/>
                <w:sz w:val="18"/>
                <w:szCs w:val="18"/>
              </w:rPr>
            </w:pPr>
            <w:r>
              <w:rPr>
                <w:rFonts w:ascii="Times New Roman"/>
                <w:sz w:val="18"/>
              </w:rPr>
              <w:t>12.88</w:t>
            </w:r>
          </w:p>
        </w:tc>
      </w:tr>
      <w:tr>
        <w:trPr>
          <w:trHeight w:val="65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4,579,199.57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4" w:right="144"/>
              <w:jc w:val="left"/>
              <w:rPr>
                <w:rFonts w:ascii="宋体" w:hAnsi="宋体" w:cs="宋体" w:eastAsia="宋体" w:hint="default"/>
                <w:sz w:val="18"/>
                <w:szCs w:val="18"/>
              </w:rPr>
            </w:pPr>
            <w:r>
              <w:rPr>
                <w:rFonts w:ascii="宋体" w:hAnsi="宋体" w:cs="宋体" w:eastAsia="宋体" w:hint="default"/>
                <w:sz w:val="18"/>
                <w:szCs w:val="18"/>
              </w:rPr>
              <w:t>未到达结算条 件</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51" w:right="0"/>
              <w:jc w:val="left"/>
              <w:rPr>
                <w:rFonts w:ascii="Times New Roman" w:hAnsi="Times New Roman" w:cs="Times New Roman" w:eastAsia="Times New Roman" w:hint="default"/>
                <w:sz w:val="18"/>
                <w:szCs w:val="18"/>
              </w:rPr>
            </w:pPr>
            <w:r>
              <w:rPr>
                <w:rFonts w:ascii="Times New Roman"/>
                <w:sz w:val="18"/>
              </w:rPr>
              <w:t>5.77</w:t>
            </w:r>
          </w:p>
        </w:tc>
      </w:tr>
      <w:tr>
        <w:trPr>
          <w:trHeight w:val="654"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3,495,384.73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4"/>
              <w:jc w:val="left"/>
              <w:rPr>
                <w:rFonts w:ascii="宋体" w:hAnsi="宋体" w:cs="宋体" w:eastAsia="宋体" w:hint="default"/>
                <w:sz w:val="18"/>
                <w:szCs w:val="18"/>
              </w:rPr>
            </w:pPr>
            <w:r>
              <w:rPr>
                <w:rFonts w:ascii="宋体" w:hAnsi="宋体" w:cs="宋体" w:eastAsia="宋体" w:hint="default"/>
                <w:sz w:val="18"/>
                <w:szCs w:val="18"/>
              </w:rPr>
              <w:t>未到达结算条 件</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1" w:right="0"/>
              <w:jc w:val="left"/>
              <w:rPr>
                <w:rFonts w:ascii="Times New Roman" w:hAnsi="Times New Roman" w:cs="Times New Roman" w:eastAsia="Times New Roman" w:hint="default"/>
                <w:sz w:val="18"/>
                <w:szCs w:val="18"/>
              </w:rPr>
            </w:pPr>
            <w:r>
              <w:rPr>
                <w:rFonts w:ascii="Times New Roman"/>
                <w:sz w:val="18"/>
              </w:rPr>
              <w:t>4.41</w:t>
            </w:r>
          </w:p>
        </w:tc>
      </w:tr>
      <w:tr>
        <w:trPr>
          <w:trHeight w:val="343"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非关联方</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2,665,600.00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44"/>
              <w:jc w:val="right"/>
              <w:rPr>
                <w:rFonts w:ascii="宋体" w:hAnsi="宋体" w:cs="宋体" w:eastAsia="宋体" w:hint="default"/>
                <w:sz w:val="18"/>
                <w:szCs w:val="18"/>
              </w:rPr>
            </w:pPr>
            <w:r>
              <w:rPr>
                <w:rFonts w:ascii="宋体" w:hAnsi="宋体" w:cs="宋体" w:eastAsia="宋体" w:hint="default"/>
                <w:sz w:val="18"/>
                <w:szCs w:val="18"/>
              </w:rPr>
              <w:t>未到达结算条</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51" w:right="0"/>
              <w:jc w:val="left"/>
              <w:rPr>
                <w:rFonts w:ascii="Times New Roman" w:hAnsi="Times New Roman" w:cs="Times New Roman" w:eastAsia="Times New Roman" w:hint="default"/>
                <w:sz w:val="18"/>
                <w:szCs w:val="18"/>
              </w:rPr>
            </w:pPr>
            <w:r>
              <w:rPr>
                <w:rFonts w:ascii="Times New Roman"/>
                <w:sz w:val="18"/>
              </w:rPr>
              <w:t>3.36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23"/>
        <w:gridCol w:w="1100"/>
        <w:gridCol w:w="1480"/>
        <w:gridCol w:w="958"/>
        <w:gridCol w:w="1241"/>
        <w:gridCol w:w="1228"/>
      </w:tblGrid>
      <w:tr>
        <w:trPr>
          <w:trHeight w:val="342" w:hRule="exact"/>
        </w:trPr>
        <w:tc>
          <w:tcPr>
            <w:tcW w:w="2823"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228"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00" w:type="dxa"/>
            <w:tcBorders>
              <w:top w:val="single" w:sz="4" w:space="0" w:color="000000"/>
              <w:left w:val="single" w:sz="4" w:space="0" w:color="000000"/>
              <w:bottom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30" w:right="0"/>
              <w:jc w:val="left"/>
              <w:rPr>
                <w:rFonts w:ascii="Times New Roman" w:hAnsi="Times New Roman" w:cs="Times New Roman" w:eastAsia="Times New Roman" w:hint="default"/>
                <w:sz w:val="18"/>
                <w:szCs w:val="18"/>
              </w:rPr>
            </w:pPr>
            <w:r>
              <w:rPr>
                <w:rFonts w:ascii="Times New Roman"/>
                <w:b/>
                <w:sz w:val="18"/>
              </w:rPr>
              <w:t>38,797,905.00</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
        </w:tc>
        <w:tc>
          <w:tcPr>
            <w:tcW w:w="1241"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06" w:right="0"/>
              <w:jc w:val="left"/>
              <w:rPr>
                <w:rFonts w:ascii="Times New Roman" w:hAnsi="Times New Roman" w:cs="Times New Roman" w:eastAsia="Times New Roman" w:hint="default"/>
                <w:sz w:val="18"/>
                <w:szCs w:val="18"/>
              </w:rPr>
            </w:pPr>
            <w:r>
              <w:rPr>
                <w:rFonts w:ascii="Times New Roman"/>
                <w:b/>
                <w:sz w:val="18"/>
              </w:rPr>
              <w:t>48.90</w:t>
            </w:r>
            <w:r>
              <w:rPr>
                <w:rFonts w:ascii="Times New Roman"/>
                <w:sz w:val="18"/>
              </w:rPr>
            </w:r>
          </w:p>
        </w:tc>
      </w:tr>
    </w:tbl>
    <w:p>
      <w:pPr>
        <w:spacing w:line="240" w:lineRule="auto" w:before="5"/>
        <w:rPr>
          <w:rFonts w:ascii="宋体" w:hAnsi="宋体" w:cs="宋体" w:eastAsia="宋体" w:hint="default"/>
          <w:sz w:val="24"/>
          <w:szCs w:val="24"/>
        </w:rPr>
      </w:pPr>
    </w:p>
    <w:p>
      <w:pPr>
        <w:pStyle w:val="BodyText"/>
        <w:spacing w:line="240" w:lineRule="auto"/>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其他应收款" w:id="230"/>
      <w:bookmarkEnd w:id="230"/>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19,045,849.81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17,073,190.79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19,045,849.81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17,073,190.79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231"/>
      <w:bookmarkEnd w:id="231"/>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应收股利" w:id="232"/>
      <w:bookmarkEnd w:id="23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3）其他应收款" w:id="233"/>
      <w:bookmarkEnd w:id="23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34,427,1</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60.60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15,381,3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10.79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44.68%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19,045,84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9.81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32,154,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695.12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15,081,50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4.33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46.90%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17,073,190.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34,427,1</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60.60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15,381,3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10.79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44.68%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19,045,84</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9.81</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32,154,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695.12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59" w:right="0"/>
              <w:jc w:val="left"/>
              <w:rPr>
                <w:rFonts w:ascii="Times New Roman" w:hAnsi="Times New Roman" w:cs="Times New Roman" w:eastAsia="Times New Roman" w:hint="default"/>
                <w:sz w:val="18"/>
                <w:szCs w:val="18"/>
              </w:rPr>
            </w:pPr>
            <w:r>
              <w:rPr>
                <w:rFonts w:ascii="Times New Roman"/>
                <w:sz w:val="18"/>
              </w:rPr>
              <w:t>15,081,50</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4.33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46.90%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17,073,190.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5" w:hRule="exact"/>
        </w:trPr>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3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392"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13,015,180.70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613,639.88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5,775,197.55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577,519.76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4"/>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2,066,616.00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619,984.80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13,570,166.35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13,570,166.35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34,427,160.60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15,381,310.79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360" w:lineRule="auto" w:before="51"/>
        <w:ind w:right="1645"/>
        <w:jc w:val="left"/>
      </w:pPr>
      <w:r>
        <w:rPr/>
        <w:t>确定该组合依据的说明： 组合中，采用余额百分比法计提坏账准备的其他应收款：</w:t>
      </w:r>
    </w:p>
    <w:p>
      <w:pPr>
        <w:pStyle w:val="BodyText"/>
        <w:spacing w:line="340" w:lineRule="auto" w:before="26"/>
        <w:ind w:right="200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164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645"/>
        <w:jc w:val="left"/>
      </w:pPr>
      <w:r>
        <w:rPr>
          <w:rFonts w:ascii="Times New Roman" w:hAnsi="Times New Roman" w:cs="Times New Roman" w:eastAsia="Times New Roman" w:hint="default"/>
        </w:rPr>
        <w:t>2)</w:t>
      </w:r>
      <w:r>
        <w:rPr/>
        <w:t>本期计提、收回或转回的坏账准备情况</w:t>
      </w:r>
    </w:p>
    <w:p>
      <w:pPr>
        <w:pStyle w:val="BodyText"/>
        <w:spacing w:line="338" w:lineRule="auto" w:before="103"/>
        <w:ind w:right="-16"/>
        <w:jc w:val="left"/>
      </w:pPr>
      <w:r>
        <w:rPr/>
        <w:t>本期计提坏账准备金额</w:t>
      </w:r>
      <w:r>
        <w:rPr>
          <w:spacing w:val="-46"/>
        </w:rPr>
        <w:t> </w:t>
      </w:r>
      <w:r>
        <w:rPr>
          <w:rFonts w:ascii="Times New Roman" w:hAnsi="Times New Roman" w:cs="Times New Roman" w:eastAsia="Times New Roman" w:hint="default"/>
        </w:rPr>
        <w:t>299,806.46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其中重要的其他应收款核销情况：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2"/>
        <w:ind w:right="-20"/>
        <w:jc w:val="left"/>
      </w:pPr>
      <w:r>
        <w:rPr/>
        <w:t>其他应收款核销说明：</w:t>
      </w:r>
    </w:p>
    <w:p>
      <w:pPr>
        <w:pStyle w:val="BodyText"/>
        <w:spacing w:line="240" w:lineRule="auto" w:before="116"/>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10,148,970.04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10,910,311.51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2,385,776.43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2,553,444.22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17,151,316.65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15,428,416.81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3,261,948.05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2,717,682.62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1,479,149.43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544,839.96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34,427,160.60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32,154,695.12</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深圳市博海通讯技 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32" w:right="0"/>
              <w:jc w:val="left"/>
              <w:rPr>
                <w:rFonts w:ascii="Times New Roman" w:hAnsi="Times New Roman" w:cs="Times New Roman" w:eastAsia="Times New Roman" w:hint="default"/>
                <w:sz w:val="18"/>
                <w:szCs w:val="18"/>
              </w:rPr>
            </w:pPr>
            <w:r>
              <w:rPr>
                <w:rFonts w:ascii="Times New Roman"/>
                <w:sz w:val="18"/>
              </w:rPr>
              <w:t>11,955,278.70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8" w:right="0"/>
              <w:jc w:val="left"/>
              <w:rPr>
                <w:rFonts w:ascii="Times New Roman" w:hAnsi="Times New Roman" w:cs="Times New Roman" w:eastAsia="Times New Roman" w:hint="default"/>
                <w:sz w:val="18"/>
                <w:szCs w:val="18"/>
              </w:rPr>
            </w:pPr>
            <w:r>
              <w:rPr>
                <w:rFonts w:ascii="Times New Roman"/>
                <w:sz w:val="18"/>
              </w:rPr>
              <w:t>34.73%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11,955,278.70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个人借款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2,557,778.01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127,888.90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天津任鸿科技发展 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1,199,391.84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59,969.59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北京中天信安科技 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西藏自治区公安厅</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17,612,448.55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13,233,137.19</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7、存货" w:id="234"/>
      <w:bookmarkEnd w:id="234"/>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7512"/>
        <w:jc w:val="left"/>
      </w:pPr>
      <w:r>
        <w:rPr/>
        <w:t>公司是否需要遵守房地产行业的披露要求 否</w:t>
      </w:r>
    </w:p>
    <w:p>
      <w:pPr>
        <w:spacing w:line="240" w:lineRule="auto" w:before="13"/>
        <w:rPr>
          <w:rFonts w:ascii="宋体" w:hAnsi="宋体" w:cs="宋体" w:eastAsia="宋体" w:hint="default"/>
          <w:sz w:val="19"/>
          <w:szCs w:val="19"/>
        </w:rPr>
      </w:pPr>
    </w:p>
    <w:p>
      <w:pPr>
        <w:pStyle w:val="Heading4"/>
        <w:spacing w:line="240" w:lineRule="auto"/>
        <w:ind w:right="0"/>
        <w:jc w:val="left"/>
        <w:rPr>
          <w:b w:val="0"/>
          <w:bCs w:val="0"/>
        </w:rPr>
      </w:pPr>
      <w:bookmarkStart w:name="（1）存货分类" w:id="235"/>
      <w:bookmarkEnd w:id="23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1,292,499.09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1,292,499.09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17,057.90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17,057.90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79,678.39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79,678.39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58,567,760.06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4,596,464.58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53,971,295.48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48,688,911.43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4,596,464.58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44,092,446.85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113,556,882.28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113,556,882.28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132,805,372.65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132,805,372.65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13,830.80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13,830.80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2,677.90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2,677.90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173,431,037.23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4,596,464.58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168,834,572.65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181,593,698.27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4,596,464.58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176,997,233.69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存货跌价准备" w:id="236"/>
      <w:bookmarkEnd w:id="23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4,596,464.58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4,596,464.58</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4,596,464.58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4,596,464.58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存货期末余额含有借款费用资本化金额的说明" w:id="237"/>
      <w:bookmarkEnd w:id="23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期末建造合同形成的已完工未结算资产情况" w:id="238"/>
      <w:bookmarkEnd w:id="23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332" w:hRule="exact"/>
        </w:trPr>
        <w:tc>
          <w:tcPr>
            <w:tcW w:w="4784" w:type="dxa"/>
            <w:tcBorders>
              <w:top w:val="nil" w:sz="6" w:space="0" w:color="auto"/>
              <w:left w:val="nil" w:sz="6" w:space="0" w:color="auto"/>
              <w:bottom w:val="single" w:sz="4" w:space="0" w:color="000000"/>
              <w:right w:val="nil" w:sz="6" w:space="0" w:color="auto"/>
            </w:tcBorders>
          </w:tcPr>
          <w:p>
            <w:pPr/>
          </w:p>
        </w:tc>
        <w:tc>
          <w:tcPr>
            <w:tcW w:w="4785" w:type="dxa"/>
            <w:tcBorders>
              <w:top w:val="nil" w:sz="6" w:space="0" w:color="auto"/>
              <w:left w:val="nil" w:sz="6" w:space="0" w:color="auto"/>
              <w:bottom w:val="single" w:sz="4" w:space="0" w:color="000000"/>
              <w:right w:val="nil" w:sz="6" w:space="0" w:color="auto"/>
            </w:tcBorders>
          </w:tcPr>
          <w:p>
            <w:pP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1"/>
        <w:ind w:right="0"/>
        <w:jc w:val="left"/>
      </w:pPr>
      <w:r>
        <w:rPr/>
        <w:pict>
          <v:group style="position:absolute;margin-left:55.200001pt;margin-top:-36.978271pt;width:485pt;height:.1pt;mso-position-horizontal-relative:page;mso-position-vertical-relative:paragraph;z-index:-1057360" coordorigin="1104,-740" coordsize="9700,2">
            <v:shape style="position:absolute;left:1104;top:-740;width:9700;height:2" coordorigin="1104,-740" coordsize="9700,0" path="m1104,-740l10804,-740e" filled="false" stroked="true" strokeweight=".72pt" strokecolor="#000000">
              <v:path arrowok="t"/>
            </v:shape>
            <w10:wrap type="none"/>
          </v:group>
        </w:pict>
      </w: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8、持有待售资产" w:id="239"/>
      <w:bookmarkEnd w:id="239"/>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9、一年内到期的非流动资产" w:id="240"/>
      <w:bookmarkEnd w:id="240"/>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0、其他流动资产" w:id="241"/>
      <w:bookmarkEnd w:id="241"/>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1,543,990.29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2,196,527.31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3,770,000.00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118,043,990.29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5,966,527.31</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1、可供出售金融资产" w:id="242"/>
      <w:bookmarkEnd w:id="242"/>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43"/>
      <w:bookmarkEnd w:id="243"/>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184,380,389.74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184,380,389.74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179,341,350.00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179,341,350.00</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184,380,389.74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184,380,389.74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179,341,350.00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179,341,350.00</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184,380,389.74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184,380,389.74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179,341,350.00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179,341,350.00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公允价值计量的可供出售金融资产" w:id="244"/>
      <w:bookmarkEnd w:id="244"/>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期末按成本计量的可供出售金融资产" w:id="245"/>
      <w:bookmarkEnd w:id="245"/>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3402"/>
        <w:gridCol w:w="3287"/>
        <w:gridCol w:w="870"/>
        <w:gridCol w:w="870"/>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3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9" w:right="0"/>
              <w:jc w:val="left"/>
              <w:rPr>
                <w:rFonts w:ascii="宋体" w:hAnsi="宋体" w:cs="宋体" w:eastAsia="宋体" w:hint="default"/>
                <w:sz w:val="18"/>
                <w:szCs w:val="18"/>
              </w:rPr>
            </w:pPr>
            <w:r>
              <w:rPr>
                <w:rFonts w:ascii="宋体" w:hAnsi="宋体" w:cs="宋体" w:eastAsia="宋体" w:hint="default"/>
                <w:sz w:val="18"/>
                <w:szCs w:val="18"/>
              </w:rPr>
              <w:t>在被投资</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9" w:right="0"/>
              <w:jc w:val="left"/>
              <w:rPr>
                <w:rFonts w:ascii="宋体" w:hAnsi="宋体" w:cs="宋体" w:eastAsia="宋体" w:hint="default"/>
                <w:sz w:val="18"/>
                <w:szCs w:val="18"/>
              </w:rPr>
            </w:pPr>
            <w:r>
              <w:rPr>
                <w:rFonts w:ascii="宋体" w:hAnsi="宋体" w:cs="宋体" w:eastAsia="宋体" w:hint="default"/>
                <w:sz w:val="18"/>
                <w:szCs w:val="18"/>
              </w:rPr>
              <w:t>本期现金</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4"/>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992"/>
        <w:gridCol w:w="851"/>
        <w:gridCol w:w="708"/>
        <w:gridCol w:w="677"/>
        <w:gridCol w:w="870"/>
        <w:gridCol w:w="870"/>
        <w:gridCol w:w="870"/>
        <w:gridCol w:w="870"/>
        <w:gridCol w:w="870"/>
      </w:tblGrid>
      <w:tr>
        <w:trPr>
          <w:trHeight w:val="67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9" w:right="68" w:hanging="180"/>
              <w:jc w:val="left"/>
              <w:rPr>
                <w:rFonts w:ascii="宋体" w:hAnsi="宋体" w:cs="宋体" w:eastAsia="宋体" w:hint="default"/>
                <w:sz w:val="18"/>
                <w:szCs w:val="18"/>
              </w:rPr>
            </w:pPr>
            <w:r>
              <w:rPr>
                <w:rFonts w:ascii="宋体" w:hAnsi="宋体" w:cs="宋体" w:eastAsia="宋体" w:hint="default"/>
                <w:sz w:val="18"/>
                <w:szCs w:val="18"/>
              </w:rPr>
              <w:t>单位持股 比例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红利</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深圳市中新 赛克科技股 份有限公司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48,981,35</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39,083,54</w:t>
            </w:r>
          </w:p>
          <w:p>
            <w:pPr>
              <w:pStyle w:val="TableParagraph"/>
              <w:spacing w:line="240" w:lineRule="auto" w:before="105"/>
              <w:ind w:left="504" w:right="0"/>
              <w:jc w:val="left"/>
              <w:rPr>
                <w:rFonts w:ascii="Times New Roman" w:hAnsi="Times New Roman" w:cs="Times New Roman" w:eastAsia="Times New Roman" w:hint="default"/>
                <w:sz w:val="18"/>
                <w:szCs w:val="18"/>
              </w:rPr>
            </w:pPr>
            <w:r>
              <w:rPr>
                <w:rFonts w:ascii="Times New Roman"/>
                <w:sz w:val="18"/>
              </w:rPr>
              <w:t>8.23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9,897,80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1.77</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1,537,500.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扬州市富海 永成股权投 资合伙企业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70" w:right="0"/>
              <w:jc w:val="left"/>
              <w:rPr>
                <w:rFonts w:ascii="Times New Roman" w:hAnsi="Times New Roman" w:cs="Times New Roman" w:eastAsia="Times New Roman" w:hint="default"/>
                <w:sz w:val="18"/>
                <w:szCs w:val="18"/>
              </w:rPr>
            </w:pPr>
            <w:r>
              <w:rPr>
                <w:rFonts w:ascii="Times New Roman"/>
                <w:sz w:val="18"/>
              </w:rPr>
              <w:t>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上海创稷投 资中心（有限 合伙）</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25,000,0</w:t>
            </w:r>
          </w:p>
          <w:p>
            <w:pPr>
              <w:pStyle w:val="TableParagraph"/>
              <w:spacing w:line="240" w:lineRule="auto" w:before="105"/>
              <w:ind w:left="270" w:right="0"/>
              <w:jc w:val="left"/>
              <w:rPr>
                <w:rFonts w:ascii="Times New Roman" w:hAnsi="Times New Roman" w:cs="Times New Roman" w:eastAsia="Times New Roman" w:hint="default"/>
                <w:sz w:val="18"/>
                <w:szCs w:val="18"/>
              </w:rPr>
            </w:pPr>
            <w:r>
              <w:rPr>
                <w:rFonts w:ascii="Times New Roman"/>
                <w:sz w:val="18"/>
              </w:rPr>
              <w:t>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北京明略软 件系统有限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28,000,00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28,000,0</w:t>
            </w:r>
          </w:p>
          <w:p>
            <w:pPr>
              <w:pStyle w:val="TableParagraph"/>
              <w:spacing w:line="240" w:lineRule="auto" w:before="105"/>
              <w:ind w:left="270" w:right="0"/>
              <w:jc w:val="left"/>
              <w:rPr>
                <w:rFonts w:ascii="Times New Roman" w:hAnsi="Times New Roman" w:cs="Times New Roman" w:eastAsia="Times New Roman" w:hint="default"/>
                <w:sz w:val="18"/>
                <w:szCs w:val="18"/>
              </w:rPr>
            </w:pPr>
            <w:r>
              <w:rPr>
                <w:rFonts w:ascii="Times New Roman"/>
                <w:sz w:val="18"/>
              </w:rPr>
              <w:t>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深圳爱游戏 网络科技有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广州星门信 息科技有限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成都启乐科 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海南腾鼎科 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270" w:right="0"/>
              <w:jc w:val="left"/>
              <w:rPr>
                <w:rFonts w:ascii="Times New Roman" w:hAnsi="Times New Roman" w:cs="Times New Roman" w:eastAsia="Times New Roman" w:hint="default"/>
                <w:sz w:val="18"/>
                <w:szCs w:val="18"/>
              </w:rPr>
            </w:pPr>
            <w:r>
              <w:rPr>
                <w:rFonts w:ascii="Times New Roman"/>
                <w:sz w:val="18"/>
              </w:rPr>
              <w:t>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北京上元信 安技术有限 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16,000,00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5"/>
              <w:ind w:left="270" w:right="0"/>
              <w:jc w:val="left"/>
              <w:rPr>
                <w:rFonts w:ascii="Times New Roman" w:hAnsi="Times New Roman" w:cs="Times New Roman" w:eastAsia="Times New Roman" w:hint="default"/>
                <w:sz w:val="18"/>
                <w:szCs w:val="18"/>
              </w:rPr>
            </w:pPr>
            <w:r>
              <w:rPr>
                <w:rFonts w:ascii="Times New Roman"/>
                <w:sz w:val="18"/>
              </w:rPr>
              <w:t>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湖南合天智 汇信息技术 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503" w:right="0"/>
              <w:jc w:val="lef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270" w:right="0"/>
              <w:jc w:val="left"/>
              <w:rPr>
                <w:rFonts w:ascii="Times New Roman" w:hAnsi="Times New Roman" w:cs="Times New Roman" w:eastAsia="Times New Roman" w:hint="default"/>
                <w:sz w:val="18"/>
                <w:szCs w:val="18"/>
              </w:rPr>
            </w:pPr>
            <w:r>
              <w:rPr>
                <w:rFonts w:ascii="Times New Roman"/>
                <w:sz w:val="18"/>
              </w:rPr>
              <w:t>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深圳咔咔互 娱网络科技 有限公司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深圳市建升 科技股份有 限公司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12,089,700.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12,089,7</w:t>
            </w:r>
          </w:p>
          <w:p>
            <w:pPr>
              <w:pStyle w:val="TableParagraph"/>
              <w:spacing w:line="240" w:lineRule="auto" w:before="105"/>
              <w:ind w:left="270" w:right="0"/>
              <w:jc w:val="left"/>
              <w:rPr>
                <w:rFonts w:ascii="Times New Roman" w:hAnsi="Times New Roman" w:cs="Times New Roman" w:eastAsia="Times New Roman" w:hint="default"/>
                <w:sz w:val="18"/>
                <w:szCs w:val="18"/>
              </w:rPr>
            </w:pPr>
            <w:r>
              <w:rPr>
                <w:rFonts w:ascii="Times New Roman"/>
                <w:sz w:val="18"/>
              </w:rPr>
              <w:t>00.00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深圳市恒扬 数据股份有 限公司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31,032,887.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97</w:t>
            </w:r>
          </w:p>
        </w:tc>
        <w:tc>
          <w:tcPr>
            <w:tcW w:w="85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31,032,8</w:t>
            </w:r>
          </w:p>
          <w:p>
            <w:pPr>
              <w:pStyle w:val="TableParagraph"/>
              <w:spacing w:line="240" w:lineRule="auto" w:before="105"/>
              <w:ind w:left="270" w:right="0"/>
              <w:jc w:val="left"/>
              <w:rPr>
                <w:rFonts w:ascii="Times New Roman" w:hAnsi="Times New Roman" w:cs="Times New Roman" w:eastAsia="Times New Roman" w:hint="default"/>
                <w:sz w:val="18"/>
                <w:szCs w:val="18"/>
              </w:rPr>
            </w:pPr>
            <w:r>
              <w:rPr>
                <w:rFonts w:ascii="Times New Roman"/>
                <w:sz w:val="18"/>
              </w:rPr>
              <w:t>87.97</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64" w:right="0"/>
              <w:jc w:val="center"/>
              <w:rPr>
                <w:rFonts w:ascii="Times New Roman" w:hAnsi="Times New Roman" w:cs="Times New Roman" w:eastAsia="Times New Roman" w:hint="default"/>
                <w:sz w:val="18"/>
                <w:szCs w:val="18"/>
              </w:rPr>
            </w:pPr>
            <w:r>
              <w:rPr>
                <w:rFonts w:ascii="Times New Roman"/>
                <w:sz w:val="18"/>
              </w:rPr>
              <w:t>179,341,3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0"/>
              <w:jc w:val="left"/>
              <w:rPr>
                <w:rFonts w:ascii="Times New Roman" w:hAnsi="Times New Roman" w:cs="Times New Roman" w:eastAsia="Times New Roman" w:hint="default"/>
                <w:sz w:val="18"/>
                <w:szCs w:val="18"/>
              </w:rPr>
            </w:pPr>
            <w:r>
              <w:rPr>
                <w:rFonts w:ascii="Times New Roman"/>
                <w:sz w:val="18"/>
              </w:rPr>
              <w:t>44,122,587.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5" w:right="0"/>
              <w:jc w:val="center"/>
              <w:rPr>
                <w:rFonts w:ascii="Times New Roman" w:hAnsi="Times New Roman" w:cs="Times New Roman" w:eastAsia="Times New Roman" w:hint="default"/>
                <w:sz w:val="18"/>
                <w:szCs w:val="18"/>
              </w:rPr>
            </w:pPr>
            <w:r>
              <w:rPr>
                <w:rFonts w:ascii="Times New Roman"/>
                <w:sz w:val="18"/>
              </w:rPr>
              <w:t>39,083,54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0" w:right="0"/>
              <w:jc w:val="center"/>
              <w:rPr>
                <w:rFonts w:ascii="Times New Roman" w:hAnsi="Times New Roman" w:cs="Times New Roman" w:eastAsia="Times New Roman" w:hint="default"/>
                <w:sz w:val="18"/>
                <w:szCs w:val="18"/>
              </w:rPr>
            </w:pPr>
            <w:r>
              <w:rPr>
                <w:rFonts w:ascii="Times New Roman"/>
                <w:sz w:val="18"/>
              </w:rPr>
              <w:t>184,380,</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center"/>
              <w:rPr>
                <w:rFonts w:ascii="Times New Roman" w:hAnsi="Times New Roman" w:cs="Times New Roman" w:eastAsia="Times New Roman" w:hint="default"/>
                <w:sz w:val="18"/>
                <w:szCs w:val="18"/>
              </w:rPr>
            </w:pPr>
            <w:r>
              <w:rPr>
                <w:rFonts w:ascii="Times New Roman"/>
                <w:sz w:val="18"/>
              </w:rPr>
              <w:t>1,537,500.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992"/>
        <w:gridCol w:w="851"/>
        <w:gridCol w:w="708"/>
        <w:gridCol w:w="677"/>
        <w:gridCol w:w="870"/>
        <w:gridCol w:w="870"/>
        <w:gridCol w:w="870"/>
        <w:gridCol w:w="870"/>
        <w:gridCol w:w="872"/>
      </w:tblGrid>
      <w:tr>
        <w:trPr>
          <w:trHeight w:val="36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13" w:right="0"/>
              <w:jc w:val="left"/>
              <w:rPr>
                <w:rFonts w:ascii="Times New Roman" w:hAnsi="Times New Roman" w:cs="Times New Roman" w:eastAsia="Times New Roman" w:hint="default"/>
                <w:sz w:val="18"/>
                <w:szCs w:val="18"/>
              </w:rPr>
            </w:pPr>
            <w:r>
              <w:rPr>
                <w:rFonts w:ascii="Times New Roman"/>
                <w:sz w:val="18"/>
              </w:rPr>
              <w:t>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04" w:right="0"/>
              <w:jc w:val="left"/>
              <w:rPr>
                <w:rFonts w:ascii="Times New Roman" w:hAnsi="Times New Roman" w:cs="Times New Roman" w:eastAsia="Times New Roman" w:hint="default"/>
                <w:sz w:val="18"/>
                <w:szCs w:val="18"/>
              </w:rPr>
            </w:pPr>
            <w:r>
              <w:rPr>
                <w:rFonts w:ascii="Times New Roman"/>
                <w:sz w:val="18"/>
              </w:rPr>
              <w:t>8.23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0" w:right="0"/>
              <w:jc w:val="left"/>
              <w:rPr>
                <w:rFonts w:ascii="Times New Roman" w:hAnsi="Times New Roman" w:cs="Times New Roman" w:eastAsia="Times New Roman" w:hint="default"/>
                <w:sz w:val="18"/>
                <w:szCs w:val="18"/>
              </w:rPr>
            </w:pPr>
            <w:r>
              <w:rPr>
                <w:rFonts w:ascii="Times New Roman"/>
                <w:sz w:val="18"/>
              </w:rPr>
              <w:t>389.74</w:t>
            </w:r>
          </w:p>
        </w:tc>
        <w:tc>
          <w:tcPr>
            <w:tcW w:w="6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4）报告期内可供出售金融资产减值的变动情况" w:id="246"/>
      <w:bookmarkEnd w:id="246"/>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5）可供出售权益工具期末公允价值严重下跌或非暂时性下跌但未计提减值准备的相关说" w:id="247"/>
      <w:bookmarkEnd w:id="247"/>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2、持有至到期投资" w:id="248"/>
      <w:bookmarkEnd w:id="248"/>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49"/>
      <w:bookmarkEnd w:id="249"/>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期末重要的持有至到期投资" w:id="250"/>
      <w:bookmarkEnd w:id="250"/>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重分类的持有至到期投资" w:id="251"/>
      <w:bookmarkEnd w:id="251"/>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3、长期应收款" w:id="252"/>
      <w:bookmarkEnd w:id="252"/>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53"/>
      <w:bookmarkEnd w:id="25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因金融资产转移而终止确认的长期应收款" w:id="254"/>
      <w:bookmarkEnd w:id="25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转移长期应收款且继续涉入形成的资产、负债金额" w:id="255"/>
      <w:bookmarkEnd w:id="25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4、长期股权投资" w:id="256"/>
      <w:bookmarkEnd w:id="256"/>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北京中天 信安科技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902,176.5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-524,264.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377,912.4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深圳市逸 风网络科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651,186.1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-190,627.</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460,558.2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深圳市云 安宝科技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5,241,012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460,801.1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5,701,813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深圳云盈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1,167,932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314,390.3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1,482,323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深圳前海 中电慧安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深圳哈工 大科技创 新产业发 展有限公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-24,090.4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1,975,909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深圳国富 丁香股权 投资管理 合伙企业</w:t>
            </w:r>
          </w:p>
          <w:p>
            <w:pPr>
              <w:pStyle w:val="TableParagraph"/>
              <w:spacing w:line="319" w:lineRule="auto" w:before="17"/>
              <w:ind w:left="22" w:right="41"/>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17,962,30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36,209.07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22,998,51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17,962,30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8.16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36,209.07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22,998,51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7.23</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5、投资性房地产" w:id="257"/>
      <w:bookmarkEnd w:id="257"/>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58"/>
      <w:bookmarkEnd w:id="25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82,768,525.31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5" w:right="0"/>
              <w:jc w:val="left"/>
              <w:rPr>
                <w:rFonts w:ascii="Times New Roman" w:hAnsi="Times New Roman" w:cs="Times New Roman" w:eastAsia="Times New Roman" w:hint="default"/>
                <w:sz w:val="18"/>
                <w:szCs w:val="18"/>
              </w:rPr>
            </w:pPr>
            <w:r>
              <w:rPr>
                <w:rFonts w:ascii="Times New Roman"/>
                <w:sz w:val="18"/>
              </w:rPr>
              <w:t>82,768,525.31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1,097,936.74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1,097,936.74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1,097,936.74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1,097,936.74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83,866,462.05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83,866,462.05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7,043,477.45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7,043,477.45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1,640,200.03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1,640,200.03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1,593,127.32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1,593,127.32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47,072.71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47,072.71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8,683,677.48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8,683,677.48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75,182,784.57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75,182,784.57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75,725,047.86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75,725,047.86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2）采用公允价值计量模式的投资性房地产" w:id="259"/>
      <w:bookmarkEnd w:id="25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60"/>
      <w:bookmarkEnd w:id="26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6、固定资产" w:id="261"/>
      <w:bookmarkEnd w:id="261"/>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173,735,098.23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178,980,308.68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173,735,098.23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178,980,308.68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62"/>
      <w:bookmarkEnd w:id="26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2"/>
              <w:ind w:left="2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9" w:space="0" w:color="D2D2D2"/>
              <w:bottom w:val="single" w:sz="4" w:space="0" w:color="000000"/>
              <w:right w:val="single" w:sz="4" w:space="0" w:color="000000"/>
            </w:tcBorders>
            <w:shd w:val="clear" w:color="auto" w:fill="E0FFFF"/>
          </w:tcPr>
          <w:p>
            <w:pPr>
              <w:pStyle w:val="TableParagraph"/>
              <w:spacing w:line="240" w:lineRule="auto" w:before="52"/>
              <w:ind w:left="258"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5" w:type="dxa"/>
            <w:tcBorders>
              <w:top w:val="single" w:sz="4" w:space="0" w:color="000000"/>
              <w:left w:val="single" w:sz="4" w:space="0" w:color="000000"/>
              <w:bottom w:val="single" w:sz="4" w:space="0" w:color="000000"/>
              <w:right w:val="single" w:sz="9" w:space="0" w:color="D2D2D2"/>
            </w:tcBorders>
            <w:shd w:val="clear" w:color="auto" w:fill="E0FFFF"/>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149,726,920.90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100,493,971.97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7,264,106.27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6,143,791.36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263,628,790.50</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36,554.27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9,499,819.36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1,517,410.24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11,053,783.87</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36,554.27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9,499,819.36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1,517,410.24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11,053,783.87</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1,097,936.74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610,704.53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215,083.00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663,647.86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2,587,372.13</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1,097,936.74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610,704.53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215,083.00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663,647.86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2,587,372.13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148,665,538.43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109,383,086.80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8,566,433.51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5,480,143.50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272,095,202.24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11,032,553.69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65,383,007.38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3,493,648.56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4,739,272.19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84,648,481.82</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3,155,860.60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6,312,920.17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4,979,468.71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494,213.36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14,942,462.84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83"/>
        <w:gridCol w:w="1606"/>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3,155,860.60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6,312,920.17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4,979,468.71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494,213.36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14,942,462.84</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47,072.71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438,623.81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163,368.81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581,775.32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1,230,840.65</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47,072.71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438,623.81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163,368.81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581,775.32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1,230,840.65</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14,141,341.58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71,257,303.74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8,309,748.46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4,651,710.23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98,360,104.01</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606" w:type="dxa"/>
            <w:tcBorders>
              <w:top w:val="single" w:sz="4" w:space="0" w:color="000000"/>
              <w:left w:val="single" w:sz="9" w:space="0" w:color="E0FFFF"/>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134,524,196.85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38,125,783.06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256,685.05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828,433.27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173,735,098.23</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r>
              <w:rPr>
                <w:rFonts w:ascii="宋体" w:hAnsi="宋体" w:cs="宋体" w:eastAsia="宋体" w:hint="default"/>
                <w:sz w:val="18"/>
                <w:szCs w:val="18"/>
              </w:rPr>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138,694,367.16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35,034,297.78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3,843,046.64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1,408,597.10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178,980,308.68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63"/>
      <w:bookmarkEnd w:id="26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通过融资租赁租入的固定资产情况" w:id="264"/>
      <w:bookmarkEnd w:id="26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通过经营租赁租出的固定资产" w:id="265"/>
      <w:bookmarkEnd w:id="26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未办妥产权证书的固定资产情况" w:id="266"/>
      <w:bookmarkEnd w:id="26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6）固定资产清理" w:id="267"/>
      <w:bookmarkEnd w:id="267"/>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7、在建工程" w:id="268"/>
      <w:bookmarkEnd w:id="268"/>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建工程情况" w:id="269"/>
      <w:bookmarkEnd w:id="26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重要在建工程项目本期变动情况" w:id="270"/>
      <w:bookmarkEnd w:id="27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本期计提在建工程减值准备情况" w:id="271"/>
      <w:bookmarkEnd w:id="271"/>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工程物资" w:id="272"/>
      <w:bookmarkEnd w:id="272"/>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8、生产性生物资产" w:id="273"/>
      <w:bookmarkEnd w:id="273"/>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274"/>
      <w:bookmarkEnd w:id="27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275"/>
      <w:bookmarkEnd w:id="27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9、油气资产" w:id="276"/>
      <w:bookmarkEnd w:id="276"/>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0、无形资产" w:id="277"/>
      <w:bookmarkEnd w:id="277"/>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78"/>
      <w:bookmarkEnd w:id="27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51"/>
              <w:ind w:right="6"/>
              <w:jc w:val="center"/>
              <w:rPr>
                <w:rFonts w:ascii="宋体" w:hAnsi="宋体" w:cs="宋体" w:eastAsia="宋体" w:hint="default"/>
                <w:sz w:val="18"/>
                <w:szCs w:val="18"/>
              </w:rPr>
            </w:pPr>
            <w:r>
              <w:rPr>
                <w:rFonts w:ascii="宋体" w:hAnsi="宋体" w:cs="宋体" w:eastAsia="宋体" w:hint="default"/>
                <w:sz w:val="18"/>
                <w:szCs w:val="18"/>
              </w:rPr>
              <w:t>商标</w:t>
            </w:r>
          </w:p>
        </w:tc>
        <w:tc>
          <w:tcPr>
            <w:tcW w:w="1367"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域名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5,343,438.59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6,310,603.43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5,727,700.00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17,927,700.00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35,309,442.02</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4,250,553.05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5,343,438.59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10,561,156.48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5,727,700.00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17,927,700.00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39,559,995.07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2,259,926.59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4,393,090.19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1,800,685.00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7,484,784.90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15,938,486.68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963,649.84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1,394,460.91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1,145,540.00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3,585,539.96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7,089,190.71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3,223,576.43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5,787,551.10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2,946,225.00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11,070,324.86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23,027,677.39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2,119,862.16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4,773,605.38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2,781,475.00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6,857,375.14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16,532,317.68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3,083,512.00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1,917,513.24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3,927,015.00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10,442,915.10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19,370,955.34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未办妥产权证书的土地使用权情况" w:id="279"/>
      <w:bookmarkEnd w:id="27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1、开发支出" w:id="280"/>
      <w:bookmarkEnd w:id="280"/>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2、商誉" w:id="281"/>
      <w:bookmarkEnd w:id="281"/>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82"/>
      <w:bookmarkEnd w:id="28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非同一控制下企 业合并形成的商 誉</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苏州唐人数码科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692,270,420.31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692,270,420.31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深圳泡椒思志信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341,103,235.12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341,103,235.12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北京亚鸿世纪科 技发展有限公司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15,409,529.44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15,409,529.44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1,048,783,184.87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1,048,783,184.87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83"/>
      <w:bookmarkEnd w:id="28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苏州唐人数码科 技有限公司</w:t>
            </w:r>
          </w:p>
        </w:tc>
        <w:tc>
          <w:tcPr>
            <w:tcW w:w="1378" w:type="dxa"/>
            <w:tcBorders>
              <w:top w:val="single" w:sz="4" w:space="0" w:color="000000"/>
              <w:left w:val="single" w:sz="13" w:space="0" w:color="E0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111,303,600.41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311,323,600.41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深圳泡椒思志信 息技术有限公司</w:t>
            </w:r>
          </w:p>
        </w:tc>
        <w:tc>
          <w:tcPr>
            <w:tcW w:w="1378" w:type="dxa"/>
            <w:tcBorders>
              <w:top w:val="single" w:sz="4" w:space="0" w:color="000000"/>
              <w:left w:val="single" w:sz="13" w:space="0" w:color="E0FFFF"/>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62,768,121.89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62,768,121.89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174,071,722.30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374,091,722.30</w:t>
            </w:r>
          </w:p>
        </w:tc>
      </w:tr>
    </w:tbl>
    <w:p>
      <w:pPr>
        <w:pStyle w:val="BodyText"/>
        <w:spacing w:line="338" w:lineRule="auto" w:before="51"/>
        <w:ind w:right="0"/>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240" w:lineRule="auto" w:before="41"/>
        <w:ind w:left="634" w:right="0"/>
        <w:jc w:val="left"/>
      </w:pPr>
      <w:r>
        <w:rPr/>
        <w:t>公司对上述商誉分别进行了减值测试</w:t>
      </w:r>
      <w:r>
        <w:rPr>
          <w:rFonts w:ascii="Times New Roman" w:hAnsi="Times New Roman" w:cs="Times New Roman" w:eastAsia="Times New Roman" w:hint="default"/>
        </w:rPr>
        <w:t>,</w:t>
      </w:r>
      <w:r>
        <w:rPr/>
        <w:t>首先计算包含商誉的资产组或者资产组组合的账面价值，然后将这些相关资产组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ind w:right="1131"/>
        <w:jc w:val="both"/>
      </w:pPr>
      <w:r>
        <w:rPr>
          <w:spacing w:val="-2"/>
        </w:rPr>
        <w:t>或者资产组组合的账面价值与其可收回金额进行比较，如相关资产组或者资产组组合的可收回金额低于其账面价值的，就其</w:t>
      </w:r>
      <w:r>
        <w:rPr>
          <w:spacing w:val="-64"/>
        </w:rPr>
        <w:t> </w:t>
      </w:r>
      <w:r>
        <w:rPr>
          <w:spacing w:val="-64"/>
        </w:rPr>
      </w:r>
      <w:r>
        <w:rPr>
          <w:spacing w:val="-2"/>
        </w:rPr>
        <w:t>差额确认减值损失。在预测可收回金额时，公司采用收益法预测现金流量现值。根据上述资产组或者资产组组合的历史增长</w:t>
      </w:r>
      <w:r>
        <w:rPr>
          <w:spacing w:val="-66"/>
        </w:rPr>
        <w:t> </w:t>
      </w:r>
      <w:r>
        <w:rPr>
          <w:spacing w:val="-66"/>
        </w:rPr>
      </w:r>
      <w:r>
        <w:rPr>
          <w:spacing w:val="-2"/>
        </w:rPr>
        <w:t>率、行业增长率、公司历史经营经验、已签订的销售合同及经营计划与预算等，分别预计未来五年现金流量（第五年以后采</w:t>
      </w:r>
      <w:r>
        <w:rPr>
          <w:spacing w:val="-66"/>
        </w:rPr>
        <w:t> </w:t>
      </w:r>
      <w:r>
        <w:rPr>
          <w:spacing w:val="-66"/>
        </w:rPr>
      </w:r>
      <w:r>
        <w:rPr>
          <w:spacing w:val="-2"/>
        </w:rPr>
        <w:t>用稳定的现金流量），按照各资产组或者资产组组合的加权平均资本成本</w:t>
      </w:r>
      <w:r>
        <w:rPr>
          <w:rFonts w:ascii="Times New Roman" w:hAnsi="Times New Roman" w:cs="Times New Roman" w:eastAsia="Times New Roman" w:hint="default"/>
          <w:spacing w:val="-2"/>
        </w:rPr>
        <w:t>WACC</w:t>
      </w:r>
      <w:r>
        <w:rPr>
          <w:spacing w:val="-2"/>
        </w:rPr>
        <w:t>确定的折现率折现后，计算出上述子公司包</w:t>
      </w:r>
      <w:r>
        <w:rPr>
          <w:spacing w:val="-65"/>
        </w:rPr>
        <w:t> </w:t>
      </w:r>
      <w:r>
        <w:rPr>
          <w:spacing w:val="-65"/>
        </w:rPr>
      </w:r>
      <w:r>
        <w:rPr/>
        <w:t>含分摊的商誉的资产组组合的可收回金额。</w:t>
      </w:r>
    </w:p>
    <w:p>
      <w:pPr>
        <w:pStyle w:val="BodyText"/>
        <w:spacing w:line="307" w:lineRule="auto" w:before="20"/>
        <w:ind w:right="1130" w:firstLine="480"/>
        <w:jc w:val="both"/>
      </w:pPr>
      <w:r>
        <w:rPr>
          <w:spacing w:val="-1"/>
        </w:rPr>
        <w:t>公司根据深圳市鹏信资产评估土地房地产估价有限公司出具的《任子行网络技术股份有限公司以财务报告为目的所涉</w:t>
      </w:r>
      <w:r>
        <w:rPr/>
        <w:t> </w:t>
      </w:r>
      <w:r>
        <w:rPr>
          <w:spacing w:val="-4"/>
        </w:rPr>
        <w:t>及的唐人数码资产组资产评估报告》（鹏信资评报字</w:t>
      </w:r>
      <w:r>
        <w:rPr>
          <w:rFonts w:ascii="Times New Roman" w:hAnsi="Times New Roman" w:cs="Times New Roman" w:eastAsia="Times New Roman" w:hint="default"/>
          <w:spacing w:val="-4"/>
        </w:rPr>
        <w:t>[2019]</w:t>
      </w:r>
      <w:r>
        <w:rPr>
          <w:spacing w:val="-4"/>
        </w:rPr>
        <w:t>第</w:t>
      </w:r>
      <w:r>
        <w:rPr>
          <w:rFonts w:ascii="Times New Roman" w:hAnsi="Times New Roman" w:cs="Times New Roman" w:eastAsia="Times New Roman" w:hint="default"/>
          <w:spacing w:val="-4"/>
        </w:rPr>
        <w:t>S031</w:t>
      </w:r>
      <w:r>
        <w:rPr>
          <w:spacing w:val="-4"/>
        </w:rPr>
        <w:t>号）的评估结果，确定苏州唐人数码科技有限公司截止</w:t>
      </w:r>
      <w:r>
        <w:rPr>
          <w:rFonts w:ascii="Times New Roman" w:hAnsi="Times New Roman" w:cs="Times New Roman" w:eastAsia="Times New Roman" w:hint="default"/>
          <w:spacing w:val="-4"/>
        </w:rPr>
        <w:t>2018</w:t>
      </w:r>
      <w:r>
        <w:rPr>
          <w:rFonts w:ascii="Times New Roman" w:hAnsi="Times New Roman" w:cs="Times New Roman" w:eastAsia="Times New Roman" w:hint="default"/>
          <w:spacing w:val="-11"/>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日与商誉相关的资产组的账面价值为</w:t>
      </w:r>
      <w:r>
        <w:rPr>
          <w:rFonts w:ascii="Times New Roman" w:hAnsi="Times New Roman" w:cs="Times New Roman" w:eastAsia="Times New Roman" w:hint="default"/>
        </w:rPr>
        <w:t>3,053,180.10</w:t>
      </w:r>
      <w:r>
        <w:rPr/>
        <w:t>元、商誉资产组可收回金额为</w:t>
      </w:r>
      <w:r>
        <w:rPr>
          <w:rFonts w:ascii="Times New Roman" w:hAnsi="Times New Roman" w:cs="Times New Roman" w:eastAsia="Times New Roman" w:hint="default"/>
        </w:rPr>
        <w:t>384,000,000.00</w:t>
      </w:r>
      <w:r>
        <w:rPr/>
        <w:t>元，经测试对其商誉 本期计提减值</w:t>
      </w:r>
      <w:r>
        <w:rPr>
          <w:rFonts w:ascii="Times New Roman" w:hAnsi="Times New Roman" w:cs="Times New Roman" w:eastAsia="Times New Roman" w:hint="default"/>
        </w:rPr>
        <w:t>111,303,600.41</w:t>
      </w:r>
      <w:r>
        <w:rPr/>
        <w:t>元。</w:t>
      </w:r>
    </w:p>
    <w:p>
      <w:pPr>
        <w:pStyle w:val="BodyText"/>
        <w:spacing w:line="307" w:lineRule="auto" w:before="7"/>
        <w:ind w:right="1131" w:firstLine="480"/>
        <w:jc w:val="both"/>
      </w:pPr>
      <w:r>
        <w:rPr>
          <w:spacing w:val="-1"/>
        </w:rPr>
        <w:t>公司根据深圳市鹏信资产评估土地房地产估价有限公司出具的《任子行网络技术股份有限公司以财务报告为目的所涉</w:t>
      </w:r>
      <w:r>
        <w:rPr/>
        <w:t> </w:t>
      </w:r>
      <w:r>
        <w:rPr>
          <w:spacing w:val="-1"/>
        </w:rPr>
        <w:t>及的泡椒思志资产组资产评估报告》（鹏信资评报字</w:t>
      </w:r>
      <w:r>
        <w:rPr>
          <w:rFonts w:ascii="Times New Roman" w:hAnsi="Times New Roman" w:cs="Times New Roman" w:eastAsia="Times New Roman" w:hint="default"/>
          <w:spacing w:val="-1"/>
        </w:rPr>
        <w:t>[2019]</w:t>
      </w:r>
      <w:r>
        <w:rPr>
          <w:spacing w:val="-1"/>
        </w:rPr>
        <w:t>第</w:t>
      </w:r>
      <w:r>
        <w:rPr>
          <w:rFonts w:ascii="Times New Roman" w:hAnsi="Times New Roman" w:cs="Times New Roman" w:eastAsia="Times New Roman" w:hint="default"/>
          <w:spacing w:val="-1"/>
        </w:rPr>
        <w:t>S044</w:t>
      </w:r>
      <w:r>
        <w:rPr>
          <w:spacing w:val="-1"/>
        </w:rPr>
        <w:t>号）的评估结果，确定深圳泡椒思志信息技术有限公司截</w:t>
      </w:r>
      <w:r>
        <w:rPr>
          <w:spacing w:val="-66"/>
        </w:rPr>
        <w:t> </w:t>
      </w:r>
      <w:r>
        <w:rPr>
          <w:spacing w:val="-66"/>
        </w:rPr>
      </w:r>
      <w:r>
        <w:rPr>
          <w:spacing w:val="-2"/>
        </w:rPr>
        <w:t>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日与商誉相关的资产组的账面价值为</w:t>
      </w:r>
      <w:r>
        <w:rPr>
          <w:rFonts w:ascii="Times New Roman" w:hAnsi="Times New Roman" w:cs="Times New Roman" w:eastAsia="Times New Roman" w:hint="default"/>
          <w:spacing w:val="-2"/>
        </w:rPr>
        <w:t>17,664,886.77</w:t>
      </w:r>
      <w:r>
        <w:rPr>
          <w:spacing w:val="-2"/>
        </w:rPr>
        <w:t>元、商誉资产组可收回金额为</w:t>
      </w:r>
      <w:r>
        <w:rPr>
          <w:rFonts w:ascii="Times New Roman" w:hAnsi="Times New Roman" w:cs="Times New Roman" w:eastAsia="Times New Roman" w:hint="default"/>
          <w:spacing w:val="-2"/>
        </w:rPr>
        <w:t>296,000,000.00</w:t>
      </w:r>
      <w:r>
        <w:rPr>
          <w:spacing w:val="-2"/>
        </w:rPr>
        <w:t>元，经测试对</w:t>
      </w:r>
      <w:r>
        <w:rPr>
          <w:spacing w:val="-33"/>
        </w:rPr>
        <w:t> </w:t>
      </w:r>
      <w:r>
        <w:rPr>
          <w:spacing w:val="-33"/>
        </w:rPr>
      </w:r>
      <w:r>
        <w:rPr/>
        <w:t>其商誉本期计提减值</w:t>
      </w:r>
      <w:r>
        <w:rPr>
          <w:rFonts w:ascii="Times New Roman" w:hAnsi="Times New Roman" w:cs="Times New Roman" w:eastAsia="Times New Roman" w:hint="default"/>
        </w:rPr>
        <w:t>62,768,121.89</w:t>
      </w:r>
      <w:r>
        <w:rPr/>
        <w:t>元。</w:t>
      </w:r>
    </w:p>
    <w:p>
      <w:pPr>
        <w:pStyle w:val="BodyText"/>
        <w:spacing w:line="240" w:lineRule="auto" w:before="7"/>
        <w:ind w:left="634" w:right="0"/>
        <w:jc w:val="left"/>
      </w:pPr>
      <w:r>
        <w:rPr/>
        <w:t>商誉所在资产组或资产组组合的相关信息：</w:t>
      </w:r>
    </w:p>
    <w:p>
      <w:pPr>
        <w:pStyle w:val="BodyText"/>
        <w:spacing w:line="240" w:lineRule="auto" w:before="76"/>
        <w:ind w:left="5396" w:right="0"/>
        <w:jc w:val="left"/>
      </w:pPr>
      <w:r>
        <w:rPr/>
        <w:t>单位：元</w:t>
      </w:r>
      <w:r>
        <w:rPr>
          <w:spacing w:val="53"/>
        </w:rPr>
        <w:t> </w:t>
      </w:r>
      <w:r>
        <w:rPr/>
        <w:t>币种：人民币</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1666"/>
        <w:gridCol w:w="1214"/>
        <w:gridCol w:w="1512"/>
        <w:gridCol w:w="1136"/>
        <w:gridCol w:w="1880"/>
        <w:gridCol w:w="1081"/>
      </w:tblGrid>
      <w:tr>
        <w:trPr>
          <w:trHeight w:val="1278"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6" w:right="0"/>
              <w:jc w:val="left"/>
              <w:rPr>
                <w:rFonts w:ascii="宋体" w:hAnsi="宋体" w:cs="宋体" w:eastAsia="宋体" w:hint="default"/>
                <w:sz w:val="18"/>
                <w:szCs w:val="18"/>
              </w:rPr>
            </w:pPr>
            <w:r>
              <w:rPr>
                <w:rFonts w:ascii="宋体" w:hAnsi="宋体" w:cs="宋体" w:eastAsia="宋体" w:hint="default"/>
                <w:sz w:val="18"/>
                <w:szCs w:val="18"/>
              </w:rPr>
              <w:t>资产组名称</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构成</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90" w:right="0"/>
              <w:jc w:val="left"/>
              <w:rPr>
                <w:rFonts w:ascii="宋体" w:hAnsi="宋体" w:cs="宋体" w:eastAsia="宋体" w:hint="default"/>
                <w:sz w:val="18"/>
                <w:szCs w:val="18"/>
              </w:rPr>
            </w:pPr>
            <w:r>
              <w:rPr>
                <w:rFonts w:ascii="宋体" w:hAnsi="宋体" w:cs="宋体" w:eastAsia="宋体" w:hint="default"/>
                <w:sz w:val="18"/>
                <w:szCs w:val="18"/>
              </w:rPr>
              <w:t>账面金额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2" w:right="0"/>
              <w:jc w:val="left"/>
              <w:rPr>
                <w:rFonts w:ascii="宋体" w:hAnsi="宋体" w:cs="宋体" w:eastAsia="宋体" w:hint="default"/>
                <w:sz w:val="18"/>
                <w:szCs w:val="18"/>
              </w:rPr>
            </w:pPr>
            <w:r>
              <w:rPr>
                <w:rFonts w:ascii="宋体" w:hAnsi="宋体" w:cs="宋体" w:eastAsia="宋体" w:hint="default"/>
                <w:sz w:val="18"/>
                <w:szCs w:val="18"/>
              </w:rPr>
              <w:t>确定方法</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4" w:right="33"/>
              <w:jc w:val="center"/>
              <w:rPr>
                <w:rFonts w:ascii="宋体" w:hAnsi="宋体" w:cs="宋体" w:eastAsia="宋体" w:hint="default"/>
                <w:sz w:val="18"/>
                <w:szCs w:val="18"/>
              </w:rPr>
            </w:pPr>
            <w:r>
              <w:rPr>
                <w:rFonts w:ascii="宋体" w:hAnsi="宋体" w:cs="宋体" w:eastAsia="宋体" w:hint="default"/>
                <w:sz w:val="18"/>
                <w:szCs w:val="18"/>
              </w:rPr>
              <w:t>是否与购买日、以前年 度商誉减值测试时所确 定的资产组或资产组组 合一致</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6" w:right="83"/>
              <w:jc w:val="both"/>
              <w:rPr>
                <w:rFonts w:ascii="宋体" w:hAnsi="宋体" w:cs="宋体" w:eastAsia="宋体" w:hint="default"/>
                <w:sz w:val="18"/>
                <w:szCs w:val="18"/>
              </w:rPr>
            </w:pPr>
            <w:r>
              <w:rPr>
                <w:rFonts w:ascii="宋体" w:hAnsi="宋体" w:cs="宋体" w:eastAsia="宋体" w:hint="default"/>
                <w:sz w:val="18"/>
                <w:szCs w:val="18"/>
              </w:rPr>
              <w:t>构成发生变 化的主要事 实与依据</w:t>
            </w:r>
          </w:p>
        </w:tc>
      </w:tr>
      <w:tr>
        <w:trPr>
          <w:trHeight w:val="65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4"/>
              <w:jc w:val="left"/>
              <w:rPr>
                <w:rFonts w:ascii="宋体" w:hAnsi="宋体" w:cs="宋体" w:eastAsia="宋体" w:hint="default"/>
                <w:sz w:val="18"/>
                <w:szCs w:val="18"/>
              </w:rPr>
            </w:pPr>
            <w:r>
              <w:rPr>
                <w:rFonts w:ascii="宋体" w:hAnsi="宋体" w:cs="宋体" w:eastAsia="宋体" w:hint="default"/>
                <w:spacing w:val="2"/>
                <w:sz w:val="18"/>
                <w:szCs w:val="18"/>
              </w:rPr>
              <w:t>苏州唐人数码科技有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7"/>
              <w:jc w:val="left"/>
              <w:rPr>
                <w:rFonts w:ascii="宋体" w:hAnsi="宋体" w:cs="宋体" w:eastAsia="宋体" w:hint="default"/>
                <w:sz w:val="18"/>
                <w:szCs w:val="18"/>
              </w:rPr>
            </w:pPr>
            <w:r>
              <w:rPr>
                <w:rFonts w:ascii="宋体" w:hAnsi="宋体" w:cs="宋体" w:eastAsia="宋体" w:hint="default"/>
                <w:spacing w:val="18"/>
                <w:sz w:val="18"/>
                <w:szCs w:val="18"/>
              </w:rPr>
              <w:t>经营性资产与</w:t>
            </w:r>
            <w:r>
              <w:rPr>
                <w:rFonts w:ascii="宋体" w:hAnsi="宋体" w:cs="宋体" w:eastAsia="宋体" w:hint="default"/>
                <w:spacing w:val="-68"/>
                <w:sz w:val="18"/>
                <w:szCs w:val="18"/>
              </w:rPr>
              <w:t> </w:t>
            </w:r>
            <w:r>
              <w:rPr>
                <w:rFonts w:ascii="宋体" w:hAnsi="宋体" w:cs="宋体" w:eastAsia="宋体" w:hint="default"/>
                <w:sz w:val="18"/>
                <w:szCs w:val="18"/>
              </w:rPr>
              <w:t>负债</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3,053,180.10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
              <w:jc w:val="left"/>
              <w:rPr>
                <w:rFonts w:ascii="宋体" w:hAnsi="宋体" w:cs="宋体" w:eastAsia="宋体" w:hint="default"/>
                <w:sz w:val="18"/>
                <w:szCs w:val="18"/>
              </w:rPr>
            </w:pPr>
            <w:r>
              <w:rPr>
                <w:rFonts w:ascii="宋体" w:hAnsi="宋体" w:cs="宋体" w:eastAsia="宋体" w:hint="default"/>
                <w:spacing w:val="7"/>
                <w:sz w:val="18"/>
                <w:szCs w:val="18"/>
              </w:rPr>
              <w:t>能够独立产生 </w:t>
            </w:r>
            <w:r>
              <w:rPr>
                <w:rFonts w:ascii="宋体" w:hAnsi="宋体" w:cs="宋体" w:eastAsia="宋体" w:hint="default"/>
                <w:sz w:val="18"/>
                <w:szCs w:val="18"/>
              </w:rPr>
              <w:t>现金流</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81"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4"/>
              <w:jc w:val="left"/>
              <w:rPr>
                <w:rFonts w:ascii="宋体" w:hAnsi="宋体" w:cs="宋体" w:eastAsia="宋体" w:hint="default"/>
                <w:sz w:val="18"/>
                <w:szCs w:val="18"/>
              </w:rPr>
            </w:pPr>
            <w:r>
              <w:rPr>
                <w:rFonts w:ascii="宋体" w:hAnsi="宋体" w:cs="宋体" w:eastAsia="宋体" w:hint="default"/>
                <w:spacing w:val="2"/>
                <w:sz w:val="18"/>
                <w:szCs w:val="18"/>
              </w:rPr>
              <w:t>深圳泡椒思志信息技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术有限公司</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17"/>
              <w:jc w:val="left"/>
              <w:rPr>
                <w:rFonts w:ascii="宋体" w:hAnsi="宋体" w:cs="宋体" w:eastAsia="宋体" w:hint="default"/>
                <w:sz w:val="18"/>
                <w:szCs w:val="18"/>
              </w:rPr>
            </w:pPr>
            <w:r>
              <w:rPr>
                <w:rFonts w:ascii="宋体" w:hAnsi="宋体" w:cs="宋体" w:eastAsia="宋体" w:hint="default"/>
                <w:spacing w:val="18"/>
                <w:sz w:val="18"/>
                <w:szCs w:val="18"/>
              </w:rPr>
              <w:t>经营性资产与</w:t>
            </w:r>
            <w:r>
              <w:rPr>
                <w:rFonts w:ascii="宋体" w:hAnsi="宋体" w:cs="宋体" w:eastAsia="宋体" w:hint="default"/>
                <w:spacing w:val="-68"/>
                <w:sz w:val="18"/>
                <w:szCs w:val="18"/>
              </w:rPr>
              <w:t> </w:t>
            </w:r>
            <w:r>
              <w:rPr>
                <w:rFonts w:ascii="宋体" w:hAnsi="宋体" w:cs="宋体" w:eastAsia="宋体" w:hint="default"/>
                <w:sz w:val="18"/>
                <w:szCs w:val="18"/>
              </w:rPr>
              <w:t>负债</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17,664,886.77</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2"/>
              <w:jc w:val="left"/>
              <w:rPr>
                <w:rFonts w:ascii="宋体" w:hAnsi="宋体" w:cs="宋体" w:eastAsia="宋体" w:hint="default"/>
                <w:sz w:val="18"/>
                <w:szCs w:val="18"/>
              </w:rPr>
            </w:pPr>
            <w:r>
              <w:rPr>
                <w:rFonts w:ascii="宋体" w:hAnsi="宋体" w:cs="宋体" w:eastAsia="宋体" w:hint="default"/>
                <w:spacing w:val="7"/>
                <w:sz w:val="18"/>
                <w:szCs w:val="18"/>
              </w:rPr>
              <w:t>能够独立产生 </w:t>
            </w:r>
            <w:r>
              <w:rPr>
                <w:rFonts w:ascii="宋体" w:hAnsi="宋体" w:cs="宋体" w:eastAsia="宋体" w:hint="default"/>
                <w:sz w:val="18"/>
                <w:szCs w:val="18"/>
              </w:rPr>
              <w:t>现金流</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08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10"/>
        <w:ind w:left="634" w:right="0"/>
        <w:jc w:val="left"/>
      </w:pPr>
      <w:r>
        <w:rPr/>
        <w:t>预测可收回金额时使用的折现率如下：</w:t>
      </w:r>
    </w:p>
    <w:p>
      <w:pPr>
        <w:spacing w:line="240" w:lineRule="auto" w:before="0"/>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2825"/>
        <w:gridCol w:w="2763"/>
        <w:gridCol w:w="2871"/>
      </w:tblGrid>
      <w:tr>
        <w:trPr>
          <w:trHeight w:val="342"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苏州唐人数码科技有限公司</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深圳泡椒思志信息技术有限公司</w:t>
            </w:r>
          </w:p>
        </w:tc>
      </w:tr>
      <w:tr>
        <w:trPr>
          <w:trHeight w:val="343" w:hRule="exact"/>
        </w:trPr>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4" w:right="0"/>
              <w:jc w:val="left"/>
              <w:rPr>
                <w:rFonts w:ascii="宋体" w:hAnsi="宋体" w:cs="宋体" w:eastAsia="宋体" w:hint="default"/>
                <w:sz w:val="18"/>
                <w:szCs w:val="18"/>
              </w:rPr>
            </w:pPr>
            <w:r>
              <w:rPr>
                <w:rFonts w:ascii="宋体" w:hAnsi="宋体" w:cs="宋体" w:eastAsia="宋体" w:hint="default"/>
                <w:sz w:val="18"/>
                <w:szCs w:val="18"/>
              </w:rPr>
              <w:t>税前折现率</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14.90%</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17.84%</w:t>
            </w:r>
          </w:p>
        </w:tc>
      </w:tr>
    </w:tbl>
    <w:p>
      <w:pPr>
        <w:pStyle w:val="BodyText"/>
        <w:spacing w:line="360" w:lineRule="auto" w:before="10"/>
        <w:ind w:right="3252" w:firstLine="480"/>
        <w:jc w:val="left"/>
      </w:pPr>
      <w:r>
        <w:rPr/>
        <w:t>公司对北京亚鸿世纪科技发展有限公司资产组的商誉进行测试后，于本期末未发生减值。 商誉减值测试的影响</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3、长期待摊费用" w:id="284"/>
      <w:bookmarkEnd w:id="28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2,341,137.96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1,757,190.18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1,004,194.07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3,094,134.07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独代版权金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1,090,146.72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9,586,973.63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1,247,379.80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838,574.40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8,591,166.15</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租赁物业费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563,957.08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1,491,411.44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1,418,927.03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636,441.49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3,995,241.76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12,835,575.25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3,670,500.90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838,574.40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12,321,741.71</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4、递延所得税资产/递延所得税负债" w:id="285"/>
      <w:bookmarkEnd w:id="285"/>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86"/>
      <w:bookmarkEnd w:id="28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301,877,234.41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31,285,929.34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268,311,964.57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27,132,993.49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与资产相关的递延收益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39,303,666.71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3,948,950.01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35,413,666.67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3,512,650.00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21,092,400.00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2,228,250.00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362,273,301.12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37,463,129.35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303,725,631.24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30,645,643.49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87"/>
      <w:bookmarkEnd w:id="28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10,695,770.14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1,604,365.51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16,107,590.07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2,416,138.51</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10,695,770.14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1,604,365.51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16,107,590.07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2,416,138.51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288"/>
      <w:bookmarkEnd w:id="28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01"/>
        <w:gridCol w:w="1928"/>
        <w:gridCol w:w="1914"/>
        <w:gridCol w:w="1914"/>
        <w:gridCol w:w="1914"/>
      </w:tblGrid>
      <w:tr>
        <w:trPr>
          <w:trHeight w:val="161"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25"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37,463,129.35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30,645,643.48</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1,604,365.51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2,416,138.51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289"/>
      <w:bookmarkEnd w:id="28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未确认递延所得税资产的可抵扣亏损将于以下年度到期" w:id="290"/>
      <w:bookmarkEnd w:id="29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5、其他非流动资产" w:id="291"/>
      <w:bookmarkEnd w:id="291"/>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6、短期借款" w:id="292"/>
      <w:bookmarkEnd w:id="292"/>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93"/>
      <w:bookmarkEnd w:id="29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175,000,000.00</w:t>
            </w:r>
          </w:p>
        </w:tc>
      </w:tr>
    </w:tbl>
    <w:p>
      <w:pPr>
        <w:pStyle w:val="BodyText"/>
        <w:spacing w:line="240" w:lineRule="auto" w:before="51"/>
        <w:ind w:right="0"/>
        <w:jc w:val="left"/>
      </w:pPr>
      <w:r>
        <w:rPr/>
        <w:t>短期借款分类的说明：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已逾期未偿还的短期借款情况" w:id="294"/>
      <w:bookmarkEnd w:id="29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本期末已逾期未偿还的短期借款总额为元，其中重要的已逾期未偿还的短期借款情况如下：</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7、以公允价值计量且其变动计入当期损益的金融负债" w:id="295"/>
      <w:bookmarkEnd w:id="295"/>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8、衍生金融负债" w:id="296"/>
      <w:bookmarkEnd w:id="296"/>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9、应付票据及应付账款" w:id="297"/>
      <w:bookmarkEnd w:id="297"/>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8,319,053.00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10,465,470.00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266,187,000.19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240,189,710.67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274,506,053.19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250,655,180.67</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应付票据分类列示" w:id="298"/>
      <w:bookmarkEnd w:id="298"/>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8,319,053.00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10,465,470.00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8,319,053.00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10,465,470.00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应付账款列示" w:id="299"/>
      <w:bookmarkEnd w:id="299"/>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货款及游戏信息服务费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266,187,000.19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240,189,710.67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266,187,000.19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240,189,710.67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账龄超过1年的重要应付账款" w:id="300"/>
      <w:bookmarkEnd w:id="300"/>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南京中新赛克软件有限责任公司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13,941,808.00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上海欣方智能系统有限公司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7,791,709.40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安徽新华博信息技术股份有限公司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5,912,022.88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锐捷网络股份有限公司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3,538,139.31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北京思普崚技术有限公司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2,782,551.11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河北创基电子科技有限公司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2,636,159.90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深圳云盈网络科技有限公司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2,287,840.31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哈尔滨诺龙科技发展有限公司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2,116,006.83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曙光信息产业（北京）有限公司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2,039,910.80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北京上元信安技术有限公司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1,956,114.17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烽火通信科技股份有限公司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成都科众达科技有限公司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1,623,931.62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中国电信股份有限公司常德鼎城区局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1,497,813.16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49,944,007.49</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0、预收款项" w:id="301"/>
      <w:bookmarkEnd w:id="301"/>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302"/>
      <w:bookmarkEnd w:id="30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164,479,215.91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202,206,394.37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164,479,215.91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202,206,394.37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303"/>
      <w:bookmarkEnd w:id="303"/>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广东中电富嘉工贸有限公司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48,585,848.00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芜湖市公安局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3,647,371.42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广州光天信息科技有限公司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2,670,985.00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大同市公安局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中国联合网络通信有限公司内蒙古自治 区分公司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1,935,024.51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中国科学院信息工程研究所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韶关市公安局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泸州市公安局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979,309.80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广东省广播电视网络股份有限公司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977,474.00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东莞市天鑫网络科技开发有限公司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922,941.97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山西寰烁电子科技股份有限公司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云南省公安厅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887,500.00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3"/>
              <w:jc w:val="left"/>
              <w:rPr>
                <w:rFonts w:ascii="宋体" w:hAnsi="宋体" w:cs="宋体" w:eastAsia="宋体" w:hint="default"/>
                <w:sz w:val="18"/>
                <w:szCs w:val="18"/>
              </w:rPr>
            </w:pPr>
            <w:r>
              <w:rPr>
                <w:rFonts w:ascii="宋体" w:hAnsi="宋体" w:cs="宋体" w:eastAsia="宋体" w:hint="default"/>
                <w:sz w:val="18"/>
                <w:szCs w:val="18"/>
              </w:rPr>
              <w:t>中国联合网络通信有限公司广州市分公 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844,767.10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武汉思云科技发展有限公司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辽宁省通信管理局</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938 </w:t>
            </w:r>
            <w:r>
              <w:rPr>
                <w:rFonts w:ascii="宋体" w:hAnsi="宋体" w:cs="宋体" w:eastAsia="宋体" w:hint="default"/>
                <w:sz w:val="18"/>
                <w:szCs w:val="18"/>
              </w:rPr>
              <w:t>单位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项目未完成</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69,502,621.80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建造合同形成的已结算未完工项目情况" w:id="304"/>
      <w:bookmarkEnd w:id="30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1、应付职工薪酬" w:id="305"/>
      <w:bookmarkEnd w:id="305"/>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06"/>
      <w:bookmarkEnd w:id="306"/>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6"/>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55,224,198.67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278,443,251.77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273,323,541.83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60,343,908.61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16,372,292.34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16,372,292.34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915,805.61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915,805.61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9" w:right="0"/>
              <w:jc w:val="left"/>
              <w:rPr>
                <w:rFonts w:ascii="Times New Roman" w:hAnsi="Times New Roman" w:cs="Times New Roman" w:eastAsia="Times New Roman" w:hint="default"/>
                <w:sz w:val="18"/>
                <w:szCs w:val="18"/>
              </w:rPr>
            </w:pPr>
            <w:r>
              <w:rPr>
                <w:rFonts w:ascii="Times New Roman"/>
                <w:sz w:val="18"/>
              </w:rPr>
              <w:t>55,224,198.67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295,731,349.72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290,611,639.78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60,343,908.61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07"/>
      <w:bookmarkEnd w:id="307"/>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55,224,198.67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254,300,177.10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249,180,467.16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60,343,908.61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6,025,936.97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6,025,936.97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7,050,427.68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7,050,427.68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6,311,258.09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6,311,258.09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266,917.04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266,917.04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472,252.55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472,252.55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9,575,750.25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9,575,750.25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1,483,544.04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1,483,544.04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非货币福利</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6,509.00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906.73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55,224,198.67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278,443,251.77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273,323,541.83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60,343,908.61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308"/>
      <w:bookmarkEnd w:id="308"/>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15,886,687.45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15,886,687.45</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485,604.89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485,604.89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16,372,292.34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16,372,292.34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2、应交税费" w:id="309"/>
      <w:bookmarkEnd w:id="309"/>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25,573,325.83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14,389,737.79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36,067,649.15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23,594,542.83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639,788.00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931,784.81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717,141.58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567,550.80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521,350.25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419,488.57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-17,536.56</w:t>
            </w:r>
            <w:r>
              <w:rPr>
                <w:rFonts w:ascii="Times New Roman"/>
                <w:sz w:val="18"/>
              </w:rPr>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116,255.03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46,513.12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79,987.75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16,393.62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21,456.02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63,564,624.99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40,120,803.60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3、其他应付款" w:id="310"/>
      <w:bookmarkEnd w:id="310"/>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260,032.98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20,193.35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16,952,590.93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58,784,455.22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17,212,623.91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58,804,648.57</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311"/>
      <w:bookmarkEnd w:id="311"/>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重要的已逾期未支付的利息情况：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付股利" w:id="312"/>
      <w:bookmarkEnd w:id="312"/>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260,032.98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20,193.35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260,032.98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20,193.35</w:t>
            </w:r>
          </w:p>
        </w:tc>
      </w:tr>
    </w:tbl>
    <w:p>
      <w:pPr>
        <w:pStyle w:val="BodyText"/>
        <w:spacing w:line="240" w:lineRule="auto" w:before="51"/>
        <w:ind w:right="0"/>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其他应付款" w:id="313"/>
      <w:bookmarkEnd w:id="313"/>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1)</w:t>
      </w:r>
      <w:r>
        <w:rPr/>
        <w:t>按款项性质列示其他应付款</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应付被并购方股东款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14,232,969.13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4,160,330.14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应付员工款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1,840,574.08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押金等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2,719,621.80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2,783,551.00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16,952,590.93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58,784,455.22</w:t>
            </w:r>
          </w:p>
        </w:tc>
      </w:tr>
    </w:tbl>
    <w:p>
      <w:pPr>
        <w:pStyle w:val="BodyText"/>
        <w:spacing w:line="240" w:lineRule="auto" w:before="51"/>
        <w:ind w:right="0"/>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4、持有待售负债" w:id="314"/>
      <w:bookmarkEnd w:id="314"/>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5、一年内到期的非流动负债" w:id="315"/>
      <w:bookmarkEnd w:id="315"/>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28,123,700.00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28,123,700.00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6、其他流动负债" w:id="316"/>
      <w:bookmarkEnd w:id="316"/>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尚未消耗的游戏充值款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4,636,460.99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5,169,662.59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4,636,460.99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5,169,662.59</w:t>
            </w:r>
          </w:p>
        </w:tc>
      </w:tr>
    </w:tbl>
    <w:p>
      <w:pPr>
        <w:pStyle w:val="BodyText"/>
        <w:spacing w:line="240" w:lineRule="auto" w:before="51"/>
        <w:ind w:right="0"/>
        <w:jc w:val="left"/>
      </w:pPr>
      <w:r>
        <w:rPr/>
        <w:t>短期应付债券的增减变动：</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7、长期借款" w:id="317"/>
      <w:bookmarkEnd w:id="317"/>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18"/>
      <w:bookmarkEnd w:id="31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8" w:lineRule="auto" w:before="51"/>
        <w:ind w:right="4392"/>
        <w:jc w:val="left"/>
      </w:pPr>
      <w:r>
        <w:rPr/>
        <w:t>长期借款分类的说明： 公司向银行提供子公司北京亚鸿世纪科技发展有限公司</w:t>
      </w:r>
      <w:r>
        <w:rPr>
          <w:rFonts w:ascii="Times New Roman" w:hAnsi="Times New Roman" w:cs="Times New Roman" w:eastAsia="Times New Roman" w:hint="default"/>
        </w:rPr>
        <w:t>100%</w:t>
      </w:r>
      <w:r>
        <w:rPr/>
        <w:t>股权作为质押担保。 其他说明，包括利率区间：</w:t>
      </w:r>
    </w:p>
    <w:p>
      <w:pPr>
        <w:spacing w:line="240" w:lineRule="auto" w:before="8"/>
        <w:rPr>
          <w:rFonts w:ascii="宋体" w:hAnsi="宋体" w:cs="宋体" w:eastAsia="宋体" w:hint="default"/>
          <w:sz w:val="20"/>
          <w:szCs w:val="20"/>
        </w:rPr>
      </w:pPr>
    </w:p>
    <w:p>
      <w:pPr>
        <w:pStyle w:val="Heading4"/>
        <w:spacing w:line="240" w:lineRule="auto"/>
        <w:ind w:right="0"/>
        <w:jc w:val="left"/>
        <w:rPr>
          <w:b w:val="0"/>
          <w:bCs w:val="0"/>
        </w:rPr>
      </w:pPr>
      <w:bookmarkStart w:name="38、应付债券" w:id="319"/>
      <w:bookmarkEnd w:id="319"/>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债券" w:id="320"/>
      <w:bookmarkEnd w:id="320"/>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应付债券的增减变动（不包括划分为金融负债的优先股、永续债等其他金融工具）" w:id="321"/>
      <w:bookmarkEnd w:id="321"/>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3）可转换公司债券的转股条件、转股时间说明" w:id="322"/>
      <w:bookmarkEnd w:id="322"/>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23"/>
      <w:bookmarkEnd w:id="323"/>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9、长期应付款" w:id="324"/>
      <w:bookmarkEnd w:id="324"/>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154,492,271.46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178,744,000.00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154,492,271.46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178,744,000.00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按款项性质列示长期应付款" w:id="325"/>
      <w:bookmarkEnd w:id="325"/>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应付被收购方股东款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126,368,571.46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178,744,000.00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28,123,700.00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154,492,271.46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178,744,000.00</w:t>
            </w:r>
          </w:p>
        </w:tc>
      </w:tr>
    </w:tbl>
    <w:p>
      <w:pPr>
        <w:pStyle w:val="BodyText"/>
        <w:spacing w:line="240" w:lineRule="auto" w:before="51"/>
        <w:ind w:right="0"/>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专项应付款" w:id="326"/>
      <w:bookmarkEnd w:id="326"/>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0、长期应付职工薪酬" w:id="327"/>
      <w:bookmarkEnd w:id="327"/>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28"/>
      <w:bookmarkEnd w:id="328"/>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设定受益计划变动情况" w:id="329"/>
      <w:bookmarkEnd w:id="329"/>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1、预计负债" w:id="330"/>
      <w:bookmarkEnd w:id="330"/>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0"/>
        <w:jc w:val="left"/>
      </w:pPr>
      <w:r>
        <w:rPr/>
        <w:t>其他说明，包括重要预计负债的相关重要假设、估计说明：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2、递延收益" w:id="331"/>
      <w:bookmarkEnd w:id="331"/>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35,413,666.67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10,109,999.96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39,303,666.71</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35,413,666.67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10,109,999.96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39,303,666.71</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互联网视音 频节目信息 识别技术及 监管平台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工程研发中 心提升项目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互联网内容 安全工程实 验室</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移动互联网 应用审计平 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互联网舆情 综合管理系 统项目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互联网数据 中心研发项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移动互联网 应用审计与 综合数据处 理平台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1,800,000.00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2"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面向下一代 信息网络的 </w:t>
            </w:r>
            <w:r>
              <w:rPr>
                <w:rFonts w:ascii="Times New Roman" w:hAnsi="Times New Roman" w:cs="Times New Roman" w:eastAsia="Times New Roman" w:hint="default"/>
                <w:sz w:val="18"/>
                <w:szCs w:val="18"/>
              </w:rPr>
              <w:t>IDC/ISP/ICP</w:t>
            </w:r>
          </w:p>
          <w:p>
            <w:pPr>
              <w:pStyle w:val="TableParagraph"/>
              <w:spacing w:line="219" w:lineRule="exact"/>
              <w:ind w:left="22" w:right="0"/>
              <w:jc w:val="both"/>
              <w:rPr>
                <w:rFonts w:ascii="宋体" w:hAnsi="宋体" w:cs="宋体" w:eastAsia="宋体" w:hint="default"/>
                <w:sz w:val="18"/>
                <w:szCs w:val="18"/>
              </w:rPr>
            </w:pPr>
            <w:r>
              <w:rPr>
                <w:rFonts w:ascii="宋体" w:hAnsi="宋体" w:cs="宋体" w:eastAsia="宋体" w:hint="default"/>
                <w:sz w:val="18"/>
                <w:szCs w:val="18"/>
              </w:rPr>
              <w:t>综合管理平</w:t>
            </w:r>
          </w:p>
          <w:p>
            <w:pPr>
              <w:pStyle w:val="TableParagraph"/>
              <w:spacing w:line="240" w:lineRule="auto" w:before="77"/>
              <w:ind w:left="22" w:right="0"/>
              <w:jc w:val="both"/>
              <w:rPr>
                <w:rFonts w:ascii="宋体" w:hAnsi="宋体" w:cs="宋体" w:eastAsia="宋体" w:hint="default"/>
                <w:sz w:val="18"/>
                <w:szCs w:val="18"/>
              </w:rPr>
            </w:pPr>
            <w:r>
              <w:rPr>
                <w:rFonts w:ascii="宋体" w:hAnsi="宋体" w:cs="宋体" w:eastAsia="宋体" w:hint="default"/>
                <w:sz w:val="18"/>
                <w:szCs w:val="18"/>
              </w:rPr>
              <w:t>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三网融合多 媒体舆情分 析平台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5,138,000.00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2,936,000.00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网络多媒体 舆情分析与 处理工程技 术中心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面向电信运 营商的信息 安全综合管 理平台应用 示范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互联网信息 安全工程技 术研究开发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深圳互联网 内容安全工 程实验室提 升</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移动互联网 应用安全监 管系统关键 技术研究</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1,700,000.00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基于云计算 的互联网隐 私保护关键 技术研究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86" w:right="0"/>
              <w:jc w:val="left"/>
              <w:rPr>
                <w:rFonts w:ascii="Times New Roman" w:hAnsi="Times New Roman" w:cs="Times New Roman" w:eastAsia="Times New Roman" w:hint="default"/>
                <w:sz w:val="18"/>
                <w:szCs w:val="18"/>
              </w:rPr>
            </w:pPr>
            <w:r>
              <w:rPr>
                <w:rFonts w:ascii="Times New Roman"/>
                <w:sz w:val="18"/>
              </w:rPr>
              <w:t>2,000,000.00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29"/>
              <w:jc w:val="left"/>
              <w:rPr>
                <w:rFonts w:ascii="宋体" w:hAnsi="宋体" w:cs="宋体" w:eastAsia="宋体" w:hint="default"/>
                <w:sz w:val="18"/>
                <w:szCs w:val="18"/>
              </w:rPr>
            </w:pPr>
            <w:r>
              <w:rPr>
                <w:rFonts w:ascii="宋体" w:hAnsi="宋体" w:cs="宋体" w:eastAsia="宋体" w:hint="default"/>
                <w:sz w:val="18"/>
                <w:szCs w:val="18"/>
              </w:rPr>
              <w:t>网络空间治 理技术国家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地方联合工 程研究中心</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基于云服务 新一代网吧 综合业务平 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259,000.00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84,000.00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泡椒游戏中 心</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99,999.96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66,666.71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48"/>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泡椒网手机 游戏平台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35,413,666.6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10,109,999.9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39,303,666.7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3、其他非流动负债" w:id="332"/>
      <w:bookmarkEnd w:id="332"/>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4、股本" w:id="333"/>
      <w:bookmarkEnd w:id="333"/>
      <w:r>
        <w:rPr>
          <w:b w:val="0"/>
          <w:bCs w:val="0"/>
        </w:rPr>
      </w:r>
      <w:r>
        <w:rPr>
          <w:rFonts w:ascii="Times New Roman" w:hAnsi="Times New Roman" w:cs="Times New Roman" w:eastAsia="Times New Roman" w:hint="default"/>
        </w:rPr>
        <w:t>44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1208"/>
        <w:gridCol w:w="1184"/>
        <w:gridCol w:w="1197"/>
        <w:gridCol w:w="1195"/>
        <w:gridCol w:w="1197"/>
        <w:gridCol w:w="1184"/>
        <w:gridCol w:w="1207"/>
      </w:tblGrid>
      <w:tr>
        <w:trPr>
          <w:trHeight w:val="206" w:hRule="exact"/>
        </w:trPr>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1"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447,930,709.00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223,965,333.00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8,140,000.00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232,105,333.00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680,036,042.00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5、其他权益工具" w:id="334"/>
      <w:bookmarkEnd w:id="334"/>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期末发行在外的优先股、永续债等其他金融工具基本情况" w:id="335"/>
      <w:bookmarkEnd w:id="335"/>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期末发行在外的优先股、永续债等金融工具变动情况表" w:id="336"/>
      <w:bookmarkEnd w:id="336"/>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2"/>
        <w:jc w:val="left"/>
      </w:pPr>
      <w:r>
        <w:rPr/>
        <w:t>其他权益工具本期增减变动情况、变动原因说明，以及相关会计处理的依据：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6、资本公积" w:id="337"/>
      <w:bookmarkEnd w:id="337"/>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337,041,373.09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48,107,400.00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226,086,776.98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159,061,996.11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21,092,400.00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21,092,400.00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337,041,373.09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69,199,800.00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226,086,776.98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180,154,396.11</w:t>
            </w:r>
          </w:p>
        </w:tc>
      </w:tr>
    </w:tbl>
    <w:p>
      <w:pPr>
        <w:pStyle w:val="BodyText"/>
        <w:spacing w:line="240" w:lineRule="auto" w:before="51"/>
        <w:ind w:right="0"/>
        <w:jc w:val="left"/>
      </w:pPr>
      <w:r>
        <w:rPr/>
        <w:t>其他说明，包括本期增减变动情况、变动原因说明：</w:t>
      </w:r>
    </w:p>
    <w:p>
      <w:pPr>
        <w:pStyle w:val="BodyText"/>
        <w:spacing w:line="300" w:lineRule="auto" w:before="115"/>
        <w:ind w:left="634" w:right="1122"/>
        <w:jc w:val="left"/>
      </w:pPr>
      <w:r>
        <w:rPr/>
        <w:t>本期股权激励授予员工限制性股票增加资本公积（股本溢价）</w:t>
      </w:r>
      <w:r>
        <w:rPr>
          <w:rFonts w:ascii="Times New Roman" w:hAnsi="Times New Roman" w:cs="Times New Roman" w:eastAsia="Times New Roman" w:hint="default"/>
        </w:rPr>
        <w:t>48,107,400.00</w:t>
      </w:r>
      <w:r>
        <w:rPr/>
        <w:t>元。 本期股份支付增加其他资本公积</w:t>
      </w:r>
      <w:r>
        <w:rPr>
          <w:rFonts w:ascii="Times New Roman" w:hAnsi="Times New Roman" w:cs="Times New Roman" w:eastAsia="Times New Roman" w:hint="default"/>
        </w:rPr>
        <w:t>21,092,400.00</w:t>
      </w:r>
      <w:r>
        <w:rPr/>
        <w:t>元。 本期收购子公司广州数沃信息科技有限公司</w:t>
      </w:r>
      <w:r>
        <w:rPr>
          <w:rFonts w:ascii="Times New Roman" w:hAnsi="Times New Roman" w:cs="Times New Roman" w:eastAsia="Times New Roman" w:hint="default"/>
        </w:rPr>
        <w:t>40%</w:t>
      </w:r>
      <w:r>
        <w:rPr/>
        <w:t>少数股权，收购对价与广州数沃信息科技有限公司自购买日持续计算</w:t>
      </w:r>
    </w:p>
    <w:p>
      <w:pPr>
        <w:pStyle w:val="BodyText"/>
        <w:spacing w:line="240" w:lineRule="auto" w:before="13"/>
        <w:ind w:right="0"/>
        <w:jc w:val="left"/>
      </w:pPr>
      <w:r>
        <w:rPr/>
        <w:t>的可辨认净资产公允价值的差额</w:t>
      </w:r>
      <w:r>
        <w:rPr>
          <w:rFonts w:ascii="Times New Roman" w:hAnsi="Times New Roman" w:cs="Times New Roman" w:eastAsia="Times New Roman" w:hint="default"/>
        </w:rPr>
        <w:t>2,121,443.98</w:t>
      </w:r>
      <w:r>
        <w:rPr/>
        <w:t>元，冲减资本公积（股本溢价）。</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7、库存股" w:id="338"/>
      <w:bookmarkEnd w:id="338"/>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56,247,400.00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56,247,400.00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56,247,400.00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56,247,400.00</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8、其他综合收益" w:id="339"/>
      <w:bookmarkEnd w:id="339"/>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8"/>
      </w:tblGrid>
      <w:tr>
        <w:trPr>
          <w:trHeight w:val="402" w:hRule="exact"/>
        </w:trPr>
        <w:tc>
          <w:tcPr>
            <w:tcW w:w="28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其他说明，包括对现金流量套期损益的有效部分转为被套期项目初始确认金额调整：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9、专项储备" w:id="340"/>
      <w:bookmarkEnd w:id="340"/>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0"/>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0、盈余公积" w:id="341"/>
      <w:bookmarkEnd w:id="341"/>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42,340,443.15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6,763,900.77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49,104,343.92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42,340,443.15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6,763,900.77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49,104,343.92</w:t>
            </w:r>
          </w:p>
        </w:tc>
      </w:tr>
    </w:tbl>
    <w:p>
      <w:pPr>
        <w:pStyle w:val="BodyText"/>
        <w:spacing w:line="240" w:lineRule="auto" w:before="51"/>
        <w:ind w:right="0"/>
        <w:jc w:val="left"/>
      </w:pPr>
      <w:r>
        <w:rPr/>
        <w:t>盈余公积说明，包括本期增减变动情况、变动原因说明：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1、未分配利润" w:id="342"/>
      <w:bookmarkEnd w:id="342"/>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396,598,647.02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276,680,377.96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396,598,647.02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276,680,377.96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139,165,421.00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149,268,092.48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6,763,900.77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6,933,464.70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13,436,566.90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22,416,358.71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515,563,600.35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396,598,647.02</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0"/>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2、营业收入和营业成本" w:id="343"/>
      <w:bookmarkEnd w:id="343"/>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1,196,883,862.94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585,925,882.41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1,072,220,814.65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519,353,475.26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5,830,437.61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1,545,230.61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4,687,249.94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1,453,198.79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1,202,714,300.55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587,471,113.02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1,076,908,064.59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520,806,674.05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3、税金及附加" w:id="344"/>
      <w:bookmarkEnd w:id="344"/>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5,697,685.13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4,545,624.28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4,135,324.40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3,374,774.38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2,092,779.98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1,457,046.96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45,651.07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38,691.10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678,854.89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1,154,349.59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31,500.00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12,681,795.47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10,570,486.31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4、销售费用" w:id="345"/>
      <w:bookmarkEnd w:id="345"/>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100,530,531.74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83,052,569.15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78,448,163.24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38,986,748.05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16,115,875.27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13,483,473.11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14,504,728.15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12,561,704.47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4,949,734.60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8,636,663.19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第三方平台手续费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2,426,743.87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2,690,704.10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2,640,832.79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2,654,043.39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1,464,711.26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1,178,411.00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运输邮寄费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130,458.22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1,342,491.95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处置财产损益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1,209,444.28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332,174.22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775,374.23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620,908.34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455,462.65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458,370.92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331,464.83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折旧和摊销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1,884,470.42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49,588.43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1,457,665.02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976,572.71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225,965,368.06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168,384,715.54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5、管理费用" w:id="346"/>
      <w:bookmarkEnd w:id="346"/>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46,837,000.14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36,354,110.21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21,092,400.00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2,346,400.00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18,643,759.82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17,395,771.72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12,871,562.21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10,497,186.22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12,669,567.61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7,656,826.44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2,677,629.53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2,237,344.35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2,160,002.01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2,043,903.18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基金管理费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1,479,226.52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1,101,535.74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1,186,235.60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1,684,657.29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837,633.17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964,538.70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规划设计费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960,780.00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731,905.71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943,142.83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1,113,409.80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123,206,762.43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87,299,606.48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6、研发费用" w:id="347"/>
      <w:bookmarkEnd w:id="347"/>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工资性费用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149,081,186.39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111,995,956.97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3,994,109.90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3,090,317.69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1,291,050.01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3,009,191.77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6,505,880.30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3,641,241.44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420,928.31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235,188.29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3,197,036.90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7,789,839.01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345,473.71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456,312.77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2,085,805.44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1,571,635.43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89,850.17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84,664.51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1,495,371.71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4,991,691.76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168,506,692.84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136,866,039.64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7、财务费用" w:id="348"/>
      <w:bookmarkEnd w:id="348"/>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13,016,448.60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7,127,990.19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6,665,728.94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2,779,043.39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63,292.42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6,189.77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389,304.95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435,505.93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217,293.83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6,780,035.82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4,240,228.10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8、资产减值损失" w:id="349"/>
      <w:bookmarkEnd w:id="349"/>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32,731,811.74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26,929,610.68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174,071,722.30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200,020,000.00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838,574.40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207,642,108.44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226,949,610.68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9、其他收益" w:id="350"/>
      <w:bookmarkEnd w:id="350"/>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44,615,340.23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27,487,758.75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递延收益转入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10,109,999.96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战略未来资金</w:t>
            </w:r>
            <w:r>
              <w:rPr>
                <w:rFonts w:ascii="Times New Roman" w:hAnsi="Times New Roman" w:cs="Times New Roman" w:eastAsia="Times New Roman" w:hint="default"/>
                <w:sz w:val="18"/>
                <w:szCs w:val="18"/>
              </w:rPr>
              <w:t>-</w:t>
            </w:r>
            <w:r>
              <w:rPr>
                <w:rFonts w:ascii="宋体" w:hAnsi="宋体" w:cs="宋体" w:eastAsia="宋体" w:hint="default"/>
                <w:sz w:val="18"/>
                <w:szCs w:val="18"/>
              </w:rPr>
              <w:t>产业链关键环节提升扶持 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国家级创新载体支持计划</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中关村科技园区海淀园管理委员会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年海淀区企业研发投入补贴专项资金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年企业研究开发资助计划第三批拟 资助企业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年企业研究 开发资助计划第二批资助企业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深圳市南山区科学技术局国家高新技术 企业倍增支持计划项目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年度深圳市科学技术奖五类奖项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深圳市科技进步一等奖（移动互联网应 用审计与综合数据处理平台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苏州金庭镇财政所吴财预</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号吴中区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年度综合表彰大会奖励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深圳市科技创新委员会</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624,000.00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36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加计扣除研发补助款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深圳市文体旅游局文化创意产业发展专 项资金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深圳市南山区经济促进局上市企业并购 重组中介费用补贴项目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年度企业研究开发费用省级财政奖 励资金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277,100.00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深圳市南山区人民政府文化产业发展办 公室房租补贴（园区外）资助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273,100.00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256,586.55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北京市国有文化资产监督管理办公室</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投贷奖</w:t>
            </w:r>
            <w:r>
              <w:rPr>
                <w:rFonts w:ascii="Times New Roman" w:hAnsi="Times New Roman" w:cs="Times New Roman" w:eastAsia="Times New Roman" w:hint="default"/>
                <w:sz w:val="18"/>
                <w:szCs w:val="18"/>
              </w:rPr>
              <w:t>”</w:t>
            </w:r>
            <w:r>
              <w:rPr>
                <w:rFonts w:ascii="宋体" w:hAnsi="宋体" w:cs="宋体" w:eastAsia="宋体" w:hint="default"/>
                <w:sz w:val="18"/>
                <w:szCs w:val="18"/>
              </w:rPr>
              <w:t>补贴款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172,640.00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深圳市南山区人力资源局高层次创新型 人才实训基地项目资助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88,849.54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苏州金庭镇财政所吴财科</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号吴中区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年江苏省高新企业奖励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深圳市南山科技局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年高新技术企业 认定奖补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深圳市南山区科学技术局企业研发投入 支持计划款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批专利资助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批计算机软件著作权资助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深圳市南山区科学技术局国内有效发明 专利年费奖励支持计划款项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科信局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年度企业研发后补助研发费 用增长奖励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批计算机软件著作权资助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深圳市南山财政局</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年度文化产业分 项资金资助款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深圳市科技创新委员会配套建立资金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深圳市南山区科学技术局国内外发明专 利申请支持</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85,000.00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深圳市南山区科学技术局国内外发明专 利申请支持补贴款</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12,500.00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深圳市市场和质量监督管理委员会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年第二批计算机软件资助</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9,600.00</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深圳市市场和质量监督管理委员会计算 机软件著作权登记资助经费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74,147,016.28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38,913,658.75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0、投资收益" w:id="351"/>
      <w:bookmarkEnd w:id="351"/>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36,209.07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-691,887.05</w:t>
            </w:r>
            <w:r>
              <w:rPr>
                <w:rFonts w:ascii="Times New Roman"/>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1,063,562.86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330,038.60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1,537,500.00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1,640,000.00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146,709,347.81</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银行理财产品投资收益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1,032,864.38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405,592.85</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150,379,484.12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1,683,744.40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1、公允价值变动收益" w:id="352"/>
      <w:bookmarkEnd w:id="352"/>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2、资产处置收益" w:id="353"/>
      <w:bookmarkEnd w:id="353"/>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非流动资产处置利得或损失合计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53,283.78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82,882.31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53,283.78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82,882.31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53"/>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53,283.78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82,882.31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3、营业外收入" w:id="354"/>
      <w:bookmarkEnd w:id="354"/>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80"/>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98"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80"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80"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接受捐赠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52,700.07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52,700.07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2,406,959.87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亚鸿并购对价的借款对交易 方计息</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1,389,225.11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收购唐人的或有对价取消支 付</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200,020,000.00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泡椒业绩承诺方业绩补偿款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63,992,518.93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84,768,121.89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所得税退税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2,218,856.38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2,218,856.38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351,758.47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1,010,281.59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351,758.47</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66,615,833.85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204,826,466.57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87,391,436.81</w:t>
            </w:r>
          </w:p>
        </w:tc>
      </w:tr>
    </w:tbl>
    <w:p>
      <w:pPr>
        <w:pStyle w:val="BodyText"/>
        <w:spacing w:line="240" w:lineRule="auto" w:before="51"/>
        <w:ind w:right="0"/>
        <w:jc w:val="left"/>
      </w:pPr>
      <w:r>
        <w:rPr/>
        <w:t>计入当期损益的政府补助：</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74,147,016.2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38,913,658.7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4、营业外支出" w:id="355"/>
      <w:bookmarkEnd w:id="355"/>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393,697.13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428.82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393,697.13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4,854.37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55,231.31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393,697.13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60,514.50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5、所得税费用" w:id="356"/>
      <w:bookmarkEnd w:id="356"/>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57"/>
      <w:bookmarkEnd w:id="357"/>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30,777,354.94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29,907,808.10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-7,629,258.86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-14,628,345.14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23,148,096.08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15,279,462.96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会计利润与所得税费用调整过程" w:id="358"/>
      <w:bookmarkEnd w:id="358"/>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161,262,345.37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16,126,234.54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21,026,503.61</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-523,065.54</w:t>
            </w:r>
            <w:r>
              <w:rPr>
                <w:rFonts w:ascii="Times New Roman"/>
                <w:sz w:val="18"/>
              </w:rPr>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-13,850,463.84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17,224,727.22</w:t>
            </w:r>
          </w:p>
        </w:tc>
      </w:tr>
      <w:tr>
        <w:trPr>
          <w:trHeight w:val="71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-3,782,026.83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加计扣除的影响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-13,073,813.08</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23,148,096.08</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6、其他综合收益" w:id="359"/>
      <w:bookmarkEnd w:id="359"/>
      <w:r>
        <w:rPr>
          <w:b w:val="0"/>
          <w:bCs w:val="0"/>
        </w:rPr>
      </w:r>
      <w:r>
        <w:rPr>
          <w:rFonts w:ascii="Times New Roman" w:hAnsi="Times New Roman" w:cs="Times New Roman" w:eastAsia="Times New Roman" w:hint="default"/>
        </w:rPr>
        <w:t>66</w:t>
      </w:r>
      <w:r>
        <w:rPr/>
        <w:t>、其他综合收益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详见附注。</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7、现金流量表项目" w:id="360"/>
      <w:bookmarkEnd w:id="360"/>
      <w:r>
        <w:rPr>
          <w:b w:val="0"/>
          <w:bCs w:val="0"/>
        </w:rPr>
      </w:r>
      <w:r>
        <w:rPr>
          <w:rFonts w:ascii="Times New Roman" w:hAnsi="Times New Roman" w:cs="Times New Roman" w:eastAsia="Times New Roman" w:hint="default"/>
        </w:rPr>
        <w:t>67</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收到的其他与经营活动有关的现金" w:id="361"/>
      <w:bookmarkEnd w:id="361"/>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33,053,207.33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3,735,900.00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31,586,631.87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41,416,661.39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1,496,149.33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2,779,043.39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2,507,120.49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8,297,030.47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68,643,109.02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56,228,635.25</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362"/>
      <w:bookmarkEnd w:id="362"/>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支付除员工薪酬外的管理费用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45,764,116.76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32,299,884.55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支付除员工薪酬外的销售费用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62,260,699.69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84,073,113.68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支付除员工薪酬外的研发费用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17,851,275.88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57,190,288.98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30,787,640.06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1,143,340.04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14,695,868.52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184,209,721.35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161,856,506.81</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63"/>
      <w:bookmarkEnd w:id="363"/>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并购交易方退还定金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64"/>
      <w:bookmarkEnd w:id="364"/>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员工持股计划款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230,046.21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2,275,059.12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2,275,059.12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100,230,046.21</w:t>
            </w: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收到的其他与筹资活动有关的现金" w:id="365"/>
      <w:bookmarkEnd w:id="365"/>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0"/>
        <w:jc w:val="left"/>
      </w:pPr>
      <w:r>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66"/>
      <w:bookmarkEnd w:id="366"/>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支付限制性股票回购款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2,350,570.83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收购子公司少数股权款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165,176,000.00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36.269989pt;width:151.25pt;height:40.9pt;mso-position-horizontal-relative:page;mso-position-vertical-relative:page;z-index:-1057312" coordorigin="4467,8725" coordsize="3025,818">
            <v:group style="position:absolute;left:4478;top:8737;width:2;height:393" coordorigin="4478,8737" coordsize="2,393">
              <v:shape style="position:absolute;left:4478;top:8737;width:2;height:393" coordorigin="4478,8737" coordsize="0,393" path="m4478,8737l4478,9129e" filled="false" stroked="true" strokeweight="1.140pt" strokecolor="#ffffff">
                <v:path arrowok="t"/>
              </v:shape>
            </v:group>
            <v:group style="position:absolute;left:4490;top:8737;width:3002;height:393" coordorigin="4490,8737" coordsize="3002,393">
              <v:shape style="position:absolute;left:4490;top:8737;width:3002;height:393" coordorigin="4490,8737" coordsize="3002,393" path="m4490,9129l7491,9129,7491,8737,4490,8737,4490,9129xe" filled="true" fillcolor="#ffffff" stroked="false">
                <v:path arrowok="t"/>
                <v:fill type="solid"/>
              </v:shape>
            </v:group>
            <v:group style="position:absolute;left:4478;top:9139;width:2;height:393" coordorigin="4478,9139" coordsize="2,393">
              <v:shape style="position:absolute;left:4478;top:9139;width:2;height:393" coordorigin="4478,9139" coordsize="0,393" path="m4478,9139l4478,9531e" filled="false" stroked="true" strokeweight="1.140pt" strokecolor="#ffffff">
                <v:path arrowok="t"/>
              </v:shape>
            </v:group>
            <v:group style="position:absolute;left:4490;top:9139;width:3002;height:393" coordorigin="4490,9139" coordsize="3002,393">
              <v:shape style="position:absolute;left:4490;top:9139;width:3002;height:393" coordorigin="4490,9139" coordsize="3002,393" path="m4490,9531l7491,9531,7491,9139,4490,9139,4490,953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1" w:right="0"/>
              <w:jc w:val="left"/>
              <w:rPr>
                <w:rFonts w:ascii="Times New Roman" w:hAnsi="Times New Roman" w:cs="Times New Roman" w:eastAsia="Times New Roman" w:hint="default"/>
                <w:sz w:val="18"/>
                <w:szCs w:val="18"/>
              </w:rPr>
            </w:pPr>
            <w:r>
              <w:rPr>
                <w:rFonts w:ascii="Times New Roman"/>
                <w:sz w:val="18"/>
              </w:rPr>
              <w:t>167,526,570.83</w:t>
            </w:r>
          </w:p>
        </w:tc>
      </w:tr>
    </w:tbl>
    <w:p>
      <w:pPr>
        <w:pStyle w:val="BodyText"/>
        <w:spacing w:line="240" w:lineRule="auto" w:before="51"/>
        <w:ind w:right="0"/>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8、现金流量表补充资料" w:id="367"/>
      <w:bookmarkEnd w:id="367"/>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68"/>
      <w:bookmarkEnd w:id="368"/>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138,114,249.29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151,957,478.36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207,642,108.44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226,949,610.68</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16,535,590.16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17,392,307.69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7,089,190.71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6,414,782.04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3,670,500.90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1,312,313.20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-53,283.78</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-82,882.31</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7,653,964.78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7,127,990.19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39" w:right="0"/>
              <w:jc w:val="left"/>
              <w:rPr>
                <w:rFonts w:ascii="Times New Roman" w:hAnsi="Times New Roman" w:cs="Times New Roman" w:eastAsia="Times New Roman" w:hint="default"/>
                <w:sz w:val="18"/>
                <w:szCs w:val="18"/>
              </w:rPr>
            </w:pPr>
            <w:r>
              <w:rPr>
                <w:rFonts w:ascii="Times New Roman"/>
                <w:sz w:val="18"/>
              </w:rPr>
              <w:t>-150,379,484.12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-1,683,744.40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-6,817,485.86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-15,967,894.64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-811,773.00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1,339,549.50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8,162,661.04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-81,963,581.19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-209,246,345.69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-215,271,329.46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-27,438,000.88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305,507,359.46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-63,992,518.93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-201,409,225.11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-69,870,626.94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201,622,734.01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291,055,391.79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313,971,931.31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313,971,931.31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325,015,338.62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-22,916,539.52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-11,043,407.31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本期支付的取得子公司的现金净额" w:id="369"/>
      <w:bookmarkEnd w:id="369"/>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本期收到的处置子公司的现金净额" w:id="370"/>
      <w:bookmarkEnd w:id="370"/>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现金和现金等价物的构成" w:id="371"/>
      <w:bookmarkEnd w:id="371"/>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291,055,391.79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313,971,931.31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28,040.44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64,720.60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289,099,090.75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311,720,976.55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1,928,260.60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2,186,234.16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291,055,391.79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313,971,931.31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5372" w:firstLine="0"/>
        <w:jc w:val="left"/>
        <w:rPr>
          <w:rFonts w:ascii="宋体" w:hAnsi="宋体" w:cs="宋体" w:eastAsia="宋体" w:hint="default"/>
          <w:sz w:val="21"/>
          <w:szCs w:val="21"/>
        </w:rPr>
      </w:pPr>
      <w:bookmarkStart w:name="69、所有者权益变动表项目注释" w:id="372"/>
      <w:bookmarkEnd w:id="372"/>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73"/>
      <w:bookmarkEnd w:id="373"/>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15,142,422.84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子公司北京亚鸿世纪科技发展有限公司</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银行借款质押担保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65,142,422.84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1、外币货币性项目" w:id="374"/>
      <w:bookmarkEnd w:id="374"/>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75"/>
      <w:bookmarkEnd w:id="375"/>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376"/>
      <w:bookmarkEnd w:id="376"/>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72、套期" w:id="377"/>
      <w:bookmarkEnd w:id="377"/>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3、政府补助" w:id="378"/>
      <w:bookmarkEnd w:id="378"/>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79"/>
      <w:bookmarkEnd w:id="379"/>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380"/>
      <w:bookmarkEnd w:id="380"/>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858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其他说明：</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487" w:lineRule="auto" w:before="35"/>
        <w:ind w:left="154" w:right="8328" w:firstLine="0"/>
        <w:jc w:val="left"/>
        <w:rPr>
          <w:rFonts w:ascii="宋体" w:hAnsi="宋体" w:cs="宋体" w:eastAsia="宋体" w:hint="default"/>
          <w:sz w:val="21"/>
          <w:szCs w:val="21"/>
        </w:rPr>
      </w:pPr>
      <w:bookmarkStart w:name="74、其他" w:id="381"/>
      <w:bookmarkEnd w:id="381"/>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2"/>
      <w:bookmarkEnd w:id="382"/>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3"/>
      <w:bookmarkEnd w:id="38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0"/>
        <w:jc w:val="left"/>
        <w:rPr>
          <w:b w:val="0"/>
          <w:bCs w:val="0"/>
        </w:rPr>
      </w:pPr>
      <w:bookmarkStart w:name="（1）本期发生的非同一控制下企业合并" w:id="384"/>
      <w:bookmarkEnd w:id="38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合并成本及商誉" w:id="385"/>
      <w:bookmarkEnd w:id="38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被购买方于购买日可辨认资产、负债" w:id="386"/>
      <w:bookmarkEnd w:id="38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购买日之前持有的股权按照公允价值重新计量产生的利得或损失" w:id="387"/>
      <w:bookmarkEnd w:id="38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是否存在通过多次交易分步实现企业合并且在报告期内取得控制权的交易</w:t>
      </w:r>
    </w:p>
    <w:p>
      <w:pPr>
        <w:pStyle w:val="BodyText"/>
        <w:spacing w:line="240" w:lineRule="auto" w:before="11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购买日或合并当期期末无法合理确定合并对价或被购买方可辨认资产、负债公允价值" w:id="388"/>
      <w:bookmarkEnd w:id="38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其他说明" w:id="389"/>
      <w:bookmarkEnd w:id="389"/>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同一控制下企业合并" w:id="390"/>
      <w:bookmarkEnd w:id="390"/>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同一控制下企业合并" w:id="391"/>
      <w:bookmarkEnd w:id="391"/>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 w:id="392"/>
      <w:bookmarkEnd w:id="392"/>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合并日被合并方资产、负债的账面价值" w:id="393"/>
      <w:bookmarkEnd w:id="393"/>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9"/>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e0ffff">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e0ffff">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e0ffff"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799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799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7998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7998pt" strokecolor="#000000">
                <v:path arrowok="t"/>
              </v:shape>
            </v:group>
            <v:group style="position:absolute;left:6386;top:407;width:2;height:412" coordorigin="6386,407" coordsize="2,412">
              <v:shape style="position:absolute;left:6386;top:407;width:2;height:412" coordorigin="6386,407" coordsize="0,412" path="m6386,407l6386,818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7998pt" strokecolor="#000000">
                <v:path arrowok="t"/>
              </v:shape>
            </v:group>
            <v:group style="position:absolute;left:9576;top:5;width:2;height:814" coordorigin="9576,5" coordsize="2,814">
              <v:shape style="position:absolute;left:9576;top:5;width:2;height:814" coordorigin="9576,5" coordsize="0,814" path="m9576,5l9576,818e" filled="false" stroked="true" strokeweight=".48004pt" strokecolor="#000000">
                <v:path arrowok="t"/>
              </v:shape>
              <v:shape style="position:absolute;left:3183;top:412;width:3202;height:402" type="#_x0000_t202" filled="false" stroked="false">
                <v:textbox inset="0,0,0,0">
                  <w:txbxContent>
                    <w:p>
                      <w:pPr>
                        <w:spacing w:before="56"/>
                        <w:ind w:left="13"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2"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7"/>
        <w:ind w:right="7512"/>
        <w:jc w:val="left"/>
      </w:pPr>
      <w:r>
        <w:rPr/>
        <w:t>企业合并中承担的被合并方的或有负债：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反向购买" w:id="394"/>
      <w:bookmarkEnd w:id="394"/>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before="0"/>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4、处置子公司" w:id="395"/>
      <w:bookmarkEnd w:id="395"/>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ind w:right="-20"/>
        <w:jc w:val="left"/>
      </w:pPr>
      <w:r>
        <w:rPr/>
        <w:t>是否存在单次处置对子公司投资即丧失控制权的情形</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武汉任 子行软 件技术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工商注 销完成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14,164.8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惠州市 任网安 科技发 展有限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股权转 让完成</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1,121,27</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5.97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60" w:lineRule="auto" w:before="51"/>
        <w:ind w:right="4992"/>
        <w:jc w:val="left"/>
      </w:pPr>
      <w:r>
        <w:rPr/>
        <w:t>其他说明： 是否存在通过多次交易分步处置对子公司投资且在本期丧失控制权的情形</w:t>
      </w:r>
    </w:p>
    <w:p>
      <w:pPr>
        <w:pStyle w:val="BodyText"/>
        <w:spacing w:line="240" w:lineRule="auto" w:before="2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其他原因的合并范围变动" w:id="396"/>
      <w:bookmarkEnd w:id="396"/>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38" w:lineRule="auto" w:before="0"/>
        <w:ind w:right="1118"/>
        <w:jc w:val="left"/>
      </w:pPr>
      <w:r>
        <w:rPr/>
        <w:t>说明其他原因导致的合并范围变动（如，新设子公司、清算子公司等）及其相关情况： </w:t>
      </w:r>
      <w:r>
        <w:rPr>
          <w:spacing w:val="-2"/>
        </w:rPr>
        <w:t>公司本期合并范围增加：出资设立全资子公司深圳市任知聚科技有限公司、以及全资子公司北京任子行网络安全技术有限公</w:t>
      </w:r>
      <w:r>
        <w:rPr>
          <w:spacing w:val="-64"/>
        </w:rPr>
        <w:t> </w:t>
      </w:r>
      <w:r>
        <w:rPr>
          <w:spacing w:val="-64"/>
        </w:rPr>
      </w:r>
      <w:r>
        <w:rPr/>
        <w:t>司。</w:t>
      </w:r>
    </w:p>
    <w:p>
      <w:pPr>
        <w:spacing w:after="0" w:line="338"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r>
        <w:rPr/>
        <w:pict>
          <v:shape style="position:absolute;margin-left:74.343002pt;margin-top:582.880005pt;width:119.1pt;height:15.6pt;mso-position-horizontal-relative:page;mso-position-vertical-relative:page;z-index:-1057192" type="#_x0000_t202" filled="false" stroked="false">
            <v:textbox inset="0,0,0,0">
              <w:txbxContent>
                <w:p>
                  <w:pPr>
                    <w:pStyle w:val="BodyText"/>
                    <w:spacing w:line="208" w:lineRule="exact" w:before="0"/>
                    <w:ind w:left="0" w:right="0"/>
                    <w:jc w:val="left"/>
                  </w:pPr>
                  <w:r>
                    <w:rPr/>
                    <w:t>（有限合伙）</w:t>
                  </w:r>
                </w:p>
              </w:txbxContent>
            </v:textbox>
            <w10:wrap type="none"/>
          </v:shape>
        </w:pict>
      </w:r>
    </w:p>
    <w:p>
      <w:pPr>
        <w:spacing w:line="487" w:lineRule="auto" w:before="35"/>
        <w:ind w:left="154" w:right="7692" w:firstLine="0"/>
        <w:jc w:val="left"/>
        <w:rPr>
          <w:rFonts w:ascii="宋体" w:hAnsi="宋体" w:cs="宋体" w:eastAsia="宋体" w:hint="default"/>
          <w:sz w:val="21"/>
          <w:szCs w:val="21"/>
        </w:rPr>
      </w:pPr>
      <w:bookmarkStart w:name="6、其他" w:id="397"/>
      <w:bookmarkEnd w:id="397"/>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98"/>
      <w:bookmarkEnd w:id="398"/>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99"/>
      <w:bookmarkEnd w:id="399"/>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400"/>
      <w:bookmarkEnd w:id="400"/>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深圳市任子行科 技开发有限公司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深圳市任网游科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软件开发及销售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成都网娱互动网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北京亚鸿世纪科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技术开发及软硬 件销售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苏州唐人数码科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第二类增值电信 业务及软件开 发、销售、维护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苏州争渡科技有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第二类增值电信 业务及软件开 发、销售、维护</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深圳九合信息安 全产业投资一期 合伙企业（有限 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产业投资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深圳九合文化创 意产业投资合伙 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宋体" w:hAnsi="宋体" w:cs="宋体" w:eastAsia="宋体" w:hint="default"/>
                <w:position w:val="-5"/>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产业投资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深圳泡椒思志信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技术开发及信息 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上海穆冠信息技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技术开发及信息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深圳银狐游戏网 络有限公司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技术开发及信息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非同一控制下合 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海南银狐思志网 络科技有限公司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技术开发及信息 服务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40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广州数沃信息科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深圳市任知聚科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北京任子行网络 安全技术有限公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bl>
    <w:p>
      <w:pPr>
        <w:pStyle w:val="BodyText"/>
        <w:spacing w:line="360" w:lineRule="auto" w:before="51"/>
        <w:ind w:right="2832"/>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2"/>
        <w:jc w:val="left"/>
      </w:pPr>
      <w:r>
        <w:rPr/>
        <w:t>确定公司是代理人还是委托人的依据：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重要的非全资子公司" w:id="401"/>
      <w:bookmarkEnd w:id="401"/>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1026"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both"/>
              <w:rPr>
                <w:rFonts w:ascii="宋体" w:hAnsi="宋体" w:cs="宋体" w:eastAsia="宋体" w:hint="default"/>
                <w:sz w:val="18"/>
                <w:szCs w:val="18"/>
              </w:rPr>
            </w:pPr>
            <w:r>
              <w:rPr>
                <w:rFonts w:ascii="宋体" w:hAnsi="宋体" w:cs="宋体" w:eastAsia="宋体" w:hint="default"/>
                <w:sz w:val="18"/>
                <w:szCs w:val="18"/>
              </w:rPr>
              <w:t>深圳九合信息安全产业 投资一期合伙企业（有 限合伙）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both"/>
              <w:rPr>
                <w:rFonts w:ascii="宋体" w:hAnsi="宋体" w:cs="宋体" w:eastAsia="宋体" w:hint="default"/>
                <w:sz w:val="18"/>
                <w:szCs w:val="18"/>
              </w:rPr>
            </w:pPr>
            <w:r>
              <w:rPr>
                <w:rFonts w:ascii="宋体" w:hAnsi="宋体" w:cs="宋体" w:eastAsia="宋体" w:hint="default"/>
                <w:sz w:val="18"/>
                <w:szCs w:val="18"/>
              </w:rPr>
              <w:t>深圳九合文化创意产业 投资合伙企业（有限合 伙）</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3）重要非全资子公司的主要财务信息" w:id="402"/>
      <w:bookmarkEnd w:id="402"/>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258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深圳九 合信息 安全产 业投资 一期合 伙企业</w:t>
            </w:r>
          </w:p>
          <w:p>
            <w:pPr>
              <w:pStyle w:val="TableParagraph"/>
              <w:spacing w:line="319" w:lineRule="auto" w:before="19"/>
              <w:ind w:left="22" w:right="161"/>
              <w:jc w:val="both"/>
              <w:rPr>
                <w:rFonts w:ascii="宋体" w:hAnsi="宋体" w:cs="宋体" w:eastAsia="宋体" w:hint="default"/>
                <w:sz w:val="18"/>
                <w:szCs w:val="18"/>
              </w:rPr>
            </w:pPr>
            <w:r>
              <w:rPr>
                <w:rFonts w:ascii="宋体" w:hAnsi="宋体" w:cs="宋体" w:eastAsia="宋体" w:hint="default"/>
                <w:sz w:val="18"/>
                <w:szCs w:val="18"/>
              </w:rPr>
              <w:t>（有限 合伙）</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38,341.8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89,122,5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87.97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89,160,9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29.82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33,170,7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86.16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46,000,0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79,170,7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86.16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38"/>
        <w:gridCol w:w="737"/>
        <w:gridCol w:w="736"/>
        <w:gridCol w:w="736"/>
        <w:gridCol w:w="737"/>
        <w:gridCol w:w="735"/>
        <w:gridCol w:w="736"/>
        <w:gridCol w:w="734"/>
        <w:gridCol w:w="736"/>
        <w:gridCol w:w="735"/>
        <w:gridCol w:w="737"/>
        <w:gridCol w:w="737"/>
        <w:gridCol w:w="736"/>
      </w:tblGrid>
      <w:tr>
        <w:trPr>
          <w:trHeight w:val="2274" w:hRule="exact"/>
        </w:trPr>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深圳九 合文化 创意产 业投资 合伙企 </w:t>
            </w:r>
            <w:r>
              <w:rPr>
                <w:rFonts w:ascii="宋体" w:hAnsi="宋体" w:cs="宋体" w:eastAsia="宋体" w:hint="default"/>
                <w:spacing w:val="-10"/>
                <w:sz w:val="18"/>
                <w:szCs w:val="18"/>
              </w:rPr>
              <w:t>业（有限</w:t>
            </w:r>
            <w:r>
              <w:rPr>
                <w:rFonts w:ascii="宋体" w:hAnsi="宋体" w:cs="宋体" w:eastAsia="宋体" w:hint="default"/>
                <w:sz w:val="18"/>
                <w:szCs w:val="18"/>
              </w:rPr>
              <w:t> 合伙）</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28,265,8</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24.31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38,265,8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24.31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29,182,2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61.40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39,182,2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61.40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650"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深圳九合信 息安全产业 投资一期合 </w:t>
            </w:r>
            <w:r>
              <w:rPr>
                <w:rFonts w:ascii="宋体" w:hAnsi="宋体" w:cs="宋体" w:eastAsia="宋体" w:hint="default"/>
                <w:spacing w:val="-13"/>
                <w:sz w:val="18"/>
                <w:szCs w:val="18"/>
              </w:rPr>
              <w:t>伙企业（有限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合伙）</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-1,009,856.34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-1,009,856.34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-9,856.34</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-833,914.04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-833,914.04</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-833,914.04</w:t>
            </w:r>
            <w:r>
              <w:rPr>
                <w:rFonts w:ascii="Times New Roman"/>
                <w:sz w:val="18"/>
              </w:rPr>
            </w:r>
          </w:p>
        </w:tc>
      </w:tr>
      <w:tr>
        <w:trPr>
          <w:trHeight w:val="1338"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深圳九合文 化创意产业 投资合伙企 </w:t>
            </w:r>
            <w:r>
              <w:rPr>
                <w:rFonts w:ascii="宋体" w:hAnsi="宋体" w:cs="宋体" w:eastAsia="宋体" w:hint="default"/>
                <w:spacing w:val="-13"/>
                <w:sz w:val="18"/>
                <w:szCs w:val="18"/>
              </w:rPr>
              <w:t>业（有限合伙</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-916,437.09</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-916,437.09</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-916,437.09</w:t>
            </w:r>
            <w:r>
              <w:rPr>
                <w:rFonts w:ascii="Times New Roman"/>
                <w:sz w:val="18"/>
              </w:rPr>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35" w:right="0"/>
              <w:jc w:val="center"/>
              <w:rPr>
                <w:rFonts w:ascii="Times New Roman" w:hAnsi="Times New Roman" w:cs="Times New Roman" w:eastAsia="Times New Roman" w:hint="default"/>
                <w:sz w:val="18"/>
                <w:szCs w:val="18"/>
              </w:rPr>
            </w:pPr>
            <w:r>
              <w:rPr>
                <w:rFonts w:ascii="Times New Roman"/>
                <w:sz w:val="18"/>
              </w:rPr>
              <w:t>-817,738.60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-817,738.60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-817,738.60</w:t>
            </w:r>
            <w:r>
              <w:rPr>
                <w:rFonts w:ascii="Times New Roman"/>
                <w:sz w:val="18"/>
              </w:rPr>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使用企业集团资产和清偿企业集团债务的重大限制" w:id="403"/>
      <w:bookmarkEnd w:id="403"/>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5）向纳入合并财务报表范围的结构化主体提供的财务支持或其他支持" w:id="404"/>
      <w:bookmarkEnd w:id="404"/>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05"/>
      <w:bookmarkEnd w:id="405"/>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406"/>
      <w:bookmarkEnd w:id="406"/>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2"/>
          <w:szCs w:val="22"/>
        </w:rPr>
      </w:pPr>
    </w:p>
    <w:p>
      <w:pPr>
        <w:pStyle w:val="Heading2"/>
        <w:spacing w:line="322" w:lineRule="exact"/>
        <w:ind w:right="0"/>
        <w:jc w:val="left"/>
        <w:rPr>
          <w:b w:val="0"/>
          <w:bCs w:val="0"/>
        </w:rPr>
      </w:pPr>
      <w:r>
        <w:rPr/>
        <w:t>公司本期现金购买控股子公司广州数沃信息科技有限公司</w:t>
      </w:r>
      <w:r>
        <w:rPr>
          <w:rFonts w:ascii="Times New Roman" w:hAnsi="Times New Roman" w:cs="Times New Roman" w:eastAsia="Times New Roman" w:hint="default"/>
        </w:rPr>
        <w:t>40%</w:t>
      </w:r>
      <w:r>
        <w:rPr/>
        <w:t>少数股权，交易完成后，对其</w:t>
      </w:r>
      <w:r>
        <w:rPr>
          <w:b w:val="0"/>
          <w:bCs w:val="0"/>
        </w:rPr>
      </w:r>
    </w:p>
    <w:p>
      <w:pPr>
        <w:pStyle w:val="Heading2"/>
        <w:spacing w:line="322" w:lineRule="exact"/>
        <w:ind w:right="0"/>
        <w:jc w:val="left"/>
        <w:rPr>
          <w:b w:val="0"/>
          <w:bCs w:val="0"/>
        </w:rPr>
      </w:pPr>
      <w:r>
        <w:rPr>
          <w:rFonts w:ascii="Times New Roman" w:hAnsi="Times New Roman" w:cs="Times New Roman" w:eastAsia="Times New Roman" w:hint="default"/>
        </w:rPr>
        <w:t>100%</w:t>
      </w:r>
      <w:r>
        <w:rPr/>
        <w:t>持股</w:t>
      </w:r>
      <w:r>
        <w:rPr>
          <w:b w:val="0"/>
          <w:bCs w:val="0"/>
        </w:rPr>
      </w:r>
    </w:p>
    <w:p>
      <w:pPr>
        <w:spacing w:line="240" w:lineRule="auto" w:before="4"/>
        <w:rPr>
          <w:rFonts w:ascii="宋体" w:hAnsi="宋体" w:cs="宋体" w:eastAsia="宋体" w:hint="default"/>
          <w:b/>
          <w:bCs/>
          <w:sz w:val="23"/>
          <w:szCs w:val="23"/>
        </w:rPr>
      </w:pPr>
    </w:p>
    <w:p>
      <w:pPr>
        <w:pStyle w:val="Heading4"/>
        <w:spacing w:line="240" w:lineRule="auto"/>
        <w:ind w:right="0"/>
        <w:jc w:val="left"/>
        <w:rPr>
          <w:b w:val="0"/>
          <w:bCs w:val="0"/>
        </w:rPr>
      </w:pPr>
      <w:bookmarkStart w:name="（2）交易对于少数股东权益及归属于母公司所有者权益的影响" w:id="407"/>
      <w:bookmarkEnd w:id="407"/>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84" w:type="dxa"/>
            <w:tcBorders>
              <w:top w:val="single" w:sz="4" w:space="0" w:color="000000"/>
              <w:left w:val="single" w:sz="4" w:space="0" w:color="000000"/>
              <w:bottom w:val="single" w:sz="4" w:space="0" w:color="000000"/>
              <w:right w:val="single" w:sz="4" w:space="0" w:color="000000"/>
            </w:tcBorders>
            <w:shd w:val="clear" w:color="auto" w:fill="E0FFFF"/>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1,878,556.02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2,121,443.98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2,121,443.98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08"/>
      <w:bookmarkEnd w:id="408"/>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09"/>
      <w:bookmarkEnd w:id="40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0"/>
        <w:jc w:val="left"/>
      </w:pPr>
      <w:r>
        <w:rPr/>
        <w:t>在合营企业或联营企业的持股比例不同于表决权比例的说明：</w:t>
      </w:r>
    </w:p>
    <w:p>
      <w:pPr>
        <w:pStyle w:val="BodyText"/>
        <w:spacing w:line="240" w:lineRule="auto" w:before="117"/>
        <w:ind w:right="0"/>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要合营企业的主要财务信息" w:id="410"/>
      <w:bookmarkEnd w:id="410"/>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1"/>
        <w:gridCol w:w="3179"/>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411"/>
      <w:bookmarkEnd w:id="411"/>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E0FFFF"/>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E0FFFF"/>
          </w:tcPr>
          <w:p>
            <w:pP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412"/>
      <w:bookmarkEnd w:id="412"/>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82"/>
        <w:gridCol w:w="3175"/>
      </w:tblGrid>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pacing w:val="-1"/>
                <w:sz w:val="18"/>
              </w:rPr>
              <w:t>22,998,517.23</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17,962,308.16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32"/>
              <w:jc w:val="right"/>
              <w:rPr>
                <w:rFonts w:ascii="Times New Roman" w:hAnsi="Times New Roman" w:cs="Times New Roman" w:eastAsia="Times New Roman" w:hint="default"/>
                <w:sz w:val="18"/>
                <w:szCs w:val="18"/>
              </w:rPr>
            </w:pPr>
            <w:r>
              <w:rPr>
                <w:rFonts w:ascii="Times New Roman"/>
                <w:sz w:val="18"/>
              </w:rPr>
              <w:t>36,209.07</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-691,887.05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36,209.07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-691,887.05</w:t>
            </w:r>
            <w:r>
              <w:rPr>
                <w:rFonts w:ascii="Times New Roman"/>
                <w:sz w:val="18"/>
              </w:rPr>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合营企业或联营企业向本公司转移资金的能力存在重大限制的说明" w:id="413"/>
      <w:bookmarkEnd w:id="413"/>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6）合营企业或联营企业发生的超额亏损" w:id="414"/>
      <w:bookmarkEnd w:id="414"/>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415"/>
      <w:bookmarkEnd w:id="415"/>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8）与合营企业或联营企业投资相关的或有负债" w:id="416"/>
      <w:bookmarkEnd w:id="416"/>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重要的共同经营" w:id="417"/>
      <w:bookmarkEnd w:id="417"/>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2"/>
        <w:jc w:val="left"/>
      </w:pPr>
      <w:r>
        <w:rPr/>
        <w:t>在共同经营中的持股比例或享有的份额不同于表决权比例的说明： 共同经营为单独主体的，分类为共同经营的依据：</w:t>
      </w:r>
    </w:p>
    <w:p>
      <w:pPr>
        <w:pStyle w:val="BodyText"/>
        <w:spacing w:line="240" w:lineRule="auto" w:before="26"/>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418"/>
      <w:bookmarkEnd w:id="418"/>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其他" w:id="419"/>
      <w:bookmarkEnd w:id="419"/>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20"/>
      <w:bookmarkEnd w:id="420"/>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0" w:firstLine="480"/>
        <w:jc w:val="left"/>
      </w:pPr>
      <w:r>
        <w:rPr/>
        <w:t>本公司从事风险管理的目标是在风险和收益之间取得平衡，将风险对本公司经营业绩的负面影响降至最低水平，使股 </w:t>
      </w:r>
      <w:r>
        <w:rPr>
          <w:spacing w:val="-4"/>
        </w:rPr>
        <w:t>东和其他权益投资者的利益最大化。基于该风险管理目标，本公司风险管理的基本策略是确认和分析本公司面临的各种风险，</w:t>
      </w:r>
      <w:r>
        <w:rPr>
          <w:spacing w:val="-44"/>
        </w:rPr>
        <w:t> </w:t>
      </w:r>
      <w:r>
        <w:rPr>
          <w:spacing w:val="-44"/>
        </w:rPr>
      </w:r>
      <w:r>
        <w:rPr/>
        <w:t>建立适当的风险承受底线和进行风险管理，并及时可靠地对各种风险进行监督，将风险控制在限定的范围内。</w:t>
      </w:r>
    </w:p>
    <w:p>
      <w:pPr>
        <w:pStyle w:val="BodyText"/>
        <w:spacing w:line="316" w:lineRule="auto" w:before="19"/>
        <w:ind w:right="1118" w:firstLine="480"/>
        <w:jc w:val="left"/>
      </w:pPr>
      <w:r>
        <w:rPr>
          <w:spacing w:val="-1"/>
        </w:rPr>
        <w:t>本公司的金融工具面临的主要风险是信用风险、流动风险及市场风险。管理层已审议并批准管理这些风险的政策，概</w:t>
      </w:r>
      <w:r>
        <w:rPr/>
        <w:t> 括如下：</w:t>
      </w:r>
    </w:p>
    <w:p>
      <w:pPr>
        <w:pStyle w:val="BodyText"/>
        <w:spacing w:line="300" w:lineRule="auto" w:before="19"/>
        <w:ind w:left="634" w:right="1118"/>
        <w:jc w:val="left"/>
      </w:pPr>
      <w:r>
        <w:rPr>
          <w:rFonts w:ascii="Times New Roman" w:hAnsi="Times New Roman" w:cs="Times New Roman" w:eastAsia="Times New Roman" w:hint="default"/>
        </w:rPr>
        <w:t>1</w:t>
      </w:r>
      <w:r>
        <w:rPr/>
        <w:t>、信用风险 </w:t>
      </w:r>
      <w:r>
        <w:rPr>
          <w:spacing w:val="-1"/>
        </w:rPr>
        <w:t>本公司仅与经认可的、信誉良好的第三方进行交易。按照本公司的政策，需对所有要求采用信用方式进行交易的客户</w:t>
      </w:r>
    </w:p>
    <w:p>
      <w:pPr>
        <w:pStyle w:val="BodyText"/>
        <w:spacing w:line="316" w:lineRule="auto" w:before="32"/>
        <w:ind w:left="634" w:right="0" w:hanging="480"/>
        <w:jc w:val="left"/>
      </w:pPr>
      <w:r>
        <w:rPr/>
        <w:t>进行信用审核。另外，本公司对应收账款及其他应收款余额进行持续监控，以确保本公司不致面临重大坏账风险。 </w:t>
      </w:r>
      <w:r>
        <w:rPr>
          <w:spacing w:val="-1"/>
        </w:rPr>
        <w:t>本公司其他金融资产包括货币资金、其他应收款等，这些金融资产的信用风险源自交易对手违约，最大风险敞口等于</w:t>
      </w:r>
    </w:p>
    <w:p>
      <w:pPr>
        <w:pStyle w:val="BodyText"/>
        <w:spacing w:line="316" w:lineRule="auto" w:before="19"/>
        <w:ind w:left="634" w:right="0" w:hanging="480"/>
        <w:jc w:val="left"/>
      </w:pPr>
      <w:r>
        <w:rPr/>
        <w:t>这些工具的账面金额。 </w:t>
      </w:r>
      <w:r>
        <w:rPr>
          <w:spacing w:val="-1"/>
        </w:rPr>
        <w:t>由于本公司仅与经认可的且信誉良好的第三方进行交易，所以无需担保物。信用风险集中按照客户、地理区域和行业</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ind w:right="1032"/>
        <w:jc w:val="left"/>
      </w:pPr>
      <w:r>
        <w:rPr/>
        <w:t>进行管理。由于本公司的应收账款客户群广泛地分散于不同的部门和行业中，因此在本公司内部不存在重大信用风险集中。 本公司对应收账款余额未持有任何担保物或其他信用增级。</w:t>
      </w:r>
    </w:p>
    <w:p>
      <w:pPr>
        <w:pStyle w:val="BodyText"/>
        <w:spacing w:line="300" w:lineRule="auto" w:before="19"/>
        <w:ind w:right="0" w:firstLine="480"/>
        <w:jc w:val="left"/>
      </w:pP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日，本公司认为本公司金融资产中无尚未逾期但已发生减值的金额。本公司认为本公司不存在已逾期</w:t>
      </w:r>
      <w:r>
        <w:rPr/>
        <w:t> 已减值但未计提减值准备的重大金融资产。</w:t>
      </w:r>
    </w:p>
    <w:p>
      <w:pPr>
        <w:pStyle w:val="BodyText"/>
        <w:spacing w:line="300" w:lineRule="auto" w:before="32"/>
        <w:ind w:left="634" w:right="1118"/>
        <w:jc w:val="left"/>
      </w:pPr>
      <w:r>
        <w:rPr>
          <w:rFonts w:ascii="Times New Roman" w:hAnsi="Times New Roman" w:cs="Times New Roman" w:eastAsia="Times New Roman" w:hint="default"/>
        </w:rPr>
        <w:t>2</w:t>
      </w:r>
      <w:r>
        <w:rPr/>
        <w:t>、流动性风险 </w:t>
      </w:r>
      <w:r>
        <w:rPr>
          <w:spacing w:val="-1"/>
        </w:rPr>
        <w:t>本公司采用循环流动性计划工具管理资金短缺风险。该工具既考虑其金融工具的到期日，也考虑本公司运营产生的预</w:t>
      </w:r>
    </w:p>
    <w:p>
      <w:pPr>
        <w:pStyle w:val="BodyText"/>
        <w:spacing w:line="240" w:lineRule="auto" w:before="31"/>
        <w:ind w:right="0"/>
        <w:jc w:val="left"/>
      </w:pPr>
      <w:r>
        <w:rPr/>
        <w:t>计现金流量。</w:t>
      </w:r>
    </w:p>
    <w:p>
      <w:pPr>
        <w:pStyle w:val="BodyText"/>
        <w:spacing w:line="316" w:lineRule="auto" w:before="76"/>
        <w:ind w:left="634" w:right="0"/>
        <w:jc w:val="left"/>
      </w:pPr>
      <w:r>
        <w:rPr/>
        <w:t>本公司的目标是运用银行借款、应付债券、增发股本等多种融资手段以保持融资的持续性与灵活性的平衡。 </w:t>
      </w:r>
      <w:r>
        <w:rPr>
          <w:spacing w:val="-1"/>
        </w:rPr>
        <w:t>流动风险，是指企业在履行与金融负债有关的义务时遇到资金短缺的风险，其可能源于无法尽快以公允价值售出金融</w:t>
      </w:r>
    </w:p>
    <w:p>
      <w:pPr>
        <w:pStyle w:val="BodyText"/>
        <w:spacing w:line="316" w:lineRule="auto" w:before="19"/>
        <w:ind w:left="634" w:right="0" w:hanging="480"/>
        <w:jc w:val="left"/>
      </w:pPr>
      <w:r>
        <w:rPr/>
        <w:t>资产；或者源于对方无法偿还其合同债务；或者源于提前到期的债务；或者源于无法产生预期的现金流量。 </w:t>
      </w:r>
      <w:r>
        <w:rPr>
          <w:spacing w:val="-1"/>
        </w:rPr>
        <w:t>为控制该项风险，本公司综合采取长、短期融资方式结合，优化融资结构的方法，保持融资持续性与灵活性之间的平</w:t>
      </w:r>
    </w:p>
    <w:p>
      <w:pPr>
        <w:pStyle w:val="BodyText"/>
        <w:spacing w:line="240" w:lineRule="auto" w:before="19"/>
        <w:ind w:right="0"/>
        <w:jc w:val="left"/>
      </w:pPr>
      <w:r>
        <w:rPr/>
        <w:t>衡。</w:t>
      </w:r>
    </w:p>
    <w:p>
      <w:pPr>
        <w:pStyle w:val="BodyText"/>
        <w:spacing w:line="300" w:lineRule="auto" w:before="76"/>
        <w:ind w:left="634" w:right="1118"/>
        <w:jc w:val="left"/>
      </w:pPr>
      <w:r>
        <w:rPr>
          <w:rFonts w:ascii="Times New Roman" w:hAnsi="Times New Roman" w:cs="Times New Roman" w:eastAsia="Times New Roman" w:hint="default"/>
        </w:rPr>
        <w:t>3</w:t>
      </w:r>
      <w:r>
        <w:rPr/>
        <w:t>、市场风险 </w:t>
      </w:r>
      <w:r>
        <w:rPr>
          <w:spacing w:val="-1"/>
        </w:rPr>
        <w:t>市场风险，是指金融工具的公允价值或未来现金流量因市场价格变动而发生波动的风险。市场风险主要包括利率风险</w:t>
      </w:r>
    </w:p>
    <w:p>
      <w:pPr>
        <w:pStyle w:val="BodyText"/>
        <w:spacing w:line="240" w:lineRule="auto" w:before="31"/>
        <w:ind w:right="0"/>
        <w:jc w:val="left"/>
      </w:pPr>
      <w:r>
        <w:rPr/>
        <w:t>和外汇风险。</w:t>
      </w:r>
    </w:p>
    <w:p>
      <w:pPr>
        <w:pStyle w:val="BodyText"/>
        <w:spacing w:line="300" w:lineRule="auto" w:before="76"/>
        <w:ind w:left="634" w:right="0"/>
        <w:jc w:val="left"/>
      </w:pPr>
      <w:r>
        <w:rPr/>
        <w:t>（</w:t>
      </w:r>
      <w:r>
        <w:rPr>
          <w:rFonts w:ascii="Times New Roman" w:hAnsi="Times New Roman" w:cs="Times New Roman" w:eastAsia="Times New Roman" w:hint="default"/>
        </w:rPr>
        <w:t>1</w:t>
      </w:r>
      <w:r>
        <w:rPr/>
        <w:t>）</w:t>
      </w:r>
      <w:r>
        <w:rPr>
          <w:spacing w:val="-17"/>
        </w:rPr>
        <w:t> </w:t>
      </w:r>
      <w:r>
        <w:rPr/>
        <w:t>利率风险</w:t>
      </w:r>
      <w:r>
        <w:rPr/>
        <w:t> </w:t>
      </w:r>
      <w:r>
        <w:rPr>
          <w:spacing w:val="-1"/>
        </w:rPr>
        <w:t>利率风险，是指金融工具的公允价值或未来现金流量因市场利率变动而发生波动的风险。于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w:t>
      </w:r>
    </w:p>
    <w:p>
      <w:pPr>
        <w:pStyle w:val="BodyText"/>
        <w:spacing w:line="240" w:lineRule="auto" w:before="13"/>
        <w:ind w:right="0"/>
        <w:jc w:val="left"/>
      </w:pPr>
      <w:r>
        <w:rPr/>
        <w:t>不致面临重大的市场利率变动的风险。</w:t>
      </w:r>
    </w:p>
    <w:p>
      <w:pPr>
        <w:pStyle w:val="BodyText"/>
        <w:spacing w:line="309" w:lineRule="auto" w:before="76"/>
        <w:ind w:left="634" w:right="1118"/>
        <w:jc w:val="left"/>
      </w:pPr>
      <w:r>
        <w:rPr/>
        <w:t>（</w:t>
      </w:r>
      <w:r>
        <w:rPr>
          <w:rFonts w:ascii="Times New Roman" w:hAnsi="Times New Roman" w:cs="Times New Roman" w:eastAsia="Times New Roman" w:hint="default"/>
        </w:rPr>
        <w:t>2</w:t>
      </w:r>
      <w:r>
        <w:rPr/>
        <w:t>）</w:t>
      </w:r>
      <w:r>
        <w:rPr>
          <w:spacing w:val="-17"/>
        </w:rPr>
        <w:t> </w:t>
      </w:r>
      <w:r>
        <w:rPr/>
        <w:t>外汇风险</w:t>
      </w:r>
      <w:r>
        <w:rPr/>
        <w:t> 外汇风险是因汇率变动产生的风险。本公司面临的汇率变动的风险主要与本公司外币货币性资产和负债有关。 </w:t>
      </w:r>
      <w:r>
        <w:rPr>
          <w:spacing w:val="-1"/>
        </w:rPr>
        <w:t>本公司的业务主要发生在中国境内，交易均以人民币为记账本位币，本公司管理层认为汇率变动不会对本公司的净利</w:t>
      </w:r>
    </w:p>
    <w:p>
      <w:pPr>
        <w:pStyle w:val="BodyText"/>
        <w:spacing w:line="240" w:lineRule="auto" w:before="24"/>
        <w:ind w:right="0"/>
        <w:jc w:val="left"/>
      </w:pPr>
      <w:r>
        <w:rPr/>
        <w:t>润及股东权益产生重大影响。</w:t>
      </w:r>
    </w:p>
    <w:p>
      <w:pPr>
        <w:pStyle w:val="BodyText"/>
        <w:spacing w:line="300" w:lineRule="auto" w:before="77"/>
        <w:ind w:left="634" w:right="0"/>
        <w:jc w:val="left"/>
      </w:pPr>
      <w:r>
        <w:rPr>
          <w:rFonts w:ascii="Times New Roman" w:hAnsi="Times New Roman" w:cs="Times New Roman" w:eastAsia="Times New Roman" w:hint="default"/>
        </w:rPr>
        <w:t>4</w:t>
      </w:r>
      <w:r>
        <w:rPr/>
        <w:t>、</w:t>
      </w:r>
      <w:r>
        <w:rPr>
          <w:spacing w:val="-17"/>
        </w:rPr>
        <w:t> </w:t>
      </w:r>
      <w:r>
        <w:rPr/>
        <w:t>资本风险管理</w:t>
      </w:r>
      <w:r>
        <w:rPr/>
        <w:t> </w:t>
      </w:r>
      <w:r>
        <w:rPr>
          <w:spacing w:val="-1"/>
        </w:rPr>
        <w:t>本公司的资本风险管理政策是保障公司持续经营，为股东提供回报和为其他利益相关者提供利益，同时维持最佳的资</w:t>
      </w:r>
    </w:p>
    <w:p>
      <w:pPr>
        <w:pStyle w:val="BodyText"/>
        <w:spacing w:line="316" w:lineRule="auto" w:before="31"/>
        <w:ind w:right="0"/>
        <w:jc w:val="left"/>
      </w:pPr>
      <w:r>
        <w:rPr/>
        <w:t>本结构以降低资本成本。 </w:t>
      </w:r>
      <w:r>
        <w:rPr>
          <w:spacing w:val="-2"/>
        </w:rPr>
        <w:t>本公司的资本结构包括银行存款及本公司所有者权益。管理层通过考虑资金成本及各类资本风险而确定资本结构。本公司将</w:t>
      </w:r>
      <w:r>
        <w:rPr>
          <w:spacing w:val="-64"/>
        </w:rPr>
        <w:t> </w:t>
      </w:r>
      <w:r>
        <w:rPr>
          <w:spacing w:val="-64"/>
        </w:rPr>
      </w:r>
      <w:r>
        <w:rPr/>
        <w:t>通过派发股息、发行新股平衡资本结构。</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一、公允价值的披露" w:id="421"/>
      <w:bookmarkEnd w:id="421"/>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422"/>
      <w:bookmarkEnd w:id="422"/>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持续和非持续第一层次公允价值计量项目市价的确定依据" w:id="423"/>
      <w:bookmarkEnd w:id="423"/>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持续和非持续第二层次公允价值计量项目，采用的估值技术和重要参数的定性及定量信" w:id="424"/>
      <w:bookmarkEnd w:id="424"/>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425"/>
      <w:bookmarkEnd w:id="425"/>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426"/>
      <w:bookmarkEnd w:id="426"/>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27"/>
      <w:bookmarkEnd w:id="427"/>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28"/>
      <w:bookmarkEnd w:id="428"/>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429"/>
      <w:bookmarkEnd w:id="429"/>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9、其他" w:id="430"/>
      <w:bookmarkEnd w:id="430"/>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left="634" w:right="0"/>
        <w:jc w:val="left"/>
      </w:pP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日，本公司无以公允价值计量的金融工具。</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十二、关联方及关联交易" w:id="431"/>
      <w:bookmarkEnd w:id="431"/>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432"/>
      <w:bookmarkEnd w:id="432"/>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48" w:lineRule="auto" w:before="51"/>
        <w:ind w:right="2997"/>
        <w:jc w:val="left"/>
      </w:pPr>
      <w:r>
        <w:rPr/>
        <w:t>本企业的母公司情况的说明 本公司的控股股东为自然人景晓军，直接持有本公司</w:t>
      </w:r>
      <w:r>
        <w:rPr>
          <w:rFonts w:ascii="Times New Roman" w:hAnsi="Times New Roman" w:cs="Times New Roman" w:eastAsia="Times New Roman" w:hint="default"/>
        </w:rPr>
        <w:t>39.49%</w:t>
      </w:r>
      <w:r>
        <w:rPr/>
        <w:t>的表决权股份，为本公司第一大股东。 本企业最终控制方是。</w:t>
      </w:r>
    </w:p>
    <w:p>
      <w:pPr>
        <w:pStyle w:val="BodyText"/>
        <w:spacing w:line="240" w:lineRule="auto" w:before="35"/>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本企业的子公司情况" w:id="433"/>
      <w:bookmarkEnd w:id="433"/>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t>本企业子公司的情况详见附注九。</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本企业合营和联营企业情况" w:id="434"/>
      <w:bookmarkEnd w:id="434"/>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before="0"/>
        <w:ind w:right="2292"/>
        <w:jc w:val="left"/>
      </w:pPr>
      <w:r>
        <w:rPr/>
        <w:t>本企业重要的合营或联营企业详见附注九。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68"/>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35"/>
      <w:bookmarkEnd w:id="435"/>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董事、监事、经理、财务总监、董事会秘书</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新余市华信远景投资咨询有限公司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深圳市华信行投资合伙企业（有限合伙）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深圳市翰博天宝艺术品有限公司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深圳市诚兴和投资有限公司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受同一控制人控制的企业</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436"/>
      <w:bookmarkEnd w:id="436"/>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37"/>
      <w:bookmarkEnd w:id="437"/>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深圳市云安宝科技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pacing w:val="-6"/>
                <w:sz w:val="18"/>
                <w:szCs w:val="18"/>
              </w:rPr>
              <w:t>接受劳务、采购商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867,724.14</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699,076.91</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深圳云盈网络科技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9,373,018.49</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12,184,728.74</w:t>
            </w:r>
          </w:p>
        </w:tc>
      </w:tr>
      <w:tr>
        <w:trPr>
          <w:trHeight w:val="71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深圳前海中电慧安 科技有限公司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18,709,934.22</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0"/>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关联受托管理/承包及委托管理/出包情况" w:id="438"/>
      <w:bookmarkEnd w:id="438"/>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38" w:lineRule="auto" w:before="52"/>
        <w:ind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0"/>
        <w:jc w:val="left"/>
      </w:pPr>
      <w:r>
        <w:rPr/>
        <w:t>关联管理</w:t>
      </w:r>
      <w:r>
        <w:rPr>
          <w:rFonts w:ascii="Times New Roman" w:hAnsi="Times New Roman" w:cs="Times New Roman" w:eastAsia="Times New Roman" w:hint="default"/>
        </w:rPr>
        <w:t>/</w:t>
      </w:r>
      <w:r>
        <w:rPr/>
        <w:t>出包情况说明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关联租赁情况" w:id="439"/>
      <w:bookmarkEnd w:id="439"/>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4）关联担保情况" w:id="440"/>
      <w:bookmarkEnd w:id="440"/>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t>本公司作为担保方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0"/>
        <w:jc w:val="left"/>
      </w:pPr>
      <w:r>
        <w:rPr/>
        <w:t>本公司作为被担保方</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景晓军</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7" w:right="0"/>
              <w:jc w:val="left"/>
              <w:rPr>
                <w:rFonts w:ascii="Times New Roman" w:hAnsi="Times New Roman" w:cs="Times New Roman" w:eastAsia="Times New Roman" w:hint="default"/>
                <w:sz w:val="18"/>
                <w:szCs w:val="18"/>
              </w:rPr>
            </w:pPr>
            <w:r>
              <w:rPr>
                <w:rFonts w:ascii="Times New Roman"/>
                <w:sz w:val="18"/>
              </w:rPr>
              <w:t>86,671,696.80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both"/>
      </w:pPr>
      <w:r>
        <w:rPr/>
        <w:t>关联担保情况说明</w:t>
      </w:r>
    </w:p>
    <w:p>
      <w:pPr>
        <w:pStyle w:val="Heading3"/>
        <w:spacing w:line="312" w:lineRule="exact" w:before="97"/>
        <w:ind w:right="1170"/>
        <w:jc w:val="both"/>
      </w:pPr>
      <w:r>
        <w:rPr/>
        <w:t>根据公司之子公司深圳市任子行科技开发有限公司与广东中电富嘉工贸有限公司签订的销售 合同，预付进度款要求深圳市任子行科技开发有限公司提供书面履约担保，该担保由本公司 实际控制人景晓军提供。</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bookmarkStart w:name="（5）关联方资金拆借" w:id="441"/>
      <w:bookmarkEnd w:id="441"/>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6）关联方资产转让、债务重组情况" w:id="442"/>
      <w:bookmarkEnd w:id="442"/>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键管理人员报酬" w:id="443"/>
      <w:bookmarkEnd w:id="443"/>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4,986,700.00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 w:id="444"/>
      <w:bookmarkEnd w:id="444"/>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关联方应收应付款项" w:id="445"/>
      <w:bookmarkEnd w:id="445"/>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446"/>
      <w:bookmarkEnd w:id="446"/>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深圳市云安宝科技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84,400.02</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北京中天信安科技 有限责任公司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8" w:right="0"/>
              <w:jc w:val="left"/>
              <w:rPr>
                <w:rFonts w:ascii="Times New Roman" w:hAnsi="Times New Roman" w:cs="Times New Roman" w:eastAsia="Times New Roman" w:hint="default"/>
                <w:sz w:val="18"/>
                <w:szCs w:val="18"/>
              </w:rPr>
            </w:pPr>
            <w:r>
              <w:rPr>
                <w:rFonts w:ascii="Times New Roman"/>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7" w:right="0"/>
              <w:jc w:val="left"/>
              <w:rPr>
                <w:rFonts w:ascii="Times New Roman" w:hAnsi="Times New Roman" w:cs="Times New Roman" w:eastAsia="Times New Roman" w:hint="default"/>
                <w:sz w:val="18"/>
                <w:szCs w:val="18"/>
              </w:rPr>
            </w:pPr>
            <w:r>
              <w:rPr>
                <w:rFonts w:ascii="Times New Roman"/>
                <w:sz w:val="18"/>
              </w:rPr>
              <w:t>1,000,000.00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447"/>
      <w:bookmarkEnd w:id="447"/>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深圳云盈网络科技有限公司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2,611,564.66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1,226,699.37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深圳市云安宝科技有限公司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403,324.12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深圳前海中电慧安科技有限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116,811.14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448"/>
      <w:bookmarkEnd w:id="448"/>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49"/>
      <w:bookmarkEnd w:id="44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0"/>
      <w:bookmarkEnd w:id="450"/>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1"/>
      <w:bookmarkEnd w:id="45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8,140,000.00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以权益结算的股份支付情况" w:id="452"/>
      <w:bookmarkEnd w:id="452"/>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715"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134"/>
              <w:jc w:val="left"/>
              <w:rPr>
                <w:rFonts w:ascii="宋体" w:hAnsi="宋体" w:cs="宋体" w:eastAsia="宋体" w:hint="default"/>
                <w:sz w:val="18"/>
                <w:szCs w:val="18"/>
              </w:rPr>
            </w:pPr>
            <w:r>
              <w:rPr>
                <w:rFonts w:ascii="宋体" w:hAnsi="宋体" w:cs="宋体" w:eastAsia="宋体" w:hint="default"/>
                <w:sz w:val="18"/>
                <w:szCs w:val="18"/>
              </w:rPr>
              <w:t>按照限制性股票的授予价格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股确定授予日权益工 具的公允价值</w:t>
            </w:r>
          </w:p>
        </w:tc>
      </w:tr>
      <w:tr>
        <w:trPr>
          <w:trHeight w:val="714"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1"/>
              <w:jc w:val="left"/>
              <w:rPr>
                <w:rFonts w:ascii="宋体" w:hAnsi="宋体" w:cs="宋体" w:eastAsia="宋体" w:hint="default"/>
                <w:sz w:val="18"/>
                <w:szCs w:val="18"/>
              </w:rPr>
            </w:pPr>
            <w:r>
              <w:rPr>
                <w:rFonts w:ascii="宋体" w:hAnsi="宋体" w:cs="宋体" w:eastAsia="宋体" w:hint="default"/>
                <w:sz w:val="18"/>
                <w:szCs w:val="18"/>
              </w:rPr>
              <w:t>公司根据获授限制性股票额度基数与对应年度个人绩效考 核系数的乘积确定，并合理估计离职职工人数</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21,092,400.00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21,092,400.00</w:t>
            </w:r>
          </w:p>
        </w:tc>
      </w:tr>
    </w:tbl>
    <w:p>
      <w:pPr>
        <w:pStyle w:val="BodyText"/>
        <w:spacing w:line="240" w:lineRule="auto" w:before="51"/>
        <w:ind w:right="0"/>
        <w:jc w:val="left"/>
      </w:pPr>
      <w:r>
        <w:rPr/>
        <w:t>其他说明</w:t>
      </w:r>
    </w:p>
    <w:p>
      <w:pPr>
        <w:pStyle w:val="BodyText"/>
        <w:spacing w:line="240" w:lineRule="auto" w:before="115"/>
        <w:ind w:left="634" w:right="0"/>
        <w:jc w:val="left"/>
        <w:rPr>
          <w:rFonts w:ascii="Times New Roman" w:hAnsi="Times New Roman" w:cs="Times New Roman" w:eastAsia="Times New Roman" w:hint="default"/>
        </w:rPr>
      </w:pPr>
      <w:r>
        <w:rPr/>
        <w:t>公司于</w:t>
      </w:r>
      <w:r>
        <w:rPr>
          <w:rFonts w:ascii="Times New Roman" w:hAnsi="Times New Roman" w:cs="Times New Roman" w:eastAsia="Times New Roman" w:hint="default"/>
        </w:rPr>
        <w:t>2017</w:t>
      </w:r>
      <w:r>
        <w:rPr/>
        <w:t>年年度股东大会审议通过了</w:t>
      </w:r>
      <w:r>
        <w:rPr>
          <w:spacing w:val="-2"/>
        </w:rPr>
        <w:t> </w:t>
      </w:r>
      <w:r>
        <w:rPr>
          <w:spacing w:val="-3"/>
        </w:rPr>
        <w:t>《任子行网络技术股份有限公司</w:t>
      </w:r>
      <w:r>
        <w:rPr>
          <w:rFonts w:ascii="Times New Roman" w:hAnsi="Times New Roman" w:cs="Times New Roman" w:eastAsia="Times New Roman" w:hint="default"/>
          <w:spacing w:val="-3"/>
        </w:rPr>
        <w:t>2018</w:t>
      </w:r>
      <w:r>
        <w:rPr>
          <w:spacing w:val="-3"/>
        </w:rPr>
        <w:t>年限制性股票激励计划（草案）》。</w:t>
      </w:r>
      <w:r>
        <w:rPr>
          <w:rFonts w:ascii="Times New Roman" w:hAnsi="Times New Roman" w:cs="Times New Roman" w:eastAsia="Times New Roman" w:hint="default"/>
          <w:spacing w:val="-3"/>
        </w:rPr>
        <w:t>2018</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7" w:lineRule="auto"/>
        <w:ind w:right="1129"/>
        <w:jc w:val="both"/>
      </w:pP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日，公司召开第三届董事会第二十三次会议，审议通过了《关于向激励对象授予限制性股票的议案》，确定授予公 </w:t>
      </w:r>
      <w:r>
        <w:rPr>
          <w:spacing w:val="-2"/>
        </w:rPr>
        <w:t>司部分董事、高级管理人员以及公司董事会认为需要进行激励的中层管理人员、核心业务（技术）人员和对公司有特殊贡献</w:t>
      </w:r>
      <w:r>
        <w:rPr>
          <w:spacing w:val="-66"/>
        </w:rPr>
        <w:t> </w:t>
      </w:r>
      <w:r>
        <w:rPr>
          <w:spacing w:val="-66"/>
        </w:rPr>
      </w:r>
      <w:r>
        <w:rPr>
          <w:spacing w:val="-3"/>
        </w:rPr>
        <w:t>的其他人员（含分公司及控股子公司）等</w:t>
      </w:r>
      <w:r>
        <w:rPr>
          <w:rFonts w:ascii="Times New Roman" w:hAnsi="Times New Roman" w:cs="Times New Roman" w:eastAsia="Times New Roman" w:hint="default"/>
          <w:spacing w:val="-3"/>
        </w:rPr>
        <w:t>226</w:t>
      </w:r>
      <w:r>
        <w:rPr>
          <w:spacing w:val="-3"/>
        </w:rPr>
        <w:t>名激励对象共计</w:t>
      </w:r>
      <w:r>
        <w:rPr>
          <w:rFonts w:ascii="Times New Roman" w:hAnsi="Times New Roman" w:cs="Times New Roman" w:eastAsia="Times New Roman" w:hint="default"/>
          <w:spacing w:val="-3"/>
        </w:rPr>
        <w:t>814</w:t>
      </w:r>
      <w:r>
        <w:rPr>
          <w:spacing w:val="-3"/>
        </w:rPr>
        <w:t>万股限制性股票，授予日为</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17</w:t>
      </w:r>
      <w:r>
        <w:rPr>
          <w:spacing w:val="-3"/>
        </w:rPr>
        <w:t>日，授予价格为</w:t>
      </w:r>
      <w:r>
        <w:rPr>
          <w:rFonts w:ascii="Times New Roman" w:hAnsi="Times New Roman" w:cs="Times New Roman" w:eastAsia="Times New Roman" w:hint="default"/>
          <w:spacing w:val="-3"/>
        </w:rPr>
        <w:t>6.91</w:t>
      </w:r>
      <w:r>
        <w:rPr>
          <w:rFonts w:ascii="Times New Roman" w:hAnsi="Times New Roman" w:cs="Times New Roman" w:eastAsia="Times New Roman" w:hint="default"/>
          <w:spacing w:val="13"/>
        </w:rPr>
        <w:t> </w:t>
      </w:r>
      <w:r>
        <w:rPr/>
        <w:t>元</w:t>
      </w:r>
      <w:r>
        <w:rPr>
          <w:rFonts w:ascii="Times New Roman" w:hAnsi="Times New Roman" w:cs="Times New Roman" w:eastAsia="Times New Roman" w:hint="default"/>
        </w:rPr>
        <w:t>/</w:t>
      </w:r>
      <w:r>
        <w:rPr/>
        <w:t>股。</w:t>
      </w:r>
    </w:p>
    <w:p>
      <w:pPr>
        <w:pStyle w:val="BodyText"/>
        <w:spacing w:line="240" w:lineRule="auto" w:before="7"/>
        <w:ind w:left="634" w:right="0"/>
        <w:jc w:val="left"/>
      </w:pPr>
      <w:r>
        <w:rPr/>
        <w:t>截至本报告期期末，本公司收到</w:t>
      </w:r>
      <w:r>
        <w:rPr>
          <w:rFonts w:ascii="Times New Roman" w:hAnsi="Times New Roman" w:cs="Times New Roman" w:eastAsia="Times New Roman" w:hint="default"/>
        </w:rPr>
        <w:t>814</w:t>
      </w:r>
      <w:r>
        <w:rPr/>
        <w:t>万股限制性股票款</w:t>
      </w:r>
      <w:r>
        <w:rPr>
          <w:rFonts w:ascii="Times New Roman" w:hAnsi="Times New Roman" w:cs="Times New Roman" w:eastAsia="Times New Roman" w:hint="default"/>
        </w:rPr>
        <w:t>56,247,400.00</w:t>
      </w:r>
      <w:r>
        <w:rPr/>
        <w:t>元，限制性股票激励计划处于等待期内。</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以现金结算的股份支付情况" w:id="453"/>
      <w:bookmarkEnd w:id="453"/>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line="544" w:lineRule="auto" w:before="0"/>
        <w:ind w:left="154" w:right="790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4、股份支付的修改、终止情况" w:id="454"/>
      <w:bookmarkEnd w:id="454"/>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w w:val="99"/>
          <w:sz w:val="21"/>
          <w:szCs w:val="21"/>
        </w:rPr>
        <w:t> </w:t>
      </w:r>
      <w:r>
        <w:rPr>
          <w:rFonts w:ascii="宋体" w:hAnsi="宋体" w:cs="宋体" w:eastAsia="宋体" w:hint="default"/>
          <w:sz w:val="18"/>
          <w:szCs w:val="18"/>
        </w:rPr>
        <w:t>无</w:t>
      </w:r>
    </w:p>
    <w:p>
      <w:pPr>
        <w:spacing w:line="487" w:lineRule="auto" w:before="123"/>
        <w:ind w:left="154" w:right="8412" w:firstLine="0"/>
        <w:jc w:val="left"/>
        <w:rPr>
          <w:rFonts w:ascii="宋体" w:hAnsi="宋体" w:cs="宋体" w:eastAsia="宋体" w:hint="default"/>
          <w:sz w:val="21"/>
          <w:szCs w:val="21"/>
        </w:rPr>
      </w:pPr>
      <w:bookmarkStart w:name="5、其他" w:id="455"/>
      <w:bookmarkEnd w:id="455"/>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56"/>
      <w:bookmarkEnd w:id="45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57"/>
      <w:bookmarkEnd w:id="457"/>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left="634" w:right="5772" w:hanging="480"/>
        <w:jc w:val="left"/>
      </w:pPr>
      <w:r>
        <w:rPr/>
        <w:t>资产负债表日存在的重要承诺 公司于资产负债表日没有需要披露的对外重要承诺事项。</w:t>
      </w:r>
    </w:p>
    <w:p>
      <w:pPr>
        <w:spacing w:line="240" w:lineRule="auto" w:before="2"/>
        <w:rPr>
          <w:rFonts w:ascii="宋体" w:hAnsi="宋体" w:cs="宋体" w:eastAsia="宋体" w:hint="default"/>
          <w:sz w:val="22"/>
          <w:szCs w:val="22"/>
        </w:rPr>
      </w:pPr>
    </w:p>
    <w:p>
      <w:pPr>
        <w:pStyle w:val="Heading6"/>
        <w:spacing w:line="240" w:lineRule="auto"/>
        <w:ind w:right="0"/>
        <w:jc w:val="left"/>
        <w:rPr>
          <w:b w:val="0"/>
          <w:bCs w:val="0"/>
        </w:rPr>
      </w:pPr>
      <w:bookmarkStart w:name="2、或有事项" w:id="458"/>
      <w:bookmarkEnd w:id="458"/>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0"/>
        <w:rPr>
          <w:rFonts w:ascii="宋体" w:hAnsi="宋体" w:cs="宋体" w:eastAsia="宋体" w:hint="default"/>
          <w:b/>
          <w:bCs/>
          <w:sz w:val="18"/>
          <w:szCs w:val="18"/>
        </w:rPr>
      </w:pPr>
    </w:p>
    <w:p>
      <w:pPr>
        <w:spacing w:line="590" w:lineRule="auto" w:before="128"/>
        <w:ind w:left="634" w:right="6132" w:hanging="480"/>
        <w:jc w:val="left"/>
        <w:rPr>
          <w:rFonts w:ascii="宋体" w:hAnsi="宋体" w:cs="宋体" w:eastAsia="宋体" w:hint="default"/>
          <w:sz w:val="18"/>
          <w:szCs w:val="18"/>
        </w:rPr>
      </w:pPr>
      <w:bookmarkStart w:name="（1）资产负债表日存在的重要或有事项" w:id="459"/>
      <w:bookmarkEnd w:id="459"/>
      <w:r>
        <w:rPr/>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）资产负债表日存在的重要或有事项</w:t>
      </w:r>
      <w:r>
        <w:rPr>
          <w:rFonts w:ascii="宋体" w:hAnsi="宋体" w:cs="宋体" w:eastAsia="宋体" w:hint="default"/>
          <w:b/>
          <w:bCs/>
          <w:w w:val="99"/>
          <w:sz w:val="18"/>
          <w:szCs w:val="18"/>
        </w:rPr>
        <w:t> </w:t>
      </w:r>
      <w:r>
        <w:rPr>
          <w:rFonts w:ascii="宋体" w:hAnsi="宋体" w:cs="宋体" w:eastAsia="宋体" w:hint="default"/>
          <w:sz w:val="18"/>
          <w:szCs w:val="18"/>
        </w:rPr>
        <w:t>公司于资产负债表日没有需要披露的重要或有事项。</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Heading4"/>
        <w:spacing w:line="240" w:lineRule="auto"/>
        <w:ind w:right="0"/>
        <w:jc w:val="left"/>
        <w:rPr>
          <w:b w:val="0"/>
          <w:bCs w:val="0"/>
        </w:rPr>
      </w:pPr>
      <w:bookmarkStart w:name="（2）公司没有需要披露的重要或有事项，也应予以说明" w:id="460"/>
      <w:bookmarkEnd w:id="460"/>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61"/>
      <w:bookmarkEnd w:id="46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2"/>
      <w:bookmarkEnd w:id="462"/>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63"/>
      <w:bookmarkEnd w:id="463"/>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9"/>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利润分配情况" w:id="464"/>
      <w:bookmarkEnd w:id="46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销售退回" w:id="465"/>
      <w:bookmarkEnd w:id="465"/>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7695" w:firstLine="0"/>
        <w:jc w:val="left"/>
        <w:rPr>
          <w:rFonts w:ascii="宋体" w:hAnsi="宋体" w:cs="宋体" w:eastAsia="宋体" w:hint="default"/>
          <w:sz w:val="21"/>
          <w:szCs w:val="21"/>
        </w:rPr>
      </w:pPr>
      <w:bookmarkStart w:name="4、其他资产负债表日后事项说明" w:id="466"/>
      <w:bookmarkEnd w:id="466"/>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67"/>
      <w:bookmarkEnd w:id="467"/>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68"/>
      <w:bookmarkEnd w:id="46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3"/>
        <w:ind w:right="0"/>
        <w:jc w:val="left"/>
        <w:rPr>
          <w:b w:val="0"/>
          <w:bCs w:val="0"/>
        </w:rPr>
      </w:pPr>
      <w:bookmarkStart w:name="（1）追溯重述法" w:id="469"/>
      <w:bookmarkEnd w:id="469"/>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470"/>
      <w:bookmarkEnd w:id="470"/>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2、债务重组" w:id="471"/>
      <w:bookmarkEnd w:id="47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72"/>
      <w:bookmarkEnd w:id="47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73"/>
      <w:bookmarkEnd w:id="473"/>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74"/>
      <w:bookmarkEnd w:id="474"/>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475"/>
      <w:bookmarkEnd w:id="475"/>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476"/>
      <w:bookmarkEnd w:id="476"/>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分部信息" w:id="477"/>
      <w:bookmarkEnd w:id="477"/>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478"/>
      <w:bookmarkEnd w:id="478"/>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before="0"/>
        <w:ind w:left="634" w:right="4512"/>
        <w:jc w:val="left"/>
      </w:pPr>
      <w:r>
        <w:rPr/>
        <w:t>公司以内部组织结构、管理要求、内部报告制度等为依据确定经营分部。 本公司</w:t>
      </w:r>
      <w:r>
        <w:rPr>
          <w:rFonts w:ascii="Times New Roman" w:hAnsi="Times New Roman" w:cs="Times New Roman" w:eastAsia="Times New Roman" w:hint="default"/>
        </w:rPr>
        <w:t>2018</w:t>
      </w:r>
      <w:r>
        <w:rPr/>
        <w:t>年度以公司各事业部分部为基础确定报告分部。</w:t>
      </w:r>
    </w:p>
    <w:p>
      <w:pPr>
        <w:spacing w:after="0" w:line="316"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报告分部的财务信息" w:id="479"/>
      <w:bookmarkEnd w:id="479"/>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26"/>
        <w:gridCol w:w="1903"/>
        <w:gridCol w:w="1925"/>
        <w:gridCol w:w="1903"/>
        <w:gridCol w:w="1903"/>
      </w:tblGrid>
      <w:tr>
        <w:trPr>
          <w:trHeight w:val="404" w:hRule="exact"/>
        </w:trPr>
        <w:tc>
          <w:tcPr>
            <w:tcW w:w="1926" w:type="dxa"/>
            <w:tcBorders>
              <w:top w:val="single" w:sz="4" w:space="0" w:color="000000"/>
              <w:left w:val="single" w:sz="4" w:space="0" w:color="000000"/>
              <w:bottom w:val="single" w:sz="4" w:space="0" w:color="000000"/>
              <w:right w:val="single" w:sz="9" w:space="0" w:color="E0FFFF"/>
            </w:tcBorders>
            <w:shd w:val="clear" w:color="auto" w:fill="D2D2D2"/>
          </w:tcPr>
          <w:p>
            <w:pPr>
              <w:pStyle w:val="TableParagraph"/>
              <w:spacing w:line="240" w:lineRule="auto" w:before="52"/>
              <w:ind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1903"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925" w:type="dxa"/>
            <w:tcBorders>
              <w:top w:val="single" w:sz="4" w:space="0" w:color="000000"/>
              <w:left w:val="single" w:sz="4" w:space="0" w:color="000000"/>
              <w:bottom w:val="single" w:sz="4" w:space="0" w:color="000000"/>
              <w:right w:val="single" w:sz="13" w:space="0" w:color="D2D2D2"/>
            </w:tcBorders>
            <w:shd w:val="clear" w:color="auto" w:fill="E0FFFF"/>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公司无报告分部的，或者不能披露各报告分部的资产总额和负债总额的，应说明原因" w:id="480"/>
      <w:bookmarkEnd w:id="480"/>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说明" w:id="481"/>
      <w:bookmarkEnd w:id="481"/>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4"/>
          <w:szCs w:val="24"/>
        </w:rPr>
      </w:pPr>
    </w:p>
    <w:p>
      <w:pPr>
        <w:pStyle w:val="Heading3"/>
        <w:spacing w:line="240" w:lineRule="auto"/>
        <w:ind w:left="5060" w:right="0"/>
        <w:jc w:val="left"/>
      </w:pPr>
      <w:r>
        <w:rPr/>
        <w:t>单位：元</w:t>
      </w:r>
      <w:r>
        <w:rPr>
          <w:spacing w:val="72"/>
        </w:rPr>
        <w:t> </w:t>
      </w:r>
      <w:r>
        <w:rPr/>
        <w:t>币种：人民币</w:t>
      </w:r>
    </w:p>
    <w:p>
      <w:pPr>
        <w:spacing w:line="240" w:lineRule="auto" w:before="1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2128"/>
        <w:gridCol w:w="1701"/>
        <w:gridCol w:w="1559"/>
        <w:gridCol w:w="1702"/>
        <w:gridCol w:w="1559"/>
      </w:tblGrid>
      <w:tr>
        <w:trPr>
          <w:trHeight w:val="342" w:hRule="exact"/>
        </w:trPr>
        <w:tc>
          <w:tcPr>
            <w:tcW w:w="2128" w:type="dxa"/>
            <w:vMerge w:val="restart"/>
            <w:tcBorders>
              <w:top w:val="single" w:sz="4" w:space="0" w:color="000000"/>
              <w:left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5"/>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54"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42" w:hRule="exact"/>
        </w:trPr>
        <w:tc>
          <w:tcPr>
            <w:tcW w:w="2128" w:type="dxa"/>
            <w:vMerge/>
            <w:tcBorders>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4"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31"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34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公安事业部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255,988,019.70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162,453,120.21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291,561,514.43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154,832,736.32</w:t>
            </w:r>
          </w:p>
        </w:tc>
      </w:tr>
      <w:tr>
        <w:trPr>
          <w:trHeight w:val="34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网安事业部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59,424,280.13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26,396,944.67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32,133,597.60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15,344,239.85</w:t>
            </w:r>
          </w:p>
        </w:tc>
      </w:tr>
      <w:tr>
        <w:trPr>
          <w:trHeight w:val="34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信安事业部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232,541,712.13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108,177,754.87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113,570,969.07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47,885,684.43</w:t>
            </w:r>
          </w:p>
        </w:tc>
      </w:tr>
      <w:tr>
        <w:trPr>
          <w:trHeight w:val="34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网资管理事业部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322,783,262.01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160,363,377.41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235,692,229.36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108,894,791.96</w:t>
            </w:r>
          </w:p>
        </w:tc>
      </w:tr>
      <w:tr>
        <w:trPr>
          <w:trHeight w:val="34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文化娱乐事业部</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326,146,588.97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128,534,685.25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399,262,504.19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192,396,022.70</w:t>
            </w:r>
          </w:p>
        </w:tc>
      </w:tr>
      <w:tr>
        <w:trPr>
          <w:trHeight w:val="34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b/>
                <w:spacing w:val="-1"/>
                <w:sz w:val="18"/>
              </w:rPr>
              <w:t>1,196,883,862.94</w:t>
            </w:r>
            <w:r>
              <w:rPr>
                <w:rFonts w:ascii="Times New Roman"/>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585,925,882.41</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4"/>
              <w:jc w:val="right"/>
              <w:rPr>
                <w:rFonts w:ascii="Times New Roman" w:hAnsi="Times New Roman" w:cs="Times New Roman" w:eastAsia="Times New Roman" w:hint="default"/>
                <w:sz w:val="18"/>
                <w:szCs w:val="18"/>
              </w:rPr>
            </w:pPr>
            <w:r>
              <w:rPr>
                <w:rFonts w:ascii="Times New Roman"/>
                <w:b/>
                <w:spacing w:val="-1"/>
                <w:sz w:val="18"/>
              </w:rPr>
              <w:t>1,072,220,814.65</w:t>
            </w:r>
            <w:r>
              <w:rPr>
                <w:rFonts w:ascii="Times New Roman"/>
                <w:spacing w:val="-1"/>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519,353,475.26</w:t>
            </w:r>
            <w:r>
              <w:rPr>
                <w:rFonts w:ascii="Times New Roman"/>
                <w:spacing w:val="-1"/>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5"/>
        <w:ind w:right="0"/>
        <w:jc w:val="left"/>
        <w:rPr>
          <w:b w:val="0"/>
          <w:bCs w:val="0"/>
        </w:rPr>
      </w:pPr>
      <w:bookmarkStart w:name="7、其他对投资者决策有影响的重要交易和事项" w:id="482"/>
      <w:bookmarkEnd w:id="482"/>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其他" w:id="483"/>
      <w:bookmarkEnd w:id="483"/>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left="578" w:right="0"/>
        <w:jc w:val="left"/>
        <w:rPr>
          <w:b w:val="0"/>
          <w:bCs w:val="0"/>
        </w:rPr>
      </w:pPr>
      <w:r>
        <w:rPr/>
        <w:t>政府补助</w:t>
      </w:r>
      <w:r>
        <w:rPr>
          <w:b w:val="0"/>
          <w:bCs w:val="0"/>
        </w:rPr>
      </w:r>
    </w:p>
    <w:p>
      <w:pPr>
        <w:pStyle w:val="Heading3"/>
        <w:spacing w:line="240" w:lineRule="auto" w:before="118"/>
        <w:ind w:left="490" w:right="0"/>
        <w:jc w:val="left"/>
      </w:pPr>
      <w:r>
        <w:rPr/>
        <w:t>（</w:t>
      </w:r>
      <w:r>
        <w:rPr>
          <w:rFonts w:ascii="Times New Roman" w:hAnsi="Times New Roman" w:cs="Times New Roman" w:eastAsia="Times New Roman" w:hint="default"/>
        </w:rPr>
        <w:t>1</w:t>
      </w:r>
      <w:r>
        <w:rPr/>
        <w:t>）计入递延收益的政府补助，后续采用总额法计量</w:t>
      </w:r>
    </w:p>
    <w:p>
      <w:pPr>
        <w:spacing w:line="240" w:lineRule="auto" w:before="12"/>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818"/>
        <w:gridCol w:w="924"/>
        <w:gridCol w:w="1202"/>
        <w:gridCol w:w="1134"/>
        <w:gridCol w:w="1061"/>
        <w:gridCol w:w="640"/>
        <w:gridCol w:w="1060"/>
        <w:gridCol w:w="994"/>
        <w:gridCol w:w="1066"/>
      </w:tblGrid>
      <w:tr>
        <w:trPr>
          <w:trHeight w:val="966"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5"/>
                <w:szCs w:val="15"/>
              </w:rPr>
            </w:pPr>
            <w:r>
              <w:rPr>
                <w:rFonts w:ascii="宋体" w:hAnsi="宋体" w:cs="宋体" w:eastAsia="宋体" w:hint="default"/>
                <w:sz w:val="15"/>
                <w:szCs w:val="15"/>
              </w:rPr>
              <w:t>补助项目</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种类</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期初余额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4"/>
              <w:ind w:left="485" w:right="36" w:hanging="450"/>
              <w:jc w:val="left"/>
              <w:rPr>
                <w:rFonts w:ascii="宋体" w:hAnsi="宋体" w:cs="宋体" w:eastAsia="宋体" w:hint="default"/>
                <w:sz w:val="15"/>
                <w:szCs w:val="15"/>
              </w:rPr>
            </w:pPr>
            <w:r>
              <w:rPr>
                <w:rFonts w:ascii="宋体" w:hAnsi="宋体" w:cs="宋体" w:eastAsia="宋体" w:hint="default"/>
                <w:sz w:val="15"/>
                <w:szCs w:val="15"/>
              </w:rPr>
              <w:t>本期新增补助金 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4"/>
              <w:ind w:left="225" w:right="73" w:hanging="150"/>
              <w:jc w:val="left"/>
              <w:rPr>
                <w:rFonts w:ascii="宋体" w:hAnsi="宋体" w:cs="宋体" w:eastAsia="宋体" w:hint="default"/>
                <w:sz w:val="15"/>
                <w:szCs w:val="15"/>
              </w:rPr>
            </w:pPr>
            <w:r>
              <w:rPr>
                <w:rFonts w:ascii="宋体" w:hAnsi="宋体" w:cs="宋体" w:eastAsia="宋体" w:hint="default"/>
                <w:sz w:val="15"/>
                <w:szCs w:val="15"/>
              </w:rPr>
              <w:t>本期结转计入 损益金额</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5"/>
                <w:szCs w:val="15"/>
              </w:rPr>
            </w:pPr>
            <w:r>
              <w:rPr>
                <w:rFonts w:ascii="宋体" w:hAnsi="宋体" w:cs="宋体" w:eastAsia="宋体" w:hint="default"/>
                <w:sz w:val="15"/>
                <w:szCs w:val="15"/>
              </w:rPr>
              <w:t>其他变动</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期末余额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4"/>
              <w:ind w:left="42" w:right="40"/>
              <w:jc w:val="center"/>
              <w:rPr>
                <w:rFonts w:ascii="宋体" w:hAnsi="宋体" w:cs="宋体" w:eastAsia="宋体" w:hint="default"/>
                <w:sz w:val="15"/>
                <w:szCs w:val="15"/>
              </w:rPr>
            </w:pPr>
            <w:r>
              <w:rPr>
                <w:rFonts w:ascii="宋体" w:hAnsi="宋体" w:cs="宋体" w:eastAsia="宋体" w:hint="default"/>
                <w:sz w:val="15"/>
                <w:szCs w:val="15"/>
              </w:rPr>
              <w:t>本期结转计入 损益的列报项 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44"/>
              <w:ind w:left="227" w:right="55" w:hanging="172"/>
              <w:jc w:val="left"/>
              <w:rPr>
                <w:rFonts w:ascii="宋体" w:hAnsi="宋体" w:cs="宋体" w:eastAsia="宋体" w:hint="default"/>
                <w:sz w:val="15"/>
                <w:szCs w:val="15"/>
              </w:rPr>
            </w:pPr>
            <w:r>
              <w:rPr>
                <w:rFonts w:ascii="宋体" w:hAnsi="宋体" w:cs="宋体" w:eastAsia="宋体" w:hint="default"/>
                <w:sz w:val="15"/>
                <w:szCs w:val="15"/>
              </w:rPr>
              <w:t>与资产相关</w:t>
            </w:r>
            <w:r>
              <w:rPr>
                <w:rFonts w:ascii="Times New Roman" w:hAnsi="Times New Roman" w:cs="Times New Roman" w:eastAsia="Times New Roman" w:hint="default"/>
                <w:sz w:val="15"/>
                <w:szCs w:val="15"/>
              </w:rPr>
              <w:t>/</w:t>
            </w:r>
            <w:r>
              <w:rPr>
                <w:rFonts w:ascii="宋体" w:hAnsi="宋体" w:cs="宋体" w:eastAsia="宋体" w:hint="default"/>
                <w:sz w:val="15"/>
                <w:szCs w:val="15"/>
              </w:rPr>
              <w:t>与 收益相关</w:t>
            </w:r>
          </w:p>
        </w:tc>
      </w:tr>
      <w:tr>
        <w:trPr>
          <w:trHeight w:val="343" w:hRule="exact"/>
        </w:trPr>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02"/>
              <w:jc w:val="right"/>
              <w:rPr>
                <w:rFonts w:ascii="宋体" w:hAnsi="宋体" w:cs="宋体" w:eastAsia="宋体" w:hint="default"/>
                <w:sz w:val="15"/>
                <w:szCs w:val="15"/>
              </w:rPr>
            </w:pPr>
            <w:r>
              <w:rPr>
                <w:rFonts w:ascii="宋体" w:hAnsi="宋体" w:cs="宋体" w:eastAsia="宋体" w:hint="default"/>
                <w:sz w:val="15"/>
                <w:szCs w:val="15"/>
              </w:rPr>
              <w:t>专项补助</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政府补助</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35,413,666.67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29" w:right="0"/>
              <w:jc w:val="left"/>
              <w:rPr>
                <w:rFonts w:ascii="Times New Roman" w:hAnsi="Times New Roman" w:cs="Times New Roman" w:eastAsia="Times New Roman" w:hint="default"/>
                <w:sz w:val="15"/>
                <w:szCs w:val="15"/>
              </w:rPr>
            </w:pPr>
            <w:r>
              <w:rPr>
                <w:rFonts w:ascii="Times New Roman"/>
                <w:sz w:val="15"/>
              </w:rPr>
              <w:t>14,000,000.00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93" w:right="0"/>
              <w:jc w:val="left"/>
              <w:rPr>
                <w:rFonts w:ascii="Times New Roman" w:hAnsi="Times New Roman" w:cs="Times New Roman" w:eastAsia="Times New Roman" w:hint="default"/>
                <w:sz w:val="15"/>
                <w:szCs w:val="15"/>
              </w:rPr>
            </w:pPr>
            <w:r>
              <w:rPr>
                <w:rFonts w:ascii="Times New Roman"/>
                <w:sz w:val="15"/>
              </w:rPr>
              <w:t>10,109,999.96</w:t>
            </w:r>
          </w:p>
        </w:tc>
        <w:tc>
          <w:tcPr>
            <w:tcW w:w="64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0"/>
              <w:jc w:val="center"/>
              <w:rPr>
                <w:rFonts w:ascii="Times New Roman" w:hAnsi="Times New Roman" w:cs="Times New Roman" w:eastAsia="Times New Roman" w:hint="default"/>
                <w:sz w:val="15"/>
                <w:szCs w:val="15"/>
              </w:rPr>
            </w:pPr>
            <w:r>
              <w:rPr>
                <w:rFonts w:ascii="Times New Roman"/>
                <w:sz w:val="15"/>
              </w:rPr>
              <w:t>39,303,666.71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92" w:right="0"/>
              <w:jc w:val="left"/>
              <w:rPr>
                <w:rFonts w:ascii="宋体" w:hAnsi="宋体" w:cs="宋体" w:eastAsia="宋体" w:hint="default"/>
                <w:sz w:val="15"/>
                <w:szCs w:val="15"/>
              </w:rPr>
            </w:pPr>
            <w:r>
              <w:rPr>
                <w:rFonts w:ascii="宋体" w:hAnsi="宋体" w:cs="宋体" w:eastAsia="宋体" w:hint="default"/>
                <w:sz w:val="15"/>
                <w:szCs w:val="15"/>
              </w:rPr>
              <w:t>其他收益</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52" w:right="0"/>
              <w:jc w:val="left"/>
              <w:rPr>
                <w:rFonts w:ascii="宋体" w:hAnsi="宋体" w:cs="宋体" w:eastAsia="宋体" w:hint="default"/>
                <w:sz w:val="15"/>
                <w:szCs w:val="15"/>
              </w:rPr>
            </w:pPr>
            <w:r>
              <w:rPr>
                <w:rFonts w:ascii="宋体" w:hAnsi="宋体" w:cs="宋体" w:eastAsia="宋体" w:hint="default"/>
                <w:sz w:val="15"/>
                <w:szCs w:val="15"/>
              </w:rPr>
              <w:t>与资产相关</w:t>
            </w:r>
          </w:p>
        </w:tc>
      </w:tr>
    </w:tbl>
    <w:p>
      <w:pPr>
        <w:pStyle w:val="Heading3"/>
        <w:spacing w:line="240" w:lineRule="auto" w:before="81"/>
        <w:ind w:left="636" w:right="0"/>
        <w:jc w:val="left"/>
      </w:pPr>
      <w:r>
        <w:rPr/>
        <w:t>（</w:t>
      </w:r>
      <w:r>
        <w:rPr>
          <w:rFonts w:ascii="Times New Roman" w:hAnsi="Times New Roman" w:cs="Times New Roman" w:eastAsia="Times New Roman" w:hint="default"/>
        </w:rPr>
        <w:t>2</w:t>
      </w:r>
      <w:r>
        <w:rPr/>
        <w:t>）采用总额法计入当期损益的政府补助情况</w:t>
      </w:r>
    </w:p>
    <w:p>
      <w:pPr>
        <w:spacing w:line="240" w:lineRule="auto" w:before="12"/>
        <w:rPr>
          <w:rFonts w:ascii="宋体" w:hAnsi="宋体" w:cs="宋体" w:eastAsia="宋体" w:hint="default"/>
          <w:sz w:val="17"/>
          <w:szCs w:val="17"/>
        </w:rPr>
      </w:pPr>
    </w:p>
    <w:tbl>
      <w:tblPr>
        <w:tblW w:w="0" w:type="auto"/>
        <w:jc w:val="left"/>
        <w:tblInd w:w="149" w:type="dxa"/>
        <w:tblLayout w:type="fixed"/>
        <w:tblCellMar>
          <w:top w:w="0" w:type="dxa"/>
          <w:left w:w="0" w:type="dxa"/>
          <w:bottom w:w="0" w:type="dxa"/>
          <w:right w:w="0" w:type="dxa"/>
        </w:tblCellMar>
        <w:tblLook w:val="01E0"/>
      </w:tblPr>
      <w:tblGrid>
        <w:gridCol w:w="2031"/>
        <w:gridCol w:w="1626"/>
        <w:gridCol w:w="1616"/>
        <w:gridCol w:w="1626"/>
        <w:gridCol w:w="1625"/>
      </w:tblGrid>
      <w:tr>
        <w:trPr>
          <w:trHeight w:val="654"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13" w:right="80" w:hanging="630"/>
              <w:jc w:val="left"/>
              <w:rPr>
                <w:rFonts w:ascii="宋体" w:hAnsi="宋体" w:cs="宋体" w:eastAsia="宋体" w:hint="default"/>
                <w:sz w:val="18"/>
                <w:szCs w:val="18"/>
              </w:rPr>
            </w:pPr>
            <w:r>
              <w:rPr>
                <w:rFonts w:ascii="宋体" w:hAnsi="宋体" w:cs="宋体" w:eastAsia="宋体" w:hint="default"/>
                <w:sz w:val="18"/>
                <w:szCs w:val="18"/>
              </w:rPr>
              <w:t>本期计入损益的金 额</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538" w:right="85" w:hanging="450"/>
              <w:jc w:val="left"/>
              <w:rPr>
                <w:rFonts w:ascii="宋体" w:hAnsi="宋体" w:cs="宋体" w:eastAsia="宋体" w:hint="default"/>
                <w:sz w:val="18"/>
                <w:szCs w:val="18"/>
              </w:rPr>
            </w:pPr>
            <w:r>
              <w:rPr>
                <w:rFonts w:ascii="宋体" w:hAnsi="宋体" w:cs="宋体" w:eastAsia="宋体" w:hint="default"/>
                <w:sz w:val="18"/>
                <w:szCs w:val="18"/>
              </w:rPr>
              <w:t>本期计入损益的列 报项目</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628" w:right="60" w:hanging="56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342"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专项补助</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19,421,676.09</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45"/>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2" w:hRule="exact"/>
        </w:trPr>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增值税退税</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政府补助</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44,615,340.23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445"/>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七、母公司财务报表主要项目注释" w:id="484"/>
      <w:bookmarkEnd w:id="484"/>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及应收账款" w:id="485"/>
      <w:bookmarkEnd w:id="485"/>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1,463,500.00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4,120,176.00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275,844,696.23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312,920,281.93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277,308,196.23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317,040,457.93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486"/>
      <w:bookmarkEnd w:id="486"/>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4,120,176.00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1,463,500.00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4,120,176.00</w:t>
            </w:r>
          </w:p>
        </w:tc>
      </w:tr>
    </w:tbl>
    <w:p>
      <w:pPr>
        <w:pStyle w:val="BodyText"/>
        <w:spacing w:line="240" w:lineRule="auto" w:before="51"/>
        <w:ind w:right="0"/>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pStyle w:val="BodyText"/>
        <w:spacing w:line="240" w:lineRule="auto" w:before="51"/>
        <w:ind w:right="0"/>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期末公司因出票人未履约而将其转应收账款的票据" w:id="487"/>
      <w:bookmarkEnd w:id="487"/>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账款" w:id="488"/>
      <w:bookmarkEnd w:id="488"/>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46"/>
        <w:gridCol w:w="752"/>
        <w:gridCol w:w="762"/>
        <w:gridCol w:w="774"/>
        <w:gridCol w:w="739"/>
        <w:gridCol w:w="812"/>
        <w:gridCol w:w="643"/>
        <w:gridCol w:w="762"/>
        <w:gridCol w:w="813"/>
        <w:gridCol w:w="932"/>
        <w:gridCol w:w="932"/>
      </w:tblGrid>
      <w:tr>
        <w:trPr>
          <w:trHeight w:val="403" w:hRule="exact"/>
        </w:trPr>
        <w:tc>
          <w:tcPr>
            <w:tcW w:w="1646"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46" w:type="dxa"/>
            <w:vMerge/>
            <w:tcBorders>
              <w:left w:val="single" w:sz="4" w:space="0" w:color="000000"/>
              <w:bottom w:val="nil" w:sz="6" w:space="0" w:color="auto"/>
              <w:right w:val="single" w:sz="4" w:space="0" w:color="000000"/>
            </w:tcBorders>
            <w:shd w:val="clear" w:color="auto" w:fill="D2D2D2"/>
          </w:tcPr>
          <w:p>
            <w:pPr/>
          </w:p>
        </w:tc>
        <w:tc>
          <w:tcPr>
            <w:tcW w:w="151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2D2D2"/>
          </w:tcPr>
          <w:p>
            <w:pPr/>
          </w:p>
        </w:tc>
        <w:tc>
          <w:tcPr>
            <w:tcW w:w="140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14" w:type="dxa"/>
            <w:gridSpan w:val="2"/>
            <w:vMerge/>
            <w:tcBorders>
              <w:left w:val="single" w:sz="4" w:space="0" w:color="000000"/>
              <w:bottom w:val="single" w:sz="4" w:space="0" w:color="000000"/>
              <w:right w:val="single" w:sz="4" w:space="0" w:color="000000"/>
            </w:tcBorders>
            <w:shd w:val="clear" w:color="auto" w:fill="D2D2D2"/>
          </w:tcPr>
          <w:p>
            <w:pPr/>
          </w:p>
        </w:tc>
        <w:tc>
          <w:tcPr>
            <w:tcW w:w="1513" w:type="dxa"/>
            <w:gridSpan w:val="2"/>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1405"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46" w:type="dxa"/>
            <w:vMerge/>
            <w:tcBorders>
              <w:left w:val="single" w:sz="4" w:space="0" w:color="000000"/>
              <w:bottom w:val="single" w:sz="4" w:space="0" w:color="FFFFFF"/>
              <w:right w:val="single" w:sz="4" w:space="0" w:color="000000"/>
            </w:tcBorders>
            <w:shd w:val="clear" w:color="auto" w:fill="D2D2D2"/>
          </w:tcPr>
          <w:p>
            <w:pPr/>
          </w:p>
        </w:tc>
        <w:tc>
          <w:tcPr>
            <w:tcW w:w="7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4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4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46" w:type="dxa"/>
            <w:vMerge w:val="restart"/>
            <w:tcBorders>
              <w:top w:val="single" w:sz="4" w:space="0" w:color="FFFFFF"/>
              <w:left w:val="single" w:sz="4" w:space="0" w:color="000000"/>
              <w:right w:val="single" w:sz="4" w:space="0" w:color="000000"/>
            </w:tcBorders>
            <w:shd w:val="clear" w:color="auto" w:fill="D2D2D2"/>
          </w:tcPr>
          <w:p>
            <w:pPr/>
          </w:p>
        </w:tc>
        <w:tc>
          <w:tcPr>
            <w:tcW w:w="7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9" w:type="dxa"/>
            <w:vMerge/>
            <w:tcBorders>
              <w:left w:val="single" w:sz="4" w:space="0" w:color="000000"/>
              <w:right w:val="single" w:sz="4" w:space="0" w:color="000000"/>
            </w:tcBorders>
            <w:shd w:val="clear" w:color="auto" w:fill="D2D2D2"/>
          </w:tcPr>
          <w:p>
            <w:pPr/>
          </w:p>
        </w:tc>
        <w:tc>
          <w:tcPr>
            <w:tcW w:w="812" w:type="dxa"/>
            <w:vMerge/>
            <w:tcBorders>
              <w:left w:val="single" w:sz="4" w:space="0" w:color="000000"/>
              <w:bottom w:val="nil" w:sz="6" w:space="0" w:color="auto"/>
              <w:right w:val="single" w:sz="4" w:space="0" w:color="000000"/>
            </w:tcBorders>
            <w:shd w:val="clear" w:color="auto" w:fill="D2D2D2"/>
          </w:tcPr>
          <w:p>
            <w:pPr/>
          </w:p>
        </w:tc>
        <w:tc>
          <w:tcPr>
            <w:tcW w:w="6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3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46" w:type="dxa"/>
            <w:vMerge/>
            <w:tcBorders>
              <w:left w:val="single" w:sz="4" w:space="0" w:color="000000"/>
              <w:right w:val="single" w:sz="4" w:space="0" w:color="000000"/>
            </w:tcBorders>
            <w:shd w:val="clear" w:color="auto" w:fill="D2D2D2"/>
          </w:tcPr>
          <w:p>
            <w:pPr/>
          </w:p>
        </w:tc>
        <w:tc>
          <w:tcPr>
            <w:tcW w:w="75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39" w:type="dxa"/>
            <w:vMerge/>
            <w:tcBorders>
              <w:left w:val="single" w:sz="4" w:space="0" w:color="000000"/>
              <w:right w:val="single" w:sz="4" w:space="0" w:color="000000"/>
            </w:tcBorders>
            <w:shd w:val="clear" w:color="auto" w:fill="D2D2D2"/>
          </w:tcPr>
          <w:p>
            <w:pPr/>
          </w:p>
        </w:tc>
        <w:tc>
          <w:tcPr>
            <w:tcW w:w="812" w:type="dxa"/>
            <w:vMerge w:val="restart"/>
            <w:tcBorders>
              <w:top w:val="nil" w:sz="6" w:space="0" w:color="auto"/>
              <w:left w:val="single" w:sz="4" w:space="0" w:color="000000"/>
              <w:right w:val="single" w:sz="4" w:space="0" w:color="000000"/>
            </w:tcBorders>
            <w:shd w:val="clear" w:color="auto" w:fill="D2D2D2"/>
          </w:tcPr>
          <w:p>
            <w:pPr/>
          </w:p>
        </w:tc>
        <w:tc>
          <w:tcPr>
            <w:tcW w:w="64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46" w:type="dxa"/>
            <w:vMerge/>
            <w:tcBorders>
              <w:left w:val="single" w:sz="4" w:space="0" w:color="000000"/>
              <w:bottom w:val="single" w:sz="4" w:space="0" w:color="000000"/>
              <w:right w:val="single" w:sz="4" w:space="0" w:color="000000"/>
            </w:tcBorders>
            <w:shd w:val="clear" w:color="auto" w:fill="D2D2D2"/>
          </w:tcPr>
          <w:p>
            <w:pPr/>
          </w:p>
        </w:tc>
        <w:tc>
          <w:tcPr>
            <w:tcW w:w="75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39" w:type="dxa"/>
            <w:vMerge/>
            <w:tcBorders>
              <w:left w:val="single" w:sz="4" w:space="0" w:color="000000"/>
              <w:bottom w:val="single" w:sz="4" w:space="0" w:color="000000"/>
              <w:right w:val="single" w:sz="4" w:space="0" w:color="000000"/>
            </w:tcBorders>
            <w:shd w:val="clear" w:color="auto" w:fill="D2D2D2"/>
          </w:tcPr>
          <w:p>
            <w:pPr/>
          </w:p>
        </w:tc>
        <w:tc>
          <w:tcPr>
            <w:tcW w:w="812" w:type="dxa"/>
            <w:vMerge/>
            <w:tcBorders>
              <w:left w:val="single" w:sz="4" w:space="0" w:color="000000"/>
              <w:bottom w:val="single" w:sz="4" w:space="0" w:color="000000"/>
              <w:right w:val="single" w:sz="4" w:space="0" w:color="000000"/>
            </w:tcBorders>
            <w:shd w:val="clear" w:color="auto" w:fill="D2D2D2"/>
          </w:tcPr>
          <w:p>
            <w:pPr/>
          </w:p>
        </w:tc>
        <w:tc>
          <w:tcPr>
            <w:tcW w:w="64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按信用风险特征组</w:t>
            </w:r>
          </w:p>
        </w:tc>
        <w:tc>
          <w:tcPr>
            <w:tcW w:w="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343,146,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8" w:right="0"/>
              <w:jc w:val="left"/>
              <w:rPr>
                <w:rFonts w:ascii="Times New Roman" w:hAnsi="Times New Roman" w:cs="Times New Roman" w:eastAsia="Times New Roman" w:hint="default"/>
                <w:sz w:val="18"/>
                <w:szCs w:val="18"/>
              </w:rPr>
            </w:pPr>
            <w:r>
              <w:rPr>
                <w:rFonts w:ascii="Times New Roman"/>
                <w:sz w:val="18"/>
              </w:rPr>
              <w:t>67,302,0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3" w:right="0"/>
              <w:jc w:val="left"/>
              <w:rPr>
                <w:rFonts w:ascii="Times New Roman" w:hAnsi="Times New Roman" w:cs="Times New Roman" w:eastAsia="Times New Roman" w:hint="default"/>
                <w:sz w:val="18"/>
                <w:szCs w:val="18"/>
              </w:rPr>
            </w:pPr>
            <w:r>
              <w:rPr>
                <w:rFonts w:ascii="Times New Roman"/>
                <w:sz w:val="18"/>
              </w:rPr>
              <w:t>19.61%</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8" w:right="0"/>
              <w:jc w:val="left"/>
              <w:rPr>
                <w:rFonts w:ascii="Times New Roman" w:hAnsi="Times New Roman" w:cs="Times New Roman" w:eastAsia="Times New Roman" w:hint="default"/>
                <w:sz w:val="18"/>
                <w:szCs w:val="18"/>
              </w:rPr>
            </w:pPr>
            <w:r>
              <w:rPr>
                <w:rFonts w:ascii="Times New Roman"/>
                <w:sz w:val="18"/>
              </w:rPr>
              <w:t>275,844,6</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4" w:right="0"/>
              <w:jc w:val="left"/>
              <w:rPr>
                <w:rFonts w:ascii="Times New Roman" w:hAnsi="Times New Roman" w:cs="Times New Roman" w:eastAsia="Times New Roman" w:hint="default"/>
                <w:sz w:val="18"/>
                <w:szCs w:val="18"/>
              </w:rPr>
            </w:pPr>
            <w:r>
              <w:rPr>
                <w:rFonts w:ascii="Times New Roman"/>
                <w:sz w:val="18"/>
              </w:rPr>
              <w:t>355,479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9" w:right="0"/>
              <w:jc w:val="left"/>
              <w:rPr>
                <w:rFonts w:ascii="Times New Roman" w:hAnsi="Times New Roman" w:cs="Times New Roman" w:eastAsia="Times New Roman" w:hint="default"/>
                <w:sz w:val="18"/>
                <w:szCs w:val="18"/>
              </w:rPr>
            </w:pPr>
            <w:r>
              <w:rPr>
                <w:rFonts w:ascii="Times New Roman"/>
                <w:sz w:val="18"/>
              </w:rPr>
              <w:t>42,558,81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1" w:right="0"/>
              <w:jc w:val="left"/>
              <w:rPr>
                <w:rFonts w:ascii="Times New Roman" w:hAnsi="Times New Roman" w:cs="Times New Roman" w:eastAsia="Times New Roman" w:hint="default"/>
                <w:sz w:val="18"/>
                <w:szCs w:val="18"/>
              </w:rPr>
            </w:pPr>
            <w:r>
              <w:rPr>
                <w:rFonts w:ascii="Times New Roman"/>
                <w:sz w:val="18"/>
              </w:rPr>
              <w:t>11.97%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8" w:right="0"/>
              <w:jc w:val="left"/>
              <w:rPr>
                <w:rFonts w:ascii="Times New Roman" w:hAnsi="Times New Roman" w:cs="Times New Roman" w:eastAsia="Times New Roman" w:hint="default"/>
                <w:sz w:val="18"/>
                <w:szCs w:val="18"/>
              </w:rPr>
            </w:pPr>
            <w:r>
              <w:rPr>
                <w:rFonts w:ascii="Times New Roman"/>
                <w:sz w:val="18"/>
              </w:rPr>
              <w:t>312,920,28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67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59"/>
              <w:jc w:val="left"/>
              <w:rPr>
                <w:rFonts w:ascii="宋体" w:hAnsi="宋体" w:cs="宋体" w:eastAsia="宋体" w:hint="default"/>
                <w:sz w:val="18"/>
                <w:szCs w:val="18"/>
              </w:rPr>
            </w:pPr>
            <w:r>
              <w:rPr>
                <w:rFonts w:ascii="宋体" w:hAnsi="宋体" w:cs="宋体" w:eastAsia="宋体" w:hint="default"/>
                <w:sz w:val="18"/>
                <w:szCs w:val="18"/>
              </w:rPr>
              <w:t>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740.64</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23" w:right="0"/>
              <w:jc w:val="left"/>
              <w:rPr>
                <w:rFonts w:ascii="Times New Roman" w:hAnsi="Times New Roman" w:cs="Times New Roman" w:eastAsia="Times New Roman" w:hint="default"/>
                <w:sz w:val="18"/>
                <w:szCs w:val="18"/>
              </w:rPr>
            </w:pPr>
            <w:r>
              <w:rPr>
                <w:rFonts w:ascii="Times New Roman"/>
                <w:sz w:val="18"/>
              </w:rPr>
              <w:t>44.41</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2" w:right="0"/>
              <w:jc w:val="left"/>
              <w:rPr>
                <w:rFonts w:ascii="Times New Roman" w:hAnsi="Times New Roman" w:cs="Times New Roman" w:eastAsia="Times New Roman" w:hint="default"/>
                <w:sz w:val="18"/>
                <w:szCs w:val="18"/>
              </w:rPr>
            </w:pPr>
            <w:r>
              <w:rPr>
                <w:rFonts w:ascii="Times New Roman"/>
                <w:sz w:val="18"/>
              </w:rPr>
              <w:t>96.23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Times New Roman" w:hAnsi="Times New Roman" w:cs="Times New Roman" w:eastAsia="Times New Roman" w:hint="default"/>
                <w:sz w:val="18"/>
                <w:szCs w:val="18"/>
              </w:rPr>
            </w:pPr>
            <w:r>
              <w:rPr>
                <w:rFonts w:ascii="Times New Roman"/>
                <w:sz w:val="18"/>
              </w:rPr>
              <w:t>,097.38</w:t>
            </w: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65" w:right="0"/>
              <w:jc w:val="left"/>
              <w:rPr>
                <w:rFonts w:ascii="Times New Roman" w:hAnsi="Times New Roman" w:cs="Times New Roman" w:eastAsia="Times New Roman" w:hint="default"/>
                <w:sz w:val="18"/>
                <w:szCs w:val="18"/>
              </w:rPr>
            </w:pPr>
            <w:r>
              <w:rPr>
                <w:rFonts w:ascii="Times New Roman"/>
                <w:sz w:val="18"/>
              </w:rPr>
              <w:t>5.45</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4" w:right="0"/>
              <w:jc w:val="left"/>
              <w:rPr>
                <w:rFonts w:ascii="Times New Roman" w:hAnsi="Times New Roman" w:cs="Times New Roman" w:eastAsia="Times New Roman" w:hint="default"/>
                <w:sz w:val="18"/>
                <w:szCs w:val="18"/>
              </w:rPr>
            </w:pPr>
            <w:r>
              <w:rPr>
                <w:rFonts w:ascii="Times New Roman"/>
                <w:sz w:val="18"/>
              </w:rPr>
              <w:t>1.93</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343,146,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740.64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67,302,0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44.41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19.61%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275,844,6</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96.23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355,479</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,097.38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42,558,81</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312,920,28</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1.93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201,177,274.89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9,869,476.52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76,728,863.27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7,672,886.33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22,115,601.31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6,634,680.39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43,125,001.17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43,125,001.17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343,146,740.64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67,302,044.41</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pStyle w:val="BodyText"/>
        <w:spacing w:line="360" w:lineRule="auto" w:before="51"/>
        <w:ind w:right="2049"/>
        <w:jc w:val="left"/>
      </w:pPr>
      <w:r>
        <w:rPr/>
        <w:t>确定该组合依据的说明： 组合中，采用余额百分比法计提坏账准备的应收账款：</w:t>
      </w:r>
    </w:p>
    <w:p>
      <w:pPr>
        <w:pStyle w:val="BodyText"/>
        <w:spacing w:line="348" w:lineRule="auto" w:before="26"/>
        <w:ind w:right="2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 </w:t>
      </w:r>
      <w:r>
        <w:rPr>
          <w:rFonts w:ascii="Times New Roman" w:hAnsi="Times New Roman" w:cs="Times New Roman" w:eastAsia="Times New Roman" w:hint="default"/>
        </w:rPr>
        <w:t>2)</w:t>
      </w:r>
      <w:r>
        <w:rPr/>
        <w:t>本期计提、收回或转回的坏账准备情况</w:t>
      </w:r>
    </w:p>
    <w:p>
      <w:pPr>
        <w:pStyle w:val="BodyText"/>
        <w:spacing w:line="340" w:lineRule="auto" w:before="12"/>
        <w:ind w:right="-14"/>
        <w:jc w:val="left"/>
      </w:pPr>
      <w:r>
        <w:rPr/>
        <w:t>本期计提坏账准备金额</w:t>
      </w:r>
      <w:r>
        <w:rPr>
          <w:spacing w:val="-47"/>
        </w:rPr>
        <w:t> </w:t>
      </w:r>
      <w:r>
        <w:rPr>
          <w:rFonts w:ascii="Times New Roman" w:hAnsi="Times New Roman" w:cs="Times New Roman" w:eastAsia="Times New Roman" w:hint="default"/>
        </w:rPr>
        <w:t>24,743,228.96</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1"/>
        <w:ind w:left="153" w:right="0"/>
        <w:jc w:val="left"/>
      </w:pPr>
      <w:r>
        <w:rPr/>
        <w:t>单位： 元</w:t>
      </w:r>
    </w:p>
    <w:p>
      <w:pPr>
        <w:spacing w:after="0" w:line="240" w:lineRule="auto"/>
        <w:jc w:val="left"/>
        <w:sectPr>
          <w:type w:val="continuous"/>
          <w:pgSz w:w="11910" w:h="16840"/>
          <w:pgMar w:top="1060" w:bottom="1160" w:left="980" w:right="0"/>
          <w:cols w:num="2" w:equalWidth="0">
            <w:col w:w="6544" w:space="2285"/>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2"/>
        <w:ind w:right="0"/>
        <w:jc w:val="left"/>
      </w:pPr>
      <w:r>
        <w:rPr>
          <w:rFonts w:ascii="Times New Roman" w:hAnsi="Times New Roman" w:cs="Times New Roman" w:eastAsia="Times New Roman" w:hint="default"/>
        </w:rPr>
        <w:t>3)</w:t>
      </w:r>
      <w:r>
        <w:rPr/>
        <w:t>本期实际核销的应收账款情况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pStyle w:val="BodyText"/>
        <w:spacing w:line="338" w:lineRule="auto" w:before="117"/>
        <w:ind w:left="634" w:right="1137" w:hanging="480"/>
        <w:jc w:val="left"/>
      </w:pPr>
      <w:r>
        <w:rPr>
          <w:rFonts w:ascii="Times New Roman" w:hAnsi="Times New Roman" w:cs="Times New Roman" w:eastAsia="Times New Roman" w:hint="default"/>
        </w:rPr>
        <w:t>4)</w:t>
      </w:r>
      <w:r>
        <w:rPr/>
        <w:t>按欠款方归集的期末余额前五名的应收账款情况</w:t>
      </w:r>
      <w:r>
        <w:rPr>
          <w:w w:val="99"/>
        </w:rPr>
        <w:t> </w:t>
      </w:r>
      <w:r>
        <w:rPr/>
        <w:t>本公司本年按欠款方归集的年末余额前五名应收账款汇总金额为</w:t>
      </w:r>
      <w:r>
        <w:rPr>
          <w:rFonts w:ascii="Times New Roman" w:hAnsi="Times New Roman" w:cs="Times New Roman" w:eastAsia="Times New Roman" w:hint="default"/>
        </w:rPr>
        <w:t>75,654,516.80</w:t>
      </w:r>
      <w:r>
        <w:rPr/>
        <w:t>元，占应收账款年末余额合计数的比例</w:t>
      </w:r>
    </w:p>
    <w:p>
      <w:pPr>
        <w:spacing w:line="264" w:lineRule="exact" w:before="0"/>
        <w:ind w:left="154" w:right="0" w:firstLine="0"/>
        <w:jc w:val="left"/>
        <w:rPr>
          <w:rFonts w:ascii="宋体" w:hAnsi="宋体" w:cs="宋体" w:eastAsia="宋体" w:hint="default"/>
          <w:sz w:val="24"/>
          <w:szCs w:val="24"/>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22.05%</w:t>
      </w:r>
      <w:r>
        <w:rPr>
          <w:rFonts w:ascii="宋体" w:hAnsi="宋体" w:cs="宋体" w:eastAsia="宋体" w:hint="default"/>
          <w:sz w:val="18"/>
          <w:szCs w:val="18"/>
        </w:rPr>
        <w:t>，相应计提的坏账准备年末余额汇总金额为</w:t>
      </w:r>
      <w:r>
        <w:rPr>
          <w:rFonts w:ascii="Times New Roman" w:hAnsi="Times New Roman" w:cs="Times New Roman" w:eastAsia="Times New Roman" w:hint="default"/>
          <w:sz w:val="24"/>
          <w:szCs w:val="24"/>
        </w:rPr>
        <w:t>25,111,163.33</w:t>
      </w:r>
      <w:r>
        <w:rPr>
          <w:rFonts w:ascii="宋体" w:hAnsi="宋体" w:cs="宋体" w:eastAsia="宋体" w:hint="default"/>
          <w:sz w:val="24"/>
          <w:szCs w:val="24"/>
        </w:rPr>
        <w:t>元。</w:t>
      </w:r>
    </w:p>
    <w:p>
      <w:pPr>
        <w:pStyle w:val="BodyText"/>
        <w:tabs>
          <w:tab w:pos="4852" w:val="left" w:leader="none"/>
        </w:tabs>
        <w:spacing w:line="240" w:lineRule="auto" w:before="29"/>
        <w:ind w:left="634" w:right="0"/>
        <w:jc w:val="left"/>
      </w:pPr>
      <w:r>
        <w:rPr/>
        <w:t>分别披露期末余额前五名时：</w:t>
        <w:tab/>
        <w:t>单位：元</w:t>
      </w:r>
      <w:r>
        <w:rPr>
          <w:spacing w:val="51"/>
        </w:rPr>
        <w:t> </w:t>
      </w:r>
      <w:r>
        <w:rPr/>
        <w:t>币种：人民币</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58"/>
        <w:gridCol w:w="1271"/>
        <w:gridCol w:w="1562"/>
        <w:gridCol w:w="1688"/>
        <w:gridCol w:w="1325"/>
        <w:gridCol w:w="1403"/>
      </w:tblGrid>
      <w:tr>
        <w:trPr>
          <w:trHeight w:val="6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49" w:right="269" w:hanging="180"/>
              <w:jc w:val="left"/>
              <w:rPr>
                <w:rFonts w:ascii="宋体" w:hAnsi="宋体" w:cs="宋体" w:eastAsia="宋体" w:hint="default"/>
                <w:sz w:val="18"/>
                <w:szCs w:val="18"/>
              </w:rPr>
            </w:pPr>
            <w:r>
              <w:rPr>
                <w:rFonts w:ascii="宋体" w:hAnsi="宋体" w:cs="宋体" w:eastAsia="宋体" w:hint="default"/>
                <w:sz w:val="18"/>
                <w:szCs w:val="18"/>
              </w:rPr>
              <w:t>与本公司 关系</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31" w:right="27" w:hanging="105"/>
              <w:jc w:val="left"/>
              <w:rPr>
                <w:rFonts w:ascii="宋体" w:hAnsi="宋体" w:cs="宋体" w:eastAsia="宋体" w:hint="default"/>
                <w:sz w:val="18"/>
                <w:szCs w:val="18"/>
              </w:rPr>
            </w:pPr>
            <w:r>
              <w:rPr>
                <w:rFonts w:ascii="宋体" w:hAnsi="宋体" w:cs="宋体" w:eastAsia="宋体" w:hint="default"/>
                <w:sz w:val="18"/>
                <w:szCs w:val="18"/>
              </w:rPr>
              <w:t>占应收账款总额 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606" w:right="65" w:hanging="540"/>
              <w:jc w:val="left"/>
              <w:rPr>
                <w:rFonts w:ascii="宋体" w:hAnsi="宋体" w:cs="宋体" w:eastAsia="宋体" w:hint="default"/>
                <w:sz w:val="18"/>
                <w:szCs w:val="18"/>
              </w:rPr>
            </w:pPr>
            <w:r>
              <w:rPr>
                <w:rFonts w:ascii="宋体" w:hAnsi="宋体" w:cs="宋体" w:eastAsia="宋体" w:hint="default"/>
                <w:sz w:val="18"/>
                <w:szCs w:val="18"/>
              </w:rPr>
              <w:t>坏账准备期末金 额</w:t>
            </w:r>
          </w:p>
        </w:tc>
      </w:tr>
      <w:tr>
        <w:trPr>
          <w:trHeight w:val="6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32,263,252.97</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p>
          <w:p>
            <w:pPr>
              <w:pStyle w:val="TableParagraph"/>
              <w:spacing w:line="240" w:lineRule="auto" w:before="63"/>
              <w:ind w:left="5" w:right="0"/>
              <w:jc w:val="left"/>
              <w:rPr>
                <w:rFonts w:ascii="宋体" w:hAnsi="宋体" w:cs="宋体" w:eastAsia="宋体" w:hint="default"/>
                <w:sz w:val="18"/>
                <w:szCs w:val="18"/>
              </w:rPr>
            </w:pP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0" w:right="0"/>
              <w:jc w:val="left"/>
              <w:rPr>
                <w:rFonts w:ascii="Times New Roman" w:hAnsi="Times New Roman" w:cs="Times New Roman" w:eastAsia="Times New Roman" w:hint="default"/>
                <w:sz w:val="18"/>
                <w:szCs w:val="18"/>
              </w:rPr>
            </w:pPr>
            <w:r>
              <w:rPr>
                <w:rFonts w:ascii="Times New Roman"/>
                <w:sz w:val="18"/>
              </w:rPr>
              <w:t>9.40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1,764,752.79</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12,902,342.00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0" w:right="0"/>
              <w:jc w:val="left"/>
              <w:rPr>
                <w:rFonts w:ascii="Times New Roman" w:hAnsi="Times New Roman" w:cs="Times New Roman" w:eastAsia="Times New Roman" w:hint="default"/>
                <w:sz w:val="18"/>
                <w:szCs w:val="18"/>
              </w:rPr>
            </w:pPr>
            <w:r>
              <w:rPr>
                <w:rFonts w:ascii="Times New Roman"/>
                <w:sz w:val="18"/>
              </w:rPr>
              <w:t>3.76</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9,733,740.90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12,155,583.70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0" w:right="0"/>
              <w:jc w:val="left"/>
              <w:rPr>
                <w:rFonts w:ascii="Times New Roman" w:hAnsi="Times New Roman" w:cs="Times New Roman" w:eastAsia="Times New Roman" w:hint="default"/>
                <w:sz w:val="18"/>
                <w:szCs w:val="18"/>
              </w:rPr>
            </w:pPr>
            <w:r>
              <w:rPr>
                <w:rFonts w:ascii="Times New Roman"/>
                <w:sz w:val="18"/>
              </w:rPr>
              <w:t>3.54</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12,155,583.70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10,627,291.63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0" w:right="0"/>
              <w:jc w:val="left"/>
              <w:rPr>
                <w:rFonts w:ascii="Times New Roman" w:hAnsi="Times New Roman" w:cs="Times New Roman" w:eastAsia="Times New Roman" w:hint="default"/>
                <w:sz w:val="18"/>
                <w:szCs w:val="18"/>
              </w:rPr>
            </w:pPr>
            <w:r>
              <w:rPr>
                <w:rFonts w:ascii="Times New Roman"/>
                <w:sz w:val="18"/>
              </w:rPr>
              <w:t>3.10</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537,214.58</w:t>
            </w:r>
          </w:p>
        </w:tc>
      </w:tr>
      <w:tr>
        <w:trPr>
          <w:trHeight w:val="654"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9"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7,706,046.50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p>
          <w:p>
            <w:pPr>
              <w:pStyle w:val="TableParagraph"/>
              <w:spacing w:line="240" w:lineRule="auto" w:before="63"/>
              <w:ind w:left="5" w:right="0"/>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00" w:right="0"/>
              <w:jc w:val="left"/>
              <w:rPr>
                <w:rFonts w:ascii="Times New Roman" w:hAnsi="Times New Roman" w:cs="Times New Roman" w:eastAsia="Times New Roman" w:hint="default"/>
                <w:sz w:val="18"/>
                <w:szCs w:val="18"/>
              </w:rPr>
            </w:pPr>
            <w:r>
              <w:rPr>
                <w:rFonts w:ascii="Times New Roman"/>
                <w:sz w:val="18"/>
              </w:rPr>
              <w:t>2.25</w:t>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1,183,364.30</w:t>
            </w:r>
          </w:p>
        </w:tc>
      </w:tr>
      <w:tr>
        <w:trPr>
          <w:trHeight w:val="342" w:hRule="exact"/>
        </w:trPr>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71"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75,654,516.80</w:t>
            </w:r>
            <w:r>
              <w:rPr>
                <w:rFonts w:ascii="Times New Roman"/>
                <w:spacing w:val="-1"/>
                <w:sz w:val="18"/>
              </w:rPr>
            </w:r>
          </w:p>
        </w:tc>
        <w:tc>
          <w:tcPr>
            <w:tcW w:w="1688"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54" w:right="0"/>
              <w:jc w:val="left"/>
              <w:rPr>
                <w:rFonts w:ascii="Times New Roman" w:hAnsi="Times New Roman" w:cs="Times New Roman" w:eastAsia="Times New Roman" w:hint="default"/>
                <w:sz w:val="18"/>
                <w:szCs w:val="18"/>
              </w:rPr>
            </w:pPr>
            <w:r>
              <w:rPr>
                <w:rFonts w:ascii="Times New Roman"/>
                <w:b/>
                <w:sz w:val="18"/>
              </w:rPr>
              <w:t>22.05</w:t>
            </w:r>
            <w:r>
              <w:rPr>
                <w:rFonts w:ascii="Times New Roman"/>
                <w:sz w:val="18"/>
              </w:rPr>
            </w:r>
          </w:p>
        </w:tc>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25,374,656.27</w:t>
            </w:r>
            <w:r>
              <w:rPr>
                <w:rFonts w:ascii="Times New Roman"/>
                <w:spacing w:val="-1"/>
                <w:sz w:val="18"/>
              </w:rPr>
            </w:r>
          </w:p>
        </w:tc>
      </w:tr>
    </w:tbl>
    <w:p>
      <w:pPr>
        <w:spacing w:line="240" w:lineRule="auto" w:before="5"/>
        <w:rPr>
          <w:rFonts w:ascii="宋体" w:hAnsi="宋体" w:cs="宋体" w:eastAsia="宋体" w:hint="default"/>
          <w:sz w:val="24"/>
          <w:szCs w:val="24"/>
        </w:rPr>
      </w:pPr>
    </w:p>
    <w:p>
      <w:pPr>
        <w:pStyle w:val="BodyText"/>
        <w:spacing w:line="240" w:lineRule="auto"/>
        <w:ind w:right="0"/>
        <w:jc w:val="left"/>
      </w:pPr>
      <w:r>
        <w:rPr>
          <w:rFonts w:ascii="Times New Roman" w:hAnsi="Times New Roman" w:cs="Times New Roman" w:eastAsia="Times New Roman" w:hint="default"/>
        </w:rPr>
        <w:t>5)</w:t>
      </w:r>
      <w:r>
        <w:rPr/>
        <w:t>因金融资产转移而终止确认的应收账款</w:t>
      </w:r>
    </w:p>
    <w:p>
      <w:pPr>
        <w:pStyle w:val="BodyText"/>
        <w:spacing w:line="338" w:lineRule="auto" w:before="103"/>
        <w:ind w:right="6822"/>
        <w:jc w:val="left"/>
      </w:pPr>
      <w:r>
        <w:rPr>
          <w:rFonts w:ascii="Times New Roman" w:hAnsi="Times New Roman" w:cs="Times New Roman" w:eastAsia="Times New Roman" w:hint="default"/>
        </w:rPr>
        <w:t>6)</w:t>
      </w:r>
      <w:r>
        <w:rPr/>
        <w:t>转移应收账款且继续涉入形成的资产、负债金额</w:t>
      </w:r>
      <w:r>
        <w:rPr>
          <w:w w:val="99"/>
        </w:rPr>
        <w:t> </w:t>
      </w:r>
      <w:r>
        <w:rPr/>
        <w:t>其他说明：</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其他应收款" w:id="489"/>
      <w:bookmarkEnd w:id="489"/>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24,185,905.60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19,375,651.54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24,185,905.60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19,375,651.54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490"/>
      <w:bookmarkEnd w:id="49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应收利息分类</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0"/>
        <w:jc w:val="left"/>
      </w:pPr>
      <w:r>
        <w:rPr>
          <w:rFonts w:ascii="Times New Roman" w:hAnsi="Times New Roman" w:cs="Times New Roman" w:eastAsia="Times New Roman" w:hint="default"/>
        </w:rPr>
        <w:t>2)</w:t>
      </w:r>
      <w:r>
        <w:rPr/>
        <w:t>重要逾期利息</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股利" w:id="491"/>
      <w:bookmarkEnd w:id="491"/>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应收股利</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0"/>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2"/>
        <w:ind w:right="0"/>
        <w:jc w:val="left"/>
      </w:pPr>
      <w:r>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其他应收款" w:id="492"/>
      <w:bookmarkEnd w:id="492"/>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1)</w:t>
      </w:r>
      <w:r>
        <w:rPr/>
        <w:t>其他应收款分类披露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38,647,1</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94.11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14,461,2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88.51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37.42%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24,185,90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5.60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33,631,</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250.99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14,255,59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42.39%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19,375,651.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r>
      <w:tr>
        <w:trPr>
          <w:trHeight w:val="161"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38,647,1</w:t>
            </w:r>
          </w:p>
          <w:p>
            <w:pPr>
              <w:pStyle w:val="TableParagraph"/>
              <w:spacing w:line="240" w:lineRule="auto" w:before="105"/>
              <w:ind w:left="324" w:right="0"/>
              <w:jc w:val="left"/>
              <w:rPr>
                <w:rFonts w:ascii="Times New Roman" w:hAnsi="Times New Roman" w:cs="Times New Roman" w:eastAsia="Times New Roman" w:hint="default"/>
                <w:sz w:val="18"/>
                <w:szCs w:val="18"/>
              </w:rPr>
            </w:pPr>
            <w:r>
              <w:rPr>
                <w:rFonts w:ascii="Times New Roman"/>
                <w:sz w:val="18"/>
              </w:rPr>
              <w:t>94.11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14,461,2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88.51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37.42%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24,185,90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5.60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33,631,</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250.99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14,255,59</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9.45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42.39%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19,375,651.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54</w:t>
            </w:r>
          </w:p>
        </w:tc>
      </w:tr>
      <w:tr>
        <w:trPr>
          <w:trHeight w:val="392"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right="-20"/>
        <w:jc w:val="left"/>
      </w:pPr>
      <w:r>
        <w:rPr/>
        <w:t>期末单项金额重大并单项计提坏账准备的其他应收款：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18,633,408.80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297,480.56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18,633,408.80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297,480.56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2,486,200.86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248,620.09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1,751,416.00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525,424.80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16,384,823.99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13,381,353.06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81.67%</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38,647,194.11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14,461,288.51</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6252"/>
        <w:jc w:val="left"/>
      </w:pPr>
      <w:r>
        <w:rPr/>
        <w:t>确定该组合依据的说明： 组合中，采用余额百分比法计提坏账准备的其他应收款：</w:t>
      </w:r>
    </w:p>
    <w:p>
      <w:pPr>
        <w:pStyle w:val="BodyText"/>
        <w:spacing w:line="340" w:lineRule="auto" w:before="2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2)</w:t>
      </w:r>
      <w:r>
        <w:rPr/>
        <w:t>本期计提、收回或转回的坏账准备情况</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18"/>
          <w:pgSz w:w="11910" w:h="16840"/>
          <w:pgMar w:footer="979" w:header="747" w:top="1060" w:bottom="1160" w:left="980" w:right="0"/>
          <w:pgNumType w:start="180"/>
        </w:sectPr>
      </w:pPr>
    </w:p>
    <w:p>
      <w:pPr>
        <w:pStyle w:val="BodyText"/>
        <w:spacing w:line="338" w:lineRule="auto"/>
        <w:ind w:right="-16"/>
        <w:jc w:val="left"/>
      </w:pPr>
      <w:r>
        <w:rPr/>
        <w:t>本期计提坏账准备金额</w:t>
      </w:r>
      <w:r>
        <w:rPr>
          <w:spacing w:val="-46"/>
        </w:rPr>
        <w:t> </w:t>
      </w:r>
      <w:r>
        <w:rPr>
          <w:rFonts w:ascii="Times New Roman" w:hAnsi="Times New Roman" w:cs="Times New Roman" w:eastAsia="Times New Roman" w:hint="default"/>
        </w:rPr>
        <w:t>205,689.06</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6320" w:space="2510"/>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51"/>
        <w:ind w:right="0"/>
        <w:jc w:val="left"/>
      </w:pPr>
      <w:r>
        <w:rPr>
          <w:rFonts w:ascii="Times New Roman" w:hAnsi="Times New Roman" w:cs="Times New Roman" w:eastAsia="Times New Roman" w:hint="default"/>
        </w:rPr>
        <w:t>3)</w:t>
      </w:r>
      <w:r>
        <w:rPr/>
        <w:t>本期实际核销的其他应收款情况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0"/>
        <w:jc w:val="left"/>
      </w:pPr>
      <w:r>
        <w:rPr/>
        <w:t>其中重要的其他应收款核销情况：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pStyle w:val="BodyText"/>
        <w:spacing w:line="240" w:lineRule="auto" w:before="51"/>
        <w:ind w:right="-20"/>
        <w:jc w:val="left"/>
      </w:pPr>
      <w:r>
        <w:rPr/>
        <w:t>其他应收款核销说明：</w:t>
      </w:r>
    </w:p>
    <w:p>
      <w:pPr>
        <w:pStyle w:val="BodyText"/>
        <w:spacing w:line="240" w:lineRule="auto" w:before="117"/>
        <w:ind w:right="-20"/>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before="0"/>
        <w:ind w:left="153" w:right="0"/>
        <w:jc w:val="left"/>
      </w:pPr>
      <w:r>
        <w:rPr/>
        <w:t>单位： 元</w:t>
      </w:r>
    </w:p>
    <w:p>
      <w:pPr>
        <w:spacing w:after="0" w:line="240" w:lineRule="auto"/>
        <w:jc w:val="left"/>
        <w:sectPr>
          <w:type w:val="continuous"/>
          <w:pgSz w:w="11910" w:h="16840"/>
          <w:pgMar w:top="1060" w:bottom="1160" w:left="980" w:right="0"/>
          <w:cols w:num="2" w:equalWidth="0">
            <w:col w:w="2825" w:space="600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6,337,111.74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7,348,194.70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1,415,513.36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1,162,149.48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30,616,928.03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24,836,888.14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277,640.98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274,582.00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9,436.67</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38,647,194.11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33,631,250.99</w:t>
            </w:r>
          </w:p>
        </w:tc>
      </w:tr>
    </w:tbl>
    <w:p>
      <w:pPr>
        <w:pStyle w:val="BodyText"/>
        <w:spacing w:line="240" w:lineRule="auto" w:before="51"/>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深圳市博海通讯技术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11,955,278.70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11,955,278.70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北京亚鸿世纪科技发 展有限公司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11,484,458.73</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成都网娱互动网络科 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3,415,656.19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天津任鸿科技发展中 心</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1,199,391.84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59,969.59</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北京中天信安科技有 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29,054,785.46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13,015,248.29</w:t>
            </w:r>
          </w:p>
        </w:tc>
      </w:tr>
    </w:tbl>
    <w:p>
      <w:pPr>
        <w:pStyle w:val="BodyText"/>
        <w:spacing w:line="240" w:lineRule="auto" w:before="51"/>
        <w:ind w:right="0"/>
        <w:jc w:val="left"/>
      </w:pPr>
      <w:r>
        <w:rPr>
          <w:rFonts w:ascii="Times New Roman" w:hAnsi="Times New Roman" w:cs="Times New Roman" w:eastAsia="Times New Roman" w:hint="default"/>
        </w:rPr>
        <w:t>6)</w:t>
      </w:r>
      <w:r>
        <w:rPr/>
        <w:t>涉及政府补助的应收款项</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52"/>
        <w:ind w:right="0"/>
        <w:jc w:val="left"/>
      </w:pPr>
      <w:r>
        <w:rPr>
          <w:rFonts w:ascii="Times New Roman" w:hAnsi="Times New Roman" w:cs="Times New Roman" w:eastAsia="Times New Roman" w:hint="default"/>
        </w:rPr>
        <w:t>7)</w:t>
      </w:r>
      <w:r>
        <w:rPr/>
        <w:t>因金融资产转移而终止确认的其他应收款</w:t>
      </w:r>
    </w:p>
    <w:p>
      <w:pPr>
        <w:pStyle w:val="BodyText"/>
        <w:spacing w:line="340" w:lineRule="auto" w:before="103"/>
        <w:ind w:right="6642"/>
        <w:jc w:val="left"/>
      </w:pPr>
      <w:r>
        <w:rPr>
          <w:rFonts w:ascii="Times New Roman" w:hAnsi="Times New Roman" w:cs="Times New Roman" w:eastAsia="Times New Roman" w:hint="default"/>
        </w:rPr>
        <w:t>8)</w:t>
      </w:r>
      <w:r>
        <w:rPr/>
        <w:t>转移其他应收款且继续涉入形成的资产、负债金额</w:t>
      </w:r>
      <w:r>
        <w:rPr>
          <w:w w:val="99"/>
        </w:rPr>
        <w:t> </w:t>
      </w:r>
      <w:r>
        <w:rPr/>
        <w:t>其他说明：</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长期股权投资" w:id="493"/>
      <w:bookmarkEnd w:id="493"/>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1,653,880,200.00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359,323,600.41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1,294,556,599.59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1,357,480,000.00</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12,998,517.23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12,998,517.23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7,962,308.16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7,962,308.16</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1,666,878,717.23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359,323,600.41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1,307,555,116.82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1,565,462,308.16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1,365,442,308.16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494"/>
      <w:bookmarkEnd w:id="494"/>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深圳市任网游科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1,354,200.00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11,354,200.00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深圳市任子行科 技开发有限公司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武汉任子行软件 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成都网娱互动网 络科技有限公司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苏州唐人数码科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802,580,000.00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1,026,000.00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803,606,000.00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111,303,600.41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311,323,600.41</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北京亚鸿世纪科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198,920,000.00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288,920,000.00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深圳九合信息安 全产业投资一期 </w:t>
            </w:r>
            <w:r>
              <w:rPr>
                <w:rFonts w:ascii="宋体" w:hAnsi="宋体" w:cs="宋体" w:eastAsia="宋体" w:hint="default"/>
                <w:spacing w:val="-7"/>
                <w:sz w:val="18"/>
                <w:szCs w:val="18"/>
              </w:rPr>
              <w:t>合伙企业（有限合</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伙）</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深圳泡椒思志信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息技术有限公司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广州数沃信息科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深圳九合文化创 意产业投资合伙 企业（有限合伙）</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1,557,500,000.00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106,380,200.00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1,653,880,200.00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1" w:right="0"/>
              <w:jc w:val="left"/>
              <w:rPr>
                <w:rFonts w:ascii="Times New Roman" w:hAnsi="Times New Roman" w:cs="Times New Roman" w:eastAsia="Times New Roman" w:hint="default"/>
                <w:sz w:val="18"/>
                <w:szCs w:val="18"/>
              </w:rPr>
            </w:pPr>
            <w:r>
              <w:rPr>
                <w:rFonts w:ascii="Times New Roman"/>
                <w:sz w:val="18"/>
              </w:rPr>
              <w:t>159,303,600.41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1" w:right="0"/>
              <w:jc w:val="left"/>
              <w:rPr>
                <w:rFonts w:ascii="Times New Roman" w:hAnsi="Times New Roman" w:cs="Times New Roman" w:eastAsia="Times New Roman" w:hint="default"/>
                <w:sz w:val="18"/>
                <w:szCs w:val="18"/>
              </w:rPr>
            </w:pPr>
            <w:r>
              <w:rPr>
                <w:rFonts w:ascii="Times New Roman"/>
                <w:sz w:val="18"/>
              </w:rPr>
              <w:t>359,323,600.41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495"/>
      <w:bookmarkEnd w:id="495"/>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北京中天 信安科技 有限责任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902,176.5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-524,264.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377,912.4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深圳市逸 风网络科 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651,186.1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-190,627.</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460,558.2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深圳市云 安宝科技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5,241,012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460,801.1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5,701,813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深圳云盈 网络科技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1,167,932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314,390.3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1,482,323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深圳哈工 大科技创 新产业发 展有限公 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-24,090.4</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1,975,909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299"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41"/>
              <w:jc w:val="both"/>
              <w:rPr>
                <w:rFonts w:ascii="宋体" w:hAnsi="宋体" w:cs="宋体" w:eastAsia="宋体" w:hint="default"/>
                <w:sz w:val="18"/>
                <w:szCs w:val="18"/>
              </w:rPr>
            </w:pPr>
            <w:r>
              <w:rPr>
                <w:rFonts w:ascii="宋体" w:hAnsi="宋体" w:cs="宋体" w:eastAsia="宋体" w:hint="default"/>
                <w:sz w:val="18"/>
                <w:szCs w:val="18"/>
              </w:rPr>
              <w:t>深圳国富 丁香股权 投资管理 合伙企业</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0"/>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21"/>
              <w:jc w:val="right"/>
              <w:rPr>
                <w:rFonts w:ascii="Times New Roman" w:hAnsi="Times New Roman" w:cs="Times New Roman" w:eastAsia="Times New Roman" w:hint="default"/>
                <w:sz w:val="18"/>
                <w:szCs w:val="18"/>
              </w:rPr>
            </w:pPr>
            <w:r>
              <w:rPr>
                <w:rFonts w:ascii="Times New Roman"/>
                <w:sz w:val="18"/>
              </w:rPr>
              <w:t>3,000,000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6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1"/>
              <w:jc w:val="left"/>
              <w:rPr>
                <w:rFonts w:ascii="宋体" w:hAnsi="宋体" w:cs="宋体" w:eastAsia="宋体" w:hint="default"/>
                <w:sz w:val="18"/>
                <w:szCs w:val="18"/>
              </w:rPr>
            </w:pPr>
            <w:r>
              <w:rPr>
                <w:rFonts w:ascii="宋体" w:hAnsi="宋体" w:cs="宋体" w:eastAsia="宋体" w:hint="default"/>
                <w:sz w:val="18"/>
                <w:szCs w:val="18"/>
              </w:rPr>
              <w:t>（有限合 伙）</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7,962,308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36,209.07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12,998,51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7.23</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7,962,308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36,209.07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12,998,51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7.23</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其他说明" w:id="496"/>
      <w:bookmarkEnd w:id="496"/>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营业收入和营业成本" w:id="497"/>
      <w:bookmarkEnd w:id="497"/>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206"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37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62"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7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512,654,691.52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384,369,194.83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459,978,523.18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299,836,748.20</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5,590,546.28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1,545,230.61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4,666,773.75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1,453,198.79</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518,245,237.80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385,914,425.44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464,645,296.93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301,289,946.99</w:t>
            </w:r>
          </w:p>
        </w:tc>
      </w:tr>
    </w:tbl>
    <w:p>
      <w:pPr>
        <w:pStyle w:val="BodyText"/>
        <w:spacing w:line="240" w:lineRule="auto" w:before="51"/>
        <w:ind w:right="0"/>
        <w:jc w:val="left"/>
      </w:pPr>
      <w:r>
        <w:rPr/>
        <w:t>其他说明：</w:t>
      </w:r>
    </w:p>
    <w:p>
      <w:pPr>
        <w:pStyle w:val="Heading2"/>
        <w:spacing w:line="240" w:lineRule="auto" w:before="65"/>
        <w:ind w:left="578" w:right="0"/>
        <w:jc w:val="left"/>
        <w:rPr>
          <w:b w:val="0"/>
          <w:bCs w:val="0"/>
        </w:rPr>
      </w:pPr>
      <w:r>
        <w:rPr/>
        <w:t>（</w:t>
      </w:r>
      <w:r>
        <w:rPr>
          <w:rFonts w:ascii="Times New Roman" w:hAnsi="Times New Roman" w:cs="Times New Roman" w:eastAsia="Times New Roman" w:hint="default"/>
        </w:rPr>
        <w:t>1</w:t>
      </w:r>
      <w:r>
        <w:rPr/>
        <w:t>）按事业部分类</w:t>
      </w:r>
      <w:r>
        <w:rPr>
          <w:b w:val="0"/>
          <w:bCs w:val="0"/>
        </w:rPr>
      </w:r>
    </w:p>
    <w:p>
      <w:pPr>
        <w:spacing w:line="240" w:lineRule="auto" w:before="4"/>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68"/>
        <w:gridCol w:w="1702"/>
        <w:gridCol w:w="1842"/>
        <w:gridCol w:w="1702"/>
        <w:gridCol w:w="1701"/>
      </w:tblGrid>
      <w:tr>
        <w:trPr>
          <w:trHeight w:val="342"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5"/>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25" w:right="0"/>
              <w:jc w:val="left"/>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42" w:hRule="exact"/>
        </w:trPr>
        <w:tc>
          <w:tcPr>
            <w:tcW w:w="1668"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3"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4"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4" w:right="0"/>
              <w:jc w:val="left"/>
              <w:rPr>
                <w:rFonts w:ascii="宋体" w:hAnsi="宋体" w:cs="宋体" w:eastAsia="宋体" w:hint="default"/>
                <w:sz w:val="18"/>
                <w:szCs w:val="18"/>
              </w:rPr>
            </w:pPr>
            <w:r>
              <w:rPr>
                <w:rFonts w:ascii="宋体" w:hAnsi="宋体" w:cs="宋体" w:eastAsia="宋体" w:hint="default"/>
                <w:b/>
                <w:bCs/>
                <w:sz w:val="18"/>
                <w:szCs w:val="18"/>
              </w:rPr>
              <w:t>主营业务收入</w:t>
            </w:r>
            <w:r>
              <w:rPr>
                <w:rFonts w:ascii="宋体" w:hAnsi="宋体" w:cs="宋体" w:eastAsia="宋体" w:hint="default"/>
                <w:sz w:val="18"/>
                <w:szCs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04" w:right="0"/>
              <w:jc w:val="left"/>
              <w:rPr>
                <w:rFonts w:ascii="宋体" w:hAnsi="宋体" w:cs="宋体" w:eastAsia="宋体" w:hint="default"/>
                <w:sz w:val="18"/>
                <w:szCs w:val="18"/>
              </w:rPr>
            </w:pPr>
            <w:r>
              <w:rPr>
                <w:rFonts w:ascii="宋体" w:hAnsi="宋体" w:cs="宋体" w:eastAsia="宋体" w:hint="default"/>
                <w:b/>
                <w:bCs/>
                <w:sz w:val="18"/>
                <w:szCs w:val="18"/>
              </w:rPr>
              <w:t>主营业务成本</w:t>
            </w:r>
            <w:r>
              <w:rPr>
                <w:rFonts w:ascii="宋体" w:hAnsi="宋体" w:cs="宋体" w:eastAsia="宋体" w:hint="default"/>
                <w:sz w:val="18"/>
                <w:szCs w:val="18"/>
              </w:rPr>
            </w:r>
          </w:p>
        </w:tc>
      </w:tr>
      <w:tr>
        <w:trPr>
          <w:trHeight w:val="3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公安事业部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258,206,413.56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175,477,551.37</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284,056,328.88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155,309,801.07</w:t>
            </w:r>
          </w:p>
        </w:tc>
      </w:tr>
      <w:tr>
        <w:trPr>
          <w:trHeight w:val="3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网安事业部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55,924,515.98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24,849,424.39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32,133,597.60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15,344,239.85</w:t>
            </w:r>
          </w:p>
        </w:tc>
      </w:tr>
      <w:tr>
        <w:trPr>
          <w:trHeight w:val="3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信安事业部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22,751,547.21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12,785,959.62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20,288,080.65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11,172,587.24</w:t>
            </w:r>
          </w:p>
        </w:tc>
      </w:tr>
      <w:tr>
        <w:trPr>
          <w:trHeight w:val="34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8" w:right="0"/>
              <w:jc w:val="left"/>
              <w:rPr>
                <w:rFonts w:ascii="宋体" w:hAnsi="宋体" w:cs="宋体" w:eastAsia="宋体" w:hint="default"/>
                <w:sz w:val="18"/>
                <w:szCs w:val="18"/>
              </w:rPr>
            </w:pPr>
            <w:r>
              <w:rPr>
                <w:rFonts w:ascii="宋体" w:hAnsi="宋体" w:cs="宋体" w:eastAsia="宋体" w:hint="default"/>
                <w:sz w:val="18"/>
                <w:szCs w:val="18"/>
              </w:rPr>
              <w:t>网资管理事业部</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175,772,214.77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171,256,259.45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123,500,516.05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118,010,120.04</w:t>
            </w:r>
          </w:p>
        </w:tc>
      </w:tr>
      <w:tr>
        <w:trPr>
          <w:trHeight w:val="343"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512,654,691.52</w:t>
            </w:r>
            <w:r>
              <w:rPr>
                <w:rFonts w:ascii="Times New Roman"/>
                <w:spacing w:val="-1"/>
                <w:sz w:val="18"/>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384,369,194.83</w:t>
            </w:r>
            <w:r>
              <w:rPr>
                <w:rFonts w:ascii="Times New Roman"/>
                <w:spacing w:val="-1"/>
                <w:sz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459,978,523.18</w:t>
            </w:r>
            <w:r>
              <w:rPr>
                <w:rFonts w:ascii="Times New Roman"/>
                <w:spacing w:val="-1"/>
                <w:sz w:val="18"/>
              </w:rPr>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b/>
                <w:spacing w:val="-1"/>
                <w:sz w:val="18"/>
              </w:rPr>
              <w:t>299,836,748.20</w:t>
            </w:r>
            <w:r>
              <w:rPr>
                <w:rFonts w:ascii="Times New Roman"/>
                <w:spacing w:val="-1"/>
                <w:sz w:val="18"/>
              </w:rPr>
            </w:r>
          </w:p>
        </w:tc>
      </w:tr>
    </w:tbl>
    <w:p>
      <w:pPr>
        <w:spacing w:line="240" w:lineRule="auto" w:before="11"/>
        <w:rPr>
          <w:rFonts w:ascii="宋体" w:hAnsi="宋体" w:cs="宋体" w:eastAsia="宋体" w:hint="default"/>
          <w:b/>
          <w:bCs/>
          <w:sz w:val="18"/>
          <w:szCs w:val="18"/>
        </w:rPr>
      </w:pPr>
    </w:p>
    <w:p>
      <w:pPr>
        <w:pStyle w:val="Heading2"/>
        <w:spacing w:line="240" w:lineRule="auto" w:before="26"/>
        <w:ind w:left="578" w:right="0"/>
        <w:jc w:val="left"/>
        <w:rPr>
          <w:b w:val="0"/>
          <w:bCs w:val="0"/>
        </w:rPr>
      </w:pPr>
      <w:r>
        <w:rPr/>
        <w:t>（</w:t>
      </w:r>
      <w:r>
        <w:rPr>
          <w:rFonts w:ascii="Times New Roman" w:hAnsi="Times New Roman" w:cs="Times New Roman" w:eastAsia="Times New Roman" w:hint="default"/>
        </w:rPr>
        <w:t>2</w:t>
      </w:r>
      <w:r>
        <w:rPr/>
        <w:t>）按地区分类</w:t>
      </w:r>
      <w:r>
        <w:rPr>
          <w:b w:val="0"/>
          <w:bCs w:val="0"/>
        </w:rPr>
      </w:r>
    </w:p>
    <w:p>
      <w:pPr>
        <w:spacing w:line="240" w:lineRule="auto" w:before="4"/>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09"/>
        <w:gridCol w:w="1910"/>
        <w:gridCol w:w="1911"/>
        <w:gridCol w:w="1911"/>
        <w:gridCol w:w="1910"/>
      </w:tblGrid>
      <w:tr>
        <w:trPr>
          <w:trHeight w:val="342" w:hRule="exact"/>
        </w:trPr>
        <w:tc>
          <w:tcPr>
            <w:tcW w:w="1409" w:type="dxa"/>
            <w:vMerge w:val="restart"/>
            <w:tcBorders>
              <w:top w:val="single" w:sz="4" w:space="0" w:color="000000"/>
              <w:left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项</w:t>
            </w:r>
            <w:r>
              <w:rPr>
                <w:rFonts w:ascii="宋体" w:hAnsi="宋体" w:cs="宋体" w:eastAsia="宋体" w:hint="default"/>
                <w:b/>
                <w:bCs/>
                <w:spacing w:val="-15"/>
                <w:sz w:val="18"/>
                <w:szCs w:val="18"/>
              </w:rPr>
              <w:t> </w:t>
            </w:r>
            <w:r>
              <w:rPr>
                <w:rFonts w:ascii="宋体" w:hAnsi="宋体" w:cs="宋体" w:eastAsia="宋体" w:hint="default"/>
                <w:b/>
                <w:bCs/>
                <w:sz w:val="18"/>
                <w:szCs w:val="18"/>
              </w:rPr>
              <w:t>目</w:t>
            </w:r>
            <w:r>
              <w:rPr>
                <w:rFonts w:ascii="宋体" w:hAnsi="宋体" w:cs="宋体" w:eastAsia="宋体" w:hint="default"/>
                <w:sz w:val="18"/>
                <w:szCs w:val="18"/>
              </w:rPr>
            </w:r>
          </w:p>
        </w:tc>
        <w:tc>
          <w:tcPr>
            <w:tcW w:w="38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b/>
                <w:bCs/>
                <w:sz w:val="18"/>
                <w:szCs w:val="18"/>
              </w:rPr>
              <w:t>本期发生额</w:t>
            </w:r>
            <w:r>
              <w:rPr>
                <w:rFonts w:ascii="宋体" w:hAnsi="宋体" w:cs="宋体" w:eastAsia="宋体" w:hint="default"/>
                <w:sz w:val="18"/>
                <w:szCs w:val="18"/>
              </w:rPr>
            </w:r>
          </w:p>
        </w:tc>
        <w:tc>
          <w:tcPr>
            <w:tcW w:w="38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上期发生额</w:t>
            </w:r>
            <w:r>
              <w:rPr>
                <w:rFonts w:ascii="宋体" w:hAnsi="宋体" w:cs="宋体" w:eastAsia="宋体" w:hint="default"/>
                <w:sz w:val="18"/>
                <w:szCs w:val="18"/>
              </w:rPr>
            </w:r>
          </w:p>
        </w:tc>
      </w:tr>
      <w:tr>
        <w:trPr>
          <w:trHeight w:val="342" w:hRule="exact"/>
        </w:trPr>
        <w:tc>
          <w:tcPr>
            <w:tcW w:w="1409" w:type="dxa"/>
            <w:vMerge/>
            <w:tcBorders>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8"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9"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9" w:right="0"/>
              <w:jc w:val="left"/>
              <w:rPr>
                <w:rFonts w:ascii="宋体" w:hAnsi="宋体" w:cs="宋体" w:eastAsia="宋体" w:hint="default"/>
                <w:sz w:val="18"/>
                <w:szCs w:val="18"/>
              </w:rPr>
            </w:pPr>
            <w:r>
              <w:rPr>
                <w:rFonts w:ascii="宋体" w:hAnsi="宋体" w:cs="宋体" w:eastAsia="宋体" w:hint="default"/>
                <w:b/>
                <w:bCs/>
                <w:sz w:val="18"/>
                <w:szCs w:val="18"/>
              </w:rPr>
              <w:t>营业收入</w:t>
            </w:r>
            <w:r>
              <w:rPr>
                <w:rFonts w:ascii="宋体" w:hAnsi="宋体" w:cs="宋体" w:eastAsia="宋体" w:hint="default"/>
                <w:sz w:val="18"/>
                <w:szCs w:val="18"/>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87" w:right="0"/>
              <w:jc w:val="left"/>
              <w:rPr>
                <w:rFonts w:ascii="宋体" w:hAnsi="宋体" w:cs="宋体" w:eastAsia="宋体" w:hint="default"/>
                <w:sz w:val="18"/>
                <w:szCs w:val="18"/>
              </w:rPr>
            </w:pPr>
            <w:r>
              <w:rPr>
                <w:rFonts w:ascii="宋体" w:hAnsi="宋体" w:cs="宋体" w:eastAsia="宋体" w:hint="default"/>
                <w:b/>
                <w:bCs/>
                <w:sz w:val="18"/>
                <w:szCs w:val="18"/>
              </w:rPr>
              <w:t>营业成本</w:t>
            </w:r>
            <w:r>
              <w:rPr>
                <w:rFonts w:ascii="宋体" w:hAnsi="宋体" w:cs="宋体" w:eastAsia="宋体" w:hint="default"/>
                <w:sz w:val="18"/>
                <w:szCs w:val="18"/>
              </w:rPr>
            </w:r>
          </w:p>
        </w:tc>
      </w:tr>
      <w:tr>
        <w:trPr>
          <w:trHeight w:val="342"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43,491,481.30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35,768,536.20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24,815,174.52</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19,221,623.14</w:t>
            </w:r>
          </w:p>
        </w:tc>
      </w:tr>
      <w:tr>
        <w:trPr>
          <w:trHeight w:val="342"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103,610,574.15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83,250,709.76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78,251,609.05</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63,484,975.75</w:t>
            </w:r>
          </w:p>
        </w:tc>
      </w:tr>
      <w:tr>
        <w:trPr>
          <w:trHeight w:val="342"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59,011,287.95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43,051,245.26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48,204,826.09</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34,548,874.34</w:t>
            </w:r>
          </w:p>
        </w:tc>
      </w:tr>
      <w:tr>
        <w:trPr>
          <w:trHeight w:val="342"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125,945,784.94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77,289,535.69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129,402,553.98</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65,955,414.34</w:t>
            </w:r>
          </w:p>
        </w:tc>
      </w:tr>
      <w:tr>
        <w:trPr>
          <w:trHeight w:val="342"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86,129,965.15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71,543,608.68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53,384,896.47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32,738,139.65</w:t>
            </w:r>
          </w:p>
        </w:tc>
      </w:tr>
      <w:tr>
        <w:trPr>
          <w:trHeight w:val="342"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32,874,795.35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28,159,569.27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65,514,425.10</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44,934,436.93</w:t>
            </w:r>
          </w:p>
        </w:tc>
      </w:tr>
      <w:tr>
        <w:trPr>
          <w:trHeight w:val="342"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61,590,802.68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45,305,989.97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60,405,037.97</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38,953,284.05</w:t>
            </w:r>
          </w:p>
        </w:tc>
      </w:tr>
      <w:tr>
        <w:trPr>
          <w:trHeight w:val="342" w:hRule="exact"/>
        </w:trPr>
        <w:tc>
          <w:tcPr>
            <w:tcW w:w="1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b/>
                <w:spacing w:val="-1"/>
                <w:sz w:val="18"/>
              </w:rPr>
              <w:t>512,654,691.52</w:t>
            </w:r>
            <w:r>
              <w:rPr>
                <w:rFonts w:ascii="Times New Roman"/>
                <w:spacing w:val="-1"/>
                <w:sz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pacing w:val="-1"/>
                <w:sz w:val="18"/>
              </w:rPr>
              <w:t>384,369,194.83</w:t>
            </w:r>
            <w:r>
              <w:rPr>
                <w:rFonts w:ascii="Times New Roman"/>
                <w:spacing w:val="-1"/>
                <w:sz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b/>
                <w:spacing w:val="-1"/>
                <w:sz w:val="18"/>
              </w:rPr>
              <w:t>459,978,523.18</w:t>
            </w:r>
            <w:r>
              <w:rPr>
                <w:rFonts w:ascii="Times New Roman"/>
                <w:spacing w:val="-1"/>
                <w:sz w:val="18"/>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b/>
                <w:spacing w:val="-1"/>
                <w:sz w:val="18"/>
              </w:rPr>
              <w:t>299,836,748.20</w:t>
            </w:r>
            <w:r>
              <w:rPr>
                <w:rFonts w:ascii="Times New Roman"/>
                <w:spacing w:val="-1"/>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Heading4"/>
        <w:spacing w:line="240" w:lineRule="auto" w:before="186"/>
        <w:ind w:right="0"/>
        <w:jc w:val="left"/>
        <w:rPr>
          <w:b w:val="0"/>
          <w:bCs w:val="0"/>
        </w:rPr>
      </w:pPr>
      <w:bookmarkStart w:name="5、投资收益" w:id="498"/>
      <w:bookmarkEnd w:id="498"/>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78,399,910.22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36,209.07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-691,887.05</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384,050.44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1,537,500.00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1,640,000.00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146,709,347.81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股利分配</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102,148,881.15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250,815,988.47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79,348,023.17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其他" w:id="499"/>
      <w:bookmarkEnd w:id="499"/>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00"/>
      <w:bookmarkEnd w:id="500"/>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01"/>
      <w:bookmarkEnd w:id="501"/>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1,116,846.64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29,947,207.29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非经常性的政府补助</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计入当期损益的对非金融企业收取的资金 占用费</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5,172,650.55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1,032,864.38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146,709,347.81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出售中新赛克股份</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66,222,136.72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泡椒思志业绩补偿款</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所得税退免税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25,134,823.38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225,066,230.01</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502"/>
      <w:bookmarkEnd w:id="502"/>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0.210</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-0.16</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-0.16</w:t>
            </w:r>
            <w:r>
              <w:rPr>
                <w:rFonts w:ascii="Times New Roman"/>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503"/>
      <w:bookmarkEnd w:id="503"/>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504"/>
      <w:bookmarkEnd w:id="504"/>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505"/>
      <w:bookmarkEnd w:id="505"/>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before="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506"/>
      <w:bookmarkEnd w:id="506"/>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507"/>
      <w:bookmarkEnd w:id="507"/>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508"/>
      <w:bookmarkStart w:name="第十二节 备查文件目录" w:id="509"/>
      <w:r>
        <w:rPr>
          <w:b w:val="0"/>
          <w:bCs w:val="0"/>
        </w:rPr>
      </w:r>
      <w:r>
        <w:rPr/>
        <w:t>第十二节</w:t>
      </w:r>
      <w:r>
        <w:rPr>
          <w:spacing w:val="-8"/>
        </w:rPr>
        <w:t> </w:t>
      </w:r>
      <w:r>
        <w:rPr/>
        <w:t>备查文件目录</w:t>
      </w:r>
      <w:bookmarkEnd w:id="508"/>
      <w:r>
        <w:rPr>
          <w:b w:val="0"/>
          <w:bCs w:val="0"/>
        </w:rPr>
      </w:r>
    </w:p>
    <w:p>
      <w:pPr>
        <w:spacing w:line="240" w:lineRule="auto" w:before="6"/>
        <w:rPr>
          <w:rFonts w:ascii="宋体" w:hAnsi="宋体" w:cs="宋体" w:eastAsia="宋体" w:hint="default"/>
          <w:b/>
          <w:bCs/>
          <w:sz w:val="42"/>
          <w:szCs w:val="42"/>
        </w:rPr>
      </w:pPr>
    </w:p>
    <w:p>
      <w:pPr>
        <w:pStyle w:val="BodyText"/>
        <w:spacing w:line="319" w:lineRule="auto" w:before="0"/>
        <w:ind w:right="3661"/>
        <w:jc w:val="left"/>
      </w:pPr>
      <w:r>
        <w:rPr/>
        <w:t>一、</w:t>
      </w:r>
      <w:r>
        <w:rPr>
          <w:spacing w:val="-19"/>
        </w:rPr>
        <w:t> </w:t>
      </w:r>
      <w:r>
        <w:rPr/>
        <w:t>载有公司法定代表人、主管会计工作负责人、会计主管人员签名并盖章的财务报表。</w:t>
      </w:r>
      <w:r>
        <w:rPr/>
        <w:t> 二、</w:t>
      </w:r>
      <w:r>
        <w:rPr>
          <w:spacing w:val="-19"/>
        </w:rPr>
        <w:t> </w:t>
      </w:r>
      <w:r>
        <w:rPr/>
        <w:t>载有会计师事务所盖章、注册会计师签名并盖章的审计报告原件。</w:t>
      </w:r>
    </w:p>
    <w:p>
      <w:pPr>
        <w:pStyle w:val="BodyText"/>
        <w:spacing w:line="316" w:lineRule="auto" w:before="17"/>
        <w:ind w:right="3661"/>
        <w:jc w:val="left"/>
      </w:pPr>
      <w:r>
        <w:rPr/>
        <w:t>三、</w:t>
      </w:r>
      <w:r>
        <w:rPr>
          <w:spacing w:val="-19"/>
        </w:rPr>
        <w:t> </w:t>
      </w:r>
      <w:r>
        <w:rPr/>
        <w:t>报告期内在中国证监会指定网站上公开披露过的所有公司文件的正本及公告的原稿。</w:t>
      </w:r>
      <w:r>
        <w:rPr/>
        <w:t> 四、</w:t>
      </w:r>
      <w:r>
        <w:rPr>
          <w:spacing w:val="-19"/>
        </w:rPr>
        <w:t> </w:t>
      </w:r>
      <w:r>
        <w:rPr/>
        <w:t>载有董事长签名的</w:t>
      </w:r>
      <w:r>
        <w:rPr>
          <w:rFonts w:ascii="Times New Roman" w:hAnsi="Times New Roman" w:cs="Times New Roman" w:eastAsia="Times New Roman" w:hint="default"/>
        </w:rPr>
        <w:t>2018</w:t>
      </w:r>
      <w:r>
        <w:rPr/>
        <w:t>年度报告原文件。</w:t>
      </w:r>
    </w:p>
    <w:p>
      <w:pPr>
        <w:pStyle w:val="BodyText"/>
        <w:spacing w:line="316" w:lineRule="auto" w:before="0"/>
        <w:ind w:right="6972"/>
        <w:jc w:val="left"/>
      </w:pPr>
      <w:r>
        <w:rPr/>
        <w:t>五、其他相关资料。 以上备查文件的备置地点：公司董事会办公室。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8128" type="#_x0000_t75" stroked="false">
          <v:imagedata r:id="rId1" o:title=""/>
        </v:shape>
      </w:pict>
    </w:r>
    <w:r>
      <w:rPr/>
      <w:pict>
        <v:shape style="position:absolute;margin-left:533.179993pt;margin-top:795.517944pt;width:6.5pt;height:11pt;mso-position-horizontal-relative:page;mso-position-vertical-relative:page;z-index:-1058104"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8080" type="#_x0000_t75" stroked="false">
          <v:imagedata r:id="rId1" o:title=""/>
        </v:shape>
      </w:pict>
    </w:r>
    <w:r>
      <w:rPr/>
      <w:pict>
        <v:shape style="position:absolute;margin-left:527.679993pt;margin-top:781.957947pt;width:13pt;height:11pt;mso-position-horizontal-relative:page;mso-position-vertical-relative:page;z-index:-10580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8032" type="#_x0000_t75" stroked="false">
          <v:imagedata r:id="rId1" o:title=""/>
        </v:shape>
      </w:pict>
    </w:r>
    <w:r>
      <w:rPr/>
      <w:pict>
        <v:shape style="position:absolute;margin-left:524.179993pt;margin-top:781.957947pt;width:15.5pt;height:11pt;mso-position-horizontal-relative:page;mso-position-vertical-relative:page;z-index:-105800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7984" type="#_x0000_t75" stroked="false">
          <v:imagedata r:id="rId1" o:title=""/>
        </v:shape>
      </w:pict>
    </w:r>
    <w:r>
      <w:rPr/>
      <w:pict>
        <v:shape style="position:absolute;margin-left:523.179993pt;margin-top:781.957947pt;width:17.5pt;height:11pt;mso-position-horizontal-relative:page;mso-position-vertical-relative:page;z-index:-105796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057936" type="#_x0000_t75" stroked="false">
          <v:imagedata r:id="rId1" o:title=""/>
        </v:shape>
      </w:pict>
    </w:r>
    <w:r>
      <w:rPr/>
      <w:pict>
        <v:shape style="position:absolute;margin-left:523.179993pt;margin-top:781.957947pt;width:17.5pt;height:11pt;mso-position-horizontal-relative:page;mso-position-vertical-relative:page;z-index:-105791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1058152" type="#_x0000_t202" filled="false" stroked="false">
          <v:textbox inset="0,0,0,0">
            <w:txbxContent>
              <w:p>
                <w:pPr>
                  <w:pStyle w:val="BodyText"/>
                  <w:spacing w:line="214" w:lineRule="exact" w:before="0"/>
                  <w:ind w:left="20" w:right="0"/>
                  <w:jc w:val="left"/>
                </w:pPr>
                <w:r>
                  <w:rPr/>
                  <w:t>任子行网络技术股份有限公司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spacing w:before="44"/>
      <w:ind w:left="154"/>
    </w:pPr>
    <w:rPr>
      <w:rFonts w:ascii="宋体" w:hAnsi="宋体" w:eastAsia="宋体"/>
      <w:sz w:val="18"/>
      <w:szCs w:val="18"/>
    </w:rPr>
  </w:style>
  <w:style w:styleId="Heading1" w:type="paragraph">
    <w:name w:val="Heading 1"/>
    <w:basedOn w:val="Normal"/>
    <w:uiPriority w:val="1"/>
    <w:qFormat/>
    <w:pPr>
      <w:spacing w:before="1"/>
      <w:ind w:left="479"/>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154"/>
      <w:outlineLvl w:val="5"/>
    </w:pPr>
    <w:rPr>
      <w:rFonts w:ascii="宋体" w:hAnsi="宋体" w:eastAsia="宋体"/>
      <w:sz w:val="20"/>
      <w:szCs w:val="20"/>
    </w:rPr>
  </w:style>
  <w:style w:styleId="Heading6" w:type="paragraph">
    <w:name w:val="Heading 6"/>
    <w:basedOn w:val="Normal"/>
    <w:uiPriority w:val="1"/>
    <w:qFormat/>
    <w:pPr>
      <w:ind w:left="154"/>
      <w:outlineLvl w:val="6"/>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1218.com.cn/" TargetMode="External"/><Relationship Id="rId10" Type="http://schemas.openxmlformats.org/officeDocument/2006/relationships/hyperlink" Target="mailto:rzxshenzhen@1218.com.cn" TargetMode="External"/><Relationship Id="rId11" Type="http://schemas.openxmlformats.org/officeDocument/2006/relationships/hyperlink" Target="http://www.cninfo.com.cn/new/index" TargetMode="External"/><Relationship Id="rId12" Type="http://schemas.openxmlformats.org/officeDocument/2006/relationships/hyperlink" Target="http://www.cninfo.com.cn/"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任子行网络技术股份有限公司</dc:creator>
  <dc:title>任子行网络技术股份有限公司2018年年度报告全文</dc:title>
  <dcterms:created xsi:type="dcterms:W3CDTF">2020-05-05T04:01:56Z</dcterms:created>
  <dcterms:modified xsi:type="dcterms:W3CDTF">2020-05-05T04:01:56Z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2019-04-26T00:00:00Z</vt:filetime>
  </property>
  <property fmtid="{D5CDD505-2E9C-101B-9397-08002B2CF9AE}" pid="3" name="Creator">
    <vt:lpwstr>Microsoft® Office Word 2007</vt:lpwstr>
  </property>
  <property fmtid="{D5CDD505-2E9C-101B-9397-08002B2CF9AE}" pid="4" name="LastSaved">
    <vt:filetime>2020-05-04T00:00:00Z</vt:filetime>
  </property>
</Properties>
</file>