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1.440048pt;margin-top:761.352356pt;width:593.779923pt;height:79.447550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p>
      <w:pPr>
        <w:spacing w:line="499" w:lineRule="exact"/>
        <w:ind w:left="30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830783" cy="31699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830783" cy="316992"/>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before="22"/>
        <w:ind w:left="3009" w:right="0" w:firstLine="0"/>
        <w:jc w:val="left"/>
        <w:rPr>
          <w:rFonts w:ascii="Arial" w:hAnsi="Arial" w:cs="Arial" w:eastAsia="Arial" w:hint="default"/>
          <w:sz w:val="38"/>
          <w:szCs w:val="38"/>
        </w:rPr>
      </w:pPr>
      <w:r>
        <w:rPr/>
        <w:pict>
          <v:shape style="position:absolute;margin-left:79.682678pt;margin-top:-26.402599pt;width:60.72204pt;height:47.04447pt;mso-position-horizontal-relative:page;mso-position-vertical-relative:paragraph;z-index:1048" type="#_x0000_t75" stroked="false">
            <v:imagedata r:id="rId7" o:title=""/>
          </v:shape>
        </w:pict>
      </w:r>
      <w:r>
        <w:rPr>
          <w:rFonts w:ascii="Arial"/>
          <w:w w:val="95"/>
          <w:sz w:val="38"/>
        </w:rPr>
        <w:t>Beijing</w:t>
      </w:r>
      <w:r>
        <w:rPr>
          <w:rFonts w:ascii="Arial"/>
          <w:spacing w:val="-73"/>
          <w:w w:val="95"/>
          <w:sz w:val="38"/>
        </w:rPr>
        <w:t> </w:t>
      </w:r>
      <w:r>
        <w:rPr>
          <w:rFonts w:ascii="Arial"/>
          <w:w w:val="95"/>
          <w:position w:val="1"/>
          <w:sz w:val="38"/>
        </w:rPr>
        <w:t>Watertek</w:t>
      </w:r>
      <w:r>
        <w:rPr>
          <w:rFonts w:ascii="Arial"/>
          <w:spacing w:val="-54"/>
          <w:w w:val="95"/>
          <w:position w:val="1"/>
          <w:sz w:val="38"/>
        </w:rPr>
        <w:t> </w:t>
      </w:r>
      <w:r>
        <w:rPr>
          <w:rFonts w:ascii="Arial"/>
          <w:w w:val="95"/>
          <w:position w:val="2"/>
          <w:sz w:val="38"/>
        </w:rPr>
        <w:t>Information</w:t>
      </w:r>
      <w:r>
        <w:rPr>
          <w:rFonts w:ascii="Arial"/>
          <w:spacing w:val="-68"/>
          <w:w w:val="95"/>
          <w:position w:val="2"/>
          <w:sz w:val="38"/>
        </w:rPr>
        <w:t> </w:t>
      </w:r>
      <w:r>
        <w:rPr>
          <w:rFonts w:ascii="Arial"/>
          <w:w w:val="95"/>
          <w:position w:val="2"/>
          <w:sz w:val="38"/>
        </w:rPr>
        <w:t>Tec</w:t>
      </w:r>
      <w:r>
        <w:rPr>
          <w:rFonts w:ascii="Arial"/>
          <w:spacing w:val="-83"/>
          <w:w w:val="95"/>
          <w:position w:val="2"/>
          <w:sz w:val="38"/>
        </w:rPr>
        <w:t> </w:t>
      </w:r>
      <w:r>
        <w:rPr>
          <w:rFonts w:ascii="Arial"/>
          <w:w w:val="95"/>
          <w:position w:val="2"/>
          <w:sz w:val="38"/>
        </w:rPr>
        <w:t>hnology</w:t>
      </w:r>
      <w:r>
        <w:rPr>
          <w:rFonts w:ascii="Arial"/>
          <w:spacing w:val="-63"/>
          <w:w w:val="95"/>
          <w:position w:val="2"/>
          <w:sz w:val="38"/>
        </w:rPr>
        <w:t> </w:t>
      </w:r>
      <w:r>
        <w:rPr>
          <w:rFonts w:ascii="Arial"/>
          <w:w w:val="95"/>
          <w:sz w:val="38"/>
        </w:rPr>
        <w:t>Co.,Ltd.</w:t>
      </w:r>
      <w:r>
        <w:rPr>
          <w:rFonts w:ascii="Arial"/>
          <w:sz w:val="3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2"/>
          <w:szCs w:val="12"/>
        </w:rPr>
      </w:pPr>
    </w:p>
    <w:p>
      <w:pPr>
        <w:tabs>
          <w:tab w:pos="4617" w:val="left" w:leader="none"/>
        </w:tabs>
        <w:spacing w:line="801" w:lineRule="exact"/>
        <w:ind w:left="3072" w:right="0" w:firstLine="0"/>
        <w:rPr>
          <w:rFonts w:ascii="Arial" w:hAnsi="Arial" w:cs="Arial" w:eastAsia="Arial" w:hint="default"/>
          <w:sz w:val="20"/>
          <w:szCs w:val="20"/>
        </w:rPr>
      </w:pPr>
      <w:r>
        <w:rPr>
          <w:rFonts w:ascii="Arial"/>
          <w:position w:val="-4"/>
          <w:sz w:val="20"/>
        </w:rPr>
        <w:drawing>
          <wp:inline distT="0" distB="0" distL="0" distR="0">
            <wp:extent cx="256016" cy="408431"/>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56016" cy="408431"/>
                    </a:xfrm>
                    <a:prstGeom prst="rect">
                      <a:avLst/>
                    </a:prstGeom>
                  </pic:spPr>
                </pic:pic>
              </a:graphicData>
            </a:graphic>
          </wp:inline>
        </w:drawing>
      </w:r>
      <w:r>
        <w:rPr>
          <w:rFonts w:ascii="Arial"/>
          <w:position w:val="-4"/>
          <w:sz w:val="20"/>
        </w:rPr>
      </w:r>
      <w:r>
        <w:rPr>
          <w:rFonts w:ascii="Times New Roman"/>
          <w:spacing w:val="64"/>
          <w:position w:val="-4"/>
          <w:sz w:val="20"/>
        </w:rPr>
        <w:t> </w:t>
      </w:r>
      <w:r>
        <w:rPr>
          <w:rFonts w:ascii="Arial"/>
          <w:spacing w:val="64"/>
          <w:position w:val="-6"/>
          <w:sz w:val="20"/>
        </w:rPr>
        <w:drawing>
          <wp:inline distT="0" distB="0" distL="0" distR="0">
            <wp:extent cx="265159" cy="420624"/>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265159" cy="420624"/>
                    </a:xfrm>
                    <a:prstGeom prst="rect">
                      <a:avLst/>
                    </a:prstGeom>
                  </pic:spPr>
                </pic:pic>
              </a:graphicData>
            </a:graphic>
          </wp:inline>
        </w:drawing>
      </w:r>
      <w:r>
        <w:rPr>
          <w:rFonts w:ascii="Arial"/>
          <w:spacing w:val="64"/>
          <w:position w:val="-6"/>
          <w:sz w:val="20"/>
        </w:rPr>
      </w:r>
      <w:r>
        <w:rPr>
          <w:rFonts w:ascii="Arial"/>
          <w:spacing w:val="64"/>
          <w:position w:val="-6"/>
          <w:sz w:val="20"/>
        </w:rPr>
        <w:tab/>
      </w:r>
      <w:r>
        <w:rPr>
          <w:rFonts w:ascii="Arial"/>
          <w:spacing w:val="64"/>
          <w:position w:val="-4"/>
          <w:sz w:val="20"/>
        </w:rPr>
        <w:drawing>
          <wp:inline distT="0" distB="0" distL="0" distR="0">
            <wp:extent cx="256016" cy="408431"/>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56016" cy="408431"/>
                    </a:xfrm>
                    <a:prstGeom prst="rect">
                      <a:avLst/>
                    </a:prstGeom>
                  </pic:spPr>
                </pic:pic>
              </a:graphicData>
            </a:graphic>
          </wp:inline>
        </w:drawing>
      </w:r>
      <w:r>
        <w:rPr>
          <w:rFonts w:ascii="Arial"/>
          <w:spacing w:val="64"/>
          <w:position w:val="-4"/>
          <w:sz w:val="20"/>
        </w:rPr>
      </w:r>
      <w:r>
        <w:rPr>
          <w:rFonts w:ascii="Times New Roman"/>
          <w:spacing w:val="45"/>
          <w:position w:val="-4"/>
          <w:sz w:val="20"/>
        </w:rPr>
        <w:t> </w:t>
      </w:r>
      <w:r>
        <w:rPr>
          <w:rFonts w:ascii="Arial"/>
          <w:spacing w:val="45"/>
          <w:position w:val="-15"/>
          <w:sz w:val="20"/>
        </w:rPr>
        <w:drawing>
          <wp:inline distT="0" distB="0" distL="0" distR="0">
            <wp:extent cx="2654644" cy="509015"/>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2654644" cy="509015"/>
                    </a:xfrm>
                    <a:prstGeom prst="rect">
                      <a:avLst/>
                    </a:prstGeom>
                  </pic:spPr>
                </pic:pic>
              </a:graphicData>
            </a:graphic>
          </wp:inline>
        </w:drawing>
      </w:r>
      <w:r>
        <w:rPr>
          <w:rFonts w:ascii="Arial"/>
          <w:spacing w:val="45"/>
          <w:position w:val="-15"/>
          <w:sz w:val="20"/>
        </w:rPr>
      </w:r>
    </w:p>
    <w:p>
      <w:pPr>
        <w:spacing w:line="240" w:lineRule="auto" w:before="6"/>
        <w:rPr>
          <w:rFonts w:ascii="Arial" w:hAnsi="Arial" w:cs="Arial" w:eastAsia="Arial" w:hint="default"/>
          <w:sz w:val="56"/>
          <w:szCs w:val="56"/>
        </w:rPr>
      </w:pPr>
    </w:p>
    <w:p>
      <w:pPr>
        <w:spacing w:before="0"/>
        <w:ind w:left="232" w:right="0" w:firstLine="0"/>
        <w:jc w:val="center"/>
        <w:rPr>
          <w:rFonts w:ascii="Arial" w:hAnsi="Arial" w:cs="Arial" w:eastAsia="Arial" w:hint="default"/>
          <w:sz w:val="49"/>
          <w:szCs w:val="49"/>
        </w:rPr>
      </w:pPr>
      <w:r>
        <w:rPr>
          <w:rFonts w:ascii="Arial" w:hAnsi="Arial" w:cs="Arial" w:eastAsia="Arial" w:hint="default"/>
          <w:w w:val="85"/>
          <w:sz w:val="49"/>
          <w:szCs w:val="49"/>
        </w:rPr>
        <w:t>2013—008</w:t>
      </w:r>
      <w:r>
        <w:rPr>
          <w:rFonts w:ascii="Arial" w:hAnsi="Arial" w:cs="Arial" w:eastAsia="Arial" w:hint="default"/>
          <w:sz w:val="49"/>
          <w:szCs w:val="49"/>
        </w:rPr>
      </w:r>
    </w:p>
    <w:p>
      <w:pPr>
        <w:spacing w:line="240" w:lineRule="auto" w:before="0"/>
        <w:rPr>
          <w:rFonts w:ascii="Arial" w:hAnsi="Arial" w:cs="Arial" w:eastAsia="Arial" w:hint="default"/>
          <w:sz w:val="48"/>
          <w:szCs w:val="48"/>
        </w:rPr>
      </w:pPr>
    </w:p>
    <w:p>
      <w:pPr>
        <w:spacing w:line="240" w:lineRule="auto" w:before="0"/>
        <w:rPr>
          <w:rFonts w:ascii="Arial" w:hAnsi="Arial" w:cs="Arial" w:eastAsia="Arial" w:hint="default"/>
          <w:sz w:val="48"/>
          <w:szCs w:val="48"/>
        </w:rPr>
      </w:pPr>
    </w:p>
    <w:p>
      <w:pPr>
        <w:spacing w:line="240" w:lineRule="auto" w:before="0"/>
        <w:rPr>
          <w:rFonts w:ascii="Arial" w:hAnsi="Arial" w:cs="Arial" w:eastAsia="Arial" w:hint="default"/>
          <w:sz w:val="48"/>
          <w:szCs w:val="48"/>
        </w:rPr>
      </w:pPr>
    </w:p>
    <w:p>
      <w:pPr>
        <w:spacing w:line="240" w:lineRule="auto" w:before="0"/>
        <w:rPr>
          <w:rFonts w:ascii="Arial" w:hAnsi="Arial" w:cs="Arial" w:eastAsia="Arial" w:hint="default"/>
          <w:sz w:val="48"/>
          <w:szCs w:val="48"/>
        </w:rPr>
      </w:pPr>
    </w:p>
    <w:p>
      <w:pPr>
        <w:tabs>
          <w:tab w:pos="2170" w:val="left" w:leader="none"/>
        </w:tabs>
        <w:spacing w:before="333"/>
        <w:ind w:left="350" w:right="0" w:firstLine="0"/>
        <w:jc w:val="center"/>
        <w:rPr>
          <w:rFonts w:ascii="Trebuchet MS" w:hAnsi="Trebuchet MS" w:cs="Trebuchet MS" w:eastAsia="Trebuchet MS" w:hint="default"/>
          <w:sz w:val="46"/>
          <w:szCs w:val="46"/>
        </w:rPr>
      </w:pPr>
      <w:r>
        <w:rPr>
          <w:rFonts w:ascii="Trebuchet MS" w:hAnsi="Trebuchet MS"/>
          <w:w w:val="87"/>
          <w:sz w:val="46"/>
        </w:rPr>
        <w:t>@åä</w:t>
      </w:r>
      <w:r>
        <w:rPr>
          <w:rFonts w:ascii="Trebuchet MS" w:hAnsi="Trebuchet MS"/>
          <w:spacing w:val="-37"/>
          <w:w w:val="87"/>
          <w:sz w:val="46"/>
        </w:rPr>
        <w:t>ł</w:t>
      </w:r>
      <w:r>
        <w:rPr>
          <w:rFonts w:ascii="Trebuchet MS" w:hAnsi="Trebuchet MS"/>
          <w:spacing w:val="-64"/>
          <w:w w:val="109"/>
          <w:sz w:val="46"/>
        </w:rPr>
        <w:t>Ń</w:t>
      </w:r>
      <w:r>
        <w:rPr>
          <w:rFonts w:ascii="Trebuchet MS" w:hAnsi="Trebuchet MS"/>
          <w:spacing w:val="-41"/>
          <w:w w:val="82"/>
          <w:sz w:val="46"/>
        </w:rPr>
        <w:t>f</w:t>
      </w:r>
      <w:r>
        <w:rPr>
          <w:rFonts w:ascii="Trebuchet MS" w:hAnsi="Trebuchet MS"/>
          <w:spacing w:val="-20"/>
          <w:w w:val="47"/>
          <w:sz w:val="46"/>
        </w:rPr>
        <w:t>ı</w:t>
      </w:r>
      <w:r>
        <w:rPr>
          <w:rFonts w:ascii="Trebuchet MS" w:hAnsi="Trebuchet MS"/>
          <w:w w:val="95"/>
          <w:sz w:val="46"/>
        </w:rPr>
        <w:t>û</w:t>
      </w:r>
      <w:r>
        <w:rPr>
          <w:rFonts w:ascii="Trebuchet MS" w:hAnsi="Trebuchet MS"/>
          <w:sz w:val="46"/>
        </w:rPr>
        <w:tab/>
      </w:r>
      <w:r>
        <w:rPr>
          <w:rFonts w:ascii="Trebuchet MS" w:hAnsi="Trebuchet MS"/>
          <w:w w:val="84"/>
          <w:sz w:val="46"/>
        </w:rPr>
        <w:t>300324</w:t>
      </w:r>
      <w:r>
        <w:rPr>
          <w:rFonts w:ascii="Trebuchet MS" w:hAnsi="Trebuchet MS"/>
          <w:sz w:val="46"/>
        </w:rPr>
      </w:r>
    </w:p>
    <w:p>
      <w:pPr>
        <w:spacing w:line="240" w:lineRule="auto" w:before="5"/>
        <w:rPr>
          <w:rFonts w:ascii="Trebuchet MS" w:hAnsi="Trebuchet MS" w:cs="Trebuchet MS" w:eastAsia="Trebuchet MS" w:hint="default"/>
          <w:sz w:val="61"/>
          <w:szCs w:val="61"/>
        </w:rPr>
      </w:pPr>
    </w:p>
    <w:p>
      <w:pPr>
        <w:tabs>
          <w:tab w:pos="1952" w:val="left" w:leader="none"/>
        </w:tabs>
        <w:spacing w:before="0"/>
        <w:ind w:left="176" w:right="0" w:firstLine="0"/>
        <w:jc w:val="center"/>
        <w:rPr>
          <w:rFonts w:ascii="Cambria" w:hAnsi="Cambria" w:cs="Cambria" w:eastAsia="Cambria" w:hint="default"/>
          <w:sz w:val="38"/>
          <w:szCs w:val="38"/>
        </w:rPr>
      </w:pPr>
      <w:r>
        <w:rPr>
          <w:rFonts w:ascii="Cambria" w:hAnsi="Cambria"/>
          <w:w w:val="85"/>
          <w:sz w:val="38"/>
        </w:rPr>
        <w:t>}¡ł¡ğğ</w:t>
      </w:r>
      <w:r>
        <w:rPr>
          <w:rFonts w:ascii="Cambria" w:hAnsi="Cambria"/>
          <w:spacing w:val="-25"/>
          <w:w w:val="85"/>
          <w:sz w:val="38"/>
        </w:rPr>
        <w:t> </w:t>
      </w:r>
      <w:r>
        <w:rPr>
          <w:rFonts w:ascii="Cambria" w:hAnsi="Cambria"/>
          <w:w w:val="85"/>
          <w:sz w:val="38"/>
        </w:rPr>
        <w:t>Ø)ij)</w:t>
        <w:tab/>
      </w:r>
      <w:r>
        <w:rPr>
          <w:rFonts w:ascii="Cambria" w:hAnsi="Cambria"/>
          <w:spacing w:val="7"/>
          <w:sz w:val="38"/>
        </w:rPr>
        <w:t>2013Q3Ø </w:t>
      </w:r>
      <w:r>
        <w:rPr>
          <w:rFonts w:ascii="Cambria" w:hAnsi="Cambria"/>
          <w:sz w:val="38"/>
        </w:rPr>
        <w:t>29 </w:t>
      </w:r>
      <w:r>
        <w:rPr>
          <w:rFonts w:ascii="Cambria" w:hAnsi="Cambria"/>
          <w:spacing w:val="2"/>
          <w:sz w:val="38"/>
        </w:rPr>
        <w:t> </w:t>
      </w:r>
      <w:r>
        <w:rPr>
          <w:rFonts w:ascii="Cambria" w:hAnsi="Cambria"/>
          <w:sz w:val="38"/>
        </w:rPr>
        <w:t>Ø</w:t>
      </w:r>
    </w:p>
    <w:p>
      <w:pPr>
        <w:spacing w:after="0"/>
        <w:jc w:val="center"/>
        <w:rPr>
          <w:rFonts w:ascii="Cambria" w:hAnsi="Cambria" w:cs="Cambria" w:eastAsia="Cambria" w:hint="default"/>
          <w:sz w:val="38"/>
          <w:szCs w:val="38"/>
        </w:rPr>
        <w:sectPr>
          <w:type w:val="continuous"/>
          <w:pgSz w:w="11910" w:h="16840"/>
          <w:pgMar w:top="1600" w:bottom="0" w:left="0" w:right="0"/>
        </w:sectPr>
      </w:pPr>
    </w:p>
    <w:p>
      <w:pPr>
        <w:spacing w:line="240" w:lineRule="auto" w:before="7"/>
        <w:rPr>
          <w:rFonts w:ascii="Cambria" w:hAnsi="Cambria" w:cs="Cambria" w:eastAsia="Cambria" w:hint="default"/>
          <w:sz w:val="17"/>
          <w:szCs w:val="17"/>
        </w:rPr>
      </w:pPr>
    </w:p>
    <w:p>
      <w:pPr>
        <w:pStyle w:val="Heading1"/>
        <w:spacing w:line="240" w:lineRule="auto"/>
        <w:ind w:left="3132" w:right="0"/>
        <w:jc w:val="left"/>
      </w:pPr>
      <w:bookmarkStart w:name="_TOC_250008" w:id="1"/>
      <w:r>
        <w:rPr/>
        <w:t>第一节</w:t>
      </w:r>
      <w:r>
        <w:rPr>
          <w:spacing w:val="-7"/>
        </w:rPr>
        <w:t> </w:t>
      </w:r>
      <w:bookmarkEnd w:id="1"/>
      <w:r>
        <w:rPr/>
        <w:t>重要提示、目录和释义</w:t>
      </w:r>
    </w:p>
    <w:p>
      <w:pPr>
        <w:spacing w:line="240" w:lineRule="auto" w:before="6"/>
        <w:rPr>
          <w:rFonts w:ascii="黑体" w:hAnsi="黑体" w:cs="黑体" w:eastAsia="黑体" w:hint="default"/>
          <w:sz w:val="28"/>
          <w:szCs w:val="28"/>
        </w:rPr>
      </w:pPr>
    </w:p>
    <w:p>
      <w:pPr>
        <w:pStyle w:val="BodyText"/>
        <w:spacing w:line="408" w:lineRule="auto"/>
        <w:ind w:left="154" w:right="0" w:firstLine="420"/>
        <w:jc w:val="left"/>
      </w:pPr>
      <w:r>
        <w:rPr>
          <w:spacing w:val="-1"/>
        </w:rPr>
        <w:t>本公司董事会、监事会及董事、监事、高级管理人员保证本报告所载资料不存在任何虚假记载、误导</w:t>
      </w:r>
      <w:r>
        <w:rPr/>
        <w:t> 性陈述或者重大遗漏，并对其内容的真实性、准确性和完整性承担个别及连带责任。</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所有董事均已出席了审议本报告的董事会会议。</w:t>
      </w:r>
    </w:p>
    <w:p>
      <w:pPr>
        <w:spacing w:line="240" w:lineRule="auto" w:before="9"/>
        <w:rPr>
          <w:rFonts w:ascii="宋体" w:hAnsi="宋体" w:cs="宋体" w:eastAsia="宋体" w:hint="default"/>
          <w:sz w:val="26"/>
          <w:szCs w:val="26"/>
        </w:rPr>
      </w:pPr>
    </w:p>
    <w:p>
      <w:pPr>
        <w:pStyle w:val="BodyText"/>
        <w:spacing w:line="386" w:lineRule="auto"/>
        <w:ind w:left="153" w:right="0" w:firstLine="420"/>
        <w:jc w:val="left"/>
      </w:pPr>
      <w:r>
        <w:rPr/>
        <w:t>公司负责人陈江涛、主管会计工作负责人黄海涛及会计机构负责人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陈湘宁声明：保证 年度报告中财务报告的真实、准确、完整。</w:t>
      </w:r>
    </w:p>
    <w:p>
      <w:pPr>
        <w:spacing w:line="240" w:lineRule="auto" w:before="12"/>
        <w:rPr>
          <w:rFonts w:ascii="宋体" w:hAnsi="宋体" w:cs="宋体" w:eastAsia="宋体" w:hint="default"/>
          <w:sz w:val="16"/>
          <w:szCs w:val="16"/>
        </w:rPr>
      </w:pPr>
    </w:p>
    <w:p>
      <w:pPr>
        <w:pStyle w:val="BodyText"/>
        <w:spacing w:line="408" w:lineRule="auto"/>
        <w:ind w:left="153" w:right="0" w:firstLine="420"/>
        <w:jc w:val="left"/>
      </w:pPr>
      <w:r>
        <w:rPr>
          <w:spacing w:val="-1"/>
        </w:rPr>
        <w:t>本报告中如有涉及未来的计划、业绩预测等方面的内容，均不构成本公司对任何投资者及相关人士的</w:t>
      </w:r>
      <w:r>
        <w:rPr/>
        <w:t> 承诺。投资者及相关人士均应对此保持足够的风险认识，并应当理解计划、预测与承诺之间的差异。</w:t>
      </w:r>
    </w:p>
    <w:p>
      <w:pPr>
        <w:spacing w:after="0" w:line="408" w:lineRule="auto"/>
        <w:jc w:val="left"/>
        <w:sectPr>
          <w:headerReference w:type="default" r:id="rId12"/>
          <w:footerReference w:type="default" r:id="rId13"/>
          <w:pgSz w:w="11910" w:h="16840"/>
          <w:pgMar w:header="997" w:footer="1252" w:top="1340" w:bottom="1440" w:left="980" w:right="980"/>
          <w:pgNumType w:start="1"/>
        </w:sectPr>
      </w:pPr>
    </w:p>
    <w:p>
      <w:pPr>
        <w:spacing w:line="240" w:lineRule="auto" w:before="8"/>
        <w:rPr>
          <w:rFonts w:ascii="宋体" w:hAnsi="宋体" w:cs="宋体" w:eastAsia="宋体" w:hint="default"/>
          <w:sz w:val="11"/>
          <w:szCs w:val="11"/>
        </w:rPr>
      </w:pPr>
    </w:p>
    <w:p>
      <w:pPr>
        <w:spacing w:line="460" w:lineRule="exact" w:before="0"/>
        <w:ind w:left="4074" w:right="33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1" w:val="right" w:leader="dot"/>
            </w:tabs>
            <w:spacing w:line="240" w:lineRule="auto" w:before="351"/>
            <w:ind w:left="576"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8">
            <w:r>
              <w:rPr/>
              <w:t>第一节</w:t>
            </w:r>
            <w:r>
              <w:rPr>
                <w:spacing w:val="-1"/>
              </w:rPr>
              <w:t> </w:t>
            </w:r>
            <w:r>
              <w:rPr/>
              <w:t>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47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59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64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73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75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175</w:t>
            </w:r>
          </w:hyperlink>
        </w:p>
        <w:p>
          <w:pPr/>
          <w:r>
            <w:fldChar w:fldCharType="end"/>
          </w:r>
        </w:p>
      </w:sdtContent>
    </w:sdt>
    <w:p>
      <w:pPr>
        <w:spacing w:after="0"/>
        <w:sectPr>
          <w:pgSz w:w="11910" w:h="16840"/>
          <w:pgMar w:header="997" w:footer="1252" w:top="1340" w:bottom="1440" w:left="980" w:right="980"/>
        </w:sectPr>
      </w:pPr>
    </w:p>
    <w:p>
      <w:pPr>
        <w:spacing w:before="172"/>
        <w:ind w:left="5193" w:right="456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8"/>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139"/>
        <w:gridCol w:w="969"/>
        <w:gridCol w:w="7099"/>
      </w:tblGrid>
      <w:tr>
        <w:trPr>
          <w:trHeight w:val="368" w:hRule="exact"/>
        </w:trPr>
        <w:tc>
          <w:tcPr>
            <w:tcW w:w="2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8"/>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2"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旋极信息、本公司、公司</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185" w:hRule="exact"/>
        </w:trPr>
        <w:tc>
          <w:tcPr>
            <w:tcW w:w="2139" w:type="dxa"/>
            <w:vMerge w:val="restart"/>
            <w:tcBorders>
              <w:top w:val="single" w:sz="4" w:space="0" w:color="000000"/>
              <w:left w:val="single" w:sz="4" w:space="0" w:color="000000"/>
              <w:right w:val="single" w:sz="9" w:space="0" w:color="D3D3D3"/>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9" w:type="dxa"/>
            <w:vMerge w:val="restart"/>
            <w:tcBorders>
              <w:top w:val="single" w:sz="4" w:space="0" w:color="000000"/>
              <w:left w:val="single" w:sz="10" w:space="0" w:color="D3D3D3"/>
              <w:right w:val="single" w:sz="4" w:space="0" w:color="000000"/>
            </w:tcBorders>
          </w:tcPr>
          <w:p>
            <w:pPr>
              <w:pStyle w:val="TableParagraph"/>
              <w:spacing w:line="364" w:lineRule="auto" w:before="33"/>
              <w:ind w:left="27" w:right="32"/>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北京中天涌慧投资咨询有限公司，本公司设立时发起人之一，本公司控股股东、实际控制 人陈江涛先生控股的公司</w:t>
            </w:r>
          </w:p>
        </w:tc>
      </w:tr>
      <w:tr>
        <w:trPr>
          <w:trHeight w:val="358" w:hRule="exact"/>
        </w:trPr>
        <w:tc>
          <w:tcPr>
            <w:tcW w:w="2139" w:type="dxa"/>
            <w:vMerge/>
            <w:tcBorders>
              <w:left w:val="single" w:sz="4" w:space="0" w:color="000000"/>
              <w:right w:val="single" w:sz="9" w:space="0" w:color="D3D3D3"/>
            </w:tcBorders>
          </w:tcPr>
          <w:p>
            <w:pP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vMerge/>
            <w:tcBorders>
              <w:left w:val="single" w:sz="10" w:space="0" w:color="D3D3D3"/>
              <w:right w:val="single" w:sz="4" w:space="0" w:color="000000"/>
            </w:tcBorders>
          </w:tcPr>
          <w:p>
            <w:pPr/>
          </w:p>
        </w:tc>
      </w:tr>
      <w:tr>
        <w:trPr>
          <w:trHeight w:val="184" w:hRule="exact"/>
        </w:trPr>
        <w:tc>
          <w:tcPr>
            <w:tcW w:w="2139" w:type="dxa"/>
            <w:vMerge/>
            <w:tcBorders>
              <w:left w:val="single" w:sz="4" w:space="0" w:color="000000"/>
              <w:bottom w:val="single" w:sz="4" w:space="0" w:color="000000"/>
              <w:right w:val="single" w:sz="9" w:space="0" w:color="D3D3D3"/>
            </w:tcBorders>
          </w:tcPr>
          <w:p>
            <w:pPr/>
          </w:p>
        </w:tc>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9" w:type="dxa"/>
            <w:vMerge/>
            <w:tcBorders>
              <w:left w:val="single" w:sz="10" w:space="0" w:color="D3D3D3"/>
              <w:bottom w:val="single" w:sz="4" w:space="0" w:color="000000"/>
              <w:right w:val="single" w:sz="4" w:space="0" w:color="000000"/>
            </w:tcBorders>
          </w:tcPr>
          <w:p>
            <w:pP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旋极汉荣</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北京旋极汉荣嵌入式技术有限公司，本公司全资子公司，正在注销中</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深圳旋极</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深圳市旋极历通科技有限公司，本公司全资子公司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上海旋极</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上海旋极信息技术有限公司，本公司全资子公司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成都旋极</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成都旋极历通信息技术有限公司，本公司控股子公司</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麦禾信通</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北京麦禾信通科技有限公司，本公司原参股公司，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月实现控股</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旋极国际</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旋极国际（香港）有限公司，本公司全资子公司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北京百旺金赋科技有限公司，本公司控股子公司</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天津百望</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天津百望金赋科技有限公司，本公司全资子公司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杭州百旺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杭州百旺金赋科技有限公司，本公司控股子公司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厦门百旺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厦门百旺金赋科技有限公司，本公司控股子公司</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福建百旺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福建百旺金赋科技有限公司，本公司全资子公司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宁波百旺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宁波百旺金赋科技有限公司，本公司控股子公司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旋极泰科</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北京旋极泰科新科技有限公司，本公司参股公司</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上海百旺</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上海百旺金赋科技有限公司，上海旋极全资子公司</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盛桥创源</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深圳市盛桥创源投资合伙企业，本公司的法人股东之一</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深交所</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《公司法》</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《证券法》</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《北京旋极信息技术股份有限公司章程》</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每股面值为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元之人民币普通股</w:t>
            </w:r>
          </w:p>
        </w:tc>
      </w:tr>
      <w:tr>
        <w:trPr>
          <w:trHeight w:val="183" w:hRule="exact"/>
        </w:trPr>
        <w:tc>
          <w:tcPr>
            <w:tcW w:w="2139" w:type="dxa"/>
            <w:vMerge w:val="restart"/>
            <w:tcBorders>
              <w:top w:val="single" w:sz="4" w:space="0" w:color="000000"/>
              <w:left w:val="single" w:sz="4" w:space="0" w:color="000000"/>
              <w:right w:val="single" w:sz="9" w:space="0" w:color="D3D3D3"/>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嵌入式系统</w:t>
            </w:r>
          </w:p>
        </w:tc>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9" w:type="dxa"/>
            <w:vMerge w:val="restart"/>
            <w:tcBorders>
              <w:top w:val="single" w:sz="4" w:space="0" w:color="000000"/>
              <w:left w:val="single" w:sz="10" w:space="0" w:color="D3D3D3"/>
              <w:right w:val="single" w:sz="4" w:space="0" w:color="000000"/>
            </w:tcBorders>
          </w:tcPr>
          <w:p>
            <w:pPr>
              <w:pStyle w:val="TableParagraph"/>
              <w:spacing w:line="364" w:lineRule="auto" w:before="33"/>
              <w:ind w:left="27" w:right="32"/>
              <w:jc w:val="left"/>
              <w:rPr>
                <w:rFonts w:ascii="宋体" w:hAnsi="宋体" w:cs="宋体" w:eastAsia="宋体" w:hint="default"/>
                <w:sz w:val="18"/>
                <w:szCs w:val="18"/>
              </w:rPr>
            </w:pPr>
            <w:r>
              <w:rPr>
                <w:rFonts w:ascii="宋体" w:hAnsi="宋体" w:cs="宋体" w:eastAsia="宋体" w:hint="default"/>
                <w:sz w:val="18"/>
                <w:szCs w:val="18"/>
              </w:rPr>
              <w:t>以应用为中心，以计算机技术为基础，并且软硬件可裁剪，适用于应用环境中，对功能、 可靠性、成本、体积、功耗有严格要求的专用计算机系统。</w:t>
            </w:r>
          </w:p>
        </w:tc>
      </w:tr>
      <w:tr>
        <w:trPr>
          <w:trHeight w:val="359" w:hRule="exact"/>
        </w:trPr>
        <w:tc>
          <w:tcPr>
            <w:tcW w:w="2139" w:type="dxa"/>
            <w:vMerge/>
            <w:tcBorders>
              <w:left w:val="single" w:sz="4" w:space="0" w:color="000000"/>
              <w:right w:val="single" w:sz="9" w:space="0" w:color="D3D3D3"/>
            </w:tcBorders>
          </w:tcPr>
          <w:p>
            <w:pP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vMerge/>
            <w:tcBorders>
              <w:left w:val="single" w:sz="10" w:space="0" w:color="D3D3D3"/>
              <w:right w:val="single" w:sz="4" w:space="0" w:color="000000"/>
            </w:tcBorders>
          </w:tcPr>
          <w:p>
            <w:pPr/>
          </w:p>
        </w:tc>
      </w:tr>
      <w:tr>
        <w:trPr>
          <w:trHeight w:val="184" w:hRule="exact"/>
        </w:trPr>
        <w:tc>
          <w:tcPr>
            <w:tcW w:w="2139" w:type="dxa"/>
            <w:vMerge/>
            <w:tcBorders>
              <w:left w:val="single" w:sz="4" w:space="0" w:color="000000"/>
              <w:bottom w:val="single" w:sz="4" w:space="0" w:color="000000"/>
              <w:right w:val="single" w:sz="9" w:space="0" w:color="D3D3D3"/>
            </w:tcBorders>
          </w:tcPr>
          <w:p>
            <w:pPr/>
          </w:p>
        </w:tc>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9" w:type="dxa"/>
            <w:vMerge/>
            <w:tcBorders>
              <w:left w:val="single" w:sz="10" w:space="0" w:color="D3D3D3"/>
              <w:bottom w:val="single" w:sz="4" w:space="0" w:color="000000"/>
              <w:right w:val="single" w:sz="4" w:space="0" w:color="000000"/>
            </w:tcBorders>
          </w:tcPr>
          <w:p>
            <w:pPr/>
          </w:p>
        </w:tc>
      </w:tr>
      <w:tr>
        <w:trPr>
          <w:trHeight w:val="368"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嵌入式软件</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基于嵌入式系统设计的软件，可细分成系统软件、支撑软件、应用软件三类。</w:t>
            </w:r>
          </w:p>
        </w:tc>
      </w:tr>
      <w:tr>
        <w:trPr>
          <w:trHeight w:val="185" w:hRule="exact"/>
        </w:trPr>
        <w:tc>
          <w:tcPr>
            <w:tcW w:w="2139" w:type="dxa"/>
            <w:vMerge w:val="restart"/>
            <w:tcBorders>
              <w:top w:val="single" w:sz="4" w:space="0" w:color="000000"/>
              <w:left w:val="single" w:sz="4" w:space="0" w:color="000000"/>
              <w:right w:val="single" w:sz="9" w:space="0" w:color="D3D3D3"/>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嵌入式系统测试</w:t>
            </w:r>
          </w:p>
        </w:tc>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9" w:type="dxa"/>
            <w:vMerge w:val="restart"/>
            <w:tcBorders>
              <w:top w:val="single" w:sz="4" w:space="0" w:color="000000"/>
              <w:left w:val="single" w:sz="10" w:space="0" w:color="D3D3D3"/>
              <w:right w:val="single" w:sz="4" w:space="0" w:color="000000"/>
            </w:tcBorders>
          </w:tcPr>
          <w:p>
            <w:pPr>
              <w:pStyle w:val="TableParagraph"/>
              <w:spacing w:line="364" w:lineRule="auto" w:before="34"/>
              <w:ind w:left="27" w:right="32"/>
              <w:jc w:val="left"/>
              <w:rPr>
                <w:rFonts w:ascii="宋体" w:hAnsi="宋体" w:cs="宋体" w:eastAsia="宋体" w:hint="default"/>
                <w:sz w:val="18"/>
                <w:szCs w:val="18"/>
              </w:rPr>
            </w:pPr>
            <w:r>
              <w:rPr>
                <w:rFonts w:ascii="宋体" w:hAnsi="宋体" w:cs="宋体" w:eastAsia="宋体" w:hint="default"/>
                <w:sz w:val="18"/>
                <w:szCs w:val="18"/>
              </w:rPr>
              <w:t>通过构建一个系统环境对嵌入式系统进行的测试，包括对构成嵌入式系统一部分的软件、 硬件和整个系统的测试。</w:t>
            </w:r>
          </w:p>
        </w:tc>
      </w:tr>
      <w:tr>
        <w:trPr>
          <w:trHeight w:val="358" w:hRule="exact"/>
        </w:trPr>
        <w:tc>
          <w:tcPr>
            <w:tcW w:w="2139" w:type="dxa"/>
            <w:vMerge/>
            <w:tcBorders>
              <w:left w:val="single" w:sz="4" w:space="0" w:color="000000"/>
              <w:right w:val="single" w:sz="9" w:space="0" w:color="D3D3D3"/>
            </w:tcBorders>
          </w:tcPr>
          <w:p>
            <w:pP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vMerge/>
            <w:tcBorders>
              <w:left w:val="single" w:sz="10" w:space="0" w:color="D3D3D3"/>
              <w:right w:val="single" w:sz="4" w:space="0" w:color="000000"/>
            </w:tcBorders>
          </w:tcPr>
          <w:p>
            <w:pPr/>
          </w:p>
        </w:tc>
      </w:tr>
      <w:tr>
        <w:trPr>
          <w:trHeight w:val="185" w:hRule="exact"/>
        </w:trPr>
        <w:tc>
          <w:tcPr>
            <w:tcW w:w="2139" w:type="dxa"/>
            <w:vMerge/>
            <w:tcBorders>
              <w:left w:val="single" w:sz="4" w:space="0" w:color="000000"/>
              <w:bottom w:val="single" w:sz="4" w:space="0" w:color="000000"/>
              <w:right w:val="single" w:sz="9" w:space="0" w:color="D3D3D3"/>
            </w:tcBorders>
          </w:tcPr>
          <w:p>
            <w:pPr/>
          </w:p>
        </w:tc>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9" w:type="dxa"/>
            <w:vMerge/>
            <w:tcBorders>
              <w:left w:val="single" w:sz="10" w:space="0" w:color="D3D3D3"/>
              <w:bottom w:val="single" w:sz="4" w:space="0" w:color="000000"/>
              <w:right w:val="single" w:sz="4" w:space="0" w:color="000000"/>
            </w:tcBorders>
          </w:tcPr>
          <w:p>
            <w:pPr/>
          </w:p>
        </w:tc>
      </w:tr>
      <w:tr>
        <w:trPr>
          <w:trHeight w:val="183" w:hRule="exact"/>
        </w:trPr>
        <w:tc>
          <w:tcPr>
            <w:tcW w:w="2139" w:type="dxa"/>
            <w:vMerge w:val="restart"/>
            <w:tcBorders>
              <w:top w:val="single" w:sz="4" w:space="0" w:color="000000"/>
              <w:left w:val="single" w:sz="4" w:space="0" w:color="000000"/>
              <w:right w:val="single" w:sz="9" w:space="0" w:color="D3D3D3"/>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仿真测试</w:t>
            </w:r>
          </w:p>
        </w:tc>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9" w:type="dxa"/>
            <w:vMerge w:val="restart"/>
            <w:tcBorders>
              <w:top w:val="single" w:sz="4" w:space="0" w:color="000000"/>
              <w:left w:val="single" w:sz="10" w:space="0" w:color="D3D3D3"/>
              <w:right w:val="single" w:sz="4" w:space="0" w:color="000000"/>
            </w:tcBorders>
          </w:tcPr>
          <w:p>
            <w:pPr>
              <w:pStyle w:val="TableParagraph"/>
              <w:spacing w:line="364" w:lineRule="auto" w:before="33"/>
              <w:ind w:left="27" w:right="32"/>
              <w:jc w:val="left"/>
              <w:rPr>
                <w:rFonts w:ascii="宋体" w:hAnsi="宋体" w:cs="宋体" w:eastAsia="宋体" w:hint="default"/>
                <w:sz w:val="18"/>
                <w:szCs w:val="18"/>
              </w:rPr>
            </w:pPr>
            <w:r>
              <w:rPr>
                <w:rFonts w:ascii="宋体" w:hAnsi="宋体" w:cs="宋体" w:eastAsia="宋体" w:hint="default"/>
                <w:sz w:val="18"/>
                <w:szCs w:val="18"/>
              </w:rPr>
              <w:t>模拟软件的真实使用环境，软件配置到真实的使用状态进行的测试，一般发生在产品交付 使用前。</w:t>
            </w:r>
          </w:p>
        </w:tc>
      </w:tr>
      <w:tr>
        <w:trPr>
          <w:trHeight w:val="359" w:hRule="exact"/>
        </w:trPr>
        <w:tc>
          <w:tcPr>
            <w:tcW w:w="2139" w:type="dxa"/>
            <w:vMerge/>
            <w:tcBorders>
              <w:left w:val="single" w:sz="4" w:space="0" w:color="000000"/>
              <w:right w:val="single" w:sz="9" w:space="0" w:color="D3D3D3"/>
            </w:tcBorders>
          </w:tcPr>
          <w:p>
            <w:pP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vMerge/>
            <w:tcBorders>
              <w:left w:val="single" w:sz="10" w:space="0" w:color="D3D3D3"/>
              <w:right w:val="single" w:sz="4" w:space="0" w:color="000000"/>
            </w:tcBorders>
          </w:tcPr>
          <w:p>
            <w:pPr/>
          </w:p>
        </w:tc>
      </w:tr>
      <w:tr>
        <w:trPr>
          <w:trHeight w:val="184" w:hRule="exact"/>
        </w:trPr>
        <w:tc>
          <w:tcPr>
            <w:tcW w:w="2139" w:type="dxa"/>
            <w:vMerge/>
            <w:tcBorders>
              <w:left w:val="single" w:sz="4" w:space="0" w:color="000000"/>
              <w:bottom w:val="single" w:sz="4" w:space="0" w:color="000000"/>
              <w:right w:val="single" w:sz="9" w:space="0" w:color="D3D3D3"/>
            </w:tcBorders>
          </w:tcPr>
          <w:p>
            <w:pPr/>
          </w:p>
        </w:tc>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9" w:type="dxa"/>
            <w:vMerge/>
            <w:tcBorders>
              <w:left w:val="single" w:sz="10" w:space="0" w:color="D3D3D3"/>
              <w:bottom w:val="single" w:sz="4" w:space="0" w:color="000000"/>
              <w:right w:val="single" w:sz="4" w:space="0" w:color="000000"/>
            </w:tcBorders>
          </w:tcPr>
          <w:p>
            <w:pPr/>
          </w:p>
        </w:tc>
      </w:tr>
      <w:tr>
        <w:trPr>
          <w:trHeight w:val="370" w:hRule="exact"/>
        </w:trPr>
        <w:tc>
          <w:tcPr>
            <w:tcW w:w="213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故障注入</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89"/>
              <w:jc w:val="right"/>
              <w:rPr>
                <w:rFonts w:ascii="宋体" w:hAnsi="宋体" w:cs="宋体" w:eastAsia="宋体" w:hint="default"/>
                <w:sz w:val="18"/>
                <w:szCs w:val="18"/>
              </w:rPr>
            </w:pPr>
            <w:r>
              <w:rPr>
                <w:rFonts w:ascii="宋体" w:hAnsi="宋体" w:cs="宋体" w:eastAsia="宋体" w:hint="default"/>
                <w:sz w:val="18"/>
                <w:szCs w:val="18"/>
              </w:rPr>
              <w:t>指</w:t>
            </w:r>
          </w:p>
        </w:tc>
        <w:tc>
          <w:tcPr>
            <w:tcW w:w="7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一种可靠性验证技术，通过受控实验向系统中刻意引入故障，并观察系统中存在故障时的</w:t>
            </w:r>
          </w:p>
        </w:tc>
      </w:tr>
    </w:tbl>
    <w:p>
      <w:pPr>
        <w:spacing w:after="0" w:line="240" w:lineRule="auto"/>
        <w:jc w:val="left"/>
        <w:rPr>
          <w:rFonts w:ascii="宋体" w:hAnsi="宋体" w:cs="宋体" w:eastAsia="宋体" w:hint="default"/>
          <w:sz w:val="18"/>
          <w:szCs w:val="18"/>
        </w:rPr>
        <w:sectPr>
          <w:pgSz w:w="11910" w:h="16840"/>
          <w:pgMar w:header="997" w:footer="1252" w:top="1340" w:bottom="1440" w:left="74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0" w:right="105" w:firstLine="0"/>
        <w:jc w:val="right"/>
        <w:rPr>
          <w:rFonts w:ascii="宋体" w:hAnsi="宋体" w:cs="宋体" w:eastAsia="宋体" w:hint="default"/>
          <w:sz w:val="18"/>
          <w:szCs w:val="18"/>
        </w:rPr>
      </w:pPr>
      <w:r>
        <w:rPr/>
        <w:pict>
          <v:shape style="position:absolute;margin-left:42.18pt;margin-top:-363.787994pt;width:511.1pt;height:400.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992"/>
                    <w:gridCol w:w="7087"/>
                  </w:tblGrid>
                  <w:tr>
                    <w:trPr>
                      <w:trHeight w:val="368"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行为，一般分为：基于硬件的故障注入、基于软件的故障注入以及基于仿真的故障注入。</w:t>
                        </w:r>
                      </w:p>
                    </w:tc>
                  </w:tr>
                  <w:tr>
                    <w:trPr>
                      <w:trHeight w:val="72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多用途航电中继系统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22" w:right="2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MARS-Multipurpose</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3"/>
                            <w:sz w:val="18"/>
                            <w:szCs w:val="18"/>
                          </w:rPr>
                          <w:t>Avionics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Relay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，基于高速光纤通信的航电中继技术是用来在 分立实验室之间实现远程互联的航电中继网络。</w:t>
                        </w:r>
                      </w:p>
                    </w:tc>
                  </w:tr>
                  <w:tr>
                    <w:trPr>
                      <w:trHeight w:val="7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航电系统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32"/>
                          <w:jc w:val="left"/>
                          <w:rPr>
                            <w:rFonts w:ascii="宋体" w:hAnsi="宋体" w:cs="宋体" w:eastAsia="宋体" w:hint="default"/>
                            <w:sz w:val="18"/>
                            <w:szCs w:val="18"/>
                          </w:rPr>
                        </w:pPr>
                        <w:r>
                          <w:rPr>
                            <w:rFonts w:ascii="宋体" w:hAnsi="宋体" w:cs="宋体" w:eastAsia="宋体" w:hint="default"/>
                            <w:sz w:val="18"/>
                            <w:szCs w:val="18"/>
                          </w:rPr>
                          <w:t>飞机上所有电子系统的总和，一个最基本的航空电子系统由通信、导航和显示管理等多个 系统构成。</w:t>
                        </w:r>
                      </w:p>
                    </w:tc>
                  </w:tr>
                  <w:tr>
                    <w:trPr>
                      <w:trHeight w:val="108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航电总线协议</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3"/>
                          <w:ind w:left="22" w:right="20"/>
                          <w:jc w:val="both"/>
                          <w:rPr>
                            <w:rFonts w:ascii="宋体" w:hAnsi="宋体" w:cs="宋体" w:eastAsia="宋体" w:hint="default"/>
                            <w:sz w:val="18"/>
                            <w:szCs w:val="18"/>
                          </w:rPr>
                        </w:pPr>
                        <w:r>
                          <w:rPr>
                            <w:rFonts w:ascii="宋体" w:hAnsi="宋体" w:cs="宋体" w:eastAsia="宋体" w:hint="default"/>
                            <w:sz w:val="18"/>
                            <w:szCs w:val="18"/>
                          </w:rPr>
                          <w:t>航空电子领域总线传输协议的统称，主要应用在航空、航天领域，目前主要的航电总线协 议有</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MIL-STD-1553B</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ARINC429</w:t>
                        </w:r>
                        <w:r>
                          <w:rPr>
                            <w:rFonts w:ascii="宋体" w:hAnsi="宋体" w:cs="宋体" w:eastAsia="宋体" w:hint="default"/>
                            <w:spacing w:val="-3"/>
                            <w:sz w:val="18"/>
                            <w:szCs w:val="18"/>
                          </w:rPr>
                          <w:t>，另外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AFDX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是新兴的高速航电总线协议，用 在一些新型航空航天系统中。</w:t>
                        </w:r>
                      </w:p>
                    </w:tc>
                  </w:tr>
                  <w:tr>
                    <w:trPr>
                      <w:trHeight w:val="72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AFDX</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22" w:right="5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AVIONICS </w:t>
                        </w:r>
                        <w:r>
                          <w:rPr>
                            <w:rFonts w:ascii="Times New Roman" w:hAnsi="Times New Roman" w:cs="Times New Roman" w:eastAsia="Times New Roman" w:hint="default"/>
                            <w:sz w:val="18"/>
                            <w:szCs w:val="18"/>
                          </w:rPr>
                          <w:t>FULL DUPLEX SWITCHED ETHERNET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的英文缩写，即航空电子全双工交换 式以太网，是最新航电总线协议。</w:t>
                        </w:r>
                      </w:p>
                    </w:tc>
                  </w:tr>
                  <w:tr>
                    <w:trPr>
                      <w:trHeight w:val="7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大飞机</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起飞总重超过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吨的运输类飞机，包括军用大型运输机和民用大型运输机，也包括一次</w:t>
                        </w: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航程达到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公里的军用或乘坐达到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座以上的民用客机。</w:t>
                        </w:r>
                      </w:p>
                    </w:tc>
                  </w:tr>
                  <w:tr>
                    <w:trPr>
                      <w:trHeight w:val="7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USBKEY</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3"/>
                          <w:ind w:left="22" w:right="20"/>
                          <w:jc w:val="left"/>
                          <w:rPr>
                            <w:rFonts w:ascii="宋体" w:hAnsi="宋体" w:cs="宋体" w:eastAsia="宋体" w:hint="default"/>
                            <w:sz w:val="18"/>
                            <w:szCs w:val="18"/>
                          </w:rPr>
                        </w:pPr>
                        <w:r>
                          <w:rPr>
                            <w:rFonts w:ascii="宋体" w:hAnsi="宋体" w:cs="宋体" w:eastAsia="宋体" w:hint="default"/>
                            <w:sz w:val="18"/>
                            <w:szCs w:val="18"/>
                          </w:rPr>
                          <w:t>是一种</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接口的硬件设备。它内置单片机或智能卡芯片，有一定的存储空间，可以存储 用户的私钥以及数字证书，利用其内置的公钥算法实现对用户身份的认证。</w:t>
                        </w:r>
                      </w:p>
                    </w:tc>
                  </w:tr>
                  <w:tr>
                    <w:trPr>
                      <w:trHeight w:val="72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COS</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Chip Operating System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的英文缩写，即片内操作系统，控制智能卡和外界的信息交换，管 理智能卡内的存储器并在卡内部完成各种命令的处理。</w:t>
                        </w:r>
                      </w:p>
                    </w:tc>
                  </w:tr>
                  <w:tr>
                    <w:trPr>
                      <w:trHeight w:val="72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税控盘</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32"/>
                          <w:jc w:val="left"/>
                          <w:rPr>
                            <w:rFonts w:ascii="宋体" w:hAnsi="宋体" w:cs="宋体" w:eastAsia="宋体" w:hint="default"/>
                            <w:sz w:val="18"/>
                            <w:szCs w:val="18"/>
                          </w:rPr>
                        </w:pPr>
                        <w:r>
                          <w:rPr>
                            <w:rFonts w:ascii="宋体" w:hAnsi="宋体" w:cs="宋体" w:eastAsia="宋体" w:hint="default"/>
                            <w:sz w:val="18"/>
                            <w:szCs w:val="18"/>
                          </w:rPr>
                          <w:t>税务部门安装在企业公司的专门用来监督企业公司发票开具领取作废等使用情况的硬盘， 同时可以有效监督企业公司申报纳税情况。</w:t>
                        </w:r>
                      </w:p>
                    </w:tc>
                  </w:tr>
                  <w:tr>
                    <w:trPr>
                      <w:trHeight w:val="36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安全芯片</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用于对电子产品的硬件加密防复制的芯片。</w:t>
                        </w:r>
                      </w:p>
                    </w:tc>
                  </w:tr>
                  <w:tr>
                    <w:trPr>
                      <w:trHeight w:val="108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 w:right="0"/>
                          <w:jc w:val="center"/>
                          <w:rPr>
                            <w:rFonts w:ascii="宋体" w:hAnsi="宋体" w:cs="宋体" w:eastAsia="宋体" w:hint="default"/>
                            <w:sz w:val="18"/>
                            <w:szCs w:val="18"/>
                          </w:rPr>
                        </w:pPr>
                        <w:r>
                          <w:rPr>
                            <w:rFonts w:ascii="宋体" w:hAnsi="宋体" w:cs="宋体" w:eastAsia="宋体" w:hint="default"/>
                            <w:sz w:val="18"/>
                            <w:szCs w:val="18"/>
                          </w:rPr>
                          <w:t>智能移动终端</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4"/>
                          <w:ind w:left="22" w:right="32"/>
                          <w:jc w:val="left"/>
                          <w:rPr>
                            <w:rFonts w:ascii="宋体" w:hAnsi="宋体" w:cs="宋体" w:eastAsia="宋体" w:hint="default"/>
                            <w:sz w:val="18"/>
                            <w:szCs w:val="18"/>
                          </w:rPr>
                        </w:pPr>
                        <w:r>
                          <w:rPr>
                            <w:rFonts w:ascii="宋体" w:hAnsi="宋体" w:cs="宋体" w:eastAsia="宋体" w:hint="default"/>
                            <w:sz w:val="18"/>
                            <w:szCs w:val="18"/>
                          </w:rPr>
                          <w:t>采用移动通信技术的移动公用电话、桌面商话、手持商话等移动智能终端设备，是一个典 </w:t>
                        </w:r>
                        <w:r>
                          <w:rPr>
                            <w:rFonts w:ascii="宋体" w:hAnsi="宋体" w:cs="宋体" w:eastAsia="宋体" w:hint="default"/>
                            <w:spacing w:val="-9"/>
                            <w:sz w:val="18"/>
                            <w:szCs w:val="18"/>
                          </w:rPr>
                          <w:t>型的嵌入式系统，可分为家用型、商务型、一般行业应用型、工业行业应用型，主要以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PDA</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智能手机等形式存在。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97" w:footer="1252" w:top="1340" w:bottom="1440" w:left="740" w:right="680"/>
        </w:sectPr>
      </w:pPr>
    </w:p>
    <w:p>
      <w:pPr>
        <w:spacing w:line="240" w:lineRule="auto" w:before="1"/>
        <w:rPr>
          <w:rFonts w:ascii="宋体" w:hAnsi="宋体" w:cs="宋体" w:eastAsia="宋体" w:hint="default"/>
          <w:sz w:val="13"/>
          <w:szCs w:val="13"/>
        </w:rPr>
      </w:pPr>
    </w:p>
    <w:p>
      <w:pPr>
        <w:pStyle w:val="Heading1"/>
        <w:spacing w:line="240" w:lineRule="auto"/>
        <w:ind w:left="3452" w:right="0"/>
        <w:jc w:val="left"/>
      </w:pPr>
      <w:bookmarkStart w:name="_TOC_250007" w:id="2"/>
      <w:r>
        <w:rPr/>
        <w:t>第二节</w:t>
      </w:r>
      <w:r>
        <w:rPr>
          <w:spacing w:val="-6"/>
        </w:rPr>
        <w:t> </w:t>
      </w:r>
      <w:bookmarkEnd w:id="2"/>
      <w:r>
        <w:rPr/>
        <w:t>公司基本情况简介</w:t>
      </w:r>
    </w:p>
    <w:p>
      <w:pPr>
        <w:spacing w:line="240" w:lineRule="auto" w:before="1"/>
        <w:rPr>
          <w:rFonts w:ascii="黑体" w:hAnsi="黑体" w:cs="黑体" w:eastAsia="黑体" w:hint="default"/>
          <w:sz w:val="29"/>
          <w:szCs w:val="29"/>
        </w:rPr>
      </w:pPr>
    </w:p>
    <w:p>
      <w:pPr>
        <w:pStyle w:val="Heading2"/>
        <w:spacing w:line="240" w:lineRule="auto" w:before="13"/>
        <w:ind w:right="0"/>
        <w:jc w:val="left"/>
      </w:pPr>
      <w:r>
        <w:rPr/>
        <w:t>一、公司信息</w:t>
      </w:r>
    </w:p>
    <w:p>
      <w:pPr>
        <w:spacing w:line="240" w:lineRule="auto" w:before="2"/>
        <w:rPr>
          <w:rFonts w:ascii="黑体" w:hAnsi="黑体" w:cs="黑体" w:eastAsia="黑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18"/>
        <w:gridCol w:w="2329"/>
        <w:gridCol w:w="2134"/>
        <w:gridCol w:w="2188"/>
      </w:tblGrid>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股票简称</w:t>
            </w:r>
            <w:r>
              <w:rPr>
                <w:rFonts w:ascii="宋体" w:hAnsi="宋体" w:cs="宋体" w:eastAsia="宋体" w:hint="default"/>
                <w:sz w:val="18"/>
                <w:szCs w:val="18"/>
              </w:rPr>
            </w:r>
          </w:p>
        </w:tc>
        <w:tc>
          <w:tcPr>
            <w:tcW w:w="232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700" w:right="0"/>
              <w:jc w:val="left"/>
              <w:rPr>
                <w:rFonts w:ascii="宋体" w:hAnsi="宋体" w:cs="宋体" w:eastAsia="宋体" w:hint="default"/>
                <w:sz w:val="18"/>
                <w:szCs w:val="18"/>
              </w:rPr>
            </w:pPr>
            <w:r>
              <w:rPr>
                <w:rFonts w:ascii="宋体" w:hAnsi="宋体" w:cs="宋体" w:eastAsia="宋体" w:hint="default"/>
                <w:b/>
                <w:bCs/>
                <w:sz w:val="18"/>
                <w:szCs w:val="18"/>
              </w:rPr>
              <w:t>股票代码</w:t>
            </w:r>
            <w:r>
              <w:rPr>
                <w:rFonts w:ascii="宋体" w:hAnsi="宋体" w:cs="宋体" w:eastAsia="宋体" w:hint="default"/>
                <w:sz w:val="18"/>
                <w:szCs w:val="18"/>
              </w:rPr>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300324</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股票上市证券交易所</w:t>
            </w:r>
            <w:r>
              <w:rPr>
                <w:rFonts w:ascii="宋体" w:hAnsi="宋体" w:cs="宋体" w:eastAsia="宋体" w:hint="default"/>
                <w:sz w:val="18"/>
                <w:szCs w:val="18"/>
              </w:rPr>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深圳证券交易所</w:t>
            </w:r>
            <w:r>
              <w:rPr>
                <w:rFonts w:ascii="宋体" w:hAnsi="宋体" w:cs="宋体" w:eastAsia="宋体" w:hint="default"/>
                <w:sz w:val="18"/>
                <w:szCs w:val="18"/>
              </w:rPr>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b/>
                <w:bCs/>
                <w:sz w:val="18"/>
                <w:szCs w:val="18"/>
              </w:rPr>
              <w:t>公司的中文名称</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left="2054"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b/>
                <w:bCs/>
                <w:sz w:val="18"/>
                <w:szCs w:val="18"/>
              </w:rPr>
              <w:t>公司的中文简称</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79"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b/>
                <w:bCs/>
                <w:sz w:val="18"/>
                <w:szCs w:val="18"/>
              </w:rPr>
              <w:t>公司的外文名称</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left="1466"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Watertek </w:t>
            </w:r>
            <w:r>
              <w:rPr>
                <w:rFonts w:ascii="Times New Roman"/>
                <w:sz w:val="18"/>
              </w:rPr>
              <w:t>Information Technology Co.,</w:t>
            </w:r>
            <w:r>
              <w:rPr>
                <w:rFonts w:ascii="Times New Roman"/>
                <w:spacing w:val="-19"/>
                <w:sz w:val="18"/>
              </w:rPr>
              <w:t> </w:t>
            </w:r>
            <w:r>
              <w:rPr>
                <w:rFonts w:ascii="Times New Roman"/>
                <w:sz w:val="18"/>
              </w:rPr>
              <w:t>Ltd.</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公司的外文名称缩写</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Watertek</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公司的法定代表人</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陈江涛</w:t>
            </w:r>
          </w:p>
        </w:tc>
      </w:tr>
      <w:tr>
        <w:trPr>
          <w:trHeight w:val="479"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9"/>
              <w:ind w:left="1379" w:right="0"/>
              <w:jc w:val="left"/>
              <w:rPr>
                <w:rFonts w:ascii="宋体" w:hAnsi="宋体" w:cs="宋体" w:eastAsia="宋体" w:hint="default"/>
                <w:sz w:val="18"/>
                <w:szCs w:val="18"/>
              </w:rPr>
            </w:pPr>
            <w:r>
              <w:rPr>
                <w:rFonts w:ascii="宋体" w:hAnsi="宋体" w:cs="宋体" w:eastAsia="宋体" w:hint="default"/>
                <w:sz w:val="18"/>
                <w:szCs w:val="18"/>
              </w:rPr>
              <w:t>北京市海淀区志新村小区海泰大厦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注册地址的邮政编码</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100083</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left="1379" w:right="0"/>
              <w:jc w:val="left"/>
              <w:rPr>
                <w:rFonts w:ascii="宋体" w:hAnsi="宋体" w:cs="宋体" w:eastAsia="宋体" w:hint="default"/>
                <w:sz w:val="18"/>
                <w:szCs w:val="18"/>
              </w:rPr>
            </w:pPr>
            <w:r>
              <w:rPr>
                <w:rFonts w:ascii="宋体" w:hAnsi="宋体" w:cs="宋体" w:eastAsia="宋体" w:hint="default"/>
                <w:sz w:val="18"/>
                <w:szCs w:val="18"/>
              </w:rPr>
              <w:t>北京市海淀区北四环中路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79"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办公地址的邮政编码</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100083</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公司国际互联网网址</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hyperlink r:id="rId14">
              <w:r>
                <w:rPr>
                  <w:rFonts w:ascii="Times New Roman"/>
                  <w:sz w:val="18"/>
                </w:rPr>
                <w:t>www.watertek.com</w:t>
              </w:r>
            </w:hyperlink>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hyperlink r:id="rId15">
              <w:r>
                <w:rPr>
                  <w:rFonts w:ascii="Times New Roman"/>
                  <w:sz w:val="18"/>
                </w:rPr>
                <w:t>investor@watertek.com</w:t>
              </w:r>
            </w:hyperlink>
          </w:p>
        </w:tc>
      </w:tr>
      <w:tr>
        <w:trPr>
          <w:trHeight w:val="479"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b/>
                <w:bCs/>
                <w:sz w:val="18"/>
                <w:szCs w:val="18"/>
              </w:rPr>
              <w:t>公司聘请的会计师事务所名称</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78"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b/>
                <w:bCs/>
                <w:sz w:val="18"/>
                <w:szCs w:val="18"/>
              </w:rPr>
              <w:t>公司聘请的会计师事务所办公地址</w:t>
            </w:r>
            <w:r>
              <w:rPr>
                <w:rFonts w:ascii="宋体" w:hAnsi="宋体" w:cs="宋体" w:eastAsia="宋体" w:hint="default"/>
                <w:sz w:val="18"/>
                <w:szCs w:val="18"/>
              </w:rPr>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left="131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5"/>
        <w:rPr>
          <w:rFonts w:ascii="黑体" w:hAnsi="黑体" w:cs="黑体" w:eastAsia="黑体" w:hint="default"/>
          <w:sz w:val="17"/>
          <w:szCs w:val="17"/>
        </w:rPr>
      </w:pPr>
    </w:p>
    <w:p>
      <w:pPr>
        <w:pStyle w:val="Heading2"/>
        <w:spacing w:line="240" w:lineRule="auto" w:before="13"/>
        <w:ind w:right="0"/>
        <w:jc w:val="left"/>
      </w:pPr>
      <w:r>
        <w:rPr/>
        <w:t>二、联系人和联系方式</w:t>
      </w:r>
    </w:p>
    <w:p>
      <w:pPr>
        <w:spacing w:line="240" w:lineRule="auto" w:before="2"/>
        <w:rPr>
          <w:rFonts w:ascii="黑体" w:hAnsi="黑体" w:cs="黑体" w:eastAsia="黑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6391"/>
      </w:tblGrid>
      <w:tr>
        <w:trPr>
          <w:trHeight w:val="478"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c>
      </w:tr>
      <w:tr>
        <w:trPr>
          <w:trHeight w:val="478"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63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黄海涛</w:t>
            </w:r>
          </w:p>
        </w:tc>
      </w:tr>
      <w:tr>
        <w:trPr>
          <w:trHeight w:val="478"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联系地址</w:t>
            </w:r>
            <w:r>
              <w:rPr>
                <w:rFonts w:ascii="宋体" w:hAnsi="宋体" w:cs="宋体" w:eastAsia="宋体" w:hint="default"/>
                <w:sz w:val="18"/>
                <w:szCs w:val="18"/>
              </w:rPr>
            </w:r>
          </w:p>
        </w:tc>
        <w:tc>
          <w:tcPr>
            <w:tcW w:w="63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北京市海淀区北四环中路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79"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电话</w:t>
            </w:r>
            <w:r>
              <w:rPr>
                <w:rFonts w:ascii="宋体" w:hAnsi="宋体" w:cs="宋体" w:eastAsia="宋体" w:hint="default"/>
                <w:sz w:val="18"/>
                <w:szCs w:val="18"/>
              </w:rPr>
            </w:r>
          </w:p>
        </w:tc>
        <w:tc>
          <w:tcPr>
            <w:tcW w:w="63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010-82885950</w:t>
            </w:r>
          </w:p>
        </w:tc>
      </w:tr>
      <w:tr>
        <w:trPr>
          <w:trHeight w:val="478"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传真</w:t>
            </w:r>
            <w:r>
              <w:rPr>
                <w:rFonts w:ascii="宋体" w:hAnsi="宋体" w:cs="宋体" w:eastAsia="宋体" w:hint="default"/>
                <w:sz w:val="18"/>
                <w:szCs w:val="18"/>
              </w:rPr>
            </w:r>
          </w:p>
        </w:tc>
        <w:tc>
          <w:tcPr>
            <w:tcW w:w="63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010-82885950</w:t>
            </w:r>
          </w:p>
        </w:tc>
      </w:tr>
      <w:tr>
        <w:trPr>
          <w:trHeight w:val="479"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63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hyperlink r:id="rId15">
              <w:r>
                <w:rPr>
                  <w:rFonts w:ascii="Times New Roman"/>
                  <w:sz w:val="18"/>
                </w:rPr>
                <w:t>investor@watertek.com</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8"/>
        <w:rPr>
          <w:rFonts w:ascii="黑体" w:hAnsi="黑体" w:cs="黑体" w:eastAsia="黑体" w:hint="default"/>
          <w:sz w:val="14"/>
          <w:szCs w:val="14"/>
        </w:rPr>
      </w:pPr>
    </w:p>
    <w:p>
      <w:pPr>
        <w:pStyle w:val="Heading2"/>
        <w:spacing w:line="240" w:lineRule="auto" w:before="13"/>
        <w:ind w:left="614" w:right="0"/>
        <w:jc w:val="left"/>
      </w:pPr>
      <w:r>
        <w:rPr/>
        <w:t>三、信息披露及备置地点</w:t>
      </w:r>
    </w:p>
    <w:p>
      <w:pPr>
        <w:spacing w:line="240" w:lineRule="auto" w:before="2"/>
        <w:rPr>
          <w:rFonts w:ascii="黑体" w:hAnsi="黑体" w:cs="黑体" w:eastAsia="黑体" w:hint="default"/>
          <w:sz w:val="25"/>
          <w:szCs w:val="25"/>
        </w:rPr>
      </w:pPr>
    </w:p>
    <w:tbl>
      <w:tblPr>
        <w:tblW w:w="0" w:type="auto"/>
        <w:jc w:val="left"/>
        <w:tblInd w:w="609" w:type="dxa"/>
        <w:tblLayout w:type="fixed"/>
        <w:tblCellMar>
          <w:top w:w="0" w:type="dxa"/>
          <w:left w:w="0" w:type="dxa"/>
          <w:bottom w:w="0" w:type="dxa"/>
          <w:right w:w="0" w:type="dxa"/>
        </w:tblCellMar>
        <w:tblLook w:val="01E0"/>
      </w:tblPr>
      <w:tblGrid>
        <w:gridCol w:w="3848"/>
        <w:gridCol w:w="5719"/>
      </w:tblGrid>
      <w:tr>
        <w:trPr>
          <w:trHeight w:val="478"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公司选定的信息披露报纸的名称</w:t>
            </w:r>
            <w:r>
              <w:rPr>
                <w:rFonts w:ascii="宋体" w:hAnsi="宋体" w:cs="宋体" w:eastAsia="宋体" w:hint="default"/>
                <w:sz w:val="18"/>
                <w:szCs w:val="18"/>
              </w:rPr>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79"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b/>
                <w:bCs/>
                <w:sz w:val="18"/>
                <w:szCs w:val="18"/>
              </w:rPr>
              <w:t>登载年度报告的中国证监会指定网站的网址</w:t>
            </w:r>
            <w:r>
              <w:rPr>
                <w:rFonts w:ascii="宋体" w:hAnsi="宋体" w:cs="宋体" w:eastAsia="宋体" w:hint="default"/>
                <w:sz w:val="18"/>
                <w:szCs w:val="18"/>
              </w:rPr>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78"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b/>
                <w:bCs/>
                <w:sz w:val="18"/>
                <w:szCs w:val="18"/>
              </w:rPr>
              <w:t>公司年度报告备置地点</w:t>
            </w:r>
            <w:r>
              <w:rPr>
                <w:rFonts w:ascii="宋体" w:hAnsi="宋体" w:cs="宋体" w:eastAsia="宋体" w:hint="default"/>
                <w:sz w:val="18"/>
                <w:szCs w:val="18"/>
              </w:rPr>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5"/>
        <w:rPr>
          <w:rFonts w:ascii="黑体" w:hAnsi="黑体" w:cs="黑体" w:eastAsia="黑体" w:hint="default"/>
          <w:sz w:val="17"/>
          <w:szCs w:val="17"/>
        </w:rPr>
      </w:pPr>
    </w:p>
    <w:p>
      <w:pPr>
        <w:pStyle w:val="Heading2"/>
        <w:spacing w:line="240" w:lineRule="auto" w:before="13"/>
        <w:ind w:left="614" w:right="0"/>
        <w:jc w:val="left"/>
      </w:pPr>
      <w:r>
        <w:rPr/>
        <w:t>四、公司历史沿革</w:t>
      </w:r>
    </w:p>
    <w:p>
      <w:pPr>
        <w:spacing w:line="240" w:lineRule="auto" w:before="2"/>
        <w:rPr>
          <w:rFonts w:ascii="黑体" w:hAnsi="黑体" w:cs="黑体" w:eastAsia="黑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2304"/>
        <w:gridCol w:w="1594"/>
        <w:gridCol w:w="2056"/>
        <w:gridCol w:w="1700"/>
        <w:gridCol w:w="1702"/>
        <w:gridCol w:w="1276"/>
      </w:tblGrid>
      <w:tr>
        <w:trPr>
          <w:trHeight w:val="186" w:hRule="exact"/>
        </w:trPr>
        <w:tc>
          <w:tcPr>
            <w:tcW w:w="23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4"/>
              <w:ind w:left="664" w:right="29" w:hanging="633"/>
              <w:jc w:val="left"/>
              <w:rPr>
                <w:rFonts w:ascii="宋体" w:hAnsi="宋体" w:cs="宋体" w:eastAsia="宋体" w:hint="default"/>
                <w:sz w:val="18"/>
                <w:szCs w:val="18"/>
              </w:rPr>
            </w:pPr>
            <w:r>
              <w:rPr>
                <w:rFonts w:ascii="宋体" w:hAnsi="宋体" w:cs="宋体" w:eastAsia="宋体" w:hint="default"/>
                <w:b/>
                <w:bCs/>
                <w:sz w:val="18"/>
                <w:szCs w:val="18"/>
              </w:rPr>
              <w:t>企业法人营业执照注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册号</w:t>
            </w:r>
            <w:r>
              <w:rPr>
                <w:rFonts w:ascii="宋体" w:hAnsi="宋体" w:cs="宋体" w:eastAsia="宋体" w:hint="default"/>
                <w:sz w:val="18"/>
                <w:szCs w:val="18"/>
              </w:rPr>
            </w:r>
          </w:p>
        </w:tc>
        <w:tc>
          <w:tcPr>
            <w:tcW w:w="1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8" w:hRule="exact"/>
        </w:trPr>
        <w:tc>
          <w:tcPr>
            <w:tcW w:w="2304"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注册登记日期</w:t>
            </w:r>
            <w:r>
              <w:rPr>
                <w:rFonts w:ascii="宋体" w:hAnsi="宋体" w:cs="宋体" w:eastAsia="宋体" w:hint="default"/>
                <w:sz w:val="18"/>
                <w:szCs w:val="18"/>
              </w:rPr>
            </w:r>
          </w:p>
        </w:tc>
        <w:tc>
          <w:tcPr>
            <w:tcW w:w="2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2"/>
              <w:ind w:left="480" w:right="0"/>
              <w:jc w:val="left"/>
              <w:rPr>
                <w:rFonts w:ascii="宋体" w:hAnsi="宋体" w:cs="宋体" w:eastAsia="宋体" w:hint="default"/>
                <w:sz w:val="18"/>
                <w:szCs w:val="18"/>
              </w:rPr>
            </w:pPr>
            <w:r>
              <w:rPr>
                <w:rFonts w:ascii="宋体" w:hAnsi="宋体" w:cs="宋体" w:eastAsia="宋体" w:hint="default"/>
                <w:b/>
                <w:bCs/>
                <w:sz w:val="18"/>
                <w:szCs w:val="18"/>
              </w:rPr>
              <w:t>注册登记地点</w:t>
            </w:r>
            <w:r>
              <w:rPr>
                <w:rFonts w:ascii="宋体" w:hAnsi="宋体" w:cs="宋体" w:eastAsia="宋体" w:hint="default"/>
                <w:sz w:val="18"/>
                <w:szCs w:val="18"/>
              </w:rPr>
            </w:r>
          </w:p>
        </w:tc>
        <w:tc>
          <w:tcPr>
            <w:tcW w:w="1700" w:type="dxa"/>
            <w:vMerge/>
            <w:tcBorders>
              <w:left w:val="single" w:sz="4" w:space="0" w:color="000000"/>
              <w:right w:val="single" w:sz="4" w:space="0" w:color="000000"/>
            </w:tcBorders>
            <w:shd w:val="clear" w:color="auto" w:fill="D3D3D3"/>
          </w:tcPr>
          <w:p>
            <w:pPr/>
          </w:p>
        </w:tc>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税务登记号码</w:t>
            </w:r>
            <w:r>
              <w:rPr>
                <w:rFonts w:ascii="宋体" w:hAnsi="宋体" w:cs="宋体" w:eastAsia="宋体" w:hint="default"/>
                <w:sz w:val="18"/>
                <w:szCs w:val="18"/>
              </w:rPr>
            </w: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185" w:hRule="exact"/>
        </w:trPr>
        <w:tc>
          <w:tcPr>
            <w:tcW w:w="23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c>
          <w:tcPr>
            <w:tcW w:w="17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85" w:hRule="exact"/>
        </w:trPr>
        <w:tc>
          <w:tcPr>
            <w:tcW w:w="23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6" w:type="dxa"/>
            <w:vMerge w:val="restart"/>
            <w:tcBorders>
              <w:top w:val="single" w:sz="4" w:space="0" w:color="000000"/>
              <w:left w:val="single" w:sz="4" w:space="0" w:color="000000"/>
              <w:right w:val="single" w:sz="4" w:space="0" w:color="000000"/>
            </w:tcBorders>
          </w:tcPr>
          <w:p>
            <w:pPr>
              <w:pStyle w:val="TableParagraph"/>
              <w:spacing w:line="364" w:lineRule="auto" w:before="33"/>
              <w:ind w:left="76" w:right="31" w:hanging="45"/>
              <w:jc w:val="left"/>
              <w:rPr>
                <w:rFonts w:ascii="宋体" w:hAnsi="宋体" w:cs="宋体" w:eastAsia="宋体" w:hint="default"/>
                <w:sz w:val="18"/>
                <w:szCs w:val="18"/>
              </w:rPr>
            </w:pPr>
            <w:r>
              <w:rPr>
                <w:rFonts w:ascii="宋体" w:hAnsi="宋体" w:cs="宋体" w:eastAsia="宋体" w:hint="default"/>
                <w:sz w:val="18"/>
                <w:szCs w:val="18"/>
              </w:rPr>
              <w:t>北京市海淀区志新村小区 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10001388-3(4-1)</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110108633694233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63369423-3</w:t>
            </w:r>
          </w:p>
        </w:tc>
      </w:tr>
      <w:tr>
        <w:trPr>
          <w:trHeight w:val="358" w:hRule="exact"/>
        </w:trPr>
        <w:tc>
          <w:tcPr>
            <w:tcW w:w="23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首次注册</w:t>
            </w:r>
            <w:r>
              <w:rPr>
                <w:rFonts w:ascii="宋体" w:hAnsi="宋体" w:cs="宋体" w:eastAsia="宋体" w:hint="default"/>
                <w:sz w:val="18"/>
                <w:szCs w:val="18"/>
              </w:rPr>
            </w:r>
          </w:p>
        </w:tc>
        <w:tc>
          <w:tcPr>
            <w:tcW w:w="1594" w:type="dxa"/>
            <w:vMerge/>
            <w:tcBorders>
              <w:left w:val="single" w:sz="10" w:space="0" w:color="D3D3D3"/>
              <w:right w:val="single" w:sz="4" w:space="0" w:color="000000"/>
            </w:tcBorders>
          </w:tcPr>
          <w:p>
            <w:pPr/>
          </w:p>
        </w:tc>
        <w:tc>
          <w:tcPr>
            <w:tcW w:w="2056"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84" w:hRule="exact"/>
        </w:trPr>
        <w:tc>
          <w:tcPr>
            <w:tcW w:w="23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2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股份公司设立变更登记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76" w:right="31" w:hanging="45"/>
              <w:jc w:val="left"/>
              <w:rPr>
                <w:rFonts w:ascii="宋体" w:hAnsi="宋体" w:cs="宋体" w:eastAsia="宋体" w:hint="default"/>
                <w:sz w:val="18"/>
                <w:szCs w:val="18"/>
              </w:rPr>
            </w:pPr>
            <w:r>
              <w:rPr>
                <w:rFonts w:ascii="宋体" w:hAnsi="宋体" w:cs="宋体" w:eastAsia="宋体" w:hint="default"/>
                <w:sz w:val="18"/>
                <w:szCs w:val="18"/>
              </w:rPr>
              <w:t>北京市海淀区志新村小区 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110108005119571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110108633694233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63369423-3</w:t>
            </w:r>
          </w:p>
        </w:tc>
      </w:tr>
      <w:tr>
        <w:trPr>
          <w:trHeight w:val="728"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上市前股权转让及增资</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76" w:right="31" w:hanging="45"/>
              <w:jc w:val="left"/>
              <w:rPr>
                <w:rFonts w:ascii="宋体" w:hAnsi="宋体" w:cs="宋体" w:eastAsia="宋体" w:hint="default"/>
                <w:sz w:val="18"/>
                <w:szCs w:val="18"/>
              </w:rPr>
            </w:pPr>
            <w:r>
              <w:rPr>
                <w:rFonts w:ascii="宋体" w:hAnsi="宋体" w:cs="宋体" w:eastAsia="宋体" w:hint="default"/>
                <w:sz w:val="18"/>
                <w:szCs w:val="18"/>
              </w:rPr>
              <w:t>北京市海淀区志新村小区 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110108005119571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110108633694233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63369423-3</w:t>
            </w:r>
          </w:p>
        </w:tc>
      </w:tr>
      <w:tr>
        <w:trPr>
          <w:trHeight w:val="72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首次公开发行股票变更登记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76" w:right="31" w:hanging="45"/>
              <w:jc w:val="left"/>
              <w:rPr>
                <w:rFonts w:ascii="宋体" w:hAnsi="宋体" w:cs="宋体" w:eastAsia="宋体" w:hint="default"/>
                <w:sz w:val="18"/>
                <w:szCs w:val="18"/>
              </w:rPr>
            </w:pPr>
            <w:r>
              <w:rPr>
                <w:rFonts w:ascii="宋体" w:hAnsi="宋体" w:cs="宋体" w:eastAsia="宋体" w:hint="default"/>
                <w:sz w:val="18"/>
                <w:szCs w:val="18"/>
              </w:rPr>
              <w:t>北京市海淀区志新村小区 海泰大厦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110108005119571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110108633694233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63369423-3</w:t>
            </w:r>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520" w:right="520"/>
        </w:sectPr>
      </w:pPr>
    </w:p>
    <w:p>
      <w:pPr>
        <w:spacing w:line="240" w:lineRule="auto" w:before="1"/>
        <w:rPr>
          <w:rFonts w:ascii="黑体" w:hAnsi="黑体" w:cs="黑体" w:eastAsia="黑体" w:hint="default"/>
          <w:sz w:val="13"/>
          <w:szCs w:val="13"/>
        </w:rPr>
      </w:pPr>
    </w:p>
    <w:p>
      <w:pPr>
        <w:pStyle w:val="Heading1"/>
        <w:spacing w:line="240" w:lineRule="auto"/>
        <w:ind w:left="3492" w:right="1980"/>
        <w:jc w:val="left"/>
      </w:pPr>
      <w:bookmarkStart w:name="_TOC_250006" w:id="3"/>
      <w:r>
        <w:rPr/>
        <w:t>第三节</w:t>
      </w:r>
      <w:r>
        <w:rPr>
          <w:spacing w:val="-8"/>
        </w:rPr>
        <w:t> </w:t>
      </w:r>
      <w:bookmarkEnd w:id="3"/>
      <w:r>
        <w:rPr/>
        <w:t>会计数据和财务指标摘要</w:t>
      </w:r>
    </w:p>
    <w:p>
      <w:pPr>
        <w:spacing w:line="240" w:lineRule="auto" w:before="1"/>
        <w:rPr>
          <w:rFonts w:ascii="黑体" w:hAnsi="黑体" w:cs="黑体" w:eastAsia="黑体" w:hint="default"/>
          <w:sz w:val="30"/>
          <w:szCs w:val="30"/>
        </w:rPr>
      </w:pPr>
    </w:p>
    <w:p>
      <w:pPr>
        <w:pStyle w:val="Heading2"/>
        <w:spacing w:line="240" w:lineRule="auto"/>
        <w:ind w:left="674" w:right="1980"/>
        <w:jc w:val="left"/>
      </w:pPr>
      <w:r>
        <w:rPr/>
        <w:t>一、主要会计数据和财务指标</w:t>
      </w:r>
    </w:p>
    <w:p>
      <w:pPr>
        <w:spacing w:line="240" w:lineRule="auto" w:before="13"/>
        <w:rPr>
          <w:rFonts w:ascii="黑体" w:hAnsi="黑体" w:cs="黑体" w:eastAsia="黑体" w:hint="default"/>
          <w:sz w:val="29"/>
          <w:szCs w:val="29"/>
        </w:rPr>
      </w:pPr>
    </w:p>
    <w:p>
      <w:pPr>
        <w:pStyle w:val="BodyText"/>
        <w:spacing w:line="240" w:lineRule="auto"/>
        <w:ind w:left="1094" w:right="1980"/>
        <w:jc w:val="left"/>
      </w:pPr>
      <w:r>
        <w:rPr/>
        <w:t>公司是否因会计政策变更及会计差错更正等追溯调整或重述以前年度会计数据</w:t>
      </w:r>
    </w:p>
    <w:p>
      <w:pPr>
        <w:spacing w:line="240" w:lineRule="auto" w:before="9"/>
        <w:rPr>
          <w:rFonts w:ascii="宋体" w:hAnsi="宋体" w:cs="宋体" w:eastAsia="宋体" w:hint="default"/>
          <w:sz w:val="26"/>
          <w:szCs w:val="26"/>
        </w:rPr>
      </w:pPr>
    </w:p>
    <w:p>
      <w:pPr>
        <w:pStyle w:val="BodyText"/>
        <w:spacing w:line="516" w:lineRule="auto"/>
        <w:ind w:left="1094" w:right="809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主要会计数据</w:t>
      </w:r>
    </w:p>
    <w:p>
      <w:pPr>
        <w:spacing w:line="240" w:lineRule="auto" w:before="5"/>
        <w:rPr>
          <w:rFonts w:ascii="宋体" w:hAnsi="宋体" w:cs="宋体" w:eastAsia="宋体" w:hint="default"/>
          <w:sz w:val="3"/>
          <w:szCs w:val="3"/>
        </w:rPr>
      </w:pPr>
    </w:p>
    <w:tbl>
      <w:tblPr>
        <w:tblW w:w="0" w:type="auto"/>
        <w:jc w:val="left"/>
        <w:tblInd w:w="527" w:type="dxa"/>
        <w:tblLayout w:type="fixed"/>
        <w:tblCellMar>
          <w:top w:w="0" w:type="dxa"/>
          <w:left w:w="0" w:type="dxa"/>
          <w:bottom w:w="0" w:type="dxa"/>
          <w:right w:w="0" w:type="dxa"/>
        </w:tblCellMar>
        <w:tblLook w:val="01E0"/>
      </w:tblPr>
      <w:tblGrid>
        <w:gridCol w:w="2977"/>
        <w:gridCol w:w="1700"/>
        <w:gridCol w:w="1559"/>
        <w:gridCol w:w="1985"/>
        <w:gridCol w:w="1489"/>
      </w:tblGrid>
      <w:tr>
        <w:trPr>
          <w:trHeight w:val="478" w:hRule="exact"/>
        </w:trPr>
        <w:tc>
          <w:tcPr>
            <w:tcW w:w="2977"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8"/>
              <w:ind w:left="55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8"/>
              <w:ind w:left="485"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8"/>
              <w:ind w:left="20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本年比上年增减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89"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8"/>
              <w:ind w:left="4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79" w:hRule="exact"/>
        </w:trPr>
        <w:tc>
          <w:tcPr>
            <w:tcW w:w="2977"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00"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281,796,893.72</w:t>
            </w:r>
          </w:p>
        </w:tc>
        <w:tc>
          <w:tcPr>
            <w:tcW w:w="15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298,665,994.74</w:t>
            </w:r>
          </w:p>
        </w:tc>
        <w:tc>
          <w:tcPr>
            <w:tcW w:w="19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-5.65%</w:t>
            </w:r>
          </w:p>
        </w:tc>
        <w:tc>
          <w:tcPr>
            <w:tcW w:w="14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182,947,672.24</w:t>
            </w:r>
          </w:p>
        </w:tc>
      </w:tr>
      <w:tr>
        <w:trPr>
          <w:trHeight w:val="478" w:hRule="exact"/>
        </w:trPr>
        <w:tc>
          <w:tcPr>
            <w:tcW w:w="2977"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00"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50,407,487.96</w:t>
            </w:r>
          </w:p>
        </w:tc>
        <w:tc>
          <w:tcPr>
            <w:tcW w:w="15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49,136,866.79</w:t>
            </w:r>
          </w:p>
        </w:tc>
        <w:tc>
          <w:tcPr>
            <w:tcW w:w="19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2.59%</w:t>
            </w:r>
          </w:p>
        </w:tc>
        <w:tc>
          <w:tcPr>
            <w:tcW w:w="14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29,172,212.54</w:t>
            </w:r>
          </w:p>
        </w:tc>
      </w:tr>
      <w:tr>
        <w:trPr>
          <w:trHeight w:val="478" w:hRule="exact"/>
        </w:trPr>
        <w:tc>
          <w:tcPr>
            <w:tcW w:w="2977"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00"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56,108,055.69</w:t>
            </w:r>
          </w:p>
        </w:tc>
        <w:tc>
          <w:tcPr>
            <w:tcW w:w="15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50,927,321.42</w:t>
            </w:r>
          </w:p>
        </w:tc>
        <w:tc>
          <w:tcPr>
            <w:tcW w:w="19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10.17%</w:t>
            </w:r>
          </w:p>
        </w:tc>
        <w:tc>
          <w:tcPr>
            <w:tcW w:w="14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31,349,927.92</w:t>
            </w:r>
          </w:p>
        </w:tc>
      </w:tr>
      <w:tr>
        <w:trPr>
          <w:trHeight w:val="479" w:hRule="exact"/>
        </w:trPr>
        <w:tc>
          <w:tcPr>
            <w:tcW w:w="2977"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0"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46,890,276.01</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42,687,674.19</w:t>
            </w:r>
          </w:p>
        </w:tc>
        <w:tc>
          <w:tcPr>
            <w:tcW w:w="19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9.85%</w:t>
            </w:r>
          </w:p>
        </w:tc>
        <w:tc>
          <w:tcPr>
            <w:tcW w:w="14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26,852,136.38</w:t>
            </w:r>
          </w:p>
        </w:tc>
      </w:tr>
      <w:tr>
        <w:trPr>
          <w:trHeight w:val="727" w:hRule="exact"/>
        </w:trPr>
        <w:tc>
          <w:tcPr>
            <w:tcW w:w="2977"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364" w:lineRule="auto" w:before="33"/>
              <w:ind w:left="22"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700" w:type="dxa"/>
            <w:tcBorders>
              <w:top w:val="single" w:sz="4" w:space="0" w:color="000000"/>
              <w:left w:val="single" w:sz="13" w:space="0" w:color="D3D3D3"/>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44,803,082.98</w:t>
            </w: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40,980,037.79</w:t>
            </w:r>
          </w:p>
        </w:tc>
        <w:tc>
          <w:tcPr>
            <w:tcW w:w="198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w:t>
            </w:r>
          </w:p>
        </w:tc>
        <w:tc>
          <w:tcPr>
            <w:tcW w:w="14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26,785,215.05</w:t>
            </w:r>
          </w:p>
        </w:tc>
      </w:tr>
      <w:tr>
        <w:trPr>
          <w:trHeight w:val="478" w:hRule="exact"/>
        </w:trPr>
        <w:tc>
          <w:tcPr>
            <w:tcW w:w="2977"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0"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6,909,463.39</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49,512,849.21</w:t>
            </w:r>
          </w:p>
        </w:tc>
        <w:tc>
          <w:tcPr>
            <w:tcW w:w="19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-86.05%</w:t>
            </w:r>
          </w:p>
        </w:tc>
        <w:tc>
          <w:tcPr>
            <w:tcW w:w="14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30,580,913.11</w:t>
            </w:r>
          </w:p>
        </w:tc>
      </w:tr>
      <w:tr>
        <w:trPr>
          <w:trHeight w:val="479" w:hRule="exact"/>
        </w:trPr>
        <w:tc>
          <w:tcPr>
            <w:tcW w:w="2977"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9"/>
              <w:ind w:left="4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年末</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9"/>
              <w:ind w:left="394"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本年末比上年末增减</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489"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89"/>
              <w:ind w:left="3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78" w:hRule="exact"/>
        </w:trPr>
        <w:tc>
          <w:tcPr>
            <w:tcW w:w="2977" w:type="dxa"/>
            <w:tcBorders>
              <w:top w:val="single" w:sz="4" w:space="0" w:color="FFFFFF"/>
              <w:left w:val="single" w:sz="4" w:space="0" w:color="000000"/>
              <w:bottom w:val="single" w:sz="4" w:space="0" w:color="FFFFFF"/>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0" w:type="dxa"/>
            <w:tcBorders>
              <w:top w:val="single" w:sz="4" w:space="0" w:color="FFFFFF"/>
              <w:left w:val="single" w:sz="13" w:space="0" w:color="D3D3D3"/>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636,147,872.51</w:t>
            </w:r>
          </w:p>
        </w:tc>
        <w:tc>
          <w:tcPr>
            <w:tcW w:w="15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296,238,400.18</w:t>
            </w:r>
          </w:p>
        </w:tc>
        <w:tc>
          <w:tcPr>
            <w:tcW w:w="19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114.74%</w:t>
            </w:r>
          </w:p>
        </w:tc>
        <w:tc>
          <w:tcPr>
            <w:tcW w:w="14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197,329,557.65</w:t>
            </w:r>
          </w:p>
        </w:tc>
      </w:tr>
      <w:tr>
        <w:trPr>
          <w:trHeight w:val="478" w:hRule="exact"/>
        </w:trPr>
        <w:tc>
          <w:tcPr>
            <w:tcW w:w="2977"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00"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83,967,980.41</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135,224,587.38</w:t>
            </w:r>
          </w:p>
        </w:tc>
        <w:tc>
          <w:tcPr>
            <w:tcW w:w="19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-37.9%</w:t>
            </w:r>
          </w:p>
        </w:tc>
        <w:tc>
          <w:tcPr>
            <w:tcW w:w="14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75,788,674.05</w:t>
            </w:r>
          </w:p>
        </w:tc>
      </w:tr>
      <w:tr>
        <w:trPr>
          <w:trHeight w:val="728" w:hRule="exact"/>
        </w:trPr>
        <w:tc>
          <w:tcPr>
            <w:tcW w:w="2977"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13" w:space="0" w:color="D3D3D3"/>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544,122,133.57</w:t>
            </w: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159,389,766.42</w:t>
            </w:r>
          </w:p>
        </w:tc>
        <w:tc>
          <w:tcPr>
            <w:tcW w:w="198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241.38%</w:t>
            </w:r>
          </w:p>
        </w:tc>
        <w:tc>
          <w:tcPr>
            <w:tcW w:w="14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116,928,641.21</w:t>
            </w:r>
          </w:p>
        </w:tc>
      </w:tr>
      <w:tr>
        <w:trPr>
          <w:trHeight w:val="478" w:hRule="exact"/>
        </w:trPr>
        <w:tc>
          <w:tcPr>
            <w:tcW w:w="2977"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00" w:type="dxa"/>
            <w:tcBorders>
              <w:top w:val="single" w:sz="4" w:space="0" w:color="FFFFFF"/>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19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33.33%</w:t>
            </w:r>
          </w:p>
        </w:tc>
        <w:tc>
          <w:tcPr>
            <w:tcW w:w="14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42,000,000.00</w:t>
            </w:r>
          </w:p>
        </w:tc>
      </w:tr>
    </w:tbl>
    <w:p>
      <w:pPr>
        <w:spacing w:line="240" w:lineRule="auto" w:before="1"/>
        <w:rPr>
          <w:rFonts w:ascii="宋体" w:hAnsi="宋体" w:cs="宋体" w:eastAsia="宋体" w:hint="default"/>
          <w:sz w:val="14"/>
          <w:szCs w:val="14"/>
        </w:rPr>
      </w:pPr>
    </w:p>
    <w:p>
      <w:pPr>
        <w:pStyle w:val="BodyText"/>
        <w:spacing w:line="240" w:lineRule="auto" w:before="35"/>
        <w:ind w:left="1094" w:right="1980"/>
        <w:jc w:val="left"/>
      </w:pPr>
      <w:r>
        <w:rPr/>
        <w:t>主要财务指标</w:t>
      </w: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4088"/>
        <w:gridCol w:w="1430"/>
        <w:gridCol w:w="1276"/>
        <w:gridCol w:w="1985"/>
        <w:gridCol w:w="1276"/>
      </w:tblGrid>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44"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0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本年比上年增减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3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0.67</w:t>
            </w: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0.67</w:t>
            </w:r>
          </w:p>
        </w:tc>
      </w:tr>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扣除非经常性损益后的基本每股收益（元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0.67</w:t>
            </w: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全面摊薄净资产收益率（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26.78%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22.96%</w:t>
            </w:r>
          </w:p>
        </w:tc>
      </w:tr>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30.19%</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460" w:right="980"/>
        </w:sectPr>
      </w:pPr>
    </w:p>
    <w:p>
      <w:pPr>
        <w:spacing w:line="240" w:lineRule="auto" w:before="2"/>
        <w:rPr>
          <w:rFonts w:ascii="宋体" w:hAnsi="宋体" w:cs="宋体" w:eastAsia="宋体" w:hint="default"/>
          <w:sz w:val="9"/>
          <w:szCs w:val="9"/>
        </w:rPr>
      </w:pPr>
      <w:r>
        <w:rPr/>
        <w:pict>
          <v:group style="position:absolute;margin-left:234.119995pt;margin-top:97.620003pt;width:69.3pt;height:24.6pt;mso-position-horizontal-relative:page;mso-position-vertical-relative:page;z-index:-729064" coordorigin="4682,1952" coordsize="1386,492">
            <v:group style="position:absolute;left:4694;top:1964;width:2;height:468" coordorigin="4694,1964" coordsize="2,468">
              <v:shape style="position:absolute;left:4694;top:1964;width:2;height:468" coordorigin="4694,1964" coordsize="0,468" path="m4694,1964l4694,2432e" filled="false" stroked="true" strokeweight="1.2pt" strokecolor="#ffffff">
                <v:path arrowok="t"/>
              </v:shape>
            </v:group>
            <v:group style="position:absolute;left:4706;top:1964;width:1362;height:468" coordorigin="4706,1964" coordsize="1362,468">
              <v:shape style="position:absolute;left:4706;top:1964;width:1362;height:468" coordorigin="4706,1964" coordsize="1362,468" path="m4706,2432l6068,2432,6068,1964,4706,1964,4706,2432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4083"/>
        <w:gridCol w:w="1435"/>
        <w:gridCol w:w="1276"/>
        <w:gridCol w:w="1985"/>
        <w:gridCol w:w="1276"/>
      </w:tblGrid>
      <w:tr>
        <w:trPr>
          <w:trHeight w:val="478"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b/>
                <w:bCs/>
                <w:sz w:val="18"/>
                <w:szCs w:val="18"/>
              </w:rPr>
              <w:t>扣除非经常性损益后全面摊薄净资产收益率（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22.91%</w:t>
            </w:r>
          </w:p>
        </w:tc>
      </w:tr>
      <w:tr>
        <w:trPr>
          <w:trHeight w:val="479"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83"/>
              <w:jc w:val="center"/>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扣除非经常性损益后的加权平均净资产收益率（</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1435" w:type="dxa"/>
            <w:tcBorders>
              <w:top w:val="single" w:sz="4" w:space="0" w:color="000000"/>
              <w:left w:val="single" w:sz="13" w:space="0" w:color="D3D3D3"/>
              <w:bottom w:val="single" w:sz="4" w:space="0" w:color="000000"/>
              <w:right w:val="single" w:sz="4" w:space="0" w:color="000000"/>
            </w:tcBorders>
          </w:tcPr>
          <w:p>
            <w:pPr>
              <w:pStyle w:val="TableParagraph"/>
              <w:tabs>
                <w:tab w:pos="836" w:val="left" w:leader="none"/>
              </w:tabs>
              <w:spacing w:line="240" w:lineRule="auto" w:before="89"/>
              <w:ind w:left="-121" w:right="1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w:t>
              <w:tab/>
            </w:r>
            <w:r>
              <w:rPr>
                <w:rFonts w:ascii="Times New Roman" w:hAnsi="Times New Roman" w:cs="Times New Roman" w:eastAsia="Times New Roman" w:hint="default"/>
                <w:sz w:val="18"/>
                <w:szCs w:val="18"/>
              </w:rPr>
              <w:t>12.74%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30.11%</w:t>
            </w:r>
          </w:p>
        </w:tc>
      </w:tr>
      <w:tr>
        <w:trPr>
          <w:trHeight w:val="478"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 w:right="0"/>
              <w:jc w:val="center"/>
              <w:rPr>
                <w:rFonts w:ascii="宋体" w:hAnsi="宋体" w:cs="宋体" w:eastAsia="宋体" w:hint="default"/>
                <w:sz w:val="18"/>
                <w:szCs w:val="18"/>
              </w:rPr>
            </w:pPr>
            <w:r>
              <w:rPr>
                <w:rFonts w:ascii="宋体" w:hAnsi="宋体" w:cs="宋体" w:eastAsia="宋体" w:hint="default"/>
                <w:b/>
                <w:bCs/>
                <w:sz w:val="18"/>
                <w:szCs w:val="18"/>
              </w:rPr>
              <w:t>每股经营活动产生的现金流量净额（元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-89.53%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0.73</w:t>
            </w:r>
          </w:p>
        </w:tc>
      </w:tr>
      <w:tr>
        <w:trPr>
          <w:trHeight w:val="478"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3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年末</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53"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本年末比上年末增减</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4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79"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 w:right="0"/>
              <w:jc w:val="center"/>
              <w:rPr>
                <w:rFonts w:ascii="宋体" w:hAnsi="宋体" w:cs="宋体" w:eastAsia="宋体" w:hint="default"/>
                <w:sz w:val="18"/>
                <w:szCs w:val="18"/>
              </w:rPr>
            </w:pPr>
            <w:r>
              <w:rPr>
                <w:rFonts w:ascii="宋体" w:hAnsi="宋体" w:cs="宋体" w:eastAsia="宋体" w:hint="default"/>
                <w:b/>
                <w:bCs/>
                <w:sz w:val="18"/>
                <w:szCs w:val="18"/>
              </w:rPr>
              <w:t>归属于上市公司股东的每股净资产（元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156.46%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2.78</w:t>
            </w:r>
          </w:p>
        </w:tc>
      </w:tr>
      <w:tr>
        <w:trPr>
          <w:trHeight w:val="478"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资产负债率（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-32.45%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38.41%</w:t>
            </w:r>
          </w:p>
        </w:tc>
      </w:tr>
    </w:tbl>
    <w:p>
      <w:pPr>
        <w:spacing w:line="240" w:lineRule="auto" w:before="5"/>
        <w:rPr>
          <w:rFonts w:ascii="宋体" w:hAnsi="宋体" w:cs="宋体" w:eastAsia="宋体" w:hint="default"/>
          <w:sz w:val="17"/>
          <w:szCs w:val="17"/>
        </w:rPr>
      </w:pPr>
    </w:p>
    <w:p>
      <w:pPr>
        <w:pStyle w:val="Heading2"/>
        <w:spacing w:line="240" w:lineRule="auto" w:before="13"/>
        <w:ind w:left="674" w:right="0"/>
        <w:jc w:val="left"/>
      </w:pPr>
      <w:r>
        <w:rPr/>
        <w:t>二、境内外会计准则下会计数据差异</w:t>
      </w:r>
    </w:p>
    <w:p>
      <w:pPr>
        <w:spacing w:line="240" w:lineRule="auto" w:before="3"/>
        <w:rPr>
          <w:rFonts w:ascii="黑体" w:hAnsi="黑体" w:cs="黑体" w:eastAsia="黑体" w:hint="default"/>
          <w:sz w:val="28"/>
          <w:szCs w:val="28"/>
        </w:rPr>
      </w:pPr>
    </w:p>
    <w:p>
      <w:pPr>
        <w:pStyle w:val="Heading3"/>
        <w:spacing w:line="240" w:lineRule="auto"/>
        <w:ind w:left="674" w:right="0"/>
        <w:jc w:val="left"/>
      </w:pPr>
      <w:r>
        <w:rPr>
          <w:rFonts w:ascii="Cambria" w:hAnsi="Cambria" w:cs="Cambria" w:eastAsia="Cambria" w:hint="default"/>
        </w:rPr>
        <w:t>1</w:t>
      </w:r>
      <w:r>
        <w:rPr/>
        <w:t>、同时按照国际会计准则与按中国会计准则披露的财务报告中净利润和净资产差异情况</w:t>
      </w:r>
    </w:p>
    <w:p>
      <w:pPr>
        <w:spacing w:line="240" w:lineRule="auto" w:before="12"/>
        <w:rPr>
          <w:rFonts w:ascii="黑体" w:hAnsi="黑体" w:cs="黑体" w:eastAsia="黑体" w:hint="default"/>
          <w:sz w:val="23"/>
          <w:szCs w:val="23"/>
        </w:rPr>
      </w:pPr>
    </w:p>
    <w:p>
      <w:pPr>
        <w:pStyle w:val="BodyText"/>
        <w:spacing w:line="240" w:lineRule="auto"/>
        <w:ind w:left="0" w:right="670"/>
        <w:jc w:val="right"/>
      </w:pPr>
      <w:r>
        <w:rPr/>
        <w:t>单位：元</w:t>
      </w:r>
    </w:p>
    <w:p>
      <w:pPr>
        <w:spacing w:line="240" w:lineRule="auto" w:before="11"/>
        <w:rPr>
          <w:rFonts w:ascii="宋体" w:hAnsi="宋体" w:cs="宋体" w:eastAsia="宋体" w:hint="default"/>
          <w:sz w:val="21"/>
          <w:szCs w:val="21"/>
        </w:rPr>
      </w:pPr>
    </w:p>
    <w:tbl>
      <w:tblPr>
        <w:tblW w:w="0" w:type="auto"/>
        <w:jc w:val="left"/>
        <w:tblInd w:w="680" w:type="dxa"/>
        <w:tblLayout w:type="fixed"/>
        <w:tblCellMar>
          <w:top w:w="0" w:type="dxa"/>
          <w:left w:w="0" w:type="dxa"/>
          <w:bottom w:w="0" w:type="dxa"/>
          <w:right w:w="0" w:type="dxa"/>
        </w:tblCellMar>
        <w:tblLook w:val="01E0"/>
      </w:tblPr>
      <w:tblGrid>
        <w:gridCol w:w="2273"/>
        <w:gridCol w:w="1741"/>
        <w:gridCol w:w="2003"/>
        <w:gridCol w:w="1769"/>
        <w:gridCol w:w="1770"/>
      </w:tblGrid>
      <w:tr>
        <w:trPr>
          <w:trHeight w:val="245" w:hRule="exact"/>
        </w:trPr>
        <w:tc>
          <w:tcPr>
            <w:tcW w:w="2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692"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归属于上市公司股东的净利润</w:t>
            </w:r>
            <w:r>
              <w:rPr>
                <w:rFonts w:ascii="宋体" w:hAnsi="宋体" w:cs="宋体" w:eastAsia="宋体" w:hint="default"/>
                <w:sz w:val="18"/>
                <w:szCs w:val="18"/>
              </w:rPr>
            </w:r>
          </w:p>
        </w:tc>
        <w:tc>
          <w:tcPr>
            <w:tcW w:w="353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590"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归属于上市公司股东的净资产</w:t>
            </w:r>
            <w:r>
              <w:rPr>
                <w:rFonts w:ascii="宋体" w:hAnsi="宋体" w:cs="宋体" w:eastAsia="宋体" w:hint="default"/>
                <w:sz w:val="18"/>
                <w:szCs w:val="18"/>
              </w:rPr>
            </w:r>
          </w:p>
        </w:tc>
      </w:tr>
      <w:tr>
        <w:trPr>
          <w:trHeight w:val="234" w:hRule="exact"/>
        </w:trPr>
        <w:tc>
          <w:tcPr>
            <w:tcW w:w="2273" w:type="dxa"/>
            <w:vMerge w:val="restart"/>
            <w:tcBorders>
              <w:top w:val="nil" w:sz="6" w:space="0" w:color="auto"/>
              <w:left w:val="single" w:sz="4" w:space="0" w:color="000000"/>
              <w:right w:val="single" w:sz="4" w:space="0" w:color="000000"/>
            </w:tcBorders>
            <w:shd w:val="clear" w:color="auto" w:fill="D3D3D3"/>
          </w:tcPr>
          <w:p>
            <w:pPr/>
          </w:p>
        </w:tc>
        <w:tc>
          <w:tcPr>
            <w:tcW w:w="3744" w:type="dxa"/>
            <w:gridSpan w:val="2"/>
            <w:vMerge/>
            <w:tcBorders>
              <w:left w:val="single" w:sz="4" w:space="0" w:color="000000"/>
              <w:bottom w:val="single" w:sz="4" w:space="0" w:color="000000"/>
              <w:right w:val="single" w:sz="4" w:space="0" w:color="000000"/>
            </w:tcBorders>
            <w:shd w:val="clear" w:color="auto" w:fill="D3D3D3"/>
          </w:tcPr>
          <w:p>
            <w:pPr/>
          </w:p>
        </w:tc>
        <w:tc>
          <w:tcPr>
            <w:tcW w:w="3539" w:type="dxa"/>
            <w:gridSpan w:val="2"/>
            <w:vMerge/>
            <w:tcBorders>
              <w:left w:val="single" w:sz="4" w:space="0" w:color="000000"/>
              <w:bottom w:val="single" w:sz="4" w:space="0" w:color="000000"/>
              <w:right w:val="single" w:sz="4" w:space="0" w:color="000000"/>
            </w:tcBorders>
            <w:shd w:val="clear" w:color="auto" w:fill="D3D3D3"/>
          </w:tcPr>
          <w:p>
            <w:pPr/>
          </w:p>
        </w:tc>
      </w:tr>
      <w:tr>
        <w:trPr>
          <w:trHeight w:val="234" w:hRule="exact"/>
        </w:trPr>
        <w:tc>
          <w:tcPr>
            <w:tcW w:w="2273"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43" w:hRule="exact"/>
        </w:trPr>
        <w:tc>
          <w:tcPr>
            <w:tcW w:w="2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337" w:right="0"/>
              <w:jc w:val="left"/>
              <w:rPr>
                <w:rFonts w:ascii="Times New Roman" w:hAnsi="Times New Roman" w:cs="Times New Roman" w:eastAsia="Times New Roman" w:hint="default"/>
                <w:sz w:val="18"/>
                <w:szCs w:val="18"/>
              </w:rPr>
            </w:pPr>
            <w:r>
              <w:rPr>
                <w:rFonts w:ascii="Times New Roman"/>
                <w:sz w:val="18"/>
              </w:rPr>
              <w:t>46,890,276.01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8" w:right="0"/>
              <w:jc w:val="left"/>
              <w:rPr>
                <w:rFonts w:ascii="Times New Roman" w:hAnsi="Times New Roman" w:cs="Times New Roman" w:eastAsia="Times New Roman" w:hint="default"/>
                <w:sz w:val="18"/>
                <w:szCs w:val="18"/>
              </w:rPr>
            </w:pPr>
            <w:r>
              <w:rPr>
                <w:rFonts w:ascii="Times New Roman"/>
                <w:sz w:val="18"/>
              </w:rPr>
              <w:t>42,687,674.19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6" w:right="0"/>
              <w:jc w:val="left"/>
              <w:rPr>
                <w:rFonts w:ascii="Times New Roman" w:hAnsi="Times New Roman" w:cs="Times New Roman" w:eastAsia="Times New Roman" w:hint="default"/>
                <w:sz w:val="18"/>
                <w:szCs w:val="18"/>
              </w:rPr>
            </w:pPr>
            <w:r>
              <w:rPr>
                <w:rFonts w:ascii="Times New Roman"/>
                <w:sz w:val="18"/>
              </w:rPr>
              <w:t>544,122,133.57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7" w:right="0"/>
              <w:jc w:val="left"/>
              <w:rPr>
                <w:rFonts w:ascii="Times New Roman" w:hAnsi="Times New Roman" w:cs="Times New Roman" w:eastAsia="Times New Roman" w:hint="default"/>
                <w:sz w:val="18"/>
                <w:szCs w:val="18"/>
              </w:rPr>
            </w:pPr>
            <w:r>
              <w:rPr>
                <w:rFonts w:ascii="Times New Roman"/>
                <w:sz w:val="18"/>
              </w:rPr>
              <w:t>159,389,766.42</w:t>
            </w:r>
          </w:p>
        </w:tc>
      </w:tr>
      <w:tr>
        <w:trPr>
          <w:trHeight w:val="478"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0"/>
              <w:jc w:val="center"/>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0"/>
        <w:rPr>
          <w:rFonts w:ascii="宋体" w:hAnsi="宋体" w:cs="宋体" w:eastAsia="宋体" w:hint="default"/>
          <w:sz w:val="13"/>
          <w:szCs w:val="13"/>
        </w:rPr>
      </w:pPr>
    </w:p>
    <w:p>
      <w:pPr>
        <w:pStyle w:val="Heading3"/>
        <w:spacing w:line="240" w:lineRule="auto" w:before="26"/>
        <w:ind w:left="674" w:right="0"/>
        <w:jc w:val="left"/>
      </w:pPr>
      <w:r>
        <w:rPr>
          <w:rFonts w:ascii="Cambria" w:hAnsi="Cambria" w:cs="Cambria" w:eastAsia="Cambria" w:hint="default"/>
        </w:rPr>
        <w:t>2</w:t>
      </w:r>
      <w:r>
        <w:rPr/>
        <w:t>、同时按照境外会计准则与按中国会计准则披露的财务报告中净利润和净资产差异情况</w:t>
      </w:r>
    </w:p>
    <w:p>
      <w:pPr>
        <w:spacing w:line="240" w:lineRule="auto" w:before="12"/>
        <w:rPr>
          <w:rFonts w:ascii="黑体" w:hAnsi="黑体" w:cs="黑体" w:eastAsia="黑体" w:hint="default"/>
          <w:sz w:val="23"/>
          <w:szCs w:val="23"/>
        </w:rPr>
      </w:pPr>
    </w:p>
    <w:p>
      <w:pPr>
        <w:pStyle w:val="BodyText"/>
        <w:spacing w:line="240" w:lineRule="auto"/>
        <w:ind w:left="0" w:right="670"/>
        <w:jc w:val="right"/>
      </w:pPr>
      <w:r>
        <w:rPr/>
        <w:t>单位：元</w:t>
      </w:r>
    </w:p>
    <w:p>
      <w:pPr>
        <w:spacing w:line="240" w:lineRule="auto" w:before="11"/>
        <w:rPr>
          <w:rFonts w:ascii="宋体" w:hAnsi="宋体" w:cs="宋体" w:eastAsia="宋体" w:hint="default"/>
          <w:sz w:val="21"/>
          <w:szCs w:val="21"/>
        </w:rPr>
      </w:pPr>
    </w:p>
    <w:tbl>
      <w:tblPr>
        <w:tblW w:w="0" w:type="auto"/>
        <w:jc w:val="left"/>
        <w:tblInd w:w="680" w:type="dxa"/>
        <w:tblLayout w:type="fixed"/>
        <w:tblCellMar>
          <w:top w:w="0" w:type="dxa"/>
          <w:left w:w="0" w:type="dxa"/>
          <w:bottom w:w="0" w:type="dxa"/>
          <w:right w:w="0" w:type="dxa"/>
        </w:tblCellMar>
        <w:tblLook w:val="01E0"/>
      </w:tblPr>
      <w:tblGrid>
        <w:gridCol w:w="2284"/>
        <w:gridCol w:w="1741"/>
        <w:gridCol w:w="1992"/>
        <w:gridCol w:w="1781"/>
        <w:gridCol w:w="1747"/>
      </w:tblGrid>
      <w:tr>
        <w:trPr>
          <w:trHeight w:val="245"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681"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归属于上市公司股东的净利润</w:t>
            </w:r>
            <w:r>
              <w:rPr>
                <w:rFonts w:ascii="宋体" w:hAnsi="宋体" w:cs="宋体" w:eastAsia="宋体" w:hint="default"/>
                <w:sz w:val="18"/>
                <w:szCs w:val="18"/>
              </w:rPr>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归属于上市公司股东的净资产</w:t>
            </w:r>
            <w:r>
              <w:rPr>
                <w:rFonts w:ascii="宋体" w:hAnsi="宋体" w:cs="宋体" w:eastAsia="宋体" w:hint="default"/>
                <w:sz w:val="18"/>
                <w:szCs w:val="18"/>
              </w:rPr>
            </w:r>
          </w:p>
        </w:tc>
      </w:tr>
      <w:tr>
        <w:trPr>
          <w:trHeight w:val="233"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235"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20"/>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7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43"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81" w:type="dxa"/>
            <w:vMerge/>
            <w:tcBorders>
              <w:left w:val="single" w:sz="4" w:space="0" w:color="000000"/>
              <w:bottom w:val="single" w:sz="4" w:space="0" w:color="000000"/>
              <w:right w:val="single" w:sz="4" w:space="0" w:color="000000"/>
            </w:tcBorders>
            <w:shd w:val="clear" w:color="auto" w:fill="D3D3D3"/>
          </w:tcPr>
          <w:p>
            <w:pP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325" w:right="0"/>
              <w:jc w:val="left"/>
              <w:rPr>
                <w:rFonts w:ascii="Times New Roman" w:hAnsi="Times New Roman" w:cs="Times New Roman" w:eastAsia="Times New Roman" w:hint="default"/>
                <w:sz w:val="18"/>
                <w:szCs w:val="18"/>
              </w:rPr>
            </w:pPr>
            <w:r>
              <w:rPr>
                <w:rFonts w:ascii="Times New Roman"/>
                <w:sz w:val="18"/>
              </w:rPr>
              <w:t>46,890,276.01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7" w:right="0"/>
              <w:jc w:val="left"/>
              <w:rPr>
                <w:rFonts w:ascii="Times New Roman" w:hAnsi="Times New Roman" w:cs="Times New Roman" w:eastAsia="Times New Roman" w:hint="default"/>
                <w:sz w:val="18"/>
                <w:szCs w:val="18"/>
              </w:rPr>
            </w:pPr>
            <w:r>
              <w:rPr>
                <w:rFonts w:ascii="Times New Roman"/>
                <w:sz w:val="18"/>
              </w:rPr>
              <w:t>42,687,674.19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6" w:right="0"/>
              <w:jc w:val="left"/>
              <w:rPr>
                <w:rFonts w:ascii="Times New Roman" w:hAnsi="Times New Roman" w:cs="Times New Roman" w:eastAsia="Times New Roman" w:hint="default"/>
                <w:sz w:val="18"/>
                <w:szCs w:val="18"/>
              </w:rPr>
            </w:pPr>
            <w:r>
              <w:rPr>
                <w:rFonts w:ascii="Times New Roman"/>
                <w:sz w:val="18"/>
              </w:rPr>
              <w:t>544,122,133.57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5" w:right="0"/>
              <w:jc w:val="left"/>
              <w:rPr>
                <w:rFonts w:ascii="Times New Roman" w:hAnsi="Times New Roman" w:cs="Times New Roman" w:eastAsia="Times New Roman" w:hint="default"/>
                <w:sz w:val="18"/>
                <w:szCs w:val="18"/>
              </w:rPr>
            </w:pPr>
            <w:r>
              <w:rPr>
                <w:rFonts w:ascii="Times New Roman"/>
                <w:sz w:val="18"/>
              </w:rPr>
              <w:t>159,389,766.42</w:t>
            </w:r>
          </w:p>
        </w:tc>
      </w:tr>
      <w:tr>
        <w:trPr>
          <w:trHeight w:val="478"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1"/>
        <w:rPr>
          <w:rFonts w:ascii="宋体" w:hAnsi="宋体" w:cs="宋体" w:eastAsia="宋体" w:hint="default"/>
          <w:sz w:val="13"/>
          <w:szCs w:val="13"/>
        </w:rPr>
      </w:pPr>
    </w:p>
    <w:p>
      <w:pPr>
        <w:pStyle w:val="Heading3"/>
        <w:spacing w:line="240" w:lineRule="auto" w:before="26"/>
        <w:ind w:left="674" w:right="0"/>
        <w:jc w:val="left"/>
      </w:pPr>
      <w:r>
        <w:rPr>
          <w:rFonts w:ascii="Cambria" w:hAnsi="Cambria" w:cs="Cambria" w:eastAsia="Cambria" w:hint="default"/>
        </w:rPr>
        <w:t>3</w:t>
      </w:r>
      <w:r>
        <w:rPr/>
        <w:t>、境内外会计准则下会计数据差异说明</w:t>
      </w:r>
    </w:p>
    <w:p>
      <w:pPr>
        <w:spacing w:line="240" w:lineRule="auto" w:before="12"/>
        <w:rPr>
          <w:rFonts w:ascii="黑体" w:hAnsi="黑体" w:cs="黑体" w:eastAsia="黑体" w:hint="default"/>
          <w:sz w:val="23"/>
          <w:szCs w:val="23"/>
        </w:rPr>
      </w:pPr>
    </w:p>
    <w:p>
      <w:pPr>
        <w:pStyle w:val="BodyText"/>
        <w:spacing w:line="240" w:lineRule="auto"/>
        <w:ind w:left="1094"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left="674" w:right="0"/>
        <w:jc w:val="left"/>
      </w:pPr>
      <w:r>
        <w:rPr/>
        <w:t>三、报告期内非经常性损益的项目及金额</w:t>
      </w:r>
    </w:p>
    <w:p>
      <w:pPr>
        <w:spacing w:line="240" w:lineRule="auto" w:before="4"/>
        <w:rPr>
          <w:rFonts w:ascii="黑体" w:hAnsi="黑体" w:cs="黑体" w:eastAsia="黑体" w:hint="default"/>
          <w:sz w:val="27"/>
          <w:szCs w:val="27"/>
        </w:rPr>
      </w:pPr>
    </w:p>
    <w:p>
      <w:pPr>
        <w:pStyle w:val="BodyText"/>
        <w:spacing w:line="240" w:lineRule="auto" w:before="35"/>
        <w:ind w:left="0" w:right="670"/>
        <w:jc w:val="right"/>
      </w:pPr>
      <w:r>
        <w:rPr/>
        <w:t>单位：元</w:t>
      </w: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4111"/>
        <w:gridCol w:w="1134"/>
        <w:gridCol w:w="1134"/>
        <w:gridCol w:w="1134"/>
        <w:gridCol w:w="3249"/>
      </w:tblGrid>
      <w:tr>
        <w:trPr>
          <w:trHeight w:val="368"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2"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3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997" w:footer="1252" w:top="1340" w:bottom="1440" w:left="460" w:right="460"/>
        </w:sectPr>
      </w:pPr>
    </w:p>
    <w:p>
      <w:pPr>
        <w:spacing w:line="240" w:lineRule="auto" w:before="2"/>
        <w:rPr>
          <w:rFonts w:ascii="宋体" w:hAnsi="宋体" w:cs="宋体" w:eastAsia="宋体" w:hint="default"/>
          <w:sz w:val="9"/>
          <w:szCs w:val="9"/>
        </w:rPr>
      </w:pPr>
      <w:r>
        <w:rPr/>
        <w:pict>
          <v:group style="position:absolute;margin-left:234.119995pt;margin-top:254.699997pt;width:56.2pt;height:26.9pt;mso-position-horizontal-relative:page;mso-position-vertical-relative:page;z-index:-729040" coordorigin="4682,5094" coordsize="1124,538">
            <v:shape style="position:absolute;left:4682;top:5094;width:1124;height:538" coordorigin="4682,5094" coordsize="1124,538" path="m4682,5632l5806,5632,5806,5094,4682,5094,4682,5632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4111"/>
        <w:gridCol w:w="1135"/>
        <w:gridCol w:w="1134"/>
        <w:gridCol w:w="1134"/>
        <w:gridCol w:w="3260"/>
      </w:tblGrid>
      <w:tr>
        <w:trPr>
          <w:trHeight w:val="727"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689" w:right="21" w:hanging="1667"/>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274,009.26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-272,051.83</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1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pacing w:val="-2"/>
                <w:sz w:val="18"/>
                <w:szCs w:val="18"/>
              </w:rPr>
              <w:t>其中：北京市经济和信息委员会、中关村</w:t>
            </w:r>
          </w:p>
        </w:tc>
      </w:tr>
      <w:tr>
        <w:trPr>
          <w:trHeight w:val="364"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科技园区管理委员会贷款贴息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821,425.94</w:t>
            </w:r>
          </w:p>
        </w:tc>
      </w:tr>
      <w:tr>
        <w:trPr>
          <w:trHeight w:val="354"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2"/>
                <w:sz w:val="18"/>
                <w:szCs w:val="18"/>
              </w:rPr>
              <w:t>元，中关村科技园区海淀园管理委员会研</w:t>
            </w:r>
          </w:p>
        </w:tc>
      </w:tr>
      <w:tr>
        <w:trPr>
          <w:trHeight w:val="277"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发补贴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元，北京市经济和信息</w:t>
            </w:r>
          </w:p>
        </w:tc>
      </w:tr>
      <w:tr>
        <w:trPr>
          <w:trHeight w:val="445"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照国家统一标准定额或定量享受的政府补助除外）</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8"/>
                <w:szCs w:val="18"/>
              </w:rPr>
            </w:pPr>
            <w:r>
              <w:rPr>
                <w:rFonts w:ascii="Times New Roman"/>
                <w:spacing w:val="-1"/>
                <w:sz w:val="18"/>
              </w:rPr>
              <w:t>2,515,006.58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8"/>
                <w:szCs w:val="18"/>
              </w:rPr>
            </w:pPr>
            <w:r>
              <w:rPr>
                <w:rFonts w:ascii="Times New Roman"/>
                <w:spacing w:val="-1"/>
                <w:sz w:val="18"/>
              </w:rPr>
              <w:t>1,585,662.50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8"/>
                <w:szCs w:val="18"/>
              </w:rPr>
            </w:pPr>
            <w:r>
              <w:rPr>
                <w:rFonts w:ascii="Times New Roman"/>
                <w:sz w:val="18"/>
              </w:rPr>
              <w:t>274,050.00</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化委员会工业增长奖金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元，中</w:t>
            </w:r>
          </w:p>
        </w:tc>
      </w:tr>
      <w:tr>
        <w:trPr>
          <w:trHeight w:val="354"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2"/>
                <w:sz w:val="18"/>
                <w:szCs w:val="18"/>
              </w:rPr>
              <w:t>关村科技园区海淀园管理委员会《海淀区</w:t>
            </w:r>
          </w:p>
        </w:tc>
      </w:tr>
      <w:tr>
        <w:trPr>
          <w:trHeight w:val="359"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pacing w:val="-2"/>
                <w:sz w:val="18"/>
                <w:szCs w:val="18"/>
              </w:rPr>
              <w:t>促进重点产业发展支持办法》奖励等补贴</w:t>
            </w:r>
          </w:p>
        </w:tc>
      </w:tr>
      <w:tr>
        <w:trPr>
          <w:trHeight w:val="364" w:hRule="exact"/>
        </w:trPr>
        <w:tc>
          <w:tcPr>
            <w:tcW w:w="41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593,580.64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63" w:hRule="exact"/>
        </w:trPr>
        <w:tc>
          <w:tcPr>
            <w:tcW w:w="41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3"/>
              <w:ind w:right="93"/>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vMerge w:val="restart"/>
            <w:tcBorders>
              <w:top w:val="single" w:sz="4" w:space="0" w:color="000000"/>
              <w:left w:val="single" w:sz="4" w:space="0" w:color="000000"/>
              <w:right w:val="single" w:sz="4" w:space="0" w:color="000000"/>
            </w:tcBorders>
          </w:tcPr>
          <w:p>
            <w:pPr/>
          </w:p>
        </w:tc>
      </w:tr>
      <w:tr>
        <w:trPr>
          <w:trHeight w:val="273"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持有交易性金融资产</w:t>
            </w:r>
            <w:r>
              <w:rPr>
                <w:rFonts w:ascii="宋体" w:hAnsi="宋体" w:cs="宋体" w:eastAsia="宋体" w:hint="default"/>
                <w:spacing w:val="-86"/>
                <w:sz w:val="18"/>
                <w:szCs w:val="18"/>
              </w:rPr>
              <w:t>、</w:t>
            </w:r>
            <w:r>
              <w:rPr>
                <w:rFonts w:ascii="宋体" w:hAnsi="宋体" w:cs="宋体" w:eastAsia="宋体" w:hint="default"/>
                <w:sz w:val="18"/>
                <w:szCs w:val="18"/>
              </w:rPr>
              <w:t>交易性金融负债产生的公允价</w:t>
            </w: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vMerge/>
            <w:tcBorders>
              <w:left w:val="single" w:sz="4" w:space="0" w:color="000000"/>
              <w:right w:val="single" w:sz="4" w:space="0" w:color="000000"/>
            </w:tcBorders>
          </w:tcPr>
          <w:p>
            <w:pPr/>
          </w:p>
        </w:tc>
      </w:tr>
      <w:tr>
        <w:trPr>
          <w:trHeight w:val="444"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pacing w:val="-4"/>
                <w:sz w:val="18"/>
                <w:szCs w:val="18"/>
              </w:rPr>
              <w:t>值变动损益，以及处置交易性金融资产、交易性金融</w:t>
            </w:r>
          </w:p>
        </w:tc>
        <w:tc>
          <w:tcPr>
            <w:tcW w:w="113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0"/>
              <w:jc w:val="right"/>
              <w:rPr>
                <w:rFonts w:ascii="Times New Roman" w:hAnsi="Times New Roman" w:cs="Times New Roman" w:eastAsia="Times New Roman" w:hint="default"/>
                <w:sz w:val="18"/>
                <w:szCs w:val="18"/>
              </w:rPr>
            </w:pPr>
            <w:r>
              <w:rPr>
                <w:rFonts w:ascii="Times New Roman"/>
                <w:sz w:val="18"/>
              </w:rPr>
              <w:t>97,319.58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0"/>
              <w:jc w:val="right"/>
              <w:rPr>
                <w:rFonts w:ascii="Times New Roman" w:hAnsi="Times New Roman" w:cs="Times New Roman" w:eastAsia="Times New Roman" w:hint="default"/>
                <w:sz w:val="18"/>
                <w:szCs w:val="18"/>
              </w:rPr>
            </w:pPr>
            <w:r>
              <w:rPr>
                <w:rFonts w:ascii="Times New Roman"/>
                <w:sz w:val="18"/>
              </w:rPr>
              <w:t>283,403.92</w:t>
            </w:r>
          </w:p>
        </w:tc>
        <w:tc>
          <w:tcPr>
            <w:tcW w:w="3260" w:type="dxa"/>
            <w:vMerge/>
            <w:tcBorders>
              <w:left w:val="single" w:sz="4" w:space="0" w:color="000000"/>
              <w:right w:val="single" w:sz="4" w:space="0" w:color="000000"/>
            </w:tcBorders>
          </w:tcPr>
          <w:p>
            <w:pPr/>
          </w:p>
        </w:tc>
      </w:tr>
      <w:tr>
        <w:trPr>
          <w:trHeight w:val="364" w:hRule="exact"/>
        </w:trPr>
        <w:tc>
          <w:tcPr>
            <w:tcW w:w="41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负债和可供出售金融资产取得的投资收益</w:t>
            </w:r>
          </w:p>
        </w:tc>
        <w:tc>
          <w:tcPr>
            <w:tcW w:w="113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7,649.68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-66.70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-171,589.68</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1"/>
              <w:jc w:val="center"/>
              <w:rPr>
                <w:rFonts w:ascii="宋体" w:hAnsi="宋体" w:cs="宋体" w:eastAsia="宋体" w:hint="default"/>
                <w:sz w:val="18"/>
                <w:szCs w:val="18"/>
              </w:rPr>
            </w:pPr>
            <w:r>
              <w:rPr>
                <w:rFonts w:ascii="宋体" w:hAnsi="宋体" w:cs="宋体" w:eastAsia="宋体" w:hint="default"/>
                <w:sz w:val="18"/>
                <w:szCs w:val="18"/>
              </w:rPr>
              <w:t>所得税影响额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397,769.36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246,332.83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47,609.42</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29,769.70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2,955.41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-718.34</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2,087,193.03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1,707,636.40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66,921.33</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09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非经常性损益》定义界定的非经常</w:t>
      </w:r>
    </w:p>
    <w:p>
      <w:pPr>
        <w:pStyle w:val="BodyText"/>
        <w:spacing w:line="386" w:lineRule="auto" w:before="177"/>
        <w:ind w:left="674" w:right="674" w:hanging="1"/>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spacing w:line="240" w:lineRule="auto" w:before="12"/>
        <w:rPr>
          <w:rFonts w:ascii="宋体" w:hAnsi="宋体" w:cs="宋体" w:eastAsia="宋体" w:hint="default"/>
          <w:sz w:val="16"/>
          <w:szCs w:val="16"/>
        </w:rPr>
      </w:pPr>
    </w:p>
    <w:p>
      <w:pPr>
        <w:pStyle w:val="BodyText"/>
        <w:spacing w:line="240" w:lineRule="auto"/>
        <w:ind w:left="10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27"/>
          <w:szCs w:val="27"/>
        </w:rPr>
      </w:pPr>
    </w:p>
    <w:p>
      <w:pPr>
        <w:pStyle w:val="Heading2"/>
        <w:spacing w:line="240" w:lineRule="auto"/>
        <w:ind w:left="674" w:right="0"/>
        <w:jc w:val="left"/>
      </w:pPr>
      <w:r>
        <w:rPr/>
        <w:t>四、重大风险提示</w:t>
      </w:r>
    </w:p>
    <w:p>
      <w:pPr>
        <w:spacing w:line="240" w:lineRule="auto" w:before="3"/>
        <w:rPr>
          <w:rFonts w:ascii="黑体" w:hAnsi="黑体" w:cs="黑体" w:eastAsia="黑体" w:hint="default"/>
          <w:sz w:val="28"/>
          <w:szCs w:val="28"/>
        </w:rPr>
      </w:pPr>
    </w:p>
    <w:p>
      <w:pPr>
        <w:pStyle w:val="Heading3"/>
        <w:spacing w:line="240" w:lineRule="auto"/>
        <w:ind w:left="674" w:right="0"/>
        <w:jc w:val="left"/>
      </w:pPr>
      <w:r>
        <w:rPr>
          <w:rFonts w:ascii="Cambria" w:hAnsi="Cambria" w:cs="Cambria" w:eastAsia="Cambria" w:hint="default"/>
        </w:rPr>
        <w:t>1</w:t>
      </w:r>
      <w:r>
        <w:rPr/>
        <w:t>、募投项目实施风险</w:t>
      </w:r>
    </w:p>
    <w:p>
      <w:pPr>
        <w:spacing w:line="240" w:lineRule="auto" w:before="12"/>
        <w:rPr>
          <w:rFonts w:ascii="黑体" w:hAnsi="黑体" w:cs="黑体" w:eastAsia="黑体" w:hint="default"/>
          <w:sz w:val="23"/>
          <w:szCs w:val="23"/>
        </w:rPr>
      </w:pPr>
    </w:p>
    <w:p>
      <w:pPr>
        <w:pStyle w:val="BodyText"/>
        <w:spacing w:line="408" w:lineRule="auto"/>
        <w:ind w:left="674" w:right="691" w:firstLine="420"/>
        <w:jc w:val="both"/>
      </w:pPr>
      <w:r>
        <w:rPr>
          <w:spacing w:val="-1"/>
        </w:rPr>
        <w:t>公司募集资金投资项目“新一代航空总线产品的研制及产业化项目”瞄准的市场是我国正在研制中的</w:t>
      </w:r>
      <w:r>
        <w:rPr/>
        <w:t> </w:t>
      </w:r>
      <w:r>
        <w:rPr>
          <w:spacing w:val="-1"/>
        </w:rPr>
        <w:t>商用飞机即大飞机项目。由于大飞机项目技术难度高，涉及的相关技术非常广泛，我国大飞机计划的实施</w:t>
      </w:r>
      <w:r>
        <w:rPr>
          <w:spacing w:val="-83"/>
        </w:rPr>
        <w:t> </w:t>
      </w:r>
      <w:r>
        <w:rPr>
          <w:spacing w:val="-83"/>
        </w:rPr>
      </w:r>
      <w:r>
        <w:rPr>
          <w:spacing w:val="-1"/>
        </w:rPr>
        <w:t>方式具有一定的不确定性。同时，虽然公司的募投项目产品AFDX测试卡已经开始销售，但能否在大飞机项</w:t>
      </w:r>
      <w:r>
        <w:rPr>
          <w:spacing w:val="-83"/>
        </w:rPr>
        <w:t> </w:t>
      </w:r>
      <w:r>
        <w:rPr>
          <w:spacing w:val="-83"/>
        </w:rPr>
      </w:r>
      <w:r>
        <w:rPr>
          <w:spacing w:val="-1"/>
        </w:rPr>
        <w:t>目产业化之后得到批量化的产品订单仍存在较大不确定性。因此，如果大飞机项目不能按期实施，或公司</w:t>
      </w:r>
      <w:r>
        <w:rPr>
          <w:spacing w:val="-83"/>
        </w:rPr>
        <w:t> </w:t>
      </w:r>
      <w:r>
        <w:rPr>
          <w:spacing w:val="-83"/>
        </w:rPr>
      </w:r>
      <w:r>
        <w:rPr/>
        <w:t>届时无法取得募投项目产品订单，将对公司的募集资金投资项目的按时实施和盈利情况产生不利影响。</w:t>
      </w:r>
    </w:p>
    <w:p>
      <w:pPr>
        <w:spacing w:after="0" w:line="408" w:lineRule="auto"/>
        <w:jc w:val="both"/>
        <w:sectPr>
          <w:pgSz w:w="11910" w:h="16840"/>
          <w:pgMar w:header="997" w:footer="1252" w:top="1340" w:bottom="1440" w:left="460" w:right="440"/>
        </w:sectPr>
      </w:pPr>
    </w:p>
    <w:p>
      <w:pPr>
        <w:spacing w:line="240" w:lineRule="auto" w:before="3"/>
        <w:rPr>
          <w:rFonts w:ascii="宋体" w:hAnsi="宋体" w:cs="宋体" w:eastAsia="宋体" w:hint="default"/>
          <w:sz w:val="10"/>
          <w:szCs w:val="10"/>
        </w:rPr>
      </w:pPr>
    </w:p>
    <w:p>
      <w:pPr>
        <w:pStyle w:val="Heading3"/>
        <w:spacing w:line="240" w:lineRule="auto" w:before="26"/>
        <w:ind w:right="101"/>
        <w:jc w:val="left"/>
      </w:pPr>
      <w:r>
        <w:rPr>
          <w:rFonts w:ascii="Cambria" w:hAnsi="Cambria" w:cs="Cambria" w:eastAsia="Cambria" w:hint="default"/>
        </w:rPr>
        <w:t>2</w:t>
      </w:r>
      <w:r>
        <w:rPr/>
        <w:t>、嵌入式系统测试业务上下半年业绩不均衡风险</w:t>
      </w:r>
    </w:p>
    <w:p>
      <w:pPr>
        <w:spacing w:line="240" w:lineRule="auto" w:before="12"/>
        <w:rPr>
          <w:rFonts w:ascii="黑体" w:hAnsi="黑体" w:cs="黑体" w:eastAsia="黑体" w:hint="default"/>
          <w:sz w:val="23"/>
          <w:szCs w:val="23"/>
        </w:rPr>
      </w:pPr>
    </w:p>
    <w:p>
      <w:pPr>
        <w:pStyle w:val="BodyText"/>
        <w:spacing w:line="408" w:lineRule="auto"/>
        <w:ind w:left="154" w:right="206" w:firstLine="420"/>
        <w:jc w:val="both"/>
      </w:pPr>
      <w:r>
        <w:rPr>
          <w:spacing w:val="-1"/>
        </w:rPr>
        <w:t>公司嵌入式系统测试业务收入及利润的实现具有明显的上下半年不均衡特点，下半年实现的收入占全</w:t>
      </w:r>
      <w:r>
        <w:rPr/>
        <w:t> 年收入的比例在65%左右。因上半年实现的收入较少，不能覆盖月度间均衡发生的各项费用支出，报告期</w:t>
      </w:r>
      <w:r>
        <w:rPr>
          <w:spacing w:val="-34"/>
        </w:rPr>
        <w:t> </w:t>
      </w:r>
      <w:r>
        <w:rPr>
          <w:spacing w:val="-34"/>
        </w:rPr>
      </w:r>
      <w:r>
        <w:rPr>
          <w:spacing w:val="-1"/>
        </w:rPr>
        <w:t>内各年度，公司上半年嵌入式系统测试业务净利润明显小于下半年，并进而导致公司上半年扣除非经常性</w:t>
      </w:r>
      <w:r>
        <w:rPr>
          <w:spacing w:val="-81"/>
        </w:rPr>
        <w:t> </w:t>
      </w:r>
      <w:r>
        <w:rPr>
          <w:spacing w:val="-81"/>
        </w:rPr>
      </w:r>
      <w:r>
        <w:rPr/>
        <w:t>损益后净利润小于下半年。这种情况将对投资者判断公司价值构成不利影响。</w:t>
      </w:r>
    </w:p>
    <w:p>
      <w:pPr>
        <w:spacing w:line="240" w:lineRule="auto" w:before="6"/>
        <w:rPr>
          <w:rFonts w:ascii="宋体" w:hAnsi="宋体" w:cs="宋体" w:eastAsia="宋体" w:hint="default"/>
          <w:sz w:val="15"/>
          <w:szCs w:val="15"/>
        </w:rPr>
      </w:pPr>
    </w:p>
    <w:p>
      <w:pPr>
        <w:pStyle w:val="BodyText"/>
        <w:spacing w:line="408" w:lineRule="auto"/>
        <w:ind w:left="154" w:right="101" w:firstLine="420"/>
        <w:jc w:val="left"/>
      </w:pPr>
      <w:r>
        <w:rPr/>
        <w:t>公司嵌入式系统测试业务的用户主要是国防军工单位。根据上述单位采购特点，用户通常在上半年制 订采购预算，正式采购合同通常在下半年签订，受此影响，公司嵌入式系统测试业务合同的签订集中于下 </w:t>
      </w:r>
      <w:r>
        <w:rPr>
          <w:spacing w:val="-3"/>
        </w:rPr>
        <w:t>半年。因此，公司能否有效地维护和拓展客户资源，确保下半年嵌入式系统测试业务合同签订额保持增长，</w:t>
      </w:r>
      <w:r>
        <w:rPr>
          <w:spacing w:val="-92"/>
        </w:rPr>
        <w:t> </w:t>
      </w:r>
      <w:r>
        <w:rPr>
          <w:spacing w:val="-92"/>
        </w:rPr>
      </w:r>
      <w:r>
        <w:rPr/>
        <w:t>并保证合同的实施进度，将决定下半年收入和利润能否保持良好增长。如果客户对公司需求下降、采购额</w:t>
      </w:r>
      <w:r>
        <w:rPr/>
        <w:t> 不能持续增长以及采购的招投标进度延缓，都将可能影响公司下半年合同的签订，进而影响下半年收入的 实现数。</w:t>
      </w:r>
    </w:p>
    <w:p>
      <w:pPr>
        <w:pStyle w:val="Heading3"/>
        <w:spacing w:line="240" w:lineRule="auto" w:before="179"/>
        <w:ind w:right="101"/>
        <w:jc w:val="left"/>
      </w:pPr>
      <w:r>
        <w:rPr>
          <w:rFonts w:ascii="Cambria" w:hAnsi="Cambria" w:cs="Cambria" w:eastAsia="Cambria" w:hint="default"/>
        </w:rPr>
        <w:t>3</w:t>
      </w:r>
      <w:r>
        <w:rPr/>
        <w:t>、市场竞争风险</w:t>
      </w:r>
    </w:p>
    <w:p>
      <w:pPr>
        <w:spacing w:line="240" w:lineRule="auto" w:before="12"/>
        <w:rPr>
          <w:rFonts w:ascii="黑体" w:hAnsi="黑体" w:cs="黑体" w:eastAsia="黑体" w:hint="default"/>
          <w:sz w:val="23"/>
          <w:szCs w:val="23"/>
        </w:rPr>
      </w:pPr>
    </w:p>
    <w:p>
      <w:pPr>
        <w:pStyle w:val="BodyText"/>
        <w:spacing w:line="408" w:lineRule="auto"/>
        <w:ind w:left="153" w:right="96" w:firstLine="420"/>
        <w:jc w:val="left"/>
      </w:pPr>
      <w:r>
        <w:rPr>
          <w:spacing w:val="-3"/>
        </w:rPr>
        <w:t>目前我国嵌入式行业总体比较弱小，虽然国内从事嵌入式业务的公司数以万计，但普遍进入行业较晚，</w:t>
      </w:r>
      <w:r>
        <w:rPr/>
        <w:t> 经营规模较小，大多以代理进口产品和系统集成为主，缺乏具有核心技术的自主产品，技术水平与欧美先 进企业差距较大。公司经过多年的努力与积累，已成为我国嵌入式系统测试领域和嵌入式信息安全领域内 的领先企业，具有很强的自主创新能力和雄厚的研究开发实力，以及成熟的经营模式和稳定的客户群体， 具有较强的竞争优势。但国内嵌入式系统测试和嵌入式信息安全行业的市场竞争正在加剧，公司面临国际 国内企业的竞争。与国际大型厂商相比，公司产品的市场份额尚未占据优势，而国内部分优秀企业也在不 断成长，如果公司不能正确判断和把握行业的市场动态和发展趋势，不能根据技术发展、行业标准和客户 </w:t>
      </w:r>
      <w:r>
        <w:rPr>
          <w:spacing w:val="3"/>
        </w:rPr>
        <w:t>需求及时进行技术创新和业务模式创新，则存在因竞争优势减弱而导致经营业绩不能达到预期目标的风</w:t>
      </w:r>
      <w:r>
        <w:rPr>
          <w:spacing w:val="-78"/>
        </w:rPr>
        <w:t> </w:t>
      </w:r>
      <w:r>
        <w:rPr>
          <w:spacing w:val="-78"/>
        </w:rPr>
      </w:r>
      <w:r>
        <w:rPr/>
        <w:t>险。</w:t>
      </w:r>
    </w:p>
    <w:p>
      <w:pPr>
        <w:pStyle w:val="Heading3"/>
        <w:spacing w:line="240" w:lineRule="auto" w:before="179"/>
        <w:ind w:right="101"/>
        <w:jc w:val="left"/>
      </w:pPr>
      <w:r>
        <w:rPr>
          <w:rFonts w:ascii="Cambria" w:hAnsi="Cambria" w:cs="Cambria" w:eastAsia="Cambria" w:hint="default"/>
        </w:rPr>
        <w:t>4</w:t>
      </w:r>
      <w:r>
        <w:rPr/>
        <w:t>、研发风险</w:t>
      </w:r>
    </w:p>
    <w:p>
      <w:pPr>
        <w:spacing w:line="240" w:lineRule="auto" w:before="12"/>
        <w:rPr>
          <w:rFonts w:ascii="黑体" w:hAnsi="黑体" w:cs="黑体" w:eastAsia="黑体" w:hint="default"/>
          <w:sz w:val="23"/>
          <w:szCs w:val="23"/>
        </w:rPr>
      </w:pPr>
    </w:p>
    <w:p>
      <w:pPr>
        <w:pStyle w:val="BodyText"/>
        <w:spacing w:line="408" w:lineRule="auto"/>
        <w:ind w:left="153" w:right="104" w:firstLine="420"/>
        <w:jc w:val="both"/>
      </w:pPr>
      <w:r>
        <w:rPr>
          <w:spacing w:val="-3"/>
        </w:rPr>
        <w:t>目前嵌入式行业正处于快速发展阶段，由于嵌入式系统更新换代快，用户对产品的技术要求不断提高。</w:t>
      </w:r>
      <w:r>
        <w:rPr/>
        <w:t> </w:t>
      </w:r>
      <w:r>
        <w:rPr>
          <w:spacing w:val="-3"/>
        </w:rPr>
        <w:t>因此，若本公司对技术、产品和市场的发展趋势不能正确判断，对行业关键技术的发展动态不能及时掌控，</w:t>
      </w:r>
      <w:r>
        <w:rPr>
          <w:spacing w:val="-90"/>
        </w:rPr>
        <w:t> </w:t>
      </w:r>
      <w:r>
        <w:rPr>
          <w:spacing w:val="-90"/>
        </w:rPr>
      </w:r>
      <w:r>
        <w:rPr/>
        <w:t>在新产品的研发方向、重要产品的方案制定等方面不能正确把握，将导致公司的市场竞争能力下降。</w:t>
      </w:r>
    </w:p>
    <w:p>
      <w:pPr>
        <w:spacing w:line="240" w:lineRule="auto" w:before="6"/>
        <w:rPr>
          <w:rFonts w:ascii="宋体" w:hAnsi="宋体" w:cs="宋体" w:eastAsia="宋体" w:hint="default"/>
          <w:sz w:val="15"/>
          <w:szCs w:val="15"/>
        </w:rPr>
      </w:pPr>
    </w:p>
    <w:p>
      <w:pPr>
        <w:pStyle w:val="BodyText"/>
        <w:spacing w:line="408" w:lineRule="auto"/>
        <w:ind w:left="153" w:right="171" w:firstLine="420"/>
        <w:jc w:val="left"/>
      </w:pPr>
      <w:r>
        <w:rPr/>
        <w:t>公司将一如既往地坚持自主创新的技术发展战略，密切跟踪国际嵌入式技术和应用的最新发展态势， </w:t>
      </w:r>
      <w:r>
        <w:rPr>
          <w:spacing w:val="-1"/>
        </w:rPr>
        <w:t>提升公司的整体技术水平，巩固在国内市场的技术领先地位。同时，在研发管理方面，为进一步整合公司</w:t>
      </w:r>
    </w:p>
    <w:p>
      <w:pPr>
        <w:spacing w:after="0" w:line="408" w:lineRule="auto"/>
        <w:jc w:val="left"/>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386" w:lineRule="auto" w:before="35"/>
        <w:ind w:left="153" w:right="134"/>
        <w:jc w:val="left"/>
      </w:pPr>
      <w:r>
        <w:rPr/>
        <w:t>研发、生产、质量管理等资源，</w:t>
      </w:r>
      <w:r>
        <w:rPr>
          <w:rFonts w:ascii="Times New Roman" w:hAnsi="Times New Roman" w:cs="Times New Roman" w:eastAsia="Times New Roman" w:hint="default"/>
        </w:rPr>
        <w:t>2012</w:t>
      </w:r>
      <w:r>
        <w:rPr/>
        <w:t>年上半年公司引入</w:t>
      </w:r>
      <w:r>
        <w:rPr>
          <w:rFonts w:ascii="Times New Roman" w:hAnsi="Times New Roman" w:cs="Times New Roman" w:eastAsia="Times New Roman" w:hint="default"/>
        </w:rPr>
        <w:t>RDM</w:t>
      </w:r>
      <w:r>
        <w:rPr/>
        <w:t>和</w:t>
      </w:r>
      <w:r>
        <w:rPr>
          <w:rFonts w:ascii="Times New Roman" w:hAnsi="Times New Roman" w:cs="Times New Roman" w:eastAsia="Times New Roman" w:hint="default"/>
        </w:rPr>
        <w:t>IPD</w:t>
      </w:r>
      <w:r>
        <w:rPr/>
        <w:t>（集成产品开发）管理系统，整合现有 产品线，确定各产品开发流程，进一步优化公司资源，提高研发效率和可持续发展。</w:t>
      </w:r>
    </w:p>
    <w:p>
      <w:pPr>
        <w:spacing w:line="240" w:lineRule="auto" w:before="2"/>
        <w:rPr>
          <w:rFonts w:ascii="宋体" w:hAnsi="宋体" w:cs="宋体" w:eastAsia="宋体" w:hint="default"/>
          <w:sz w:val="15"/>
          <w:szCs w:val="15"/>
        </w:rPr>
      </w:pPr>
    </w:p>
    <w:p>
      <w:pPr>
        <w:pStyle w:val="Heading3"/>
        <w:spacing w:line="240" w:lineRule="auto"/>
        <w:ind w:right="0"/>
        <w:jc w:val="left"/>
      </w:pPr>
      <w:r>
        <w:rPr>
          <w:rFonts w:ascii="Cambria" w:hAnsi="Cambria" w:cs="Cambria" w:eastAsia="Cambria" w:hint="default"/>
        </w:rPr>
        <w:t>5</w:t>
      </w:r>
      <w:r>
        <w:rPr/>
        <w:t>、产品质量风险</w:t>
      </w:r>
    </w:p>
    <w:p>
      <w:pPr>
        <w:spacing w:line="240" w:lineRule="auto" w:before="12"/>
        <w:rPr>
          <w:rFonts w:ascii="黑体" w:hAnsi="黑体" w:cs="黑体" w:eastAsia="黑体" w:hint="default"/>
          <w:sz w:val="23"/>
          <w:szCs w:val="23"/>
        </w:rPr>
      </w:pPr>
    </w:p>
    <w:p>
      <w:pPr>
        <w:pStyle w:val="BodyText"/>
        <w:spacing w:line="408" w:lineRule="auto"/>
        <w:ind w:left="154" w:right="149" w:firstLine="420"/>
        <w:jc w:val="both"/>
      </w:pPr>
      <w:r>
        <w:rPr>
          <w:spacing w:val="-1"/>
        </w:rPr>
        <w:t>本公司已经建立了一整套严格的质量控制体系，包括：设计、研发、测试、调试、安装、培训到售后</w:t>
      </w:r>
      <w:r>
        <w:rPr/>
        <w:t> </w:t>
      </w:r>
      <w:r>
        <w:rPr>
          <w:spacing w:val="-1"/>
        </w:rPr>
        <w:t>服务等环节，贯穿了产品生产、销售与服务的全过程，以保证产品和服务的可靠性。但由于嵌入式系统的</w:t>
      </w:r>
      <w:r>
        <w:rPr>
          <w:spacing w:val="-82"/>
        </w:rPr>
        <w:t> </w:t>
      </w:r>
      <w:r>
        <w:rPr>
          <w:spacing w:val="-82"/>
        </w:rPr>
      </w:r>
      <w:r>
        <w:rPr>
          <w:spacing w:val="-1"/>
        </w:rPr>
        <w:t>高度复杂性，公司和其他同行业公司一样均无法完全杜绝产品的错误和缺陷。如果公司开发和生产的嵌入</w:t>
      </w:r>
      <w:r>
        <w:rPr>
          <w:spacing w:val="-81"/>
        </w:rPr>
        <w:t> </w:t>
      </w:r>
      <w:r>
        <w:rPr>
          <w:spacing w:val="-81"/>
        </w:rPr>
      </w:r>
      <w:r>
        <w:rPr>
          <w:spacing w:val="-1"/>
        </w:rPr>
        <w:t>式系统产品存在较大缺陷，可能会影响到客户业务的正常运作，并且因为产品质量问题引致纠纷、索赔或</w:t>
      </w:r>
      <w:r>
        <w:rPr>
          <w:spacing w:val="-83"/>
        </w:rPr>
        <w:t> </w:t>
      </w:r>
      <w:r>
        <w:rPr>
          <w:spacing w:val="-83"/>
        </w:rPr>
      </w:r>
      <w:r>
        <w:rPr>
          <w:spacing w:val="-1"/>
        </w:rPr>
        <w:t>诉讼，这将对公司的市场信誉和市场地位产生不利影响。虽然公司自成立以来，未发生过任何客户针对公</w:t>
      </w:r>
      <w:r>
        <w:rPr>
          <w:spacing w:val="-83"/>
        </w:rPr>
        <w:t> </w:t>
      </w:r>
      <w:r>
        <w:rPr>
          <w:spacing w:val="-83"/>
        </w:rPr>
      </w:r>
      <w:r>
        <w:rPr>
          <w:spacing w:val="-1"/>
        </w:rPr>
        <w:t>司所提供的产品或服务提出索赔或诉讼的情况，但由于嵌入式系统的特殊性，公司仍然存在产品质量可能</w:t>
      </w:r>
      <w:r>
        <w:rPr>
          <w:spacing w:val="-81"/>
        </w:rPr>
        <w:t> </w:t>
      </w:r>
      <w:r>
        <w:rPr>
          <w:spacing w:val="-81"/>
        </w:rPr>
      </w:r>
      <w:r>
        <w:rPr/>
        <w:t>引致的纠纷、索赔或诉讼风险。</w:t>
      </w:r>
    </w:p>
    <w:p>
      <w:pPr>
        <w:pStyle w:val="Heading3"/>
        <w:spacing w:line="240" w:lineRule="auto" w:before="179"/>
        <w:ind w:right="0"/>
        <w:jc w:val="left"/>
      </w:pPr>
      <w:r>
        <w:rPr>
          <w:rFonts w:ascii="Cambria" w:hAnsi="Cambria" w:cs="Cambria" w:eastAsia="Cambria" w:hint="default"/>
        </w:rPr>
        <w:t>6</w:t>
      </w:r>
      <w:r>
        <w:rPr/>
        <w:t>、技术支持和服务不到位的风险</w:t>
      </w:r>
    </w:p>
    <w:p>
      <w:pPr>
        <w:spacing w:line="240" w:lineRule="auto" w:before="12"/>
        <w:rPr>
          <w:rFonts w:ascii="黑体" w:hAnsi="黑体" w:cs="黑体" w:eastAsia="黑体" w:hint="default"/>
          <w:sz w:val="23"/>
          <w:szCs w:val="23"/>
        </w:rPr>
      </w:pPr>
    </w:p>
    <w:p>
      <w:pPr>
        <w:pStyle w:val="BodyText"/>
        <w:spacing w:line="408" w:lineRule="auto"/>
        <w:ind w:left="154" w:right="151" w:firstLine="420"/>
        <w:jc w:val="both"/>
      </w:pPr>
      <w:r>
        <w:rPr>
          <w:spacing w:val="-1"/>
        </w:rPr>
        <w:t>由于本公司产品技术含量高，用户对产品的安全性和定制性方面也有较高的要求，因此本公司提供产</w:t>
      </w:r>
      <w:r>
        <w:rPr/>
        <w:t> </w:t>
      </w:r>
      <w:r>
        <w:rPr>
          <w:spacing w:val="-1"/>
        </w:rPr>
        <w:t>品的同时往往也需要制定恰当的解决方案，对客户进行培训及其他技术支持，及时高效的技术支持和服务</w:t>
      </w:r>
      <w:r>
        <w:rPr>
          <w:spacing w:val="-81"/>
        </w:rPr>
        <w:t> </w:t>
      </w:r>
      <w:r>
        <w:rPr>
          <w:spacing w:val="-81"/>
        </w:rPr>
      </w:r>
      <w:r>
        <w:rPr>
          <w:spacing w:val="-1"/>
        </w:rPr>
        <w:t>是公司业务运营的重要环节。本公司高度重视公司的技术支持和服务能力，不断提高从事技术支持和服务</w:t>
      </w:r>
      <w:r>
        <w:rPr>
          <w:spacing w:val="-81"/>
        </w:rPr>
        <w:t> </w:t>
      </w:r>
      <w:r>
        <w:rPr>
          <w:spacing w:val="-81"/>
        </w:rPr>
      </w:r>
      <w:r>
        <w:rPr>
          <w:spacing w:val="-1"/>
        </w:rPr>
        <w:t>的人员的数量和专业素质，并由相关的研发、销售人员进行配合，为用户提供全面的技术支持和服务。但</w:t>
      </w:r>
      <w:r>
        <w:rPr>
          <w:spacing w:val="-82"/>
        </w:rPr>
        <w:t> </w:t>
      </w:r>
      <w:r>
        <w:rPr>
          <w:spacing w:val="-82"/>
        </w:rPr>
      </w:r>
      <w:r>
        <w:rPr>
          <w:spacing w:val="-1"/>
        </w:rPr>
        <w:t>是，由于本公司处于快速成长期，公司技术支持和服务的范围迅速扩展，存在技术支持和服务能力不足而</w:t>
      </w:r>
      <w:r>
        <w:rPr>
          <w:spacing w:val="-83"/>
        </w:rPr>
        <w:t> </w:t>
      </w:r>
      <w:r>
        <w:rPr>
          <w:spacing w:val="-83"/>
        </w:rPr>
      </w:r>
      <w:r>
        <w:rPr/>
        <w:t>产生的服务不到位引致客户投诉、赔偿、甚至造成客户流失的风险。</w:t>
      </w:r>
    </w:p>
    <w:p>
      <w:pPr>
        <w:pStyle w:val="Heading3"/>
        <w:spacing w:line="240" w:lineRule="auto" w:before="179"/>
        <w:ind w:right="0"/>
        <w:jc w:val="left"/>
      </w:pPr>
      <w:r>
        <w:rPr>
          <w:rFonts w:ascii="Cambria" w:hAnsi="Cambria" w:cs="Cambria" w:eastAsia="Cambria" w:hint="default"/>
        </w:rPr>
        <w:t>7</w:t>
      </w:r>
      <w:r>
        <w:rPr/>
        <w:t>、核心技术人员流失、核心技术泄密的风险</w:t>
      </w:r>
    </w:p>
    <w:p>
      <w:pPr>
        <w:spacing w:line="240" w:lineRule="auto" w:before="12"/>
        <w:rPr>
          <w:rFonts w:ascii="黑体" w:hAnsi="黑体" w:cs="黑体" w:eastAsia="黑体" w:hint="default"/>
          <w:sz w:val="23"/>
          <w:szCs w:val="23"/>
        </w:rPr>
      </w:pPr>
    </w:p>
    <w:p>
      <w:pPr>
        <w:pStyle w:val="BodyText"/>
        <w:spacing w:line="408" w:lineRule="auto"/>
        <w:ind w:left="154" w:right="151" w:firstLine="420"/>
        <w:jc w:val="both"/>
      </w:pPr>
      <w:r>
        <w:rPr>
          <w:spacing w:val="-1"/>
        </w:rPr>
        <w:t>本公司属于技术密集型企业，保持技术领先地位必须进行持续性创新，拥有一支稳定的高水平的研发</w:t>
      </w:r>
      <w:r>
        <w:rPr/>
        <w:t> </w:t>
      </w:r>
      <w:r>
        <w:rPr>
          <w:spacing w:val="-1"/>
        </w:rPr>
        <w:t>队伍是公司生存和发展的关键。为此，公司制定了科学合理的薪酬方案，建立较为公正、公平的绩效评估</w:t>
      </w:r>
      <w:r>
        <w:rPr>
          <w:spacing w:val="-82"/>
        </w:rPr>
        <w:t> </w:t>
      </w:r>
      <w:r>
        <w:rPr>
          <w:spacing w:val="-82"/>
        </w:rPr>
      </w:r>
      <w:r>
        <w:rPr>
          <w:spacing w:val="-1"/>
        </w:rPr>
        <w:t>体系，不断完善科研创新激励机制，努力提高研发人员对公司的归属感，上述制度对稳定核心技术人员队</w:t>
      </w:r>
      <w:r>
        <w:rPr>
          <w:spacing w:val="-83"/>
        </w:rPr>
        <w:t> </w:t>
      </w:r>
      <w:r>
        <w:rPr>
          <w:spacing w:val="-83"/>
        </w:rPr>
      </w:r>
      <w:r>
        <w:rPr>
          <w:spacing w:val="-1"/>
        </w:rPr>
        <w:t>伍发挥了重要作用。但随着电子信息行业的快速发展，人才争夺也必将日益激烈，核心技术人员的流失对</w:t>
      </w:r>
      <w:r>
        <w:rPr>
          <w:spacing w:val="-83"/>
        </w:rPr>
        <w:t> </w:t>
      </w:r>
      <w:r>
        <w:rPr>
          <w:spacing w:val="-83"/>
        </w:rPr>
      </w:r>
      <w:r>
        <w:rPr/>
        <w:t>本公司的生产经营可能产生一定的风险。</w:t>
      </w:r>
    </w:p>
    <w:p>
      <w:pPr>
        <w:spacing w:line="240" w:lineRule="auto" w:before="6"/>
        <w:rPr>
          <w:rFonts w:ascii="宋体" w:hAnsi="宋体" w:cs="宋体" w:eastAsia="宋体" w:hint="default"/>
          <w:sz w:val="15"/>
          <w:szCs w:val="15"/>
        </w:rPr>
      </w:pPr>
    </w:p>
    <w:p>
      <w:pPr>
        <w:pStyle w:val="BodyText"/>
        <w:spacing w:line="408" w:lineRule="auto"/>
        <w:ind w:left="153" w:right="150" w:firstLine="420"/>
        <w:jc w:val="both"/>
      </w:pPr>
      <w:r>
        <w:rPr>
          <w:spacing w:val="-1"/>
        </w:rPr>
        <w:t>公司在长期科研生产实践中，在嵌入式系统测试、嵌入式软件工程、故障注入、多点测试、智能芯片</w:t>
      </w:r>
      <w:r>
        <w:rPr/>
        <w:t> </w:t>
      </w:r>
      <w:r>
        <w:rPr>
          <w:spacing w:val="-1"/>
        </w:rPr>
        <w:t>操作系统、智能终端以及相关产品的应用设计领域取得重大突破，形成了多项关键技术成果，构成了目前</w:t>
      </w:r>
      <w:r>
        <w:rPr>
          <w:spacing w:val="-83"/>
        </w:rPr>
        <w:t> </w:t>
      </w:r>
      <w:r>
        <w:rPr>
          <w:spacing w:val="-83"/>
        </w:rPr>
      </w:r>
      <w:r>
        <w:rPr>
          <w:spacing w:val="-1"/>
        </w:rPr>
        <w:t>的核心技术体系。这些核心技术目前多处于国内领先水平，是公司核心竞争力的集中体现。但随着核心技</w:t>
      </w:r>
      <w:r>
        <w:rPr>
          <w:spacing w:val="-83"/>
        </w:rPr>
        <w:t> </w:t>
      </w:r>
      <w:r>
        <w:rPr>
          <w:spacing w:val="-83"/>
        </w:rPr>
      </w:r>
      <w:r>
        <w:rPr/>
        <w:t>术人员的流失，可能会带来新产品技术的流失、研究开发进程放缓或暂时停顿的风险。</w:t>
      </w:r>
    </w:p>
    <w:p>
      <w:pPr>
        <w:spacing w:after="0" w:line="408" w:lineRule="auto"/>
        <w:jc w:val="both"/>
        <w:sectPr>
          <w:footerReference w:type="default" r:id="rId17"/>
          <w:pgSz w:w="11910" w:h="16840"/>
          <w:pgMar w:footer="1252" w:header="997" w:top="1340" w:bottom="1440" w:left="980" w:right="980"/>
          <w:pgNumType w:start="11"/>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8</w:t>
      </w:r>
      <w:r>
        <w:rPr/>
        <w:t>、管理能力滞后于公司快速发展的风险</w:t>
      </w:r>
    </w:p>
    <w:p>
      <w:pPr>
        <w:spacing w:line="240" w:lineRule="auto" w:before="12"/>
        <w:rPr>
          <w:rFonts w:ascii="黑体" w:hAnsi="黑体" w:cs="黑体" w:eastAsia="黑体" w:hint="default"/>
          <w:sz w:val="23"/>
          <w:szCs w:val="23"/>
        </w:rPr>
      </w:pPr>
    </w:p>
    <w:p>
      <w:pPr>
        <w:pStyle w:val="BodyText"/>
        <w:spacing w:line="408" w:lineRule="auto"/>
        <w:ind w:left="154" w:right="128" w:firstLine="420"/>
        <w:jc w:val="both"/>
      </w:pPr>
      <w:r>
        <w:rPr>
          <w:spacing w:val="-1"/>
        </w:rPr>
        <w:t>近年来，本公司进入快速成长期。随着公司经营规模的不断扩张，子公司、部门、机构和人员也在不</w:t>
      </w:r>
      <w:r>
        <w:rPr/>
        <w:t> </w:t>
      </w:r>
      <w:r>
        <w:rPr>
          <w:spacing w:val="-1"/>
        </w:rPr>
        <w:t>断增加，公司需要进一步完善研发管理、营销管理、服务保障、财务管理、人力资源管理以及企业文化的</w:t>
      </w:r>
      <w:r>
        <w:rPr>
          <w:spacing w:val="-83"/>
        </w:rPr>
        <w:t> </w:t>
      </w:r>
      <w:r>
        <w:rPr>
          <w:spacing w:val="-83"/>
        </w:rPr>
      </w:r>
      <w:r>
        <w:rPr/>
        <w:t>塑造，从而使公司管理能力的提升与公司的快速成长相适应。如果本公司不能持续有效地提升管理能力， 将难以支撑公司继续快速成长，甚至造成经营管理方面的风险。</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未来，公司将通过加强内控管理，引进高端管理人才，加强信息化建设等进一步避免管理风险。</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9</w:t>
      </w:r>
      <w:r>
        <w:rPr/>
        <w:t>、政策风险</w:t>
      </w:r>
    </w:p>
    <w:p>
      <w:pPr>
        <w:spacing w:line="240" w:lineRule="auto" w:before="12"/>
        <w:rPr>
          <w:rFonts w:ascii="黑体" w:hAnsi="黑体" w:cs="黑体" w:eastAsia="黑体" w:hint="default"/>
          <w:sz w:val="23"/>
          <w:szCs w:val="23"/>
        </w:rPr>
      </w:pPr>
    </w:p>
    <w:p>
      <w:pPr>
        <w:pStyle w:val="BodyText"/>
        <w:spacing w:line="408" w:lineRule="auto"/>
        <w:ind w:left="154" w:right="128" w:firstLine="420"/>
        <w:jc w:val="both"/>
      </w:pPr>
      <w:r>
        <w:rPr/>
        <w:t>公司的军工、金融业信息安全和税控产品的主要客户为军方、银行及政府，采购具有调节性的特点， 受政策影响较大。今后几年这几类产品产品的收入、利润占公司营业收入、利润总额的比例还会比较高。 </w:t>
      </w:r>
      <w:r>
        <w:rPr>
          <w:spacing w:val="-1"/>
        </w:rPr>
        <w:t>因此，如何布局合理的产品组合，降低政策和采购量的不确定性带来经营业绩的波动，将会是公司发展一</w:t>
      </w:r>
      <w:r>
        <w:rPr>
          <w:spacing w:val="-83"/>
        </w:rPr>
        <w:t> </w:t>
      </w:r>
      <w:r>
        <w:rPr>
          <w:spacing w:val="-83"/>
        </w:rPr>
      </w:r>
      <w:r>
        <w:rPr/>
        <w:t>个持续的挑战。</w:t>
      </w:r>
    </w:p>
    <w:p>
      <w:pPr>
        <w:spacing w:after="0" w:line="408" w:lineRule="auto"/>
        <w:jc w:val="both"/>
        <w:sectPr>
          <w:pgSz w:w="11910" w:h="16840"/>
          <w:pgMar w:header="997" w:footer="1252" w:top="1340" w:bottom="1440" w:left="980" w:right="980"/>
        </w:sectPr>
      </w:pPr>
    </w:p>
    <w:p>
      <w:pPr>
        <w:spacing w:line="240" w:lineRule="auto" w:before="1"/>
        <w:rPr>
          <w:rFonts w:ascii="宋体" w:hAnsi="宋体" w:cs="宋体" w:eastAsia="宋体" w:hint="default"/>
          <w:sz w:val="13"/>
          <w:szCs w:val="13"/>
        </w:rPr>
      </w:pPr>
    </w:p>
    <w:p>
      <w:pPr>
        <w:spacing w:before="1"/>
        <w:ind w:left="3914" w:right="3333" w:firstLine="0"/>
        <w:jc w:val="center"/>
        <w:rPr>
          <w:rFonts w:ascii="黑体" w:hAnsi="黑体" w:cs="黑体" w:eastAsia="黑体" w:hint="default"/>
          <w:sz w:val="32"/>
          <w:szCs w:val="32"/>
        </w:rPr>
      </w:pPr>
      <w:r>
        <w:rPr>
          <w:rFonts w:ascii="黑体" w:hAnsi="黑体" w:cs="黑体" w:eastAsia="黑体" w:hint="default"/>
          <w:sz w:val="32"/>
          <w:szCs w:val="32"/>
        </w:rPr>
        <w:t>第四节</w:t>
      </w:r>
      <w:r>
        <w:rPr>
          <w:rFonts w:ascii="黑体" w:hAnsi="黑体" w:cs="黑体" w:eastAsia="黑体" w:hint="default"/>
          <w:spacing w:val="-4"/>
          <w:sz w:val="32"/>
          <w:szCs w:val="32"/>
        </w:rPr>
        <w:t> </w:t>
      </w:r>
      <w:r>
        <w:rPr>
          <w:rFonts w:ascii="黑体" w:hAnsi="黑体" w:cs="黑体" w:eastAsia="黑体" w:hint="default"/>
          <w:sz w:val="32"/>
          <w:szCs w:val="32"/>
        </w:rPr>
        <w:t>董事会报告</w:t>
      </w:r>
    </w:p>
    <w:p>
      <w:pPr>
        <w:spacing w:line="240" w:lineRule="auto" w:before="1"/>
        <w:rPr>
          <w:rFonts w:ascii="黑体" w:hAnsi="黑体" w:cs="黑体" w:eastAsia="黑体" w:hint="default"/>
          <w:sz w:val="29"/>
          <w:szCs w:val="29"/>
        </w:rPr>
      </w:pPr>
    </w:p>
    <w:p>
      <w:pPr>
        <w:pStyle w:val="Heading2"/>
        <w:spacing w:line="240" w:lineRule="auto" w:before="13"/>
        <w:ind w:right="101"/>
        <w:jc w:val="left"/>
      </w:pPr>
      <w:r>
        <w:rPr/>
        <w:t>一、管理层讨论与分析</w:t>
      </w:r>
    </w:p>
    <w:p>
      <w:pPr>
        <w:spacing w:line="240" w:lineRule="auto" w:before="13"/>
        <w:rPr>
          <w:rFonts w:ascii="黑体" w:hAnsi="黑体" w:cs="黑体" w:eastAsia="黑体" w:hint="default"/>
          <w:sz w:val="29"/>
          <w:szCs w:val="29"/>
        </w:rPr>
      </w:pPr>
    </w:p>
    <w:p>
      <w:pPr>
        <w:pStyle w:val="BodyText"/>
        <w:spacing w:line="386" w:lineRule="auto"/>
        <w:ind w:left="153" w:right="208" w:firstLine="420"/>
        <w:jc w:val="both"/>
      </w:pPr>
      <w:r>
        <w:rPr>
          <w:spacing w:val="-1"/>
        </w:rPr>
        <w:t>报告期内，公司核心产品业务及其结构未发生重大变化。</w:t>
      </w:r>
      <w:r>
        <w:rPr>
          <w:rFonts w:ascii="Times New Roman" w:hAnsi="Times New Roman" w:cs="Times New Roman" w:eastAsia="Times New Roman" w:hint="default"/>
          <w:spacing w:val="-1"/>
        </w:rPr>
        <w:t>2012</w:t>
      </w:r>
      <w:r>
        <w:rPr>
          <w:spacing w:val="-1"/>
        </w:rPr>
        <w:t>年度的营业收入</w:t>
      </w:r>
      <w:r>
        <w:rPr>
          <w:rFonts w:ascii="Times New Roman" w:hAnsi="Times New Roman" w:cs="Times New Roman" w:eastAsia="Times New Roman" w:hint="default"/>
          <w:spacing w:val="-1"/>
        </w:rPr>
        <w:t>28,179.69</w:t>
      </w:r>
      <w:r>
        <w:rPr>
          <w:spacing w:val="-1"/>
        </w:rPr>
        <w:t>万元，比上年</w:t>
      </w:r>
      <w:r>
        <w:rPr/>
        <w:t> 同期的</w:t>
      </w:r>
      <w:r>
        <w:rPr>
          <w:rFonts w:ascii="Times New Roman" w:hAnsi="Times New Roman" w:cs="Times New Roman" w:eastAsia="Times New Roman" w:hint="default"/>
        </w:rPr>
        <w:t>29,866.60</w:t>
      </w:r>
      <w:r>
        <w:rPr/>
        <w:t>万元下降 </w:t>
      </w:r>
      <w:r>
        <w:rPr>
          <w:rFonts w:ascii="Times New Roman" w:hAnsi="Times New Roman" w:cs="Times New Roman" w:eastAsia="Times New Roman" w:hint="default"/>
        </w:rPr>
        <w:t>5.65%</w:t>
      </w:r>
      <w:r>
        <w:rPr/>
        <w:t>；利润总额 </w:t>
      </w:r>
      <w:r>
        <w:rPr>
          <w:rFonts w:ascii="Times New Roman" w:hAnsi="Times New Roman" w:cs="Times New Roman" w:eastAsia="Times New Roman" w:hint="default"/>
        </w:rPr>
        <w:t>5,610.81</w:t>
      </w:r>
      <w:r>
        <w:rPr/>
        <w:t>万元，比上年同期增长</w:t>
      </w:r>
      <w:r>
        <w:rPr>
          <w:spacing w:val="-73"/>
        </w:rPr>
        <w:t> </w:t>
      </w:r>
      <w:r>
        <w:rPr>
          <w:rFonts w:ascii="Times New Roman" w:hAnsi="Times New Roman" w:cs="Times New Roman" w:eastAsia="Times New Roman" w:hint="default"/>
        </w:rPr>
        <w:t>10.17%</w:t>
      </w:r>
      <w:r>
        <w:rPr/>
        <w:t>，实现归属于上市公</w:t>
      </w:r>
      <w:r>
        <w:rPr>
          <w:spacing w:val="1"/>
        </w:rPr>
        <w:t> </w:t>
      </w:r>
      <w:r>
        <w:rPr/>
        <w:t>司股东的净利润</w:t>
      </w:r>
      <w:r>
        <w:rPr>
          <w:spacing w:val="57"/>
        </w:rPr>
        <w:t> </w:t>
      </w:r>
      <w:r>
        <w:rPr>
          <w:rFonts w:ascii="Times New Roman" w:hAnsi="Times New Roman" w:cs="Times New Roman" w:eastAsia="Times New Roman" w:hint="default"/>
        </w:rPr>
        <w:t>4,689.03</w:t>
      </w:r>
      <w:r>
        <w:rPr/>
        <w:t>万元，比上年同期增长</w:t>
      </w:r>
      <w:r>
        <w:rPr>
          <w:rFonts w:ascii="Times New Roman" w:hAnsi="Times New Roman" w:cs="Times New Roman" w:eastAsia="Times New Roman" w:hint="default"/>
        </w:rPr>
        <w:t>9.85%</w:t>
      </w:r>
      <w:r>
        <w:rPr/>
        <w:t>。</w:t>
      </w:r>
    </w:p>
    <w:p>
      <w:pPr>
        <w:pStyle w:val="BodyText"/>
        <w:spacing w:line="400" w:lineRule="auto" w:before="191"/>
        <w:ind w:left="154" w:right="211" w:firstLine="420"/>
        <w:jc w:val="both"/>
      </w:pPr>
      <w:r>
        <w:rPr>
          <w:rFonts w:ascii="Times New Roman" w:hAnsi="Times New Roman" w:cs="Times New Roman" w:eastAsia="Times New Roman" w:hint="default"/>
          <w:spacing w:val="-1"/>
        </w:rPr>
        <w:t>2012</w:t>
      </w:r>
      <w:r>
        <w:rPr>
          <w:spacing w:val="-1"/>
        </w:rPr>
        <w:t>年，公司按照董事会制订的方针，围绕公司中长期发展规划及</w:t>
      </w:r>
      <w:r>
        <w:rPr>
          <w:rFonts w:ascii="Times New Roman" w:hAnsi="Times New Roman" w:cs="Times New Roman" w:eastAsia="Times New Roman" w:hint="default"/>
          <w:spacing w:val="-1"/>
        </w:rPr>
        <w:t>2012</w:t>
      </w:r>
      <w:r>
        <w:rPr>
          <w:spacing w:val="-1"/>
        </w:rPr>
        <w:t>年经营目标，坚持以市场为导</w:t>
      </w:r>
      <w:r>
        <w:rPr/>
        <w:t> </w:t>
      </w:r>
      <w:r>
        <w:rPr>
          <w:spacing w:val="-1"/>
        </w:rPr>
        <w:t>向、以技术创新为依托，立足嵌入式系统测试、信息安全、智能移动终端三大领域，从积极推进募投项目</w:t>
      </w:r>
      <w:r>
        <w:rPr>
          <w:spacing w:val="-83"/>
        </w:rPr>
        <w:t> </w:t>
      </w:r>
      <w:r>
        <w:rPr>
          <w:spacing w:val="-83"/>
        </w:rPr>
      </w:r>
      <w:r>
        <w:rPr>
          <w:spacing w:val="-1"/>
        </w:rPr>
        <w:t>建设、提升研发水平、继续推进专业化营销模式、完善内部控制建设、全面提升公司管理水平和效率等多</w:t>
      </w:r>
      <w:r>
        <w:rPr>
          <w:spacing w:val="-82"/>
        </w:rPr>
        <w:t> </w:t>
      </w:r>
      <w:r>
        <w:rPr>
          <w:spacing w:val="-82"/>
        </w:rPr>
      </w:r>
      <w:r>
        <w:rPr/>
        <w:t>方面开展工作。</w:t>
      </w:r>
    </w:p>
    <w:p>
      <w:pPr>
        <w:spacing w:line="240" w:lineRule="auto" w:before="2"/>
        <w:rPr>
          <w:rFonts w:ascii="宋体" w:hAnsi="宋体" w:cs="宋体" w:eastAsia="宋体" w:hint="default"/>
          <w:sz w:val="14"/>
          <w:szCs w:val="14"/>
        </w:rPr>
      </w:pPr>
    </w:p>
    <w:p>
      <w:pPr>
        <w:pStyle w:val="Heading3"/>
        <w:spacing w:line="240" w:lineRule="auto"/>
        <w:ind w:right="101"/>
        <w:jc w:val="left"/>
      </w:pPr>
      <w:r>
        <w:rPr>
          <w:rFonts w:ascii="Cambria" w:hAnsi="Cambria" w:cs="Cambria" w:eastAsia="Cambria" w:hint="default"/>
        </w:rPr>
        <w:t>1</w:t>
      </w:r>
      <w:r>
        <w:rPr>
          <w:rFonts w:ascii="宋体" w:hAnsi="宋体" w:cs="宋体" w:eastAsia="宋体" w:hint="default"/>
        </w:rPr>
        <w:t>、</w:t>
      </w:r>
      <w:r>
        <w:rPr/>
        <w:t>报告期内，公司积极进行产品和业务拓展：</w:t>
      </w:r>
    </w:p>
    <w:p>
      <w:pPr>
        <w:spacing w:line="240" w:lineRule="auto" w:before="12"/>
        <w:rPr>
          <w:rFonts w:ascii="黑体" w:hAnsi="黑体" w:cs="黑体" w:eastAsia="黑体" w:hint="default"/>
          <w:sz w:val="23"/>
          <w:szCs w:val="23"/>
        </w:rPr>
      </w:pPr>
    </w:p>
    <w:p>
      <w:pPr>
        <w:pStyle w:val="BodyText"/>
        <w:spacing w:line="398" w:lineRule="auto"/>
        <w:ind w:left="153" w:right="96" w:firstLine="420"/>
        <w:jc w:val="left"/>
      </w:pPr>
      <w:r>
        <w:rPr>
          <w:spacing w:val="-3"/>
        </w:rPr>
        <w:t>在嵌入式系统测试产品及服务领域，公司积极拓展嵌入式系统测试产品市场应用，紧跟行业发展方向，</w:t>
      </w:r>
      <w:r>
        <w:rPr/>
        <w:t> 瞄准航空、航天等领域，自主研发和完善了</w:t>
      </w:r>
      <w:r>
        <w:rPr>
          <w:rFonts w:ascii="Times New Roman" w:hAnsi="Times New Roman" w:cs="Times New Roman" w:eastAsia="Times New Roman" w:hint="default"/>
        </w:rPr>
        <w:t>MARS</w:t>
      </w:r>
      <w:r>
        <w:rPr/>
        <w:t>远程航电光纤中继系统，以光纤网络和时隙交换方式为</w:t>
      </w:r>
      <w:r>
        <w:rPr>
          <w:spacing w:val="-99"/>
        </w:rPr>
        <w:t> </w:t>
      </w:r>
      <w:r>
        <w:rPr>
          <w:spacing w:val="-99"/>
        </w:rPr>
      </w:r>
      <w:r>
        <w:rPr/>
        <w:t>系统联调提供稳定、可靠、实时的远程信号连接，该业务将成为公司未来业绩的重要增长点之一。</w:t>
      </w:r>
    </w:p>
    <w:p>
      <w:pPr>
        <w:spacing w:line="240" w:lineRule="auto" w:before="1"/>
        <w:rPr>
          <w:rFonts w:ascii="宋体" w:hAnsi="宋体" w:cs="宋体" w:eastAsia="宋体" w:hint="default"/>
          <w:sz w:val="16"/>
          <w:szCs w:val="16"/>
        </w:rPr>
      </w:pPr>
    </w:p>
    <w:p>
      <w:pPr>
        <w:pStyle w:val="BodyText"/>
        <w:spacing w:line="391" w:lineRule="auto"/>
        <w:ind w:left="153" w:right="210" w:firstLine="420"/>
        <w:jc w:val="both"/>
      </w:pPr>
      <w:r>
        <w:rPr>
          <w:spacing w:val="-1"/>
        </w:rPr>
        <w:t>信息安全产品方面，公司已完成二代</w:t>
      </w:r>
      <w:r>
        <w:rPr>
          <w:rFonts w:ascii="Times New Roman" w:hAnsi="Times New Roman" w:cs="Times New Roman" w:eastAsia="Times New Roman" w:hint="default"/>
          <w:spacing w:val="-1"/>
        </w:rPr>
        <w:t>USBKEY</w:t>
      </w:r>
      <w:r>
        <w:rPr>
          <w:spacing w:val="-1"/>
        </w:rPr>
        <w:t>、</w:t>
      </w:r>
      <w:r>
        <w:rPr>
          <w:rFonts w:ascii="Times New Roman" w:hAnsi="Times New Roman" w:cs="Times New Roman" w:eastAsia="Times New Roman" w:hint="default"/>
          <w:spacing w:val="-1"/>
        </w:rPr>
        <w:t>OTP</w:t>
      </w:r>
      <w:r>
        <w:rPr>
          <w:spacing w:val="-1"/>
        </w:rPr>
        <w:t>动态口令牌、复合</w:t>
      </w:r>
      <w:r>
        <w:rPr>
          <w:rFonts w:ascii="Times New Roman" w:hAnsi="Times New Roman" w:cs="Times New Roman" w:eastAsia="Times New Roman" w:hint="default"/>
          <w:spacing w:val="-1"/>
        </w:rPr>
        <w:t>KEY</w:t>
      </w:r>
      <w:r>
        <w:rPr>
          <w:spacing w:val="-1"/>
        </w:rPr>
        <w:t>等系列产品的技术、生产</w:t>
      </w:r>
      <w:r>
        <w:rPr/>
        <w:t> </w:t>
      </w:r>
      <w:r>
        <w:rPr>
          <w:spacing w:val="-1"/>
        </w:rPr>
        <w:t>储备，并积极拓展其销售渠道。目前正在参与中国农业银行、银行、交通银行、中国工商银行等多家银行</w:t>
      </w:r>
      <w:r>
        <w:rPr>
          <w:spacing w:val="-83"/>
        </w:rPr>
        <w:t> </w:t>
      </w:r>
      <w:r>
        <w:rPr>
          <w:spacing w:val="-83"/>
        </w:rPr>
      </w:r>
      <w:r>
        <w:rPr/>
        <w:t>产品测试及投标工作；同时，公司紧抓</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带来的发展机遇，完成新型税控盘的研发、生产。公司研 制的新型税控盘产品已在上海、北京、天津、浙江、福建、宁波、厦门</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试点工程项目中得到成功 应用。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试点范围及应用行业将进一步拓宽，公司将紧紧把握此次机遇，努力拓展新型税 控盘市场，同时进一步对公司税控产业链进行延伸，进军税控服务市场。</w:t>
      </w:r>
    </w:p>
    <w:p>
      <w:pPr>
        <w:spacing w:line="240" w:lineRule="auto" w:before="8"/>
        <w:rPr>
          <w:rFonts w:ascii="宋体" w:hAnsi="宋体" w:cs="宋体" w:eastAsia="宋体" w:hint="default"/>
          <w:sz w:val="16"/>
          <w:szCs w:val="16"/>
        </w:rPr>
      </w:pPr>
    </w:p>
    <w:p>
      <w:pPr>
        <w:pStyle w:val="BodyText"/>
        <w:spacing w:line="398" w:lineRule="auto"/>
        <w:ind w:left="153" w:right="102" w:firstLine="420"/>
        <w:jc w:val="left"/>
      </w:pPr>
      <w:r>
        <w:rPr>
          <w:rFonts w:ascii="Times New Roman" w:hAnsi="Times New Roman" w:cs="Times New Roman" w:eastAsia="Times New Roman" w:hint="default"/>
          <w:spacing w:val="-3"/>
        </w:rPr>
        <w:t>2012</w:t>
      </w:r>
      <w:r>
        <w:rPr>
          <w:spacing w:val="-3"/>
        </w:rPr>
        <w:t>年，公司嵌入式行业智能移动终端产品实现历史性突破，公司在积极拓展原有终端市场的前提下，</w:t>
      </w:r>
      <w:r>
        <w:rPr/>
        <w:t> 紧紧把握各地智能停车收费市场和快消配送领域，进一步拓展了终端产品应用领域，公司智能停车收费管 理解决方案成功应用于杭州、上海、西安、西宁、北京等地区。</w:t>
      </w:r>
    </w:p>
    <w:p>
      <w:pPr>
        <w:spacing w:line="240" w:lineRule="auto" w:before="4"/>
        <w:rPr>
          <w:rFonts w:ascii="宋体" w:hAnsi="宋体" w:cs="宋体" w:eastAsia="宋体" w:hint="default"/>
          <w:sz w:val="14"/>
          <w:szCs w:val="14"/>
        </w:rPr>
      </w:pPr>
    </w:p>
    <w:p>
      <w:pPr>
        <w:pStyle w:val="Heading3"/>
        <w:spacing w:line="240" w:lineRule="auto"/>
        <w:ind w:right="101"/>
        <w:jc w:val="left"/>
      </w:pPr>
      <w:r>
        <w:rPr>
          <w:rFonts w:ascii="Cambria" w:hAnsi="Cambria" w:cs="Cambria" w:eastAsia="Cambria" w:hint="default"/>
          <w:b/>
          <w:bCs/>
          <w:i/>
        </w:rPr>
        <w:t>2</w:t>
      </w:r>
      <w:r>
        <w:rPr>
          <w:rFonts w:ascii="宋体" w:hAnsi="宋体" w:cs="宋体" w:eastAsia="宋体" w:hint="default"/>
          <w:b/>
          <w:bCs/>
        </w:rPr>
        <w:t>、</w:t>
      </w:r>
      <w:r>
        <w:rPr/>
        <w:t>企业形象提升，政府补助增加，旋极品牌新形象树立</w:t>
      </w:r>
    </w:p>
    <w:p>
      <w:pPr>
        <w:spacing w:line="240" w:lineRule="auto" w:before="12"/>
        <w:rPr>
          <w:rFonts w:ascii="黑体" w:hAnsi="黑体" w:cs="黑体" w:eastAsia="黑体" w:hint="default"/>
          <w:sz w:val="23"/>
          <w:szCs w:val="23"/>
        </w:rPr>
      </w:pPr>
    </w:p>
    <w:p>
      <w:pPr>
        <w:pStyle w:val="BodyText"/>
        <w:spacing w:line="386" w:lineRule="auto"/>
        <w:ind w:left="154" w:right="211" w:firstLine="420"/>
        <w:jc w:val="both"/>
      </w:pPr>
      <w:r>
        <w:rPr>
          <w:rFonts w:ascii="Times New Roman" w:hAnsi="Times New Roman" w:cs="Times New Roman" w:eastAsia="Times New Roman" w:hint="default"/>
          <w:spacing w:val="-1"/>
        </w:rPr>
        <w:t>2012</w:t>
      </w:r>
      <w:r>
        <w:rPr>
          <w:spacing w:val="-1"/>
        </w:rPr>
        <w:t>年，是我们全力付出的一年，也是收获的一年：旋极信息的《航空数据总线故障注入系统的开发</w:t>
      </w:r>
      <w:r>
        <w:rPr/>
        <w:t> 与应用》项目，荣获北京市科学技术奖叁等奖；</w:t>
      </w:r>
      <w:r>
        <w:rPr>
          <w:rFonts w:ascii="Times New Roman" w:hAnsi="Times New Roman" w:cs="Times New Roman" w:eastAsia="Times New Roman" w:hint="default"/>
        </w:rPr>
        <w:t>“</w:t>
      </w:r>
      <w:r>
        <w:rPr/>
        <w:t>旋极科技</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2011</w:t>
      </w:r>
      <w:r>
        <w:rPr/>
        <w:t>年度北京市著名商标；同时本年度，</w:t>
      </w:r>
    </w:p>
    <w:p>
      <w:pPr>
        <w:spacing w:after="0" w:line="386" w:lineRule="auto"/>
        <w:jc w:val="both"/>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386" w:lineRule="auto" w:before="35"/>
        <w:ind w:left="154" w:right="101"/>
        <w:jc w:val="left"/>
      </w:pPr>
      <w:r>
        <w:rPr>
          <w:spacing w:val="-1"/>
        </w:rPr>
        <w:t>公司获得</w:t>
      </w:r>
      <w:r>
        <w:rPr>
          <w:rFonts w:ascii="Times New Roman" w:hAnsi="Times New Roman" w:cs="Times New Roman" w:eastAsia="Times New Roman" w:hint="default"/>
          <w:spacing w:val="-1"/>
        </w:rPr>
        <w:t>2012</w:t>
      </w:r>
      <w:r>
        <w:rPr>
          <w:spacing w:val="-1"/>
        </w:rPr>
        <w:t>年海淀区重点培育企业资金奖励、国家工信部物联网发展专项资金、海淀区金融办辅导期企</w:t>
      </w:r>
      <w:r>
        <w:rPr>
          <w:spacing w:val="-83"/>
        </w:rPr>
        <w:t> </w:t>
      </w:r>
      <w:r>
        <w:rPr>
          <w:spacing w:val="-83"/>
        </w:rPr>
      </w:r>
      <w:r>
        <w:rPr/>
        <w:t>业资金支持等多项政府补助。</w:t>
      </w:r>
    </w:p>
    <w:p>
      <w:pPr>
        <w:spacing w:line="240" w:lineRule="auto" w:before="12"/>
        <w:rPr>
          <w:rFonts w:ascii="宋体" w:hAnsi="宋体" w:cs="宋体" w:eastAsia="宋体" w:hint="default"/>
          <w:sz w:val="16"/>
          <w:szCs w:val="16"/>
        </w:rPr>
      </w:pPr>
    </w:p>
    <w:p>
      <w:pPr>
        <w:pStyle w:val="BodyText"/>
        <w:spacing w:line="408" w:lineRule="auto"/>
        <w:ind w:left="154" w:right="211" w:firstLine="420"/>
        <w:jc w:val="both"/>
      </w:pPr>
      <w:r>
        <w:rPr>
          <w:spacing w:val="-1"/>
        </w:rPr>
        <w:t>报告期内，国家工信部、商务部、财政部等部门相关领导对旋极进行了调研，并提出宝贵意见；作为</w:t>
      </w:r>
      <w:r>
        <w:rPr/>
        <w:t> </w:t>
      </w:r>
      <w:r>
        <w:rPr>
          <w:spacing w:val="-1"/>
        </w:rPr>
        <w:t>国内领先的嵌入式系统整体解决方案提供商亮相中国国际国防电子展、第四届（上海）航空峰会等，充分</w:t>
      </w:r>
      <w:r>
        <w:rPr>
          <w:spacing w:val="-82"/>
        </w:rPr>
        <w:t> </w:t>
      </w:r>
      <w:r>
        <w:rPr>
          <w:spacing w:val="-82"/>
        </w:rPr>
      </w:r>
      <w:r>
        <w:rPr/>
        <w:t>展示了公司在航电测试、光纤网络、航空总线、适航认证、智能终端等方面的优势。</w:t>
      </w:r>
    </w:p>
    <w:p>
      <w:pPr>
        <w:pStyle w:val="Heading3"/>
        <w:spacing w:line="240" w:lineRule="auto" w:before="179"/>
        <w:ind w:right="101"/>
        <w:jc w:val="left"/>
      </w:pPr>
      <w:r>
        <w:rPr>
          <w:rFonts w:ascii="Cambria" w:hAnsi="Cambria" w:cs="Cambria" w:eastAsia="Cambria" w:hint="default"/>
        </w:rPr>
        <w:t>3</w:t>
      </w:r>
      <w:r>
        <w:rPr>
          <w:rFonts w:ascii="宋体" w:hAnsi="宋体" w:cs="宋体" w:eastAsia="宋体" w:hint="default"/>
        </w:rPr>
        <w:t>、</w:t>
      </w:r>
      <w:r>
        <w:rPr/>
        <w:t>全面实行绩效考核，优化公司人员结构</w:t>
      </w:r>
    </w:p>
    <w:p>
      <w:pPr>
        <w:spacing w:line="240" w:lineRule="auto" w:before="12"/>
        <w:rPr>
          <w:rFonts w:ascii="黑体" w:hAnsi="黑体" w:cs="黑体" w:eastAsia="黑体" w:hint="default"/>
          <w:sz w:val="23"/>
          <w:szCs w:val="23"/>
        </w:rPr>
      </w:pPr>
    </w:p>
    <w:p>
      <w:pPr>
        <w:pStyle w:val="BodyText"/>
        <w:spacing w:line="386" w:lineRule="auto"/>
        <w:ind w:left="154" w:right="101" w:firstLine="420"/>
        <w:jc w:val="left"/>
      </w:pPr>
      <w:r>
        <w:rPr>
          <w:rFonts w:ascii="Times New Roman" w:hAnsi="Times New Roman" w:cs="Times New Roman" w:eastAsia="Times New Roman" w:hint="default"/>
          <w:spacing w:val="-3"/>
        </w:rPr>
        <w:t>2012</w:t>
      </w:r>
      <w:r>
        <w:rPr>
          <w:spacing w:val="-3"/>
        </w:rPr>
        <w:t>年，对公司中层骨干以上员工进行跟踪管理，重点培养（技术，管理），将梯队建设工作透明化；</w:t>
      </w:r>
      <w:r>
        <w:rPr/>
        <w:t> 加强公司企业文化建设，组织各项有益身心、增强凝聚力的活动，有力的调动了员工的积极性。</w:t>
      </w:r>
    </w:p>
    <w:p>
      <w:pPr>
        <w:spacing w:line="240" w:lineRule="auto" w:before="12"/>
        <w:rPr>
          <w:rFonts w:ascii="宋体" w:hAnsi="宋体" w:cs="宋体" w:eastAsia="宋体" w:hint="default"/>
          <w:sz w:val="16"/>
          <w:szCs w:val="16"/>
        </w:rPr>
      </w:pPr>
    </w:p>
    <w:p>
      <w:pPr>
        <w:pStyle w:val="BodyText"/>
        <w:spacing w:line="408" w:lineRule="auto"/>
        <w:ind w:left="153" w:right="101" w:firstLine="420"/>
        <w:jc w:val="left"/>
      </w:pPr>
      <w:r>
        <w:rPr>
          <w:spacing w:val="-1"/>
        </w:rPr>
        <w:t>同时，全面推行绩效考核制度，绩效考核结果直接与员工薪资、晋升挂钩，奖罚分明，调动员工工作</w:t>
      </w:r>
      <w:r>
        <w:rPr/>
        <w:t> 热情。</w:t>
      </w:r>
    </w:p>
    <w:p>
      <w:pPr>
        <w:spacing w:line="240" w:lineRule="auto" w:before="6"/>
        <w:rPr>
          <w:rFonts w:ascii="宋体" w:hAnsi="宋体" w:cs="宋体" w:eastAsia="宋体" w:hint="default"/>
          <w:sz w:val="15"/>
          <w:szCs w:val="15"/>
        </w:rPr>
      </w:pPr>
    </w:p>
    <w:p>
      <w:pPr>
        <w:pStyle w:val="BodyText"/>
        <w:spacing w:line="408" w:lineRule="auto"/>
        <w:ind w:left="153" w:right="96" w:firstLine="420"/>
        <w:jc w:val="left"/>
      </w:pPr>
      <w:r>
        <w:rPr>
          <w:spacing w:val="-3"/>
        </w:rPr>
        <w:t>制定适合公司发展的人才策略，适时引进有利公司发展的中高级人才、技术人才，强化干部队伍培训，</w:t>
      </w:r>
      <w:r>
        <w:rPr/>
        <w:t> 并结合绩效考核机制，优胜劣汰，进一步优化公司人员结构。</w:t>
      </w:r>
    </w:p>
    <w:p>
      <w:pPr>
        <w:pStyle w:val="Heading3"/>
        <w:spacing w:line="240" w:lineRule="auto" w:before="179"/>
        <w:ind w:right="101"/>
        <w:jc w:val="left"/>
      </w:pPr>
      <w:r>
        <w:rPr>
          <w:rFonts w:ascii="Cambria" w:hAnsi="Cambria" w:cs="Cambria" w:eastAsia="Cambria" w:hint="default"/>
        </w:rPr>
        <w:t>4</w:t>
      </w:r>
      <w:r>
        <w:rPr>
          <w:rFonts w:ascii="宋体" w:hAnsi="宋体" w:cs="宋体" w:eastAsia="宋体" w:hint="default"/>
        </w:rPr>
        <w:t>、</w:t>
      </w:r>
      <w:r>
        <w:rPr>
          <w:rFonts w:ascii="Cambria" w:hAnsi="Cambria" w:cs="Cambria" w:eastAsia="Cambria" w:hint="default"/>
        </w:rPr>
        <w:t>OA</w:t>
      </w:r>
      <w:r>
        <w:rPr>
          <w:rFonts w:ascii="Cambria" w:hAnsi="Cambria" w:cs="Cambria" w:eastAsia="Cambria" w:hint="default"/>
          <w:spacing w:val="-1"/>
        </w:rPr>
        <w:t> </w:t>
      </w:r>
      <w:r>
        <w:rPr/>
        <w:t>系统上线，办公自动化程度有效提升</w:t>
      </w:r>
    </w:p>
    <w:p>
      <w:pPr>
        <w:spacing w:line="240" w:lineRule="auto" w:before="12"/>
        <w:rPr>
          <w:rFonts w:ascii="黑体" w:hAnsi="黑体" w:cs="黑体" w:eastAsia="黑体" w:hint="default"/>
          <w:sz w:val="23"/>
          <w:szCs w:val="23"/>
        </w:rPr>
      </w:pPr>
    </w:p>
    <w:p>
      <w:pPr>
        <w:pStyle w:val="BodyText"/>
        <w:spacing w:line="386" w:lineRule="auto"/>
        <w:ind w:left="154" w:right="101" w:firstLine="420"/>
        <w:jc w:val="left"/>
      </w:pPr>
      <w:r>
        <w:rPr/>
        <w:t>在信息化建设方面，协同办公自动化平台（</w:t>
      </w:r>
      <w:r>
        <w:rPr>
          <w:rFonts w:ascii="Times New Roman" w:hAnsi="Times New Roman" w:cs="Times New Roman" w:eastAsia="Times New Roman" w:hint="default"/>
        </w:rPr>
        <w:t>OA</w:t>
      </w:r>
      <w:r>
        <w:rPr/>
        <w:t>）系统成功上线并良好运行，进一步提高了公司办公 自动化水平，提升了办公效率。</w:t>
      </w:r>
    </w:p>
    <w:p>
      <w:pPr>
        <w:spacing w:line="240" w:lineRule="auto" w:before="2"/>
        <w:rPr>
          <w:rFonts w:ascii="宋体" w:hAnsi="宋体" w:cs="宋体" w:eastAsia="宋体" w:hint="default"/>
          <w:sz w:val="15"/>
          <w:szCs w:val="15"/>
        </w:rPr>
      </w:pPr>
    </w:p>
    <w:p>
      <w:pPr>
        <w:pStyle w:val="Heading3"/>
        <w:spacing w:line="240" w:lineRule="auto"/>
        <w:ind w:right="101"/>
        <w:jc w:val="left"/>
      </w:pPr>
      <w:r>
        <w:rPr>
          <w:rFonts w:ascii="Cambria" w:hAnsi="Cambria" w:cs="Cambria" w:eastAsia="Cambria" w:hint="default"/>
        </w:rPr>
        <w:t>5</w:t>
      </w:r>
      <w:r>
        <w:rPr>
          <w:rFonts w:ascii="宋体" w:hAnsi="宋体" w:cs="宋体" w:eastAsia="宋体" w:hint="default"/>
        </w:rPr>
        <w:t>、</w:t>
      </w:r>
      <w:r>
        <w:rPr>
          <w:rFonts w:ascii="Cambria" w:hAnsi="Cambria" w:cs="Cambria" w:eastAsia="Cambria" w:hint="default"/>
        </w:rPr>
        <w:t>RDM </w:t>
      </w:r>
      <w:r>
        <w:rPr/>
        <w:t>和</w:t>
      </w:r>
      <w:r>
        <w:rPr>
          <w:spacing w:val="-42"/>
        </w:rPr>
        <w:t> </w:t>
      </w:r>
      <w:r>
        <w:rPr>
          <w:rFonts w:ascii="Cambria" w:hAnsi="Cambria" w:cs="Cambria" w:eastAsia="Cambria" w:hint="default"/>
        </w:rPr>
        <w:t>IPD</w:t>
      </w:r>
      <w:r>
        <w:rPr/>
        <w:t>（集成产品开发）上线，研发效率提高</w:t>
      </w:r>
    </w:p>
    <w:p>
      <w:pPr>
        <w:spacing w:line="240" w:lineRule="auto" w:before="12"/>
        <w:rPr>
          <w:rFonts w:ascii="黑体" w:hAnsi="黑体" w:cs="黑体" w:eastAsia="黑体" w:hint="default"/>
          <w:sz w:val="23"/>
          <w:szCs w:val="23"/>
        </w:rPr>
      </w:pPr>
    </w:p>
    <w:p>
      <w:pPr>
        <w:pStyle w:val="BodyText"/>
        <w:spacing w:line="240" w:lineRule="auto"/>
        <w:ind w:right="101"/>
        <w:jc w:val="left"/>
        <w:rPr>
          <w:rFonts w:ascii="Times New Roman" w:hAnsi="Times New Roman" w:cs="Times New Roman" w:eastAsia="Times New Roman" w:hint="default"/>
        </w:rPr>
      </w:pPr>
      <w:r>
        <w:rPr>
          <w:spacing w:val="-5"/>
        </w:rPr>
        <w:t>在研发管理方面，为进一步整合公司研发、生产、质量管理等资源，</w:t>
      </w:r>
      <w:r>
        <w:rPr>
          <w:rFonts w:ascii="Times New Roman" w:hAnsi="Times New Roman" w:cs="Times New Roman" w:eastAsia="Times New Roman" w:hint="default"/>
          <w:spacing w:val="-5"/>
        </w:rPr>
        <w:t>2012</w:t>
      </w:r>
      <w:r>
        <w:rPr>
          <w:spacing w:val="-5"/>
        </w:rPr>
        <w:t>年上半年公司引入</w:t>
      </w:r>
      <w:r>
        <w:rPr>
          <w:rFonts w:ascii="Times New Roman" w:hAnsi="Times New Roman" w:cs="Times New Roman" w:eastAsia="Times New Roman" w:hint="default"/>
          <w:spacing w:val="-5"/>
        </w:rPr>
        <w:t>RDM</w:t>
      </w:r>
      <w:r>
        <w:rPr>
          <w:spacing w:val="-5"/>
        </w:rPr>
        <w:t>和</w:t>
      </w:r>
      <w:r>
        <w:rPr>
          <w:rFonts w:ascii="Times New Roman" w:hAnsi="Times New Roman" w:cs="Times New Roman" w:eastAsia="Times New Roman" w:hint="default"/>
          <w:spacing w:val="-5"/>
        </w:rPr>
        <w:t>IPD</w:t>
      </w:r>
      <w:r>
        <w:rPr>
          <w:rFonts w:ascii="Times New Roman" w:hAnsi="Times New Roman" w:cs="Times New Roman" w:eastAsia="Times New Roman" w:hint="default"/>
        </w:rPr>
      </w:r>
    </w:p>
    <w:p>
      <w:pPr>
        <w:pStyle w:val="BodyText"/>
        <w:spacing w:line="408" w:lineRule="auto" w:before="177"/>
        <w:ind w:left="154" w:right="101"/>
        <w:jc w:val="left"/>
      </w:pPr>
      <w:r>
        <w:rPr>
          <w:spacing w:val="-1"/>
        </w:rPr>
        <w:t>（集成产品开发）管理，整合现有产品线，确定各产品开发流程，进一步优化公司资源，提高研发效率和</w:t>
      </w:r>
      <w:r>
        <w:rPr>
          <w:spacing w:val="-83"/>
        </w:rPr>
        <w:t> </w:t>
      </w:r>
      <w:r>
        <w:rPr>
          <w:spacing w:val="-83"/>
        </w:rPr>
      </w:r>
      <w:r>
        <w:rPr/>
        <w:t>可持续发展能力。</w:t>
      </w:r>
    </w:p>
    <w:p>
      <w:pPr>
        <w:spacing w:line="240" w:lineRule="auto" w:before="1"/>
        <w:rPr>
          <w:rFonts w:ascii="宋体" w:hAnsi="宋体" w:cs="宋体" w:eastAsia="宋体" w:hint="default"/>
          <w:sz w:val="17"/>
          <w:szCs w:val="17"/>
        </w:rPr>
      </w:pPr>
    </w:p>
    <w:p>
      <w:pPr>
        <w:pStyle w:val="Heading2"/>
        <w:spacing w:line="240" w:lineRule="auto"/>
        <w:ind w:right="101"/>
        <w:jc w:val="left"/>
      </w:pPr>
      <w:r>
        <w:rPr/>
        <w:t>二、报告期内主要经营情况</w:t>
      </w:r>
    </w:p>
    <w:p>
      <w:pPr>
        <w:spacing w:line="240" w:lineRule="auto" w:before="3"/>
        <w:rPr>
          <w:rFonts w:ascii="黑体" w:hAnsi="黑体" w:cs="黑体" w:eastAsia="黑体" w:hint="default"/>
          <w:sz w:val="28"/>
          <w:szCs w:val="28"/>
        </w:rPr>
      </w:pPr>
    </w:p>
    <w:p>
      <w:pPr>
        <w:pStyle w:val="Heading3"/>
        <w:spacing w:line="240" w:lineRule="auto"/>
        <w:ind w:right="101"/>
        <w:jc w:val="left"/>
      </w:pPr>
      <w:r>
        <w:rPr>
          <w:rFonts w:ascii="Cambria" w:hAnsi="Cambria" w:cs="Cambria" w:eastAsia="Cambria" w:hint="default"/>
        </w:rPr>
        <w:t>1</w:t>
      </w:r>
      <w:r>
        <w:rPr/>
        <w:t>、主营业务分析</w:t>
      </w:r>
    </w:p>
    <w:p>
      <w:pPr>
        <w:spacing w:line="240" w:lineRule="auto" w:before="1"/>
        <w:rPr>
          <w:rFonts w:ascii="黑体" w:hAnsi="黑体" w:cs="黑体" w:eastAsia="黑体" w:hint="default"/>
          <w:sz w:val="18"/>
          <w:szCs w:val="18"/>
        </w:rPr>
      </w:pPr>
    </w:p>
    <w:p>
      <w:pPr>
        <w:pStyle w:val="Heading5"/>
        <w:spacing w:line="240" w:lineRule="auto"/>
        <w:ind w:right="101"/>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7"/>
        <w:rPr>
          <w:rFonts w:ascii="宋体" w:hAnsi="宋体" w:cs="宋体" w:eastAsia="宋体" w:hint="default"/>
          <w:b/>
          <w:bCs/>
          <w:sz w:val="19"/>
          <w:szCs w:val="19"/>
        </w:rPr>
      </w:pPr>
    </w:p>
    <w:p>
      <w:pPr>
        <w:pStyle w:val="BodyText"/>
        <w:spacing w:line="544" w:lineRule="auto"/>
        <w:ind w:right="101"/>
        <w:jc w:val="left"/>
      </w:pPr>
      <w:r>
        <w:rPr/>
        <w:t>说明 </w:t>
      </w:r>
      <w:r>
        <w:rPr>
          <w:spacing w:val="-1"/>
        </w:rPr>
        <w:t>公司主营嵌入式系统的开发、生产、销售和技术服务业务，主要致力于提供面向国防军工的嵌入式系</w:t>
      </w:r>
    </w:p>
    <w:p>
      <w:pPr>
        <w:spacing w:after="0" w:line="544" w:lineRule="auto"/>
        <w:jc w:val="left"/>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386" w:lineRule="auto" w:before="35"/>
        <w:ind w:left="154" w:right="0"/>
        <w:jc w:val="left"/>
      </w:pPr>
      <w:r>
        <w:rPr>
          <w:spacing w:val="-1"/>
        </w:rPr>
        <w:t>统测试产品及技术服务、嵌入式信息安全产品和嵌入式行业智能移动终端产品。</w:t>
      </w:r>
      <w:r>
        <w:rPr>
          <w:rFonts w:ascii="Times New Roman" w:hAnsi="Times New Roman" w:cs="Times New Roman" w:eastAsia="Times New Roman" w:hint="default"/>
          <w:spacing w:val="-1"/>
        </w:rPr>
        <w:t>2012</w:t>
      </w:r>
      <w:r>
        <w:rPr>
          <w:spacing w:val="-1"/>
        </w:rPr>
        <w:t>年，公司在把握原有</w:t>
      </w:r>
      <w:r>
        <w:rPr>
          <w:spacing w:val="-85"/>
        </w:rPr>
        <w:t> </w:t>
      </w:r>
      <w:r>
        <w:rPr>
          <w:spacing w:val="-85"/>
        </w:rPr>
      </w:r>
      <w:r>
        <w:rPr/>
        <w:t>优势产品基础上，积极进行新产品拓展，并在</w:t>
      </w:r>
      <w:r>
        <w:rPr>
          <w:rFonts w:ascii="Times New Roman" w:hAnsi="Times New Roman" w:cs="Times New Roman" w:eastAsia="Times New Roman" w:hint="default"/>
        </w:rPr>
        <w:t>USBKEY</w:t>
      </w:r>
      <w:r>
        <w:rPr/>
        <w:t>更新换代基础上保持了经营业绩的平稳增长。</w:t>
      </w:r>
    </w:p>
    <w:p>
      <w:pPr>
        <w:pStyle w:val="BodyText"/>
        <w:spacing w:line="386" w:lineRule="auto" w:before="191"/>
        <w:ind w:left="154" w:right="199" w:firstLine="420"/>
        <w:jc w:val="both"/>
      </w:pPr>
      <w:r>
        <w:rPr/>
        <w:t>报告期内，公司实现营业总收入</w:t>
      </w:r>
      <w:r>
        <w:rPr>
          <w:rFonts w:ascii="Times New Roman" w:hAnsi="Times New Roman" w:cs="Times New Roman" w:eastAsia="Times New Roman" w:hint="default"/>
        </w:rPr>
        <w:t>28,179.69</w:t>
      </w:r>
      <w:r>
        <w:rPr/>
        <w:t>万元，同比减少</w:t>
      </w:r>
      <w:r>
        <w:rPr>
          <w:rFonts w:ascii="Times New Roman" w:hAnsi="Times New Roman" w:cs="Times New Roman" w:eastAsia="Times New Roman" w:hint="default"/>
        </w:rPr>
        <w:t>5.65%</w:t>
      </w:r>
      <w:r>
        <w:rPr/>
        <w:t>；其中：嵌入式系统测试产品及服务 </w:t>
      </w:r>
      <w:r>
        <w:rPr>
          <w:rFonts w:ascii="Times New Roman" w:hAnsi="Times New Roman" w:cs="Times New Roman" w:eastAsia="Times New Roman" w:hint="default"/>
          <w:spacing w:val="-1"/>
        </w:rPr>
        <w:t>18,003,62</w:t>
      </w:r>
      <w:r>
        <w:rPr>
          <w:spacing w:val="-1"/>
        </w:rPr>
        <w:t>万元，同比增加</w:t>
      </w:r>
      <w:r>
        <w:rPr>
          <w:rFonts w:ascii="Times New Roman" w:hAnsi="Times New Roman" w:cs="Times New Roman" w:eastAsia="Times New Roman" w:hint="default"/>
          <w:spacing w:val="-1"/>
        </w:rPr>
        <w:t>16.69%</w:t>
      </w:r>
      <w:r>
        <w:rPr>
          <w:spacing w:val="-1"/>
        </w:rPr>
        <w:t>，嵌入式信息安全产品</w:t>
      </w:r>
      <w:r>
        <w:rPr>
          <w:rFonts w:ascii="Times New Roman" w:hAnsi="Times New Roman" w:cs="Times New Roman" w:eastAsia="Times New Roman" w:hint="default"/>
          <w:spacing w:val="-1"/>
        </w:rPr>
        <w:t>8,755,61</w:t>
      </w:r>
      <w:r>
        <w:rPr>
          <w:spacing w:val="-1"/>
        </w:rPr>
        <w:t>万元，同比减少</w:t>
      </w:r>
      <w:r>
        <w:rPr>
          <w:rFonts w:ascii="Times New Roman" w:hAnsi="Times New Roman" w:cs="Times New Roman" w:eastAsia="Times New Roman" w:hint="default"/>
          <w:spacing w:val="-1"/>
        </w:rPr>
        <w:t>35.58%</w:t>
      </w:r>
      <w:r>
        <w:rPr>
          <w:spacing w:val="-1"/>
        </w:rPr>
        <w:t>，嵌入式行业智能</w:t>
      </w:r>
      <w:r>
        <w:rPr>
          <w:spacing w:val="-61"/>
        </w:rPr>
        <w:t> </w:t>
      </w:r>
      <w:r>
        <w:rPr/>
        <w:t>移动终端及技术服务</w:t>
      </w:r>
      <w:r>
        <w:rPr>
          <w:rFonts w:ascii="Times New Roman" w:hAnsi="Times New Roman" w:cs="Times New Roman" w:eastAsia="Times New Roman" w:hint="default"/>
        </w:rPr>
        <w:t>1,420.46</w:t>
      </w:r>
      <w:r>
        <w:rPr/>
        <w:t>万元，同比增加</w:t>
      </w:r>
      <w:r>
        <w:rPr>
          <w:rFonts w:ascii="Times New Roman" w:hAnsi="Times New Roman" w:cs="Times New Roman" w:eastAsia="Times New Roman" w:hint="default"/>
        </w:rPr>
        <w:t>67.69%</w:t>
      </w:r>
      <w:r>
        <w:rPr/>
        <w:t>。</w:t>
      </w:r>
    </w:p>
    <w:p>
      <w:pPr>
        <w:pStyle w:val="BodyText"/>
        <w:spacing w:line="240" w:lineRule="auto" w:before="191"/>
        <w:ind w:right="0"/>
        <w:jc w:val="left"/>
      </w:pPr>
      <w:r>
        <w:rPr/>
        <w:t>公司实物销售收入是否大于劳务收入</w:t>
      </w:r>
    </w:p>
    <w:p>
      <w:pPr>
        <w:spacing w:line="240" w:lineRule="auto" w:before="9"/>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8"/>
        <w:rPr>
          <w:rFonts w:ascii="宋体" w:hAnsi="宋体" w:cs="宋体" w:eastAsia="宋体" w:hint="default"/>
          <w:sz w:val="20"/>
          <w:szCs w:val="20"/>
        </w:rPr>
      </w:pPr>
    </w:p>
    <w:tbl>
      <w:tblPr>
        <w:tblW w:w="0" w:type="auto"/>
        <w:jc w:val="left"/>
        <w:tblInd w:w="149" w:type="dxa"/>
        <w:tblLayout w:type="fixed"/>
        <w:tblCellMar>
          <w:top w:w="0" w:type="dxa"/>
          <w:left w:w="0" w:type="dxa"/>
          <w:bottom w:w="0" w:type="dxa"/>
          <w:right w:w="0" w:type="dxa"/>
        </w:tblCellMar>
        <w:tblLook w:val="01E0"/>
      </w:tblPr>
      <w:tblGrid>
        <w:gridCol w:w="1930"/>
        <w:gridCol w:w="1886"/>
        <w:gridCol w:w="1925"/>
        <w:gridCol w:w="1914"/>
        <w:gridCol w:w="1914"/>
      </w:tblGrid>
      <w:tr>
        <w:trPr>
          <w:trHeight w:val="478" w:hRule="exact"/>
        </w:trPr>
        <w:tc>
          <w:tcPr>
            <w:tcW w:w="1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1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9" w:hRule="exact"/>
        </w:trPr>
        <w:tc>
          <w:tcPr>
            <w:tcW w:w="1930" w:type="dxa"/>
            <w:vMerge w:val="restart"/>
            <w:tcBorders>
              <w:top w:val="single" w:sz="4" w:space="0" w:color="000000"/>
              <w:left w:val="single" w:sz="4" w:space="0" w:color="000000"/>
              <w:right w:val="single" w:sz="13" w:space="0" w:color="D3D3D3"/>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嵌入式系统测试产品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（套）</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15.46%</w:t>
            </w:r>
          </w:p>
        </w:tc>
      </w:tr>
      <w:tr>
        <w:trPr>
          <w:trHeight w:val="478" w:hRule="exact"/>
        </w:trPr>
        <w:tc>
          <w:tcPr>
            <w:tcW w:w="1930" w:type="dxa"/>
            <w:vMerge/>
            <w:tcBorders>
              <w:left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38.76%</w:t>
            </w:r>
          </w:p>
        </w:tc>
      </w:tr>
      <w:tr>
        <w:trPr>
          <w:trHeight w:val="478" w:hRule="exact"/>
        </w:trPr>
        <w:tc>
          <w:tcPr>
            <w:tcW w:w="1930" w:type="dxa"/>
            <w:vMerge/>
            <w:tcBorders>
              <w:left w:val="single" w:sz="4" w:space="0" w:color="000000"/>
              <w:bottom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22.03%</w:t>
            </w:r>
          </w:p>
        </w:tc>
      </w:tr>
      <w:tr>
        <w:trPr>
          <w:trHeight w:val="479" w:hRule="exact"/>
        </w:trPr>
        <w:tc>
          <w:tcPr>
            <w:tcW w:w="1930"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产品（万只）</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-77.72%</w:t>
            </w:r>
          </w:p>
        </w:tc>
      </w:tr>
      <w:tr>
        <w:trPr>
          <w:trHeight w:val="478" w:hRule="exact"/>
        </w:trPr>
        <w:tc>
          <w:tcPr>
            <w:tcW w:w="1930" w:type="dxa"/>
            <w:vMerge/>
            <w:tcBorders>
              <w:left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-86.17%</w:t>
            </w:r>
          </w:p>
        </w:tc>
      </w:tr>
      <w:tr>
        <w:trPr>
          <w:trHeight w:val="478" w:hRule="exact"/>
        </w:trPr>
        <w:tc>
          <w:tcPr>
            <w:tcW w:w="1930" w:type="dxa"/>
            <w:vMerge/>
            <w:tcBorders>
              <w:left w:val="single" w:sz="4" w:space="0" w:color="000000"/>
              <w:bottom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-100%</w:t>
            </w:r>
          </w:p>
        </w:tc>
      </w:tr>
      <w:tr>
        <w:trPr>
          <w:trHeight w:val="479" w:hRule="exact"/>
        </w:trPr>
        <w:tc>
          <w:tcPr>
            <w:tcW w:w="1930"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税控盘产品（台）</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158,762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12,120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1,209.92%</w:t>
            </w:r>
          </w:p>
        </w:tc>
      </w:tr>
      <w:tr>
        <w:trPr>
          <w:trHeight w:val="478" w:hRule="exact"/>
        </w:trPr>
        <w:tc>
          <w:tcPr>
            <w:tcW w:w="1930" w:type="dxa"/>
            <w:vMerge/>
            <w:tcBorders>
              <w:left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33,715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453.64%</w:t>
            </w:r>
          </w:p>
        </w:tc>
      </w:tr>
      <w:tr>
        <w:trPr>
          <w:trHeight w:val="478" w:hRule="exact"/>
        </w:trPr>
        <w:tc>
          <w:tcPr>
            <w:tcW w:w="1930" w:type="dxa"/>
            <w:vMerge/>
            <w:tcBorders>
              <w:left w:val="single" w:sz="4" w:space="0" w:color="000000"/>
              <w:bottom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23,708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117.67%</w:t>
            </w:r>
          </w:p>
        </w:tc>
      </w:tr>
      <w:tr>
        <w:trPr>
          <w:trHeight w:val="479" w:hRule="exact"/>
        </w:trPr>
        <w:tc>
          <w:tcPr>
            <w:tcW w:w="1930" w:type="dxa"/>
            <w:vMerge w:val="restart"/>
            <w:tcBorders>
              <w:top w:val="single" w:sz="4" w:space="0" w:color="000000"/>
              <w:left w:val="single" w:sz="4" w:space="0" w:color="000000"/>
              <w:right w:val="single" w:sz="13" w:space="0" w:color="D3D3D3"/>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477" w:lineRule="auto"/>
              <w:ind w:left="591" w:right="55" w:hanging="540"/>
              <w:jc w:val="left"/>
              <w:rPr>
                <w:rFonts w:ascii="宋体" w:hAnsi="宋体" w:cs="宋体" w:eastAsia="宋体" w:hint="default"/>
                <w:sz w:val="18"/>
                <w:szCs w:val="18"/>
              </w:rPr>
            </w:pPr>
            <w:r>
              <w:rPr>
                <w:rFonts w:ascii="宋体" w:hAnsi="宋体" w:cs="宋体" w:eastAsia="宋体" w:hint="default"/>
                <w:sz w:val="18"/>
                <w:szCs w:val="18"/>
              </w:rPr>
              <w:t>嵌入式行业智能移动终 端（台）</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684.64%</w:t>
            </w:r>
          </w:p>
        </w:tc>
      </w:tr>
      <w:tr>
        <w:trPr>
          <w:trHeight w:val="478" w:hRule="exact"/>
        </w:trPr>
        <w:tc>
          <w:tcPr>
            <w:tcW w:w="1930" w:type="dxa"/>
            <w:vMerge/>
            <w:tcBorders>
              <w:left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868.15%</w:t>
            </w:r>
          </w:p>
        </w:tc>
      </w:tr>
      <w:tr>
        <w:trPr>
          <w:trHeight w:val="479" w:hRule="exact"/>
        </w:trPr>
        <w:tc>
          <w:tcPr>
            <w:tcW w:w="1930" w:type="dxa"/>
            <w:vMerge/>
            <w:tcBorders>
              <w:left w:val="single" w:sz="4" w:space="0" w:color="000000"/>
              <w:bottom w:val="single" w:sz="4" w:space="0" w:color="000000"/>
              <w:right w:val="single" w:sz="13"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29.5%</w:t>
            </w:r>
          </w:p>
        </w:tc>
      </w:tr>
    </w:tbl>
    <w:p>
      <w:pPr>
        <w:pStyle w:val="BodyText"/>
        <w:spacing w:line="240" w:lineRule="auto" w:before="63"/>
        <w:ind w:right="0"/>
        <w:jc w:val="left"/>
      </w:pPr>
      <w:r>
        <w:rPr/>
        <w:t>相关数据同比发生变动</w:t>
      </w:r>
      <w:r>
        <w:rPr>
          <w:spacing w:val="-56"/>
        </w:rPr>
        <w:t> </w:t>
      </w:r>
      <w:r>
        <w:rPr>
          <w:rFonts w:ascii="Times New Roman" w:hAnsi="Times New Roman" w:cs="Times New Roman" w:eastAsia="Times New Roman" w:hint="default"/>
        </w:rPr>
        <w:t>30%</w:t>
      </w:r>
      <w:r>
        <w:rPr/>
        <w:t>以上的原因说明</w:t>
      </w:r>
    </w:p>
    <w:p>
      <w:pPr>
        <w:pStyle w:val="BodyText"/>
        <w:spacing w:line="624" w:lineRule="exact" w:before="79"/>
        <w:ind w:left="658" w:right="0" w:hanging="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嵌入式系统测试产品生产量比上年增加，主要因嵌入式系统测试业务拓展，销售增加所致。 </w:t>
      </w:r>
      <w:r>
        <w:rPr>
          <w:rFonts w:ascii="Times New Roman" w:hAnsi="Times New Roman" w:cs="Times New Roman" w:eastAsia="Times New Roman" w:hint="default"/>
          <w:spacing w:val="6"/>
        </w:rPr>
        <w:t>USBKEY</w:t>
      </w:r>
      <w:r>
        <w:rPr>
          <w:spacing w:val="6"/>
        </w:rPr>
        <w:t>产品销售量、生产量均大幅下降，主要因公司</w:t>
      </w:r>
      <w:r>
        <w:rPr>
          <w:rFonts w:ascii="Times New Roman" w:hAnsi="Times New Roman" w:cs="Times New Roman" w:eastAsia="Times New Roman" w:hint="default"/>
          <w:spacing w:val="6"/>
        </w:rPr>
        <w:t>USBKEY</w:t>
      </w:r>
      <w:r>
        <w:rPr>
          <w:spacing w:val="6"/>
        </w:rPr>
        <w:t>产品处于行业更新换代期，一代</w:t>
      </w:r>
    </w:p>
    <w:p>
      <w:pPr>
        <w:pStyle w:val="BodyText"/>
        <w:spacing w:line="386" w:lineRule="auto" w:before="98"/>
        <w:ind w:left="154" w:right="0" w:hanging="1"/>
        <w:jc w:val="left"/>
      </w:pPr>
      <w:r>
        <w:rPr>
          <w:rFonts w:ascii="Times New Roman" w:hAnsi="Times New Roman" w:cs="Times New Roman" w:eastAsia="Times New Roman" w:hint="default"/>
          <w:spacing w:val="-1"/>
        </w:rPr>
        <w:t>USBKEY</w:t>
      </w:r>
      <w:r>
        <w:rPr>
          <w:spacing w:val="-1"/>
        </w:rPr>
        <w:t>产品销售收入大幅下降，公司参与的其他</w:t>
      </w:r>
      <w:r>
        <w:rPr>
          <w:rFonts w:ascii="Times New Roman" w:hAnsi="Times New Roman" w:cs="Times New Roman" w:eastAsia="Times New Roman" w:hint="default"/>
          <w:spacing w:val="-1"/>
        </w:rPr>
        <w:t>USBKEY</w:t>
      </w:r>
      <w:r>
        <w:rPr>
          <w:spacing w:val="-1"/>
        </w:rPr>
        <w:t>产品的招标尚未完成，公司其他</w:t>
      </w:r>
      <w:r>
        <w:rPr>
          <w:rFonts w:ascii="Times New Roman" w:hAnsi="Times New Roman" w:cs="Times New Roman" w:eastAsia="Times New Roman" w:hint="default"/>
          <w:spacing w:val="-1"/>
        </w:rPr>
        <w:t>USBKEY</w:t>
      </w:r>
      <w:r>
        <w:rPr>
          <w:spacing w:val="-1"/>
        </w:rPr>
        <w:t>产品</w:t>
      </w:r>
      <w:r>
        <w:rPr>
          <w:spacing w:val="-89"/>
        </w:rPr>
        <w:t> </w:t>
      </w:r>
      <w:r>
        <w:rPr/>
        <w:t>尚未形成规模销售所致。</w:t>
      </w:r>
    </w:p>
    <w:p>
      <w:pPr>
        <w:spacing w:after="0" w:line="386"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400" w:lineRule="auto" w:before="35"/>
        <w:ind w:left="313" w:right="309" w:firstLine="420"/>
        <w:jc w:val="both"/>
      </w:pPr>
      <w:r>
        <w:rPr>
          <w:spacing w:val="-1"/>
        </w:rPr>
        <w:t>税控盘产品销售量、生产量、库存量均大幅增加，主要因公司紧抓“营改增”带来的发展机遇，完成</w:t>
      </w:r>
      <w:r>
        <w:rPr/>
        <w:t> </w:t>
      </w:r>
      <w:r>
        <w:rPr>
          <w:spacing w:val="-1"/>
        </w:rPr>
        <w:t>新型税控盘的研发、生产。公司研制的新型税控盘产品已在上海、北京、天津、浙江、福建、宁波、厦门</w:t>
      </w:r>
      <w:r>
        <w:rPr>
          <w:spacing w:val="-86"/>
        </w:rPr>
        <w:t> </w:t>
      </w:r>
      <w:r>
        <w:rPr>
          <w:spacing w:val="-86"/>
        </w:rPr>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试点工程项目中得到成功应用。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试点范围及行业将进一步拓宽，公司将紧紧把</w:t>
      </w:r>
      <w:r>
        <w:rPr>
          <w:spacing w:val="-90"/>
        </w:rPr>
        <w:t> </w:t>
      </w:r>
      <w:r>
        <w:rPr>
          <w:spacing w:val="-90"/>
        </w:rPr>
      </w:r>
      <w:r>
        <w:rPr/>
        <w:t>握此次机遇，努力拓展新型税控盘市场，同时进一步对公司税控产业链进行延伸，进军税控服务市场。</w:t>
      </w:r>
    </w:p>
    <w:p>
      <w:pPr>
        <w:spacing w:line="240" w:lineRule="auto" w:before="12"/>
        <w:rPr>
          <w:rFonts w:ascii="宋体" w:hAnsi="宋体" w:cs="宋体" w:eastAsia="宋体" w:hint="default"/>
          <w:sz w:val="15"/>
          <w:szCs w:val="15"/>
        </w:rPr>
      </w:pPr>
    </w:p>
    <w:p>
      <w:pPr>
        <w:pStyle w:val="BodyText"/>
        <w:spacing w:line="408" w:lineRule="auto"/>
        <w:ind w:left="313" w:right="187" w:firstLine="504"/>
        <w:jc w:val="left"/>
      </w:pPr>
      <w:r>
        <w:rPr/>
        <w:t>嵌入式行业智能移动终端产品销售量、生产量增加，主要因公司在积极拓展原有终端市场的前提下， 紧紧把握各地智能停车收费市场和快消配送领域，进一步拓展了终端产品应用领域，公司智能停车收费管 理解决方案成功应用于杭州、上海、西安、北京等地区。</w:t>
      </w:r>
    </w:p>
    <w:p>
      <w:pPr>
        <w:spacing w:line="240" w:lineRule="auto" w:before="6"/>
        <w:rPr>
          <w:rFonts w:ascii="宋体" w:hAnsi="宋体" w:cs="宋体" w:eastAsia="宋体" w:hint="default"/>
          <w:sz w:val="15"/>
          <w:szCs w:val="15"/>
        </w:rPr>
      </w:pPr>
    </w:p>
    <w:p>
      <w:pPr>
        <w:pStyle w:val="BodyText"/>
        <w:spacing w:line="240" w:lineRule="auto"/>
        <w:ind w:left="733" w:right="187"/>
        <w:jc w:val="left"/>
      </w:pPr>
      <w:r>
        <w:rPr/>
        <w:t>公司重大的在手订单情况</w:t>
      </w:r>
    </w:p>
    <w:p>
      <w:pPr>
        <w:spacing w:line="240" w:lineRule="auto" w:before="9"/>
        <w:rPr>
          <w:rFonts w:ascii="宋体" w:hAnsi="宋体" w:cs="宋体" w:eastAsia="宋体" w:hint="default"/>
          <w:sz w:val="26"/>
          <w:szCs w:val="26"/>
        </w:rPr>
      </w:pPr>
    </w:p>
    <w:p>
      <w:pPr>
        <w:pStyle w:val="BodyText"/>
        <w:spacing w:line="516" w:lineRule="auto"/>
        <w:ind w:left="734" w:right="76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数量分散的订单情况</w:t>
      </w:r>
    </w:p>
    <w:p>
      <w:pPr>
        <w:pStyle w:val="BodyText"/>
        <w:spacing w:line="516" w:lineRule="auto" w:before="107"/>
        <w:ind w:left="734" w:right="44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公司报告期内产品或服务发生重大变化或调整有关情况</w:t>
      </w:r>
    </w:p>
    <w:p>
      <w:pPr>
        <w:pStyle w:val="BodyText"/>
        <w:spacing w:line="240" w:lineRule="auto" w:before="107"/>
        <w:ind w:left="734" w:right="1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19"/>
          <w:szCs w:val="19"/>
        </w:rPr>
      </w:pPr>
    </w:p>
    <w:p>
      <w:pPr>
        <w:pStyle w:val="Heading5"/>
        <w:spacing w:line="240" w:lineRule="auto"/>
        <w:ind w:left="314" w:right="187"/>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7"/>
        <w:rPr>
          <w:rFonts w:ascii="宋体" w:hAnsi="宋体" w:cs="宋体" w:eastAsia="宋体" w:hint="default"/>
          <w:b/>
          <w:bCs/>
          <w:sz w:val="19"/>
          <w:szCs w:val="19"/>
        </w:rPr>
      </w:pPr>
    </w:p>
    <w:p>
      <w:pPr>
        <w:pStyle w:val="BodyText"/>
        <w:spacing w:line="240" w:lineRule="auto"/>
        <w:ind w:left="0" w:right="309"/>
        <w:jc w:val="right"/>
      </w:pPr>
      <w:r>
        <w:rPr/>
        <w:t>单位：元</w:t>
      </w: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160"/>
        <w:gridCol w:w="1034"/>
        <w:gridCol w:w="1367"/>
        <w:gridCol w:w="1368"/>
        <w:gridCol w:w="1367"/>
        <w:gridCol w:w="1367"/>
        <w:gridCol w:w="1367"/>
      </w:tblGrid>
      <w:tr>
        <w:trPr>
          <w:trHeight w:val="478"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tc>
        <w:tc>
          <w:tcPr>
            <w:tcW w:w="10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947"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1034"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占营业成本比重</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占营业成本比重</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50,636,524.67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42,875,860.05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18.1%</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18,728,577.62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19,263,067.56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-2.77%</w:t>
            </w:r>
          </w:p>
        </w:tc>
      </w:tr>
      <w:tr>
        <w:trPr>
          <w:trHeight w:val="47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18,742,546.00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69,438,243.20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-73.01%</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6,932,174.55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23,146,081.07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-70.05%</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税控盘产品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26,461,655.82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6,259,549.18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322.74%</w:t>
            </w:r>
          </w:p>
        </w:tc>
      </w:tr>
      <w:tr>
        <w:trPr>
          <w:trHeight w:val="47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税控盘产品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1,991,737.54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619,076.29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221.73%</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嵌入式行业智能移动终端</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8,244,680.65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4,732,185.94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74.23%</w:t>
            </w:r>
          </w:p>
        </w:tc>
      </w:tr>
      <w:tr>
        <w:trPr>
          <w:trHeight w:val="47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嵌入式行业智能移动终端</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416,102.32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356,186.04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16.82%</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820" w:right="82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59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0" w:right="101" w:firstLine="0"/>
        <w:jc w:val="right"/>
        <w:rPr>
          <w:rFonts w:ascii="宋体" w:hAnsi="宋体" w:cs="宋体" w:eastAsia="宋体" w:hint="default"/>
          <w:sz w:val="18"/>
          <w:szCs w:val="18"/>
        </w:rPr>
      </w:pPr>
      <w:r>
        <w:rPr/>
        <w:pict>
          <v:shape style="position:absolute;margin-left:57.029995pt;margin-top:-121.267906pt;width:503.45pt;height:166.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7"/>
                    <w:gridCol w:w="1417"/>
                    <w:gridCol w:w="1560"/>
                    <w:gridCol w:w="1274"/>
                    <w:gridCol w:w="4396"/>
                  </w:tblGrid>
                  <w:tr>
                    <w:trPr>
                      <w:trHeight w:val="479" w:hRule="exact"/>
                    </w:trPr>
                    <w:tc>
                      <w:tcPr>
                        <w:tcW w:w="140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85"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22"/>
                          <w:jc w:val="right"/>
                          <w:rPr>
                            <w:rFonts w:ascii="宋体" w:hAnsi="宋体" w:cs="宋体" w:eastAsia="宋体" w:hint="default"/>
                            <w:sz w:val="18"/>
                            <w:szCs w:val="18"/>
                          </w:rPr>
                        </w:pPr>
                        <w:r>
                          <w:rPr>
                            <w:rFonts w:ascii="宋体" w:hAnsi="宋体" w:cs="宋体" w:eastAsia="宋体" w:hint="default"/>
                            <w:b/>
                            <w:bCs/>
                            <w:w w:val="95"/>
                            <w:sz w:val="18"/>
                            <w:szCs w:val="18"/>
                          </w:rPr>
                          <w:t>同比增减（</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478" w:hRule="exact"/>
                    </w:trPr>
                    <w:tc>
                      <w:tcPr>
                        <w:tcW w:w="1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27,015,174.26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21,890,102.23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23.41%</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center"/>
                          <w:rPr>
                            <w:rFonts w:ascii="宋体" w:hAnsi="宋体" w:cs="宋体" w:eastAsia="宋体" w:hint="default"/>
                            <w:sz w:val="18"/>
                            <w:szCs w:val="18"/>
                          </w:rPr>
                        </w:pPr>
                        <w:r>
                          <w:rPr>
                            <w:rFonts w:ascii="宋体" w:hAnsi="宋体" w:cs="宋体" w:eastAsia="宋体" w:hint="default"/>
                            <w:sz w:val="18"/>
                            <w:szCs w:val="18"/>
                          </w:rPr>
                          <w:t>公司合并范围内子公司增加、销售员工人数增加所致。</w:t>
                        </w:r>
                      </w:p>
                    </w:tc>
                  </w:tr>
                  <w:tr>
                    <w:trPr>
                      <w:trHeight w:val="239" w:hRule="exact"/>
                    </w:trPr>
                    <w:tc>
                      <w:tcPr>
                        <w:tcW w:w="1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2" w:right="0"/>
                          <w:jc w:val="left"/>
                          <w:rPr>
                            <w:rFonts w:ascii="Times New Roman" w:hAnsi="Times New Roman" w:cs="Times New Roman" w:eastAsia="Times New Roman" w:hint="default"/>
                            <w:sz w:val="18"/>
                            <w:szCs w:val="18"/>
                          </w:rPr>
                        </w:pPr>
                        <w:r>
                          <w:rPr>
                            <w:rFonts w:ascii="Times New Roman"/>
                            <w:sz w:val="18"/>
                          </w:rPr>
                          <w:t>27,258,765.32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91" w:right="0"/>
                          <w:jc w:val="left"/>
                          <w:rPr>
                            <w:rFonts w:ascii="Times New Roman" w:hAnsi="Times New Roman" w:cs="Times New Roman" w:eastAsia="Times New Roman" w:hint="default"/>
                            <w:sz w:val="18"/>
                            <w:szCs w:val="18"/>
                          </w:rPr>
                        </w:pPr>
                        <w:r>
                          <w:rPr>
                            <w:rFonts w:ascii="Times New Roman"/>
                            <w:sz w:val="18"/>
                          </w:rPr>
                          <w:t>19,470,591.87</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40%</w:t>
                        </w:r>
                      </w:p>
                    </w:tc>
                    <w:tc>
                      <w:tcPr>
                        <w:tcW w:w="4396" w:type="dxa"/>
                        <w:vMerge w:val="restart"/>
                        <w:tcBorders>
                          <w:top w:val="single" w:sz="4" w:space="0" w:color="000000"/>
                          <w:left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公司合并范围内子公司增加、研发和管理员工人数增加</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和报告期内公司上市费用增加所致。</w:t>
                        </w:r>
                      </w:p>
                    </w:tc>
                  </w:tr>
                  <w:tr>
                    <w:trPr>
                      <w:trHeight w:val="468" w:hRule="exact"/>
                    </w:trPr>
                    <w:tc>
                      <w:tcPr>
                        <w:tcW w:w="1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vMerge/>
                        <w:tcBorders>
                          <w:left w:val="single" w:sz="9" w:space="0" w:color="D3D3D3"/>
                          <w:right w:val="single" w:sz="4" w:space="0" w:color="000000"/>
                        </w:tcBorders>
                      </w:tcPr>
                      <w:p>
                        <w:pPr/>
                      </w:p>
                    </w:tc>
                    <w:tc>
                      <w:tcPr>
                        <w:tcW w:w="156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4396" w:type="dxa"/>
                        <w:vMerge/>
                        <w:tcBorders>
                          <w:left w:val="single" w:sz="4" w:space="0" w:color="000000"/>
                          <w:right w:val="single" w:sz="4" w:space="0" w:color="000000"/>
                        </w:tcBorders>
                      </w:tcPr>
                      <w:p>
                        <w:pPr/>
                      </w:p>
                    </w:tc>
                  </w:tr>
                  <w:tr>
                    <w:trPr>
                      <w:trHeight w:val="238" w:hRule="exact"/>
                    </w:trPr>
                    <w:tc>
                      <w:tcPr>
                        <w:tcW w:w="1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9" w:space="0" w:color="D3D3D3"/>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r>
                  <w:tr>
                    <w:trPr>
                      <w:trHeight w:val="240" w:hRule="exact"/>
                    </w:trPr>
                    <w:tc>
                      <w:tcPr>
                        <w:tcW w:w="1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2" w:right="0"/>
                          <w:jc w:val="left"/>
                          <w:rPr>
                            <w:rFonts w:ascii="Times New Roman" w:hAnsi="Times New Roman" w:cs="Times New Roman" w:eastAsia="Times New Roman" w:hint="default"/>
                            <w:sz w:val="18"/>
                            <w:szCs w:val="18"/>
                          </w:rPr>
                        </w:pPr>
                        <w:r>
                          <w:rPr>
                            <w:rFonts w:ascii="Times New Roman"/>
                            <w:sz w:val="18"/>
                          </w:rPr>
                          <w:t>-4,843,450.89</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1" w:right="0"/>
                          <w:jc w:val="left"/>
                          <w:rPr>
                            <w:rFonts w:ascii="Times New Roman" w:hAnsi="Times New Roman" w:cs="Times New Roman" w:eastAsia="Times New Roman" w:hint="default"/>
                            <w:sz w:val="18"/>
                            <w:szCs w:val="18"/>
                          </w:rPr>
                        </w:pPr>
                        <w:r>
                          <w:rPr>
                            <w:rFonts w:ascii="Times New Roman"/>
                            <w:sz w:val="18"/>
                          </w:rPr>
                          <w:t>1,202,632.83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7" w:right="0"/>
                          <w:jc w:val="left"/>
                          <w:rPr>
                            <w:rFonts w:ascii="Times New Roman" w:hAnsi="Times New Roman" w:cs="Times New Roman" w:eastAsia="Times New Roman" w:hint="default"/>
                            <w:sz w:val="18"/>
                            <w:szCs w:val="18"/>
                          </w:rPr>
                        </w:pPr>
                        <w:r>
                          <w:rPr>
                            <w:rFonts w:ascii="Times New Roman"/>
                            <w:sz w:val="18"/>
                          </w:rPr>
                          <w:t>-502.74%</w:t>
                        </w:r>
                      </w:p>
                    </w:tc>
                    <w:tc>
                      <w:tcPr>
                        <w:tcW w:w="4396" w:type="dxa"/>
                        <w:vMerge w:val="restart"/>
                        <w:tcBorders>
                          <w:top w:val="single" w:sz="4" w:space="0" w:color="000000"/>
                          <w:left w:val="single" w:sz="4" w:space="0" w:color="000000"/>
                          <w:right w:val="single" w:sz="4" w:space="0" w:color="000000"/>
                        </w:tcBorders>
                      </w:tcPr>
                      <w:p>
                        <w:pPr>
                          <w:pStyle w:val="TableParagraph"/>
                          <w:spacing w:line="451" w:lineRule="auto" w:before="89"/>
                          <w:ind w:left="22" w:right="23"/>
                          <w:jc w:val="left"/>
                          <w:rPr>
                            <w:rFonts w:ascii="宋体" w:hAnsi="宋体" w:cs="宋体" w:eastAsia="宋体" w:hint="default"/>
                            <w:sz w:val="18"/>
                            <w:szCs w:val="18"/>
                          </w:rPr>
                        </w:pPr>
                        <w:r>
                          <w:rPr>
                            <w:rFonts w:ascii="宋体" w:hAnsi="宋体" w:cs="宋体" w:eastAsia="宋体" w:hint="default"/>
                            <w:sz w:val="18"/>
                            <w:szCs w:val="18"/>
                          </w:rPr>
                          <w:t>公司财务费用比去年同期减少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502.74%</w:t>
                        </w:r>
                        <w:r>
                          <w:rPr>
                            <w:rFonts w:ascii="宋体" w:hAnsi="宋体" w:cs="宋体" w:eastAsia="宋体" w:hint="default"/>
                            <w:sz w:val="18"/>
                            <w:szCs w:val="18"/>
                          </w:rPr>
                          <w:t>，主要系银行贷 </w:t>
                        </w:r>
                        <w:r>
                          <w:rPr>
                            <w:rFonts w:ascii="宋体" w:hAnsi="宋体" w:cs="宋体" w:eastAsia="宋体" w:hint="default"/>
                            <w:spacing w:val="-3"/>
                            <w:sz w:val="18"/>
                            <w:szCs w:val="18"/>
                          </w:rPr>
                          <w:t>款减少利息支出减少、银行定期存款利息收入增加所致</w:t>
                        </w:r>
                      </w:p>
                    </w:tc>
                  </w:tr>
                  <w:tr>
                    <w:trPr>
                      <w:trHeight w:val="468" w:hRule="exact"/>
                    </w:trPr>
                    <w:tc>
                      <w:tcPr>
                        <w:tcW w:w="1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vMerge/>
                        <w:tcBorders>
                          <w:left w:val="single" w:sz="9" w:space="0" w:color="D3D3D3"/>
                          <w:right w:val="single" w:sz="4" w:space="0" w:color="000000"/>
                        </w:tcBorders>
                      </w:tcPr>
                      <w:p>
                        <w:pPr/>
                      </w:p>
                    </w:tc>
                    <w:tc>
                      <w:tcPr>
                        <w:tcW w:w="156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4396" w:type="dxa"/>
                        <w:vMerge/>
                        <w:tcBorders>
                          <w:left w:val="single" w:sz="4" w:space="0" w:color="000000"/>
                          <w:right w:val="single" w:sz="4" w:space="0" w:color="000000"/>
                        </w:tcBorders>
                      </w:tcPr>
                      <w:p>
                        <w:pPr/>
                      </w:p>
                    </w:tc>
                  </w:tr>
                  <w:tr>
                    <w:trPr>
                      <w:trHeight w:val="239" w:hRule="exact"/>
                    </w:trPr>
                    <w:tc>
                      <w:tcPr>
                        <w:tcW w:w="1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9" w:space="0" w:color="D3D3D3"/>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r>
                  <w:tr>
                    <w:trPr>
                      <w:trHeight w:val="478" w:hRule="exact"/>
                    </w:trPr>
                    <w:tc>
                      <w:tcPr>
                        <w:tcW w:w="1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1"/>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8,302,480.25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7,702,964.15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7.78%</w:t>
                        </w:r>
                      </w:p>
                    </w:tc>
                    <w:tc>
                      <w:tcPr>
                        <w:tcW w:w="439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591" w:firstLine="420"/>
        <w:jc w:val="both"/>
      </w:pPr>
      <w:r>
        <w:rPr>
          <w:spacing w:val="-1"/>
        </w:rPr>
        <w:t>我公司致力于为客户提供多层次、多种类的嵌入式系统和服务，包括向国防军工科研机构提供嵌入式</w:t>
      </w:r>
      <w:r>
        <w:rPr/>
        <w:t> 系统测试产品及技术服务，向行业客户提供金融安全及移动终端产品。</w:t>
      </w:r>
    </w:p>
    <w:p>
      <w:pPr>
        <w:spacing w:line="240" w:lineRule="auto" w:before="6"/>
        <w:rPr>
          <w:rFonts w:ascii="宋体" w:hAnsi="宋体" w:cs="宋体" w:eastAsia="宋体" w:hint="default"/>
          <w:sz w:val="15"/>
          <w:szCs w:val="15"/>
        </w:rPr>
      </w:pPr>
    </w:p>
    <w:p>
      <w:pPr>
        <w:pStyle w:val="BodyText"/>
        <w:spacing w:line="386" w:lineRule="auto"/>
        <w:ind w:left="154" w:right="591" w:firstLine="420"/>
        <w:jc w:val="both"/>
      </w:pPr>
      <w:r>
        <w:rPr>
          <w:rFonts w:ascii="Times New Roman" w:hAnsi="Times New Roman" w:cs="Times New Roman" w:eastAsia="Times New Roman" w:hint="default"/>
          <w:spacing w:val="-1"/>
        </w:rPr>
        <w:t>2012</w:t>
      </w:r>
      <w:r>
        <w:rPr>
          <w:spacing w:val="-1"/>
        </w:rPr>
        <w:t>年度，公司重点研发项目围绕航电总线测试系统（含故障注入）、新一代高速航电总线产品、基</w:t>
      </w:r>
      <w:r>
        <w:rPr/>
        <w:t> </w:t>
      </w:r>
      <w:r>
        <w:rPr>
          <w:spacing w:val="-1"/>
        </w:rPr>
        <w:t>于高速光纤的航电中继系统、复合</w:t>
      </w:r>
      <w:r>
        <w:rPr>
          <w:rFonts w:ascii="Times New Roman" w:hAnsi="Times New Roman" w:cs="Times New Roman" w:eastAsia="Times New Roman" w:hint="default"/>
          <w:spacing w:val="-1"/>
        </w:rPr>
        <w:t>KEY</w:t>
      </w:r>
      <w:r>
        <w:rPr>
          <w:spacing w:val="-1"/>
        </w:rPr>
        <w:t>等新一代银行信息安全产品、新型税控盘产品、智能移动终端及行</w:t>
      </w:r>
      <w:r>
        <w:rPr>
          <w:spacing w:val="-94"/>
        </w:rPr>
        <w:t> </w:t>
      </w:r>
      <w:r>
        <w:rPr>
          <w:spacing w:val="-94"/>
        </w:rPr>
      </w:r>
      <w:r>
        <w:rPr/>
        <w:t>业信息化平台研发等。项目进展情况如下：</w:t>
      </w:r>
    </w:p>
    <w:p>
      <w:pPr>
        <w:spacing w:line="240" w:lineRule="auto" w:before="1"/>
        <w:rPr>
          <w:rFonts w:ascii="宋体" w:hAnsi="宋体" w:cs="宋体" w:eastAsia="宋体" w:hint="default"/>
          <w:sz w:val="12"/>
          <w:szCs w:val="12"/>
        </w:rPr>
      </w:pPr>
    </w:p>
    <w:tbl>
      <w:tblPr>
        <w:tblW w:w="0" w:type="auto"/>
        <w:jc w:val="left"/>
        <w:tblInd w:w="1084" w:type="dxa"/>
        <w:tblLayout w:type="fixed"/>
        <w:tblCellMar>
          <w:top w:w="0" w:type="dxa"/>
          <w:left w:w="0" w:type="dxa"/>
          <w:bottom w:w="0" w:type="dxa"/>
          <w:right w:w="0" w:type="dxa"/>
        </w:tblCellMar>
        <w:tblLook w:val="01E0"/>
      </w:tblPr>
      <w:tblGrid>
        <w:gridCol w:w="959"/>
        <w:gridCol w:w="3118"/>
        <w:gridCol w:w="1986"/>
        <w:gridCol w:w="1700"/>
      </w:tblGrid>
      <w:tr>
        <w:trPr>
          <w:trHeight w:val="503" w:hRule="exact"/>
        </w:trPr>
        <w:tc>
          <w:tcPr>
            <w:tcW w:w="9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b/>
                <w:bCs/>
                <w:sz w:val="18"/>
                <w:szCs w:val="18"/>
              </w:rPr>
              <w:t>进展</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b/>
                <w:bCs/>
                <w:sz w:val="18"/>
                <w:szCs w:val="18"/>
              </w:rPr>
              <w:t>拟达到目标</w:t>
            </w:r>
            <w:r>
              <w:rPr>
                <w:rFonts w:ascii="宋体" w:hAnsi="宋体" w:cs="宋体" w:eastAsia="宋体" w:hint="default"/>
                <w:sz w:val="18"/>
                <w:szCs w:val="18"/>
              </w:rPr>
            </w:r>
          </w:p>
        </w:tc>
      </w:tr>
      <w:tr>
        <w:trPr>
          <w:trHeight w:val="504"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基于高速光纤通信的航电中继技术</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国际先进</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AFDX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测试系统及相关软件</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高速航电总线产品</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航电总线故障注入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国际先进</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5</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HR-8000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6</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复合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国际领先</w:t>
            </w:r>
          </w:p>
        </w:tc>
      </w:tr>
      <w:tr>
        <w:trPr>
          <w:trHeight w:val="504"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7</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指纹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03" w:hRule="exact"/>
        </w:trPr>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8</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新型税控盘产品</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国内领先</w:t>
            </w:r>
          </w:p>
        </w:tc>
      </w:tr>
    </w:tbl>
    <w:p>
      <w:pPr>
        <w:spacing w:line="240" w:lineRule="auto" w:before="1"/>
        <w:rPr>
          <w:rFonts w:ascii="宋体" w:hAnsi="宋体" w:cs="宋体" w:eastAsia="宋体" w:hint="default"/>
          <w:sz w:val="14"/>
          <w:szCs w:val="14"/>
        </w:rPr>
      </w:pPr>
    </w:p>
    <w:p>
      <w:pPr>
        <w:pStyle w:val="BodyText"/>
        <w:spacing w:line="408" w:lineRule="auto" w:before="35"/>
        <w:ind w:left="154" w:right="0" w:firstLine="420"/>
        <w:jc w:val="left"/>
      </w:pPr>
      <w:r>
        <w:rPr>
          <w:spacing w:val="-1"/>
        </w:rPr>
        <w:t>为了提高技术创能力、不断推出满足市场需求的新产品，公司十分重视研发工作，保证科研经费的投</w:t>
      </w:r>
      <w:r>
        <w:rPr/>
        <w:t> </w:t>
      </w:r>
      <w:r>
        <w:rPr>
          <w:spacing w:val="-2"/>
        </w:rPr>
        <w:t>入，研发投入金额逐年增加。</w:t>
      </w:r>
      <w:r>
        <w:rPr>
          <w:rFonts w:ascii="Times New Roman" w:hAnsi="Times New Roman" w:cs="Times New Roman" w:eastAsia="Times New Roman" w:hint="default"/>
          <w:spacing w:val="-2"/>
        </w:rPr>
        <w:t>2012</w:t>
      </w:r>
      <w:r>
        <w:rPr>
          <w:spacing w:val="-2"/>
        </w:rPr>
        <w:t>年公司研发支出</w:t>
      </w:r>
      <w:r>
        <w:rPr>
          <w:rFonts w:ascii="Times New Roman" w:hAnsi="Times New Roman" w:cs="Times New Roman" w:eastAsia="Times New Roman" w:hint="default"/>
          <w:spacing w:val="-2"/>
        </w:rPr>
        <w:t>3542.93</w:t>
      </w:r>
      <w:r>
        <w:rPr>
          <w:spacing w:val="-2"/>
        </w:rPr>
        <w:t>万元，占营业收入的比例为</w:t>
      </w:r>
      <w:r>
        <w:rPr>
          <w:rFonts w:ascii="Times New Roman" w:hAnsi="Times New Roman" w:cs="Times New Roman" w:eastAsia="Times New Roman" w:hint="default"/>
          <w:spacing w:val="-2"/>
        </w:rPr>
        <w:t>12.57%</w:t>
      </w:r>
      <w:r>
        <w:rPr>
          <w:spacing w:val="-2"/>
        </w:rPr>
        <w:t>，公司研发投</w:t>
      </w:r>
    </w:p>
    <w:p>
      <w:pPr>
        <w:spacing w:after="0" w:line="408" w:lineRule="auto"/>
        <w:jc w:val="left"/>
        <w:sectPr>
          <w:pgSz w:w="11910" w:h="16840"/>
          <w:pgMar w:header="997" w:footer="1252" w:top="1340" w:bottom="1440" w:left="980" w:right="540"/>
        </w:sectPr>
      </w:pPr>
    </w:p>
    <w:p>
      <w:pPr>
        <w:spacing w:line="240" w:lineRule="auto" w:before="4"/>
        <w:rPr>
          <w:rFonts w:ascii="宋体" w:hAnsi="宋体" w:cs="宋体" w:eastAsia="宋体" w:hint="default"/>
          <w:sz w:val="11"/>
          <w:szCs w:val="11"/>
        </w:rPr>
      </w:pPr>
    </w:p>
    <w:p>
      <w:pPr>
        <w:pStyle w:val="BodyText"/>
        <w:spacing w:line="240" w:lineRule="auto" w:before="35"/>
        <w:ind w:left="154" w:right="101"/>
        <w:jc w:val="left"/>
      </w:pPr>
      <w:r>
        <w:rPr/>
        <w:t>入逐年提高。</w:t>
      </w:r>
    </w:p>
    <w:p>
      <w:pPr>
        <w:spacing w:line="240" w:lineRule="auto" w:before="9"/>
        <w:rPr>
          <w:rFonts w:ascii="宋体" w:hAnsi="宋体" w:cs="宋体" w:eastAsia="宋体" w:hint="default"/>
          <w:sz w:val="26"/>
          <w:szCs w:val="26"/>
        </w:rPr>
      </w:pPr>
    </w:p>
    <w:p>
      <w:pPr>
        <w:pStyle w:val="BodyText"/>
        <w:spacing w:line="240" w:lineRule="auto"/>
        <w:ind w:right="101"/>
        <w:jc w:val="left"/>
      </w:pPr>
      <w:r>
        <w:rPr/>
        <w:t>近三年公司研发投入金额及占营业收入的比例</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79"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35,429,261.92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25,461,800.00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16,231,900.00</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tabs>
                <w:tab w:pos="1805" w:val="left" w:leader="none"/>
              </w:tabs>
              <w:spacing w:line="240" w:lineRule="auto" w:before="88"/>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8.87%</w:t>
            </w:r>
          </w:p>
        </w:tc>
      </w:tr>
    </w:tbl>
    <w:p>
      <w:pPr>
        <w:spacing w:line="240" w:lineRule="auto" w:before="2"/>
        <w:rPr>
          <w:rFonts w:ascii="宋体" w:hAnsi="宋体" w:cs="宋体" w:eastAsia="宋体" w:hint="default"/>
          <w:sz w:val="19"/>
          <w:szCs w:val="19"/>
        </w:rPr>
      </w:pPr>
    </w:p>
    <w:p>
      <w:pPr>
        <w:pStyle w:val="Heading5"/>
        <w:spacing w:line="240" w:lineRule="auto" w:before="35"/>
        <w:ind w:right="101"/>
        <w:jc w:val="left"/>
        <w:rPr>
          <w:b w:val="0"/>
          <w:bCs w:val="0"/>
        </w:rPr>
      </w:pPr>
      <w:r>
        <w:rPr/>
        <w:pict>
          <v:group style="position:absolute;margin-left:176.580002pt;margin-top:-37.016056pt;width:117.9pt;height:24.55pt;mso-position-horizontal-relative:page;mso-position-vertical-relative:paragraph;z-index:-728992" coordorigin="3532,-740" coordsize="2358,491">
            <v:group style="position:absolute;left:3543;top:-729;width:2;height:468" coordorigin="3543,-729" coordsize="2,468">
              <v:shape style="position:absolute;left:3543;top:-729;width:2;height:468" coordorigin="3543,-729" coordsize="0,468" path="m3543,-729l3543,-261e" filled="false" stroked="true" strokeweight="1.140pt" strokecolor="#ffffff">
                <v:path arrowok="t"/>
              </v:shape>
            </v:group>
            <v:group style="position:absolute;left:3554;top:-729;width:2336;height:468" coordorigin="3554,-729" coordsize="2336,468">
              <v:shape style="position:absolute;left:3554;top:-729;width:2336;height:468" coordorigin="3554,-729" coordsize="2336,468" path="m3554,-261l5890,-261,5890,-729,3554,-729,3554,-261xe" filled="true" fillcolor="#ffffff" stroked="false">
                <v:path arrowok="t"/>
                <v:fill type="solid"/>
              </v:shape>
            </v:group>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35"/>
        <w:ind w:left="0" w:right="210"/>
        <w:jc w:val="right"/>
      </w:pPr>
      <w:r>
        <w:rPr/>
        <w:t>单位：元</w:t>
      </w:r>
    </w:p>
    <w:p>
      <w:pPr>
        <w:spacing w:line="240" w:lineRule="auto" w:before="11"/>
        <w:rPr>
          <w:rFonts w:ascii="宋体" w:hAnsi="宋体" w:cs="宋体" w:eastAsia="宋体" w:hint="default"/>
          <w:sz w:val="21"/>
          <w:szCs w:val="21"/>
        </w:rPr>
      </w:pPr>
    </w:p>
    <w:tbl>
      <w:tblPr>
        <w:tblW w:w="0" w:type="auto"/>
        <w:jc w:val="left"/>
        <w:tblInd w:w="302" w:type="dxa"/>
        <w:tblLayout w:type="fixed"/>
        <w:tblCellMar>
          <w:top w:w="0" w:type="dxa"/>
          <w:left w:w="0" w:type="dxa"/>
          <w:bottom w:w="0" w:type="dxa"/>
          <w:right w:w="0" w:type="dxa"/>
        </w:tblCellMar>
        <w:tblLook w:val="01E0"/>
      </w:tblPr>
      <w:tblGrid>
        <w:gridCol w:w="2653"/>
        <w:gridCol w:w="2404"/>
        <w:gridCol w:w="2392"/>
        <w:gridCol w:w="1896"/>
      </w:tblGrid>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0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292,260,402.39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321,227,450.35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-9.02%</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285,350,939.00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271,714,601.14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5.02%</w:t>
            </w:r>
          </w:p>
        </w:tc>
      </w:tr>
      <w:tr>
        <w:trPr>
          <w:trHeight w:val="479"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6,909,463.39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49,512,849.21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-86.05%</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412,560.40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10,126,742.66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-95.53%</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8,856,881.13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17,843,128.75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-50.36%</w:t>
            </w:r>
          </w:p>
        </w:tc>
      </w:tr>
      <w:tr>
        <w:trPr>
          <w:trHeight w:val="479"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-8,444,320.73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-7,716,386.09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-9.43%</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351,480,172.98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44,500,000.00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689.84%</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46,277,667.77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18,273,913.68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153.24%</w:t>
            </w:r>
          </w:p>
        </w:tc>
      </w:tr>
      <w:tr>
        <w:trPr>
          <w:trHeight w:val="479"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305,202,505.21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26,226,086.32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1,063.74%</w:t>
            </w:r>
          </w:p>
        </w:tc>
      </w:tr>
      <w:tr>
        <w:trPr>
          <w:trHeight w:val="478" w:hRule="exact"/>
        </w:trPr>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303,669,782.67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67,969,365.15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346.77%</w:t>
            </w:r>
          </w:p>
        </w:tc>
      </w:tr>
    </w:tbl>
    <w:p>
      <w:pPr>
        <w:spacing w:line="240" w:lineRule="auto" w:before="1"/>
        <w:rPr>
          <w:rFonts w:ascii="宋体" w:hAnsi="宋体" w:cs="宋体" w:eastAsia="宋体" w:hint="default"/>
          <w:sz w:val="14"/>
          <w:szCs w:val="14"/>
        </w:rPr>
      </w:pPr>
    </w:p>
    <w:p>
      <w:pPr>
        <w:pStyle w:val="BodyText"/>
        <w:spacing w:line="240" w:lineRule="auto" w:before="35"/>
        <w:ind w:right="101"/>
        <w:jc w:val="left"/>
      </w:pPr>
      <w:r>
        <w:rPr/>
        <w:t>相关数据同比发生变动</w:t>
      </w:r>
      <w:r>
        <w:rPr>
          <w:spacing w:val="-56"/>
        </w:rPr>
        <w:t> </w:t>
      </w:r>
      <w:r>
        <w:rPr>
          <w:rFonts w:ascii="Times New Roman" w:hAnsi="Times New Roman" w:cs="Times New Roman" w:eastAsia="Times New Roman" w:hint="default"/>
        </w:rPr>
        <w:t>30%</w:t>
      </w:r>
      <w:r>
        <w:rPr/>
        <w:t>以上的原因说明</w:t>
      </w:r>
    </w:p>
    <w:p>
      <w:pPr>
        <w:pStyle w:val="BodyText"/>
        <w:spacing w:line="610" w:lineRule="atLeast" w:before="14"/>
        <w:ind w:right="101"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4"/>
        </w:rPr>
        <w:t>报告期内，公司经营活动产生的现金流量净额为6,909,463.39元，比上年同期下降86.05%，主要原因：</w:t>
      </w:r>
      <w:r>
        <w:rPr/>
      </w:r>
    </w:p>
    <w:p>
      <w:pPr>
        <w:spacing w:line="240" w:lineRule="auto" w:before="10"/>
        <w:rPr>
          <w:rFonts w:ascii="宋体" w:hAnsi="宋体" w:cs="宋体" w:eastAsia="宋体" w:hint="default"/>
          <w:sz w:val="14"/>
          <w:szCs w:val="14"/>
        </w:rPr>
      </w:pPr>
    </w:p>
    <w:p>
      <w:pPr>
        <w:pStyle w:val="BodyText"/>
        <w:spacing w:line="408" w:lineRule="auto"/>
        <w:ind w:left="154" w:right="101"/>
        <w:jc w:val="left"/>
      </w:pPr>
      <w:r>
        <w:rPr>
          <w:spacing w:val="-5"/>
        </w:rPr>
        <w:t>1）本年营业收入减少回款相应下降、而应收账款较上年同期增长57.17%，预收账款较上年同期减少41.53%，</w:t>
      </w:r>
      <w:r>
        <w:rPr>
          <w:spacing w:val="-88"/>
        </w:rPr>
        <w:t> </w:t>
      </w:r>
      <w:r>
        <w:rPr>
          <w:spacing w:val="-88"/>
        </w:rPr>
      </w:r>
      <w:r>
        <w:rPr/>
        <w:t>凸显公司应收账款管理环节薄弱；2）随着公司规模的扩张以及人力成本的上升、支付职工工资及福利增</w:t>
      </w:r>
      <w:r>
        <w:rPr>
          <w:spacing w:val="-34"/>
        </w:rPr>
        <w:t> </w:t>
      </w:r>
      <w:r>
        <w:rPr>
          <w:spacing w:val="-34"/>
        </w:rPr>
      </w:r>
      <w:r>
        <w:rPr/>
        <w:t>加，房租费用大幅增加；3）支付的各项税费增加。</w:t>
      </w:r>
    </w:p>
    <w:p>
      <w:pPr>
        <w:spacing w:line="240" w:lineRule="auto" w:before="6"/>
        <w:rPr>
          <w:rFonts w:ascii="宋体" w:hAnsi="宋体" w:cs="宋体" w:eastAsia="宋体" w:hint="default"/>
          <w:sz w:val="15"/>
          <w:szCs w:val="15"/>
        </w:rPr>
      </w:pPr>
    </w:p>
    <w:p>
      <w:pPr>
        <w:pStyle w:val="BodyText"/>
        <w:spacing w:line="386" w:lineRule="auto"/>
        <w:ind w:left="154" w:right="101" w:firstLine="420"/>
        <w:jc w:val="left"/>
      </w:pPr>
      <w:r>
        <w:rPr>
          <w:spacing w:val="-2"/>
        </w:rPr>
        <w:t>报告期内，公司筹资活动产生的现金流量净额</w:t>
      </w:r>
      <w:r>
        <w:rPr>
          <w:rFonts w:ascii="Times New Roman" w:hAnsi="Times New Roman" w:cs="Times New Roman" w:eastAsia="Times New Roman" w:hint="default"/>
          <w:spacing w:val="-2"/>
        </w:rPr>
        <w:t>305,202,505.21</w:t>
      </w:r>
      <w:r>
        <w:rPr>
          <w:spacing w:val="-2"/>
        </w:rPr>
        <w:t>元，比上年同期增加</w:t>
      </w:r>
      <w:r>
        <w:rPr>
          <w:rFonts w:ascii="Times New Roman" w:hAnsi="Times New Roman" w:cs="Times New Roman" w:eastAsia="Times New Roman" w:hint="default"/>
          <w:spacing w:val="-2"/>
        </w:rPr>
        <w:t>1063.74%</w:t>
      </w:r>
      <w:r>
        <w:rPr>
          <w:spacing w:val="-2"/>
        </w:rPr>
        <w:t>，主要是公</w:t>
      </w:r>
      <w:r>
        <w:rPr/>
        <w:t> 司在报告期内发行新股，收到募集资金所致。</w:t>
      </w:r>
    </w:p>
    <w:p>
      <w:pPr>
        <w:spacing w:after="0" w:line="386" w:lineRule="auto"/>
        <w:jc w:val="left"/>
        <w:sectPr>
          <w:footerReference w:type="default" r:id="rId18"/>
          <w:pgSz w:w="11910" w:h="16840"/>
          <w:pgMar w:footer="1252" w:header="997" w:top="1340" w:bottom="1440" w:left="980" w:right="920"/>
          <w:pgNumType w:start="18"/>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报告期内公司经营活动的现金流量与本年度净利润存在重大差异的原因说明</w:t>
      </w:r>
    </w:p>
    <w:p>
      <w:pPr>
        <w:spacing w:line="240" w:lineRule="auto" w:before="9"/>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spacing w:line="568" w:lineRule="auto" w:before="0"/>
        <w:ind w:left="574" w:right="671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）公司主要供应商、客户情况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79"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前五名客户合计销售金额（元）</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81,010,386.54</w:t>
            </w:r>
          </w:p>
        </w:tc>
      </w:tr>
      <w:tr>
        <w:trPr>
          <w:trHeight w:val="478"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前五名客户合计销售金额占年度销售总额比例（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28.75%</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向单一客户销售比例超过</w:t>
      </w:r>
      <w:r>
        <w:rPr>
          <w:spacing w:val="-56"/>
        </w:rPr>
        <w:t> </w:t>
      </w:r>
      <w:r>
        <w:rPr>
          <w:rFonts w:ascii="Times New Roman" w:hAnsi="Times New Roman" w:cs="Times New Roman" w:eastAsia="Times New Roman" w:hint="default"/>
        </w:rPr>
        <w:t>30%</w:t>
      </w:r>
      <w:r>
        <w:rPr/>
        <w:t>的客户资料</w:t>
      </w:r>
    </w:p>
    <w:p>
      <w:pPr>
        <w:spacing w:line="240" w:lineRule="auto" w:before="6"/>
        <w:rPr>
          <w:rFonts w:ascii="宋体" w:hAnsi="宋体" w:cs="宋体" w:eastAsia="宋体" w:hint="default"/>
          <w:sz w:val="25"/>
          <w:szCs w:val="25"/>
        </w:rPr>
      </w:pPr>
    </w:p>
    <w:p>
      <w:pPr>
        <w:pStyle w:val="BodyText"/>
        <w:spacing w:line="516" w:lineRule="auto"/>
        <w:ind w:right="74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公司主要供应商情况</w:t>
      </w: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78"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前五名供应商合计采购金额（元）</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41,291,792.48</w:t>
            </w:r>
          </w:p>
        </w:tc>
      </w:tr>
      <w:tr>
        <w:trPr>
          <w:trHeight w:val="479"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89"/>
              <w:jc w:val="center"/>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前五名供应商合计采购金额占年度采购总额比例（</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spacing w:val="-2"/>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89"/>
              <w:ind w:left="-125" w:right="1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w:t>
              <w:tab/>
            </w:r>
            <w:r>
              <w:rPr>
                <w:rFonts w:ascii="Times New Roman" w:hAnsi="Times New Roman" w:cs="Times New Roman" w:eastAsia="Times New Roman" w:hint="default"/>
                <w:sz w:val="18"/>
                <w:szCs w:val="18"/>
              </w:rPr>
              <w:t>32.42%</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pict>
          <v:group style="position:absolute;margin-left:269.820007pt;margin-top:-33.656033pt;width:263.9pt;height:24.55pt;mso-position-horizontal-relative:page;mso-position-vertical-relative:paragraph;z-index:-728968" coordorigin="5396,-673" coordsize="5278,491">
            <v:group style="position:absolute;left:5408;top:-662;width:2;height:468" coordorigin="5408,-662" coordsize="2,468">
              <v:shape style="position:absolute;left:5408;top:-662;width:2;height:468" coordorigin="5408,-662" coordsize="0,468" path="m5408,-662l5408,-194e" filled="false" stroked="true" strokeweight="1.140pt" strokecolor="#ffffff">
                <v:path arrowok="t"/>
              </v:shape>
            </v:group>
            <v:group style="position:absolute;left:5419;top:-662;width:5255;height:468" coordorigin="5419,-662" coordsize="5255,468">
              <v:shape style="position:absolute;left:5419;top:-662;width:5255;height:468" coordorigin="5419,-662" coordsize="5255,468" path="m5419,-194l10674,-194,10674,-662,5419,-662,5419,-194xe" filled="true" fillcolor="#ffffff" stroked="false">
                <v:path arrowok="t"/>
                <v:fill type="solid"/>
              </v:shape>
            </v:group>
            <w10:wrap type="none"/>
          </v:group>
        </w:pict>
      </w:r>
      <w:r>
        <w:rPr/>
        <w:t>向单一供应商采购比例超过</w:t>
      </w:r>
      <w:r>
        <w:rPr>
          <w:spacing w:val="-56"/>
        </w:rPr>
        <w:t> </w:t>
      </w:r>
      <w:r>
        <w:rPr>
          <w:rFonts w:ascii="Times New Roman" w:hAnsi="Times New Roman" w:cs="Times New Roman" w:eastAsia="Times New Roman" w:hint="default"/>
        </w:rPr>
        <w:t>30%</w:t>
      </w:r>
      <w:r>
        <w:rPr/>
        <w:t>的客户资料</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spacing w:line="568" w:lineRule="auto" w:before="0"/>
        <w:ind w:left="574" w:right="263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）公司未来发展与规划延续至报告期的说明</w:t>
      </w:r>
      <w:r>
        <w:rPr>
          <w:rFonts w:ascii="宋体" w:hAnsi="宋体" w:cs="宋体" w:eastAsia="宋体" w:hint="default"/>
          <w:b/>
          <w:bCs/>
          <w:w w:val="99"/>
          <w:sz w:val="21"/>
          <w:szCs w:val="21"/>
        </w:rPr>
        <w:t> </w:t>
      </w:r>
      <w:r>
        <w:rPr>
          <w:rFonts w:ascii="宋体" w:hAnsi="宋体" w:cs="宋体" w:eastAsia="宋体" w:hint="default"/>
          <w:sz w:val="21"/>
          <w:szCs w:val="21"/>
        </w:rPr>
        <w:t>首次公开发行招股说明书中披露的未来发展与规划在本报告期的实施情况</w:t>
      </w:r>
    </w:p>
    <w:p>
      <w:pPr>
        <w:pStyle w:val="BodyText"/>
        <w:spacing w:line="240" w:lineRule="auto" w:before="6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400" w:lineRule="auto"/>
        <w:ind w:left="154" w:right="149" w:firstLine="420"/>
        <w:jc w:val="both"/>
      </w:pPr>
      <w:r>
        <w:rPr>
          <w:rFonts w:ascii="Times New Roman" w:hAnsi="Times New Roman" w:cs="Times New Roman" w:eastAsia="Times New Roman" w:hint="default"/>
          <w:spacing w:val="-1"/>
        </w:rPr>
        <w:t>2010</w:t>
      </w:r>
      <w:r>
        <w:rPr>
          <w:spacing w:val="-1"/>
        </w:rPr>
        <w:t>年至</w:t>
      </w:r>
      <w:r>
        <w:rPr>
          <w:rFonts w:ascii="Times New Roman" w:hAnsi="Times New Roman" w:cs="Times New Roman" w:eastAsia="Times New Roman" w:hint="default"/>
          <w:spacing w:val="-1"/>
        </w:rPr>
        <w:t>2014</w:t>
      </w:r>
      <w:r>
        <w:rPr>
          <w:spacing w:val="-1"/>
        </w:rPr>
        <w:t>年为公司发展的第二阶段，该阶段公司的目标是在资本扩张及技术创新的助力下，实现</w:t>
      </w:r>
      <w:r>
        <w:rPr/>
        <w:t> </w:t>
      </w:r>
      <w:r>
        <w:rPr>
          <w:spacing w:val="-1"/>
        </w:rPr>
        <w:t>快速发展，努力成为行业的领导者。该阶段一方面要进一步加强技术创新，确保技术水平的领先，并积极</w:t>
      </w:r>
      <w:r>
        <w:rPr>
          <w:spacing w:val="-82"/>
        </w:rPr>
        <w:t> </w:t>
      </w:r>
      <w:r>
        <w:rPr>
          <w:spacing w:val="-82"/>
        </w:rPr>
      </w:r>
      <w:r>
        <w:rPr>
          <w:spacing w:val="-1"/>
        </w:rPr>
        <w:t>加大营销力度并开展多种合作迅速提高市场份额；另一方面，积极开展多种融资工作，实现公开发行股票</w:t>
      </w:r>
      <w:r>
        <w:rPr>
          <w:spacing w:val="-83"/>
        </w:rPr>
        <w:t> </w:t>
      </w:r>
      <w:r>
        <w:rPr>
          <w:spacing w:val="-83"/>
        </w:rPr>
      </w:r>
      <w:r>
        <w:rPr/>
        <w:t>并上市这一目标，按照计划实施募集资金投资项目，从而通过资本的扩张来实现经营规模的快速发展。</w:t>
      </w:r>
    </w:p>
    <w:p>
      <w:pPr>
        <w:spacing w:line="240" w:lineRule="auto" w:before="12"/>
        <w:rPr>
          <w:rFonts w:ascii="宋体" w:hAnsi="宋体" w:cs="宋体" w:eastAsia="宋体" w:hint="default"/>
          <w:sz w:val="15"/>
          <w:szCs w:val="15"/>
        </w:rPr>
      </w:pPr>
    </w:p>
    <w:p>
      <w:pPr>
        <w:pStyle w:val="BodyText"/>
        <w:spacing w:line="386" w:lineRule="auto"/>
        <w:ind w:left="154" w:right="0" w:firstLine="420"/>
        <w:jc w:val="left"/>
      </w:pPr>
      <w:r>
        <w:rPr>
          <w:rFonts w:ascii="Times New Roman" w:hAnsi="Times New Roman" w:cs="Times New Roman" w:eastAsia="Times New Roman" w:hint="default"/>
          <w:spacing w:val="-1"/>
        </w:rPr>
        <w:t>2012</w:t>
      </w:r>
      <w:r>
        <w:rPr>
          <w:spacing w:val="-1"/>
        </w:rPr>
        <w:t>年，公司成功登陆创业板市场，完成首发融资，为公司未来发展奠定了资金基础。公司加强技术</w:t>
      </w:r>
      <w:r>
        <w:rPr/>
        <w:t> 创新，确保技术水平的领先，并积极加大营销力度并开展多种合作迅速提高市场份额。</w:t>
      </w:r>
    </w:p>
    <w:p>
      <w:pPr>
        <w:spacing w:line="240" w:lineRule="auto" w:before="12"/>
        <w:rPr>
          <w:rFonts w:ascii="宋体" w:hAnsi="宋体" w:cs="宋体" w:eastAsia="宋体" w:hint="default"/>
          <w:sz w:val="16"/>
          <w:szCs w:val="16"/>
        </w:rPr>
      </w:pPr>
    </w:p>
    <w:p>
      <w:pPr>
        <w:pStyle w:val="BodyText"/>
        <w:spacing w:line="240" w:lineRule="auto"/>
        <w:ind w:right="0"/>
        <w:jc w:val="left"/>
      </w:pPr>
      <w:r>
        <w:rPr/>
        <w:t>以上市为契机，以加强董事会建设和内部控制的有效性为重点，公司不断完善法人治理结构，提升规</w:t>
      </w:r>
    </w:p>
    <w:p>
      <w:pPr>
        <w:spacing w:after="0" w:line="240"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408" w:lineRule="auto" w:before="35"/>
        <w:ind w:left="874" w:right="854"/>
        <w:jc w:val="left"/>
      </w:pPr>
      <w:r>
        <w:rPr>
          <w:spacing w:val="-1"/>
        </w:rPr>
        <w:t>范运作水平；逐步加强人力资源管理、完善公司激励机制，激发员工工作热情和效率，引进高层次、高素</w:t>
      </w:r>
      <w:r>
        <w:rPr>
          <w:spacing w:val="-83"/>
        </w:rPr>
        <w:t> </w:t>
      </w:r>
      <w:r>
        <w:rPr>
          <w:spacing w:val="-83"/>
        </w:rPr>
      </w:r>
      <w:r>
        <w:rPr/>
        <w:t>质人才提示公司竞争力，为公司的长远发展奠定基础。</w:t>
      </w:r>
    </w:p>
    <w:p>
      <w:pPr>
        <w:spacing w:line="240" w:lineRule="auto" w:before="6"/>
        <w:rPr>
          <w:rFonts w:ascii="宋体" w:hAnsi="宋体" w:cs="宋体" w:eastAsia="宋体" w:hint="default"/>
          <w:sz w:val="15"/>
          <w:szCs w:val="15"/>
        </w:rPr>
      </w:pPr>
    </w:p>
    <w:p>
      <w:pPr>
        <w:pStyle w:val="BodyText"/>
        <w:spacing w:line="240" w:lineRule="auto"/>
        <w:ind w:left="1294" w:right="854"/>
        <w:jc w:val="left"/>
      </w:pPr>
      <w:r>
        <w:rPr/>
        <w:t>公司回顾总结前期披露的发展战略和经营计划在报告期内的进展情况</w:t>
      </w:r>
    </w:p>
    <w:p>
      <w:pPr>
        <w:spacing w:line="240" w:lineRule="auto" w:before="9"/>
        <w:rPr>
          <w:rFonts w:ascii="宋体" w:hAnsi="宋体" w:cs="宋体" w:eastAsia="宋体" w:hint="default"/>
          <w:sz w:val="26"/>
          <w:szCs w:val="26"/>
        </w:rPr>
      </w:pPr>
    </w:p>
    <w:p>
      <w:pPr>
        <w:pStyle w:val="BodyText"/>
        <w:spacing w:line="408" w:lineRule="auto"/>
        <w:ind w:left="874" w:right="871" w:firstLine="420"/>
        <w:jc w:val="both"/>
      </w:pPr>
      <w:r>
        <w:rPr>
          <w:spacing w:val="-1"/>
        </w:rPr>
        <w:t>2012年，公司继续保持优质的产品、良好的服务质量、持续的业务创新能力等核心优势，公司市场开</w:t>
      </w:r>
      <w:r>
        <w:rPr/>
        <w:t> </w:t>
      </w:r>
      <w:r>
        <w:rPr>
          <w:spacing w:val="-1"/>
        </w:rPr>
        <w:t>发战略进展顺利，客户数量稳步增加。业务结构呈现良好的发展态势，公司管理得到进一步加强，除银行</w:t>
      </w:r>
      <w:r>
        <w:rPr>
          <w:spacing w:val="-82"/>
        </w:rPr>
        <w:t> </w:t>
      </w:r>
      <w:r>
        <w:rPr>
          <w:spacing w:val="-82"/>
        </w:rPr>
      </w:r>
      <w:r>
        <w:rPr/>
        <w:t>USBKEY业务，其他业务基本完成了年初设定目标。</w:t>
      </w:r>
    </w:p>
    <w:p>
      <w:pPr>
        <w:spacing w:line="240" w:lineRule="auto" w:before="6"/>
        <w:rPr>
          <w:rFonts w:ascii="宋体" w:hAnsi="宋体" w:cs="宋体" w:eastAsia="宋体" w:hint="default"/>
          <w:sz w:val="15"/>
          <w:szCs w:val="15"/>
        </w:rPr>
      </w:pPr>
    </w:p>
    <w:p>
      <w:pPr>
        <w:pStyle w:val="BodyText"/>
        <w:spacing w:line="408" w:lineRule="auto"/>
        <w:ind w:left="874" w:right="871" w:firstLine="420"/>
        <w:jc w:val="both"/>
      </w:pPr>
      <w:r>
        <w:rPr/>
        <w:t>2012</w:t>
      </w:r>
      <w:r>
        <w:rPr>
          <w:spacing w:val="-50"/>
        </w:rPr>
        <w:t> </w:t>
      </w:r>
      <w:r>
        <w:rPr>
          <w:spacing w:val="-2"/>
        </w:rPr>
        <w:t>年，公司克服各种困难成功上市，进一步解决了公司未来发展中的资金问题，同时，树立了公司</w:t>
      </w:r>
      <w:r>
        <w:rPr/>
        <w:t> </w:t>
      </w:r>
      <w:r>
        <w:rPr>
          <w:spacing w:val="-1"/>
        </w:rPr>
        <w:t>良好的品牌形象，增强了公司的知名度。公司实际经营业绩较曾公开披露过的本年度盈利预测低于或高于</w:t>
      </w:r>
      <w:r>
        <w:rPr>
          <w:spacing w:val="-81"/>
        </w:rPr>
        <w:t> </w:t>
      </w:r>
      <w:r>
        <w:rPr>
          <w:spacing w:val="-81"/>
        </w:rPr>
      </w:r>
      <w:r>
        <w:rPr>
          <w:rFonts w:ascii="Times New Roman" w:hAnsi="Times New Roman" w:cs="Times New Roman" w:eastAsia="Times New Roman" w:hint="default"/>
        </w:rPr>
        <w:t>20%</w:t>
      </w:r>
      <w:r>
        <w:rPr/>
        <w:t>以上的差异原因</w:t>
      </w:r>
    </w:p>
    <w:p>
      <w:pPr>
        <w:pStyle w:val="BodyText"/>
        <w:spacing w:line="240" w:lineRule="auto" w:before="170"/>
        <w:ind w:left="1294" w:right="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3"/>
          <w:szCs w:val="23"/>
        </w:rPr>
      </w:pPr>
    </w:p>
    <w:p>
      <w:pPr>
        <w:pStyle w:val="Heading3"/>
        <w:spacing w:line="240" w:lineRule="auto"/>
        <w:ind w:left="874" w:right="854"/>
        <w:jc w:val="left"/>
      </w:pPr>
      <w:r>
        <w:rPr>
          <w:rFonts w:ascii="Cambria" w:hAnsi="Cambria" w:cs="Cambria" w:eastAsia="Cambria" w:hint="default"/>
        </w:rPr>
        <w:t>2</w:t>
      </w:r>
      <w:r>
        <w:rPr/>
        <w:t>、主营业务分部报告</w:t>
      </w:r>
    </w:p>
    <w:p>
      <w:pPr>
        <w:spacing w:line="240" w:lineRule="auto" w:before="12"/>
        <w:rPr>
          <w:rFonts w:ascii="黑体" w:hAnsi="黑体" w:cs="黑体" w:eastAsia="黑体" w:hint="default"/>
          <w:sz w:val="23"/>
          <w:szCs w:val="23"/>
        </w:rPr>
      </w:pPr>
    </w:p>
    <w:p>
      <w:pPr>
        <w:pStyle w:val="BodyText"/>
        <w:spacing w:line="240" w:lineRule="auto"/>
        <w:ind w:left="0" w:right="870"/>
        <w:jc w:val="right"/>
      </w:pPr>
      <w:r>
        <w:rPr/>
        <w:t>单位：元</w:t>
      </w:r>
    </w:p>
    <w:p>
      <w:pPr>
        <w:spacing w:line="240" w:lineRule="auto" w:before="11"/>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119"/>
        <w:gridCol w:w="1321"/>
        <w:gridCol w:w="1417"/>
        <w:gridCol w:w="1183"/>
        <w:gridCol w:w="1367"/>
        <w:gridCol w:w="1368"/>
        <w:gridCol w:w="1370"/>
      </w:tblGrid>
      <w:tr>
        <w:trPr>
          <w:trHeight w:val="728"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毛利率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5" w:right="47"/>
              <w:jc w:val="left"/>
              <w:rPr>
                <w:rFonts w:ascii="宋体" w:hAnsi="宋体" w:cs="宋体" w:eastAsia="宋体" w:hint="default"/>
                <w:sz w:val="18"/>
                <w:szCs w:val="18"/>
              </w:rPr>
            </w:pPr>
            <w:r>
              <w:rPr>
                <w:rFonts w:ascii="宋体" w:hAnsi="宋体" w:cs="宋体" w:eastAsia="宋体" w:hint="default"/>
                <w:b/>
                <w:bCs/>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6" w:right="47"/>
              <w:jc w:val="left"/>
              <w:rPr>
                <w:rFonts w:ascii="宋体" w:hAnsi="宋体" w:cs="宋体" w:eastAsia="宋体" w:hint="default"/>
                <w:sz w:val="18"/>
                <w:szCs w:val="18"/>
              </w:rPr>
            </w:pPr>
            <w:r>
              <w:rPr>
                <w:rFonts w:ascii="宋体" w:hAnsi="宋体" w:cs="宋体" w:eastAsia="宋体" w:hint="default"/>
                <w:b/>
                <w:bCs/>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37" w:right="47" w:hanging="90"/>
              <w:jc w:val="left"/>
              <w:rPr>
                <w:rFonts w:ascii="宋体" w:hAnsi="宋体" w:cs="宋体" w:eastAsia="宋体" w:hint="default"/>
                <w:sz w:val="18"/>
                <w:szCs w:val="18"/>
              </w:rPr>
            </w:pPr>
            <w:r>
              <w:rPr>
                <w:rFonts w:ascii="宋体" w:hAnsi="宋体" w:cs="宋体" w:eastAsia="宋体" w:hint="default"/>
                <w:b/>
                <w:bCs/>
                <w:sz w:val="18"/>
                <w:szCs w:val="18"/>
              </w:rPr>
              <w:t>毛利率比上年同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111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嵌入式系统测试产品及技术服务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180,036,166.15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110,919,356.54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1.48%</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嵌入式信息安全产品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87,556,118.75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54,128,113.91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-45.58%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-1.86%</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嵌入式行业智能移动终端及技术服务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14,204,608.82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8,660,782.97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w:t>
            </w:r>
          </w:p>
        </w:tc>
      </w:tr>
      <w:tr>
        <w:trPr>
          <w:trHeight w:val="478" w:hRule="exact"/>
        </w:trPr>
        <w:tc>
          <w:tcPr>
            <w:tcW w:w="111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108,949,932.32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69,365,102.29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-0.58%</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嵌入式系统测试服务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71,086,233.83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41,554,254.25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18.02%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6.56%</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34,282,531.32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25,674,720.55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25.11%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税控盘产品</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53,273,587.43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28,453,393.36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313.65%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21.28%</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嵌入式行业智能移动终端</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14,204,608.82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8,660,782.97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w:t>
            </w:r>
          </w:p>
        </w:tc>
      </w:tr>
      <w:tr>
        <w:trPr>
          <w:trHeight w:val="478" w:hRule="exact"/>
        </w:trPr>
        <w:tc>
          <w:tcPr>
            <w:tcW w:w="111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东北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4,219,232.26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3,113,879.09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-63.31%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-2.04%</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华北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123,113,688.99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71,223,843.22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7.63%</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260" w:right="26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3119"/>
        <w:gridCol w:w="1321"/>
        <w:gridCol w:w="1417"/>
        <w:gridCol w:w="1183"/>
        <w:gridCol w:w="1367"/>
        <w:gridCol w:w="1368"/>
        <w:gridCol w:w="1370"/>
      </w:tblGrid>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95,640,167.05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60,250,263.18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3.47%</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7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20,675,565.40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13,739,875.13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-16.97%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7.45%</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3,927,966.18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1,997,193.54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807.44%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633.07%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12.09%</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6,084,794.49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3,899,481.44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-1.68%</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7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21,025,860.83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14,293,831.97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-41.18%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2.58%</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3"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7,109,618.52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5,189,885.85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-65.69%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1"/>
        <w:rPr>
          <w:rFonts w:ascii="宋体" w:hAnsi="宋体" w:cs="宋体" w:eastAsia="宋体" w:hint="default"/>
          <w:sz w:val="14"/>
          <w:szCs w:val="14"/>
        </w:rPr>
      </w:pPr>
    </w:p>
    <w:p>
      <w:pPr>
        <w:pStyle w:val="BodyText"/>
        <w:spacing w:line="386" w:lineRule="auto" w:before="35"/>
        <w:ind w:left="874" w:right="854" w:firstLine="419"/>
        <w:jc w:val="left"/>
      </w:pPr>
      <w:r>
        <w:rPr/>
        <w:t>公司主营业务数据统计口径在报告期发生调整的情况下，公司最近</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年按报告期末口径调整后的主营 业务数据</w:t>
      </w:r>
    </w:p>
    <w:p>
      <w:pPr>
        <w:spacing w:line="240" w:lineRule="auto" w:before="12"/>
        <w:rPr>
          <w:rFonts w:ascii="宋体" w:hAnsi="宋体" w:cs="宋体" w:eastAsia="宋体" w:hint="default"/>
          <w:sz w:val="16"/>
          <w:szCs w:val="16"/>
        </w:rPr>
      </w:pPr>
    </w:p>
    <w:p>
      <w:pPr>
        <w:pStyle w:val="BodyText"/>
        <w:spacing w:line="240" w:lineRule="auto"/>
        <w:ind w:left="1294" w:right="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3"/>
          <w:szCs w:val="23"/>
        </w:rPr>
      </w:pPr>
    </w:p>
    <w:p>
      <w:pPr>
        <w:pStyle w:val="Heading3"/>
        <w:spacing w:line="240" w:lineRule="auto"/>
        <w:ind w:left="753" w:right="7854"/>
        <w:jc w:val="center"/>
      </w:pPr>
      <w:r>
        <w:rPr>
          <w:rFonts w:ascii="Cambria" w:hAnsi="Cambria" w:cs="Cambria" w:eastAsia="Cambria" w:hint="default"/>
        </w:rPr>
        <w:t>3</w:t>
      </w:r>
      <w:r>
        <w:rPr/>
        <w:t>、资产、负债状况分析</w:t>
      </w:r>
    </w:p>
    <w:p>
      <w:pPr>
        <w:spacing w:line="240" w:lineRule="auto" w:before="1"/>
        <w:rPr>
          <w:rFonts w:ascii="黑体" w:hAnsi="黑体" w:cs="黑体" w:eastAsia="黑体" w:hint="default"/>
          <w:sz w:val="29"/>
          <w:szCs w:val="29"/>
        </w:rPr>
      </w:pPr>
    </w:p>
    <w:p>
      <w:pPr>
        <w:pStyle w:val="Heading5"/>
        <w:spacing w:line="240" w:lineRule="auto"/>
        <w:ind w:left="854" w:right="7854"/>
        <w:jc w:val="center"/>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0" w:right="871"/>
        <w:jc w:val="right"/>
      </w:pPr>
      <w:r>
        <w:rPr/>
        <w:t>单位：元</w:t>
      </w:r>
    </w:p>
    <w:p>
      <w:pPr>
        <w:spacing w:line="240" w:lineRule="auto" w:before="11"/>
        <w:rPr>
          <w:rFonts w:ascii="宋体" w:hAnsi="宋体" w:cs="宋体" w:eastAsia="宋体" w:hint="default"/>
          <w:sz w:val="21"/>
          <w:szCs w:val="21"/>
        </w:rPr>
      </w:pPr>
    </w:p>
    <w:tbl>
      <w:tblPr>
        <w:tblW w:w="0" w:type="auto"/>
        <w:jc w:val="left"/>
        <w:tblInd w:w="442" w:type="dxa"/>
        <w:tblLayout w:type="fixed"/>
        <w:tblCellMar>
          <w:top w:w="0" w:type="dxa"/>
          <w:left w:w="0" w:type="dxa"/>
          <w:bottom w:w="0" w:type="dxa"/>
          <w:right w:w="0" w:type="dxa"/>
        </w:tblCellMar>
        <w:tblLook w:val="01E0"/>
      </w:tblPr>
      <w:tblGrid>
        <w:gridCol w:w="1420"/>
        <w:gridCol w:w="1417"/>
        <w:gridCol w:w="1559"/>
        <w:gridCol w:w="1276"/>
        <w:gridCol w:w="1559"/>
        <w:gridCol w:w="994"/>
        <w:gridCol w:w="2268"/>
      </w:tblGrid>
      <w:tr>
        <w:trPr>
          <w:trHeight w:val="120" w:hRule="exact"/>
        </w:trPr>
        <w:tc>
          <w:tcPr>
            <w:tcW w:w="1420" w:type="dxa"/>
            <w:vMerge w:val="restart"/>
            <w:tcBorders>
              <w:top w:val="single" w:sz="4" w:space="0" w:color="000000"/>
              <w:left w:val="single" w:sz="4" w:space="0" w:color="000000"/>
              <w:right w:val="single" w:sz="4" w:space="0" w:color="000000"/>
            </w:tcBorders>
            <w:shd w:val="clear" w:color="auto" w:fill="D3D3D3"/>
          </w:tcPr>
          <w:p>
            <w:pPr/>
          </w:p>
        </w:tc>
        <w:tc>
          <w:tcPr>
            <w:tcW w:w="29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年末</w:t>
            </w:r>
            <w:r>
              <w:rPr>
                <w:rFonts w:ascii="宋体" w:hAnsi="宋体" w:cs="宋体" w:eastAsia="宋体" w:hint="default"/>
                <w:sz w:val="18"/>
                <w:szCs w:val="18"/>
              </w:rPr>
            </w:r>
          </w:p>
        </w:tc>
        <w:tc>
          <w:tcPr>
            <w:tcW w:w="28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68" w:type="dxa"/>
            <w:vMerge w:val="restart"/>
            <w:tcBorders>
              <w:top w:val="single" w:sz="4" w:space="0" w:color="000000"/>
              <w:left w:val="single" w:sz="4" w:space="0" w:color="000000"/>
              <w:right w:val="single" w:sz="4" w:space="0" w:color="000000"/>
            </w:tcBorders>
            <w:shd w:val="clear" w:color="auto" w:fill="D3D3D3"/>
          </w:tcPr>
          <w:p>
            <w:pPr/>
          </w:p>
        </w:tc>
      </w:tr>
      <w:tr>
        <w:trPr>
          <w:trHeight w:val="152" w:hRule="exact"/>
        </w:trPr>
        <w:tc>
          <w:tcPr>
            <w:tcW w:w="1420" w:type="dxa"/>
            <w:vMerge/>
            <w:tcBorders>
              <w:left w:val="single" w:sz="4" w:space="0" w:color="000000"/>
              <w:bottom w:val="nil" w:sz="6" w:space="0" w:color="auto"/>
              <w:right w:val="single" w:sz="4" w:space="0" w:color="000000"/>
            </w:tcBorders>
            <w:shd w:val="clear" w:color="auto" w:fill="D3D3D3"/>
          </w:tcPr>
          <w:p>
            <w:pPr/>
          </w:p>
        </w:tc>
        <w:tc>
          <w:tcPr>
            <w:tcW w:w="2976" w:type="dxa"/>
            <w:gridSpan w:val="2"/>
            <w:vMerge/>
            <w:tcBorders>
              <w:left w:val="single" w:sz="4" w:space="0" w:color="000000"/>
              <w:right w:val="single" w:sz="4" w:space="0" w:color="000000"/>
            </w:tcBorders>
            <w:shd w:val="clear" w:color="auto" w:fill="D3D3D3"/>
          </w:tcPr>
          <w:p>
            <w:pPr/>
          </w:p>
        </w:tc>
        <w:tc>
          <w:tcPr>
            <w:tcW w:w="2834" w:type="dxa"/>
            <w:gridSpan w:val="2"/>
            <w:vMerge/>
            <w:tcBorders>
              <w:left w:val="single" w:sz="4" w:space="0" w:color="000000"/>
              <w:right w:val="single" w:sz="4" w:space="0" w:color="000000"/>
            </w:tcBorders>
            <w:shd w:val="clear" w:color="auto" w:fill="D3D3D3"/>
          </w:tcPr>
          <w:p>
            <w:pPr/>
          </w:p>
        </w:tc>
        <w:tc>
          <w:tcPr>
            <w:tcW w:w="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129"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p>
            <w:pPr>
              <w:pStyle w:val="TableParagraph"/>
              <w:spacing w:line="240" w:lineRule="auto" w:before="123"/>
              <w:ind w:left="-125" w:right="0"/>
              <w:jc w:val="left"/>
              <w:rPr>
                <w:rFonts w:ascii="宋体" w:hAnsi="宋体" w:cs="宋体" w:eastAsia="宋体" w:hint="default"/>
                <w:sz w:val="18"/>
                <w:szCs w:val="18"/>
              </w:rPr>
            </w:pPr>
            <w:r>
              <w:rPr>
                <w:rFonts w:ascii="宋体" w:hAnsi="宋体" w:cs="宋体" w:eastAsia="宋体" w:hint="default"/>
                <w:b/>
                <w:bCs/>
                <w:position w:val="-5"/>
                <w:sz w:val="18"/>
                <w:szCs w:val="18"/>
              </w:rPr>
              <w:t>）</w:t>
            </w:r>
            <w:r>
              <w:rPr>
                <w:rFonts w:ascii="宋体" w:hAnsi="宋体" w:cs="宋体" w:eastAsia="宋体" w:hint="default"/>
                <w:b/>
                <w:bCs/>
                <w:spacing w:val="71"/>
                <w:position w:val="-5"/>
                <w:sz w:val="18"/>
                <w:szCs w:val="18"/>
              </w:rPr>
              <w:t> </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68"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420" w:type="dxa"/>
            <w:vMerge w:val="restart"/>
            <w:tcBorders>
              <w:top w:val="nil" w:sz="6" w:space="0" w:color="auto"/>
              <w:left w:val="single" w:sz="4" w:space="0" w:color="000000"/>
              <w:right w:val="single" w:sz="4" w:space="0" w:color="000000"/>
            </w:tcBorders>
            <w:shd w:val="clear" w:color="auto" w:fill="D3D3D3"/>
          </w:tcPr>
          <w:p>
            <w:pPr/>
          </w:p>
        </w:tc>
        <w:tc>
          <w:tcPr>
            <w:tcW w:w="2976" w:type="dxa"/>
            <w:gridSpan w:val="2"/>
            <w:vMerge/>
            <w:tcBorders>
              <w:left w:val="single" w:sz="4" w:space="0" w:color="000000"/>
              <w:bottom w:val="single" w:sz="4" w:space="0" w:color="000000"/>
              <w:right w:val="single" w:sz="4" w:space="0" w:color="000000"/>
            </w:tcBorders>
            <w:shd w:val="clear" w:color="auto" w:fill="D3D3D3"/>
          </w:tcPr>
          <w:p>
            <w:pPr/>
          </w:p>
        </w:tc>
        <w:tc>
          <w:tcPr>
            <w:tcW w:w="2834" w:type="dxa"/>
            <w:gridSpan w:val="2"/>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22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0"/>
              <w:ind w:left="586"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207" w:hRule="exact"/>
        </w:trPr>
        <w:tc>
          <w:tcPr>
            <w:tcW w:w="1420" w:type="dxa"/>
            <w:vMerge/>
            <w:tcBorders>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b/>
                <w:bCs/>
                <w:spacing w:val="-4"/>
                <w:sz w:val="18"/>
                <w:szCs w:val="18"/>
              </w:rPr>
              <w:t>占总资产比例（</w:t>
            </w:r>
            <w:r>
              <w:rPr>
                <w:rFonts w:ascii="Times New Roman" w:hAnsi="Times New Roman" w:cs="Times New Roman" w:eastAsia="Times New Roman" w:hint="default"/>
                <w:b/>
                <w:bCs/>
                <w:spacing w:val="-4"/>
                <w:sz w:val="18"/>
                <w:szCs w:val="18"/>
              </w:rPr>
              <w:t>%</w:t>
            </w:r>
            <w:r>
              <w:rPr>
                <w:rFonts w:ascii="Times New Roman" w:hAnsi="Times New Roman" w:cs="Times New Roman" w:eastAsia="Times New Roman" w:hint="default"/>
                <w:spacing w:val="-4"/>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tabs>
                <w:tab w:pos="452" w:val="left" w:leader="none"/>
              </w:tabs>
              <w:spacing w:line="240" w:lineRule="auto" w:before="88"/>
              <w:ind w:left="-125" w:right="0"/>
              <w:jc w:val="left"/>
              <w:rPr>
                <w:rFonts w:ascii="宋体" w:hAnsi="宋体" w:cs="宋体" w:eastAsia="宋体" w:hint="default"/>
                <w:sz w:val="18"/>
                <w:szCs w:val="18"/>
              </w:rPr>
            </w:pPr>
            <w:r>
              <w:rPr>
                <w:rFonts w:ascii="宋体" w:hAnsi="宋体" w:cs="宋体" w:eastAsia="宋体" w:hint="default"/>
                <w:b/>
                <w:bCs/>
                <w:w w:val="95"/>
                <w:sz w:val="18"/>
                <w:szCs w:val="18"/>
              </w:rPr>
              <w:t>）</w:t>
              <w:tab/>
            </w: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b/>
                <w:bCs/>
                <w:spacing w:val="-4"/>
                <w:sz w:val="18"/>
                <w:szCs w:val="18"/>
              </w:rPr>
              <w:t>占总资产比例（</w:t>
            </w:r>
            <w:r>
              <w:rPr>
                <w:rFonts w:ascii="Times New Roman" w:hAnsi="Times New Roman" w:cs="Times New Roman" w:eastAsia="Times New Roman" w:hint="default"/>
                <w:b/>
                <w:bCs/>
                <w:spacing w:val="-4"/>
                <w:sz w:val="18"/>
                <w:szCs w:val="18"/>
              </w:rPr>
              <w:t>%</w:t>
            </w:r>
            <w:r>
              <w:rPr>
                <w:rFonts w:ascii="Times New Roman" w:hAnsi="Times New Roman" w:cs="Times New Roman" w:eastAsia="Times New Roman" w:hint="default"/>
                <w:spacing w:val="-4"/>
                <w:sz w:val="18"/>
                <w:szCs w:val="18"/>
              </w:rPr>
            </w:r>
          </w:p>
        </w:tc>
        <w:tc>
          <w:tcPr>
            <w:tcW w:w="994" w:type="dxa"/>
            <w:vMerge/>
            <w:tcBorders>
              <w:left w:val="single" w:sz="4" w:space="0" w:color="000000"/>
              <w:right w:val="single" w:sz="4" w:space="0" w:color="000000"/>
            </w:tcBorders>
            <w:shd w:val="clear" w:color="auto" w:fill="D3D3D3"/>
          </w:tcPr>
          <w:p>
            <w:pPr/>
          </w:p>
        </w:tc>
        <w:tc>
          <w:tcPr>
            <w:tcW w:w="2268" w:type="dxa"/>
            <w:vMerge/>
            <w:tcBorders>
              <w:left w:val="single" w:sz="4" w:space="0" w:color="000000"/>
              <w:bottom w:val="nil" w:sz="6" w:space="0" w:color="auto"/>
              <w:right w:val="single" w:sz="4" w:space="0" w:color="000000"/>
            </w:tcBorders>
            <w:shd w:val="clear" w:color="auto" w:fill="D3D3D3"/>
          </w:tcPr>
          <w:p>
            <w:pPr/>
          </w:p>
        </w:tc>
      </w:tr>
      <w:tr>
        <w:trPr>
          <w:trHeight w:val="271" w:hRule="exact"/>
        </w:trPr>
        <w:tc>
          <w:tcPr>
            <w:tcW w:w="14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22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0" w:hRule="exact"/>
        </w:trPr>
        <w:tc>
          <w:tcPr>
            <w:tcW w:w="14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13" w:space="0" w:color="D3D3D3"/>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473,511,246.05</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74.43%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169,841,463.38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57.33%</w:t>
            </w:r>
          </w:p>
        </w:tc>
        <w:tc>
          <w:tcPr>
            <w:tcW w:w="994" w:type="dxa"/>
            <w:vMerge w:val="restart"/>
            <w:tcBorders>
              <w:top w:val="single" w:sz="46" w:space="0" w:color="D3D3D3"/>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17.1%</w:t>
            </w:r>
          </w:p>
        </w:tc>
        <w:tc>
          <w:tcPr>
            <w:tcW w:w="2268" w:type="dxa"/>
            <w:vMerge w:val="restart"/>
            <w:tcBorders>
              <w:top w:val="single" w:sz="4" w:space="0" w:color="000000"/>
              <w:left w:val="single" w:sz="4" w:space="0" w:color="000000"/>
              <w:right w:val="single" w:sz="4" w:space="0" w:color="000000"/>
            </w:tcBorders>
          </w:tcPr>
          <w:p>
            <w:pPr>
              <w:pStyle w:val="TableParagraph"/>
              <w:spacing w:line="364" w:lineRule="auto" w:before="33"/>
              <w:ind w:left="22" w:right="-15"/>
              <w:jc w:val="left"/>
              <w:rPr>
                <w:rFonts w:ascii="宋体" w:hAnsi="宋体" w:cs="宋体" w:eastAsia="宋体" w:hint="default"/>
                <w:sz w:val="18"/>
                <w:szCs w:val="18"/>
              </w:rPr>
            </w:pPr>
            <w:r>
              <w:rPr>
                <w:rFonts w:ascii="宋体" w:hAnsi="宋体" w:cs="宋体" w:eastAsia="宋体" w:hint="default"/>
                <w:spacing w:val="4"/>
                <w:sz w:val="18"/>
                <w:szCs w:val="18"/>
              </w:rPr>
              <w:t>主要系本期公开发行股票收 </w:t>
            </w:r>
            <w:r>
              <w:rPr>
                <w:rFonts w:ascii="宋体" w:hAnsi="宋体" w:cs="宋体" w:eastAsia="宋体" w:hint="default"/>
                <w:sz w:val="18"/>
                <w:szCs w:val="18"/>
              </w:rPr>
              <w:t>到募集资金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33,784.02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597" w:hRule="exact"/>
        </w:trPr>
        <w:tc>
          <w:tcPr>
            <w:tcW w:w="14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vMerge/>
            <w:tcBorders>
              <w:left w:val="single" w:sz="13" w:space="0" w:color="D3D3D3"/>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r>
      <w:tr>
        <w:trPr>
          <w:trHeight w:val="479"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72,674,628.50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2"/>
                <w:sz w:val="18"/>
              </w:rPr>
              <w:t>11.42%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46,240,905.04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-4.19%</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39,707,348.04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43,144,990.49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-8.32%</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2,679,543.59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1,343,037.05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-0.03%</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16,184,401.42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12,987,288.73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-1.84%</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1,977,120.00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4,212,700.00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10,240,780.15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8,092,361.77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-1.12%</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3,660,182.02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0.58%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0.58%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10,422,298.58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7,220,913.99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1,585,476.32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851,432.70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-0.04%</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348,668.15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0.05%</w:t>
            </w: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260" w:right="260"/>
        </w:sectPr>
      </w:pP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420"/>
        <w:gridCol w:w="1417"/>
        <w:gridCol w:w="1559"/>
        <w:gridCol w:w="1276"/>
        <w:gridCol w:w="1559"/>
        <w:gridCol w:w="994"/>
        <w:gridCol w:w="2268"/>
      </w:tblGrid>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720,441.43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811,610.68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-0.16%</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2,435,738.26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1,491,696.35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-0.12%</w:t>
            </w: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534" w:right="6763"/>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551"/>
        <w:jc w:val="right"/>
      </w:pPr>
      <w:r>
        <w:rPr/>
        <w:t>单位：元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702"/>
        <w:gridCol w:w="1256"/>
        <w:gridCol w:w="1063"/>
        <w:gridCol w:w="1195"/>
        <w:gridCol w:w="1063"/>
        <w:gridCol w:w="798"/>
        <w:gridCol w:w="3271"/>
      </w:tblGrid>
      <w:tr>
        <w:trPr>
          <w:trHeight w:val="286" w:hRule="exact"/>
        </w:trPr>
        <w:tc>
          <w:tcPr>
            <w:tcW w:w="1702" w:type="dxa"/>
            <w:vMerge w:val="restart"/>
            <w:tcBorders>
              <w:top w:val="single" w:sz="4" w:space="0" w:color="000000"/>
              <w:left w:val="single" w:sz="4" w:space="0" w:color="000000"/>
              <w:right w:val="single" w:sz="4" w:space="0" w:color="000000"/>
            </w:tcBorders>
            <w:shd w:val="clear" w:color="auto" w:fill="D3D3D3"/>
          </w:tcPr>
          <w:p>
            <w:pPr/>
          </w:p>
        </w:tc>
        <w:tc>
          <w:tcPr>
            <w:tcW w:w="23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9"/>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9"/>
              <w:ind w:right="0"/>
              <w:jc w:val="center"/>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271" w:type="dxa"/>
            <w:vMerge w:val="restart"/>
            <w:tcBorders>
              <w:top w:val="single" w:sz="4" w:space="0" w:color="000000"/>
              <w:left w:val="single" w:sz="4" w:space="0" w:color="000000"/>
              <w:right w:val="single" w:sz="4" w:space="0" w:color="000000"/>
            </w:tcBorders>
            <w:shd w:val="clear" w:color="auto" w:fill="D3D3D3"/>
          </w:tcPr>
          <w:p>
            <w:pPr/>
          </w:p>
        </w:tc>
      </w:tr>
      <w:tr>
        <w:trPr>
          <w:trHeight w:val="120" w:hRule="exact"/>
        </w:trPr>
        <w:tc>
          <w:tcPr>
            <w:tcW w:w="1702" w:type="dxa"/>
            <w:vMerge/>
            <w:tcBorders>
              <w:left w:val="single" w:sz="4" w:space="0" w:color="000000"/>
              <w:bottom w:val="nil" w:sz="6" w:space="0" w:color="auto"/>
              <w:right w:val="single" w:sz="4" w:space="0" w:color="000000"/>
            </w:tcBorders>
            <w:shd w:val="clear" w:color="auto" w:fill="D3D3D3"/>
          </w:tcPr>
          <w:p>
            <w:pPr/>
          </w:p>
        </w:tc>
        <w:tc>
          <w:tcPr>
            <w:tcW w:w="2320" w:type="dxa"/>
            <w:gridSpan w:val="2"/>
            <w:vMerge/>
            <w:tcBorders>
              <w:left w:val="single" w:sz="4" w:space="0" w:color="000000"/>
              <w:right w:val="single" w:sz="4" w:space="0" w:color="000000"/>
            </w:tcBorders>
            <w:shd w:val="clear" w:color="auto" w:fill="D3D3D3"/>
          </w:tcPr>
          <w:p>
            <w:pPr/>
          </w:p>
        </w:tc>
        <w:tc>
          <w:tcPr>
            <w:tcW w:w="2258" w:type="dxa"/>
            <w:gridSpan w:val="2"/>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8"/>
              <w:ind w:left="32"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271"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702" w:type="dxa"/>
            <w:vMerge w:val="restart"/>
            <w:tcBorders>
              <w:top w:val="nil" w:sz="6" w:space="0" w:color="auto"/>
              <w:left w:val="single" w:sz="4" w:space="0" w:color="000000"/>
              <w:right w:val="single" w:sz="4" w:space="0" w:color="000000"/>
            </w:tcBorders>
            <w:shd w:val="clear" w:color="auto" w:fill="D3D3D3"/>
          </w:tcPr>
          <w:p>
            <w:pPr/>
          </w:p>
        </w:tc>
        <w:tc>
          <w:tcPr>
            <w:tcW w:w="2320"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32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125" w:hRule="exact"/>
        </w:trPr>
        <w:tc>
          <w:tcPr>
            <w:tcW w:w="1702" w:type="dxa"/>
            <w:vMerge/>
            <w:tcBorders>
              <w:left w:val="single" w:sz="4" w:space="0" w:color="000000"/>
              <w:right w:val="single" w:sz="4" w:space="0" w:color="000000"/>
            </w:tcBorders>
            <w:shd w:val="clear" w:color="auto" w:fill="D3D3D3"/>
          </w:tcPr>
          <w:p>
            <w:pPr/>
          </w:p>
        </w:tc>
        <w:tc>
          <w:tcPr>
            <w:tcW w:w="12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37"/>
              <w:ind w:left="164" w:right="72"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37"/>
              <w:ind w:left="164" w:right="72" w:hanging="9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3D3D3"/>
          </w:tcPr>
          <w:p>
            <w:pPr/>
          </w:p>
        </w:tc>
        <w:tc>
          <w:tcPr>
            <w:tcW w:w="3271" w:type="dxa"/>
            <w:vMerge/>
            <w:tcBorders>
              <w:left w:val="single" w:sz="4" w:space="0" w:color="000000"/>
              <w:right w:val="single" w:sz="4" w:space="0" w:color="000000"/>
            </w:tcBorders>
            <w:shd w:val="clear" w:color="auto" w:fill="D3D3D3"/>
          </w:tcPr>
          <w:p>
            <w:pPr/>
          </w:p>
        </w:tc>
      </w:tr>
      <w:tr>
        <w:trPr>
          <w:trHeight w:val="271" w:hRule="exact"/>
        </w:trPr>
        <w:tc>
          <w:tcPr>
            <w:tcW w:w="1702" w:type="dxa"/>
            <w:vMerge/>
            <w:tcBorders>
              <w:left w:val="single" w:sz="4" w:space="0" w:color="000000"/>
              <w:bottom w:val="nil" w:sz="6" w:space="0" w:color="auto"/>
              <w:right w:val="single" w:sz="4" w:space="0" w:color="000000"/>
            </w:tcBorders>
            <w:shd w:val="clear" w:color="auto" w:fill="D3D3D3"/>
          </w:tcPr>
          <w:p>
            <w:pPr/>
          </w:p>
        </w:tc>
        <w:tc>
          <w:tcPr>
            <w:tcW w:w="12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3271" w:type="dxa"/>
            <w:vMerge/>
            <w:tcBorders>
              <w:left w:val="single" w:sz="4" w:space="0" w:color="000000"/>
              <w:bottom w:val="nil" w:sz="6" w:space="0" w:color="auto"/>
              <w:right w:val="single" w:sz="4" w:space="0" w:color="000000"/>
            </w:tcBorders>
            <w:shd w:val="clear" w:color="auto" w:fill="D3D3D3"/>
          </w:tcPr>
          <w:p>
            <w:pPr/>
          </w:p>
        </w:tc>
      </w:tr>
      <w:tr>
        <w:trPr>
          <w:trHeight w:val="120" w:hRule="exact"/>
        </w:trPr>
        <w:tc>
          <w:tcPr>
            <w:tcW w:w="1702" w:type="dxa"/>
            <w:vMerge w:val="restart"/>
            <w:tcBorders>
              <w:top w:val="nil" w:sz="6" w:space="0" w:color="auto"/>
              <w:left w:val="single" w:sz="4" w:space="0" w:color="000000"/>
              <w:right w:val="single" w:sz="4" w:space="0" w:color="000000"/>
            </w:tcBorders>
            <w:shd w:val="clear" w:color="auto" w:fill="D3D3D3"/>
          </w:tcPr>
          <w:p>
            <w:pPr/>
          </w:p>
        </w:tc>
        <w:tc>
          <w:tcPr>
            <w:tcW w:w="1256" w:type="dxa"/>
            <w:vMerge/>
            <w:tcBorders>
              <w:left w:val="single" w:sz="4" w:space="0" w:color="000000"/>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3271" w:type="dxa"/>
            <w:vMerge w:val="restart"/>
            <w:tcBorders>
              <w:top w:val="nil" w:sz="6" w:space="0" w:color="auto"/>
              <w:left w:val="single" w:sz="4" w:space="0" w:color="000000"/>
              <w:right w:val="single" w:sz="4" w:space="0" w:color="000000"/>
            </w:tcBorders>
            <w:shd w:val="clear" w:color="auto" w:fill="D3D3D3"/>
          </w:tcPr>
          <w:p>
            <w:pPr/>
          </w:p>
        </w:tc>
      </w:tr>
      <w:tr>
        <w:trPr>
          <w:trHeight w:val="286"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256"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3271" w:type="dxa"/>
            <w:vMerge/>
            <w:tcBorders>
              <w:left w:val="single" w:sz="4" w:space="0" w:color="000000"/>
              <w:bottom w:val="single" w:sz="4" w:space="0" w:color="000000"/>
              <w:right w:val="single" w:sz="4" w:space="0" w:color="000000"/>
            </w:tcBorders>
            <w:shd w:val="clear" w:color="auto" w:fill="D3D3D3"/>
          </w:tcPr>
          <w:p>
            <w:pPr/>
          </w:p>
        </w:tc>
      </w:tr>
      <w:tr>
        <w:trPr>
          <w:trHeight w:val="125" w:hRule="exact"/>
        </w:trPr>
        <w:tc>
          <w:tcPr>
            <w:tcW w:w="1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56" w:type="dxa"/>
            <w:vMerge w:val="restart"/>
            <w:tcBorders>
              <w:top w:val="single" w:sz="48" w:space="0" w:color="D3D3D3"/>
              <w:left w:val="single" w:sz="13" w:space="0" w:color="D3D3D3"/>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1.49%</w:t>
            </w:r>
          </w:p>
        </w:tc>
        <w:tc>
          <w:tcPr>
            <w:tcW w:w="1195" w:type="dxa"/>
            <w:vMerge w:val="restart"/>
            <w:tcBorders>
              <w:top w:val="single" w:sz="48" w:space="0" w:color="D3D3D3"/>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44,500,000.00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-13.53%</w:t>
            </w:r>
          </w:p>
        </w:tc>
        <w:tc>
          <w:tcPr>
            <w:tcW w:w="3271" w:type="dxa"/>
            <w:vMerge w:val="restart"/>
            <w:tcBorders>
              <w:top w:val="single" w:sz="4" w:space="0" w:color="000000"/>
              <w:left w:val="single" w:sz="4" w:space="0" w:color="000000"/>
              <w:right w:val="single" w:sz="4" w:space="0" w:color="000000"/>
            </w:tcBorders>
          </w:tcPr>
          <w:p>
            <w:pPr>
              <w:pStyle w:val="TableParagraph"/>
              <w:spacing w:line="245" w:lineRule="exact" w:before="137"/>
              <w:ind w:left="22" w:right="0"/>
              <w:jc w:val="left"/>
              <w:rPr>
                <w:rFonts w:ascii="宋体" w:hAnsi="宋体" w:cs="宋体" w:eastAsia="宋体" w:hint="default"/>
                <w:sz w:val="18"/>
                <w:szCs w:val="18"/>
              </w:rPr>
            </w:pPr>
            <w:r>
              <w:rPr>
                <w:rFonts w:ascii="宋体" w:hAnsi="宋体" w:cs="宋体" w:eastAsia="宋体" w:hint="default"/>
                <w:sz w:val="18"/>
                <w:szCs w:val="18"/>
              </w:rPr>
              <w:t>公司累计归还银行贷款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万元，新增</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 </w:t>
            </w:r>
            <w:r>
              <w:rPr>
                <w:rFonts w:ascii="宋体" w:hAnsi="宋体" w:cs="宋体" w:eastAsia="宋体" w:hint="default"/>
                <w:sz w:val="18"/>
                <w:szCs w:val="18"/>
              </w:rPr>
              <w:t>万元用于补充流动资金。</w:t>
            </w:r>
          </w:p>
        </w:tc>
      </w:tr>
      <w:tr>
        <w:trPr>
          <w:trHeight w:val="677" w:hRule="exact"/>
        </w:trPr>
        <w:tc>
          <w:tcPr>
            <w:tcW w:w="17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vMerge/>
            <w:tcBorders>
              <w:left w:val="single" w:sz="13"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271" w:type="dxa"/>
            <w:vMerge/>
            <w:tcBorders>
              <w:left w:val="single" w:sz="4" w:space="0" w:color="000000"/>
              <w:bottom w:val="single" w:sz="4" w:space="0" w:color="000000"/>
              <w:right w:val="single" w:sz="4" w:space="0" w:color="000000"/>
            </w:tcBorders>
          </w:tcPr>
          <w:p>
            <w:pPr/>
          </w:p>
        </w:tc>
      </w:tr>
      <w:tr>
        <w:trPr>
          <w:trHeight w:val="563" w:hRule="exact"/>
        </w:trPr>
        <w:tc>
          <w:tcPr>
            <w:tcW w:w="1702" w:type="dxa"/>
            <w:tcBorders>
              <w:top w:val="single" w:sz="48" w:space="0" w:color="D3D3D3"/>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46,624,316.22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55,398,610.68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-11.37%</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2"/>
              <w:jc w:val="left"/>
              <w:rPr>
                <w:rFonts w:ascii="宋体" w:hAnsi="宋体" w:cs="宋体" w:eastAsia="宋体" w:hint="default"/>
                <w:sz w:val="18"/>
                <w:szCs w:val="18"/>
              </w:rPr>
            </w:pPr>
            <w:r>
              <w:rPr>
                <w:rFonts w:ascii="宋体" w:hAnsi="宋体" w:cs="宋体" w:eastAsia="宋体" w:hint="default"/>
                <w:sz w:val="18"/>
                <w:szCs w:val="18"/>
              </w:rPr>
              <w:t>主要系公司信息安全产品订单减少所致。</w:t>
            </w: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8,554,925.34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14,630,650.60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2,590,616.28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1,937,024.68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12,913,317.24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14,961,556.89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15,832.33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70,155.56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1,768,973.00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3,726,588.97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8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345,978,413.01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22,138,240.03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46.92%</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7"/>
              <w:ind w:left="22" w:right="11"/>
              <w:jc w:val="left"/>
              <w:rPr>
                <w:rFonts w:ascii="宋体" w:hAnsi="宋体" w:cs="宋体" w:eastAsia="宋体" w:hint="default"/>
                <w:sz w:val="18"/>
                <w:szCs w:val="18"/>
              </w:rPr>
            </w:pPr>
            <w:r>
              <w:rPr>
                <w:rFonts w:ascii="宋体" w:hAnsi="宋体" w:cs="宋体" w:eastAsia="宋体" w:hint="default"/>
                <w:spacing w:val="9"/>
                <w:sz w:val="18"/>
                <w:szCs w:val="18"/>
              </w:rPr>
              <w:t>主要系本期公开发行股票并形成资本溢 </w:t>
            </w:r>
            <w:r>
              <w:rPr>
                <w:rFonts w:ascii="宋体" w:hAnsi="宋体" w:cs="宋体" w:eastAsia="宋体" w:hint="default"/>
                <w:sz w:val="18"/>
                <w:szCs w:val="18"/>
              </w:rPr>
              <w:t>价所致。</w:t>
            </w:r>
          </w:p>
        </w:tc>
      </w:tr>
      <w:tr>
        <w:trPr>
          <w:trHeight w:val="5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11,929,032.67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8,091,876.19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130,277,176.16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87,224,056.63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-62,488.27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-64,406.43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3271" w:type="dxa"/>
            <w:tcBorders>
              <w:top w:val="single" w:sz="4" w:space="0" w:color="000000"/>
              <w:left w:val="single" w:sz="4" w:space="0" w:color="000000"/>
              <w:bottom w:val="single" w:sz="4" w:space="0" w:color="000000"/>
              <w:right w:val="single" w:sz="4" w:space="0" w:color="000000"/>
            </w:tcBorders>
          </w:tcPr>
          <w:p>
            <w:pPr/>
          </w:p>
        </w:tc>
      </w:tr>
      <w:tr>
        <w:trPr>
          <w:trHeight w:val="5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8,057,758.53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1,624,046.38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32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534" w:right="6763"/>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551"/>
        <w:jc w:val="right"/>
      </w:pPr>
      <w:r>
        <w:rPr/>
        <w:t>单位：元</w:t>
      </w:r>
    </w:p>
    <w:p>
      <w:pPr>
        <w:spacing w:after="0" w:line="240" w:lineRule="auto"/>
        <w:jc w:val="right"/>
        <w:sectPr>
          <w:pgSz w:w="11910" w:h="16840"/>
          <w:pgMar w:header="997" w:footer="1252" w:top="1340" w:bottom="1440" w:left="600" w:right="580"/>
        </w:sectPr>
      </w:pPr>
    </w:p>
    <w:p>
      <w:pPr>
        <w:spacing w:line="240" w:lineRule="auto" w:before="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960"/>
        <w:gridCol w:w="1430"/>
        <w:gridCol w:w="1269"/>
        <w:gridCol w:w="1433"/>
        <w:gridCol w:w="1519"/>
        <w:gridCol w:w="1512"/>
      </w:tblGrid>
      <w:tr>
        <w:trPr>
          <w:trHeight w:val="185" w:hRule="exact"/>
        </w:trPr>
        <w:tc>
          <w:tcPr>
            <w:tcW w:w="29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9"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265" w:right="89" w:hanging="182"/>
              <w:jc w:val="left"/>
              <w:rPr>
                <w:rFonts w:ascii="宋体" w:hAnsi="宋体" w:cs="宋体" w:eastAsia="宋体" w:hint="default"/>
                <w:sz w:val="18"/>
                <w:szCs w:val="18"/>
              </w:rPr>
            </w:pPr>
            <w:r>
              <w:rPr>
                <w:rFonts w:ascii="宋体" w:hAnsi="宋体" w:cs="宋体" w:eastAsia="宋体" w:hint="default"/>
                <w:b/>
                <w:bCs/>
                <w:sz w:val="18"/>
                <w:szCs w:val="18"/>
              </w:rPr>
              <w:t>本期公允价值</w:t>
            </w:r>
            <w:r>
              <w:rPr>
                <w:rFonts w:ascii="宋体" w:hAnsi="宋体" w:cs="宋体" w:eastAsia="宋体" w:hint="default"/>
                <w:b/>
                <w:bCs/>
                <w:w w:val="99"/>
                <w:sz w:val="18"/>
                <w:szCs w:val="18"/>
              </w:rPr>
              <w:t> </w:t>
            </w:r>
            <w:r>
              <w:rPr>
                <w:rFonts w:ascii="宋体" w:hAnsi="宋体" w:cs="宋体" w:eastAsia="宋体" w:hint="default"/>
                <w:b/>
                <w:bCs/>
                <w:sz w:val="18"/>
                <w:szCs w:val="18"/>
              </w:rPr>
              <w:t>变动损益</w:t>
            </w:r>
            <w:r>
              <w:rPr>
                <w:rFonts w:ascii="宋体" w:hAnsi="宋体" w:cs="宋体" w:eastAsia="宋体" w:hint="default"/>
                <w:sz w:val="18"/>
                <w:szCs w:val="18"/>
              </w:rPr>
            </w:r>
          </w:p>
        </w:tc>
        <w:tc>
          <w:tcPr>
            <w:tcW w:w="1433"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72" w:right="74"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51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8" w:hRule="exact"/>
        </w:trPr>
        <w:tc>
          <w:tcPr>
            <w:tcW w:w="29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37"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269" w:type="dxa"/>
            <w:vMerge/>
            <w:tcBorders>
              <w:left w:val="single" w:sz="4" w:space="0" w:color="000000"/>
              <w:right w:val="single" w:sz="4" w:space="0" w:color="000000"/>
            </w:tcBorders>
            <w:shd w:val="clear" w:color="auto" w:fill="D3D3D3"/>
          </w:tcPr>
          <w:p>
            <w:pPr/>
          </w:p>
        </w:tc>
        <w:tc>
          <w:tcPr>
            <w:tcW w:w="1433" w:type="dxa"/>
            <w:vMerge/>
            <w:tcBorders>
              <w:left w:val="single" w:sz="4" w:space="0" w:color="000000"/>
              <w:right w:val="single" w:sz="4" w:space="0" w:color="000000"/>
            </w:tcBorders>
            <w:shd w:val="clear" w:color="auto" w:fill="D3D3D3"/>
          </w:tcPr>
          <w:p>
            <w:pPr/>
          </w:p>
        </w:tc>
        <w:tc>
          <w:tcPr>
            <w:tcW w:w="15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24" w:right="0"/>
              <w:jc w:val="left"/>
              <w:rPr>
                <w:rFonts w:ascii="宋体" w:hAnsi="宋体" w:cs="宋体" w:eastAsia="宋体" w:hint="default"/>
                <w:sz w:val="18"/>
                <w:szCs w:val="18"/>
              </w:rPr>
            </w:pPr>
            <w:r>
              <w:rPr>
                <w:rFonts w:ascii="宋体" w:hAnsi="宋体" w:cs="宋体" w:eastAsia="宋体" w:hint="default"/>
                <w:b/>
                <w:bCs/>
                <w:sz w:val="18"/>
                <w:szCs w:val="18"/>
              </w:rPr>
              <w:t>本期计提的减值</w:t>
            </w:r>
            <w:r>
              <w:rPr>
                <w:rFonts w:ascii="宋体" w:hAnsi="宋体" w:cs="宋体" w:eastAsia="宋体" w:hint="default"/>
                <w:sz w:val="18"/>
                <w:szCs w:val="18"/>
              </w:rPr>
            </w:r>
          </w:p>
        </w:tc>
        <w:tc>
          <w:tcPr>
            <w:tcW w:w="15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79"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184" w:hRule="exact"/>
        </w:trPr>
        <w:tc>
          <w:tcPr>
            <w:tcW w:w="29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9" w:type="dxa"/>
            <w:vMerge/>
            <w:tcBorders>
              <w:left w:val="single" w:sz="4" w:space="0" w:color="000000"/>
              <w:bottom w:val="single" w:sz="4" w:space="0" w:color="000000"/>
              <w:right w:val="single" w:sz="4" w:space="0" w:color="000000"/>
            </w:tcBorders>
            <w:shd w:val="clear" w:color="auto" w:fill="D3D3D3"/>
          </w:tcPr>
          <w:p>
            <w:pPr/>
          </w:p>
        </w:tc>
        <w:tc>
          <w:tcPr>
            <w:tcW w:w="1433" w:type="dxa"/>
            <w:vMerge/>
            <w:tcBorders>
              <w:left w:val="single" w:sz="4" w:space="0" w:color="000000"/>
              <w:bottom w:val="single" w:sz="4" w:space="0" w:color="000000"/>
              <w:right w:val="single" w:sz="4" w:space="0" w:color="000000"/>
            </w:tcBorders>
            <w:shd w:val="clear" w:color="auto" w:fill="D3D3D3"/>
          </w:tcPr>
          <w:p>
            <w:pPr/>
          </w:p>
        </w:tc>
        <w:tc>
          <w:tcPr>
            <w:tcW w:w="151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1012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727"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 </w:t>
            </w:r>
            <w:r>
              <w:rPr>
                <w:rFonts w:ascii="宋体" w:hAnsi="宋体" w:cs="宋体" w:eastAsia="宋体" w:hint="default"/>
                <w:spacing w:val="-4"/>
                <w:sz w:val="18"/>
                <w:szCs w:val="18"/>
              </w:rPr>
              <w:t>损益的金融资产（不含衍生金融资产</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173" w:lineRule="exact"/>
              <w:ind w:right="26"/>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02"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30" w:type="dxa"/>
            <w:tcBorders>
              <w:top w:val="single" w:sz="4" w:space="0" w:color="000000"/>
              <w:left w:val="single" w:sz="9" w:space="0" w:color="D3D3D3"/>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30" w:type="dxa"/>
            <w:tcBorders>
              <w:top w:val="single" w:sz="4" w:space="0" w:color="000000"/>
              <w:left w:val="single" w:sz="9" w:space="0" w:color="D3D3D3"/>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left="774" w:right="0"/>
        <w:jc w:val="left"/>
      </w:pPr>
      <w:r>
        <w:rPr/>
        <w:t>报告期内公司主要资产计量属性是否发生重大变化</w:t>
      </w:r>
    </w:p>
    <w:p>
      <w:pPr>
        <w:spacing w:line="240" w:lineRule="auto" w:before="9"/>
        <w:rPr>
          <w:rFonts w:ascii="宋体" w:hAnsi="宋体" w:cs="宋体" w:eastAsia="宋体" w:hint="default"/>
          <w:sz w:val="26"/>
          <w:szCs w:val="26"/>
        </w:rPr>
      </w:pPr>
    </w:p>
    <w:p>
      <w:pPr>
        <w:pStyle w:val="BodyText"/>
        <w:spacing w:line="240" w:lineRule="auto"/>
        <w:ind w:left="7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9"/>
        <w:rPr>
          <w:rFonts w:ascii="宋体" w:hAnsi="宋体" w:cs="宋体" w:eastAsia="宋体" w:hint="default"/>
          <w:sz w:val="23"/>
          <w:szCs w:val="23"/>
        </w:rPr>
      </w:pPr>
    </w:p>
    <w:p>
      <w:pPr>
        <w:pStyle w:val="Heading3"/>
        <w:spacing w:line="240" w:lineRule="auto"/>
        <w:ind w:left="354" w:right="0"/>
        <w:jc w:val="left"/>
      </w:pPr>
      <w:r>
        <w:rPr>
          <w:rFonts w:ascii="Cambria" w:hAnsi="Cambria" w:cs="Cambria" w:eastAsia="Cambria" w:hint="default"/>
        </w:rPr>
        <w:t>4</w:t>
      </w:r>
      <w:r>
        <w:rPr/>
        <w:t>、公司竞争能力重大变化分析</w:t>
      </w:r>
    </w:p>
    <w:p>
      <w:pPr>
        <w:pStyle w:val="BodyText"/>
        <w:spacing w:line="624" w:lineRule="exact" w:before="59"/>
        <w:ind w:left="773" w:right="0"/>
        <w:jc w:val="left"/>
      </w:pPr>
      <w:r>
        <w:rPr/>
        <w:t>报告期内，公司的无形资产、核心竞争力、核心技术团队及关键技术人员等不存在重大变化。 </w:t>
      </w:r>
      <w:r>
        <w:rPr>
          <w:spacing w:val="-1"/>
        </w:rPr>
        <w:t>公司著作权、专利及非专利技术均为自主研发，公司或其子公司拥有全部知识产权，不存知识产权纠</w:t>
      </w:r>
    </w:p>
    <w:p>
      <w:pPr>
        <w:pStyle w:val="BodyText"/>
        <w:spacing w:line="240" w:lineRule="auto" w:before="98"/>
        <w:ind w:left="353" w:right="0"/>
        <w:jc w:val="left"/>
      </w:pPr>
      <w:r>
        <w:rPr/>
        <w:t>纷问题。</w:t>
      </w:r>
    </w:p>
    <w:p>
      <w:pPr>
        <w:spacing w:line="240" w:lineRule="auto" w:before="9"/>
        <w:rPr>
          <w:rFonts w:ascii="宋体" w:hAnsi="宋体" w:cs="宋体" w:eastAsia="宋体" w:hint="default"/>
          <w:sz w:val="26"/>
          <w:szCs w:val="26"/>
        </w:rPr>
      </w:pPr>
    </w:p>
    <w:p>
      <w:pPr>
        <w:pStyle w:val="BodyText"/>
        <w:spacing w:line="240" w:lineRule="auto"/>
        <w:ind w:left="773" w:right="0"/>
        <w:jc w:val="left"/>
      </w:pPr>
      <w:r>
        <w:rPr>
          <w:rFonts w:ascii="Times New Roman" w:hAnsi="Times New Roman" w:cs="Times New Roman" w:eastAsia="Times New Roman" w:hint="default"/>
        </w:rPr>
        <w:t>2012</w:t>
      </w:r>
      <w:r>
        <w:rPr/>
        <w:t>年公司新增专利</w:t>
      </w:r>
      <w:r>
        <w:rPr>
          <w:rFonts w:ascii="Times New Roman" w:hAnsi="Times New Roman" w:cs="Times New Roman" w:eastAsia="Times New Roman" w:hint="default"/>
        </w:rPr>
        <w:t>13</w:t>
      </w:r>
      <w:r>
        <w:rPr/>
        <w:t>项，具体情况为：</w:t>
      </w:r>
    </w:p>
    <w:p>
      <w:pPr>
        <w:spacing w:line="240" w:lineRule="auto" w:before="8"/>
        <w:rPr>
          <w:rFonts w:ascii="宋体" w:hAnsi="宋体" w:cs="宋体" w:eastAsia="宋体" w:hint="default"/>
          <w:sz w:val="20"/>
          <w:szCs w:val="20"/>
        </w:rPr>
      </w:pPr>
    </w:p>
    <w:tbl>
      <w:tblPr>
        <w:tblW w:w="0" w:type="auto"/>
        <w:jc w:val="left"/>
        <w:tblInd w:w="346" w:type="dxa"/>
        <w:tblLayout w:type="fixed"/>
        <w:tblCellMar>
          <w:top w:w="0" w:type="dxa"/>
          <w:left w:w="0" w:type="dxa"/>
          <w:bottom w:w="0" w:type="dxa"/>
          <w:right w:w="0" w:type="dxa"/>
        </w:tblCellMar>
        <w:tblLook w:val="01E0"/>
      </w:tblPr>
      <w:tblGrid>
        <w:gridCol w:w="724"/>
        <w:gridCol w:w="2268"/>
        <w:gridCol w:w="1134"/>
        <w:gridCol w:w="1986"/>
        <w:gridCol w:w="1686"/>
        <w:gridCol w:w="1700"/>
      </w:tblGrid>
      <w:tr>
        <w:trPr>
          <w:trHeight w:val="393" w:hRule="exact"/>
        </w:trPr>
        <w:tc>
          <w:tcPr>
            <w:tcW w:w="7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73"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申请人</w:t>
            </w:r>
            <w:r>
              <w:rPr>
                <w:rFonts w:ascii="宋体" w:hAnsi="宋体" w:cs="宋体" w:eastAsia="宋体" w:hint="default"/>
                <w:sz w:val="18"/>
                <w:szCs w:val="18"/>
              </w:rPr>
            </w:r>
          </w:p>
        </w:tc>
      </w:tr>
      <w:tr>
        <w:trPr>
          <w:trHeight w:val="753"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仿真测试系统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ZL201020684642.5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4"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3" w:right="89"/>
              <w:jc w:val="left"/>
              <w:rPr>
                <w:rFonts w:ascii="宋体" w:hAnsi="宋体" w:cs="宋体" w:eastAsia="宋体" w:hint="default"/>
                <w:sz w:val="18"/>
                <w:szCs w:val="18"/>
              </w:rPr>
            </w:pPr>
            <w:r>
              <w:rPr>
                <w:rFonts w:ascii="宋体" w:hAnsi="宋体" w:cs="宋体" w:eastAsia="宋体" w:hint="default"/>
                <w:sz w:val="18"/>
                <w:szCs w:val="18"/>
              </w:rPr>
              <w:t>一种主板与多个适配卡联合 通信的装置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ZL201120461704.0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3"/>
              <w:ind w:left="3" w:right="89"/>
              <w:jc w:val="left"/>
              <w:rPr>
                <w:rFonts w:ascii="宋体" w:hAnsi="宋体" w:cs="宋体" w:eastAsia="宋体" w:hint="default"/>
                <w:sz w:val="18"/>
                <w:szCs w:val="18"/>
              </w:rPr>
            </w:pPr>
            <w:r>
              <w:rPr>
                <w:rFonts w:ascii="宋体" w:hAnsi="宋体" w:cs="宋体" w:eastAsia="宋体" w:hint="default"/>
                <w:sz w:val="18"/>
                <w:szCs w:val="18"/>
              </w:rPr>
              <w:t>一种操作嵌入式计算机系统 开发工具的装置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201020652740.0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109"/>
              <w:ind w:left="25"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接口控制文件解析处理器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201120330280.4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p>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bl>
    <w:p>
      <w:pPr>
        <w:spacing w:after="0" w:line="240" w:lineRule="auto"/>
        <w:jc w:val="center"/>
        <w:rPr>
          <w:rFonts w:ascii="宋体" w:hAnsi="宋体" w:cs="宋体" w:eastAsia="宋体" w:hint="default"/>
          <w:sz w:val="18"/>
          <w:szCs w:val="18"/>
        </w:rPr>
        <w:sectPr>
          <w:pgSz w:w="11910" w:h="16840"/>
          <w:pgMar w:header="997" w:footer="1252" w:top="1340" w:bottom="1440" w:left="780" w:right="760"/>
        </w:sectPr>
      </w:pPr>
    </w:p>
    <w:p>
      <w:pPr>
        <w:spacing w:line="240" w:lineRule="auto" w:before="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724"/>
        <w:gridCol w:w="2268"/>
        <w:gridCol w:w="1134"/>
        <w:gridCol w:w="1986"/>
        <w:gridCol w:w="1686"/>
        <w:gridCol w:w="1700"/>
      </w:tblGrid>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移动数据采集器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201130269995.9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日起至</w:t>
            </w:r>
          </w:p>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智能密钥设备</w:t>
            </w:r>
            <w:r>
              <w:rPr>
                <w:rFonts w:ascii="Times New Roman" w:hAnsi="Times New Roman" w:cs="Times New Roman" w:eastAsia="Times New Roman" w:hint="default"/>
                <w:sz w:val="18"/>
                <w:szCs w:val="18"/>
              </w:rPr>
              <w:t>(K3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型</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201130225379.3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日起至</w:t>
            </w:r>
          </w:p>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4"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智能密钥设备</w:t>
            </w:r>
            <w:r>
              <w:rPr>
                <w:rFonts w:ascii="Times New Roman" w:hAnsi="Times New Roman" w:cs="Times New Roman" w:eastAsia="Times New Roman" w:hint="default"/>
                <w:sz w:val="18"/>
                <w:szCs w:val="18"/>
              </w:rPr>
              <w:t>(K3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型</w:t>
            </w:r>
            <w:r>
              <w:rPr>
                <w:rFonts w:ascii="Times New Roman" w:hAnsi="Times New Roman" w:cs="Times New Roman" w:eastAsia="Times New Roman"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201130343719.2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日起至</w:t>
            </w:r>
          </w:p>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信号中继站</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201120461833.X</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3" w:right="89"/>
              <w:jc w:val="left"/>
              <w:rPr>
                <w:rFonts w:ascii="宋体" w:hAnsi="宋体" w:cs="宋体" w:eastAsia="宋体" w:hint="default"/>
                <w:sz w:val="18"/>
                <w:szCs w:val="18"/>
              </w:rPr>
            </w:pPr>
            <w:r>
              <w:rPr>
                <w:rFonts w:ascii="宋体" w:hAnsi="宋体" w:cs="宋体" w:eastAsia="宋体" w:hint="default"/>
                <w:sz w:val="18"/>
                <w:szCs w:val="18"/>
              </w:rPr>
              <w:t>专用网中电流型模拟信号的 传输系统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201120461781.6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3" w:right="88"/>
              <w:jc w:val="left"/>
              <w:rPr>
                <w:rFonts w:ascii="宋体" w:hAnsi="宋体" w:cs="宋体" w:eastAsia="宋体" w:hint="default"/>
                <w:sz w:val="18"/>
                <w:szCs w:val="18"/>
              </w:rPr>
            </w:pPr>
            <w:r>
              <w:rPr>
                <w:rFonts w:ascii="宋体" w:hAnsi="宋体" w:cs="宋体" w:eastAsia="宋体" w:hint="default"/>
                <w:sz w:val="18"/>
                <w:szCs w:val="18"/>
              </w:rPr>
              <w:t>专用网中电压型模拟信号的 传输系统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201120462505.1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3" w:right="88"/>
              <w:jc w:val="left"/>
              <w:rPr>
                <w:rFonts w:ascii="宋体" w:hAnsi="宋体" w:cs="宋体" w:eastAsia="宋体" w:hint="default"/>
                <w:sz w:val="18"/>
                <w:szCs w:val="18"/>
              </w:rPr>
            </w:pPr>
            <w:r>
              <w:rPr>
                <w:rFonts w:ascii="宋体" w:hAnsi="宋体" w:cs="宋体" w:eastAsia="宋体" w:hint="default"/>
                <w:sz w:val="18"/>
                <w:szCs w:val="18"/>
              </w:rPr>
              <w:t>专用网中电阻型模拟信号的 传输系统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201120461664.X</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2"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3" w:right="88"/>
              <w:jc w:val="left"/>
              <w:rPr>
                <w:rFonts w:ascii="宋体" w:hAnsi="宋体" w:cs="宋体" w:eastAsia="宋体" w:hint="default"/>
                <w:sz w:val="18"/>
                <w:szCs w:val="18"/>
              </w:rPr>
            </w:pPr>
            <w:r>
              <w:rPr>
                <w:rFonts w:ascii="宋体" w:hAnsi="宋体" w:cs="宋体" w:eastAsia="宋体" w:hint="default"/>
                <w:sz w:val="18"/>
                <w:szCs w:val="18"/>
              </w:rPr>
              <w:t>专用网中以太网信号的传输 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201120461698.9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54"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中继卡和中继系统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201120461815.1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p>
          <w:p>
            <w:pPr>
              <w:pStyle w:val="TableParagraph"/>
              <w:spacing w:line="240" w:lineRule="auto" w:before="109"/>
              <w:ind w:left="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旋极信息</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rFonts w:ascii="Times New Roman" w:hAnsi="Times New Roman" w:cs="Times New Roman" w:eastAsia="Times New Roman" w:hint="default"/>
        </w:rPr>
        <w:t>2012</w:t>
      </w:r>
      <w:r>
        <w:rPr/>
        <w:t>年公司及子公司新增软件著作权</w:t>
      </w:r>
      <w:r>
        <w:rPr>
          <w:rFonts w:ascii="Times New Roman" w:hAnsi="Times New Roman" w:cs="Times New Roman" w:eastAsia="Times New Roman" w:hint="default"/>
        </w:rPr>
        <w:t>4</w:t>
      </w:r>
      <w:r>
        <w:rPr/>
        <w:t>项，具体情况为：</w:t>
      </w:r>
    </w:p>
    <w:p>
      <w:pPr>
        <w:spacing w:line="240" w:lineRule="auto" w:before="8"/>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568"/>
        <w:gridCol w:w="2551"/>
        <w:gridCol w:w="1417"/>
        <w:gridCol w:w="1134"/>
        <w:gridCol w:w="1134"/>
        <w:gridCol w:w="866"/>
        <w:gridCol w:w="1700"/>
      </w:tblGrid>
      <w:tr>
        <w:trPr>
          <w:trHeight w:val="503"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登记日</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97"/>
              <w:jc w:val="right"/>
              <w:rPr>
                <w:rFonts w:ascii="宋体" w:hAnsi="宋体" w:cs="宋体" w:eastAsia="宋体" w:hint="default"/>
                <w:sz w:val="18"/>
                <w:szCs w:val="18"/>
              </w:rPr>
            </w:pPr>
            <w:r>
              <w:rPr>
                <w:rFonts w:ascii="宋体" w:hAnsi="宋体" w:cs="宋体" w:eastAsia="宋体" w:hint="default"/>
                <w:b/>
                <w:bCs/>
                <w:w w:val="95"/>
                <w:sz w:val="18"/>
                <w:szCs w:val="18"/>
              </w:rPr>
              <w:t>取得方式</w:t>
            </w:r>
            <w:r>
              <w:rPr>
                <w:rFonts w:ascii="宋体" w:hAnsi="宋体" w:cs="宋体" w:eastAsia="宋体" w:hint="default"/>
                <w:sz w:val="18"/>
                <w:szCs w:val="18"/>
              </w:rPr>
            </w:r>
          </w:p>
        </w:tc>
        <w:tc>
          <w:tcPr>
            <w:tcW w:w="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481" w:right="0"/>
              <w:jc w:val="left"/>
              <w:rPr>
                <w:rFonts w:ascii="宋体" w:hAnsi="宋体" w:cs="宋体" w:eastAsia="宋体" w:hint="default"/>
                <w:sz w:val="18"/>
                <w:szCs w:val="18"/>
              </w:rPr>
            </w:pPr>
            <w:r>
              <w:rPr>
                <w:rFonts w:ascii="宋体" w:hAnsi="宋体" w:cs="宋体" w:eastAsia="宋体" w:hint="default"/>
                <w:b/>
                <w:bCs/>
                <w:sz w:val="18"/>
                <w:szCs w:val="18"/>
              </w:rPr>
              <w:t>发表日期</w:t>
            </w:r>
            <w:r>
              <w:rPr>
                <w:rFonts w:ascii="宋体" w:hAnsi="宋体" w:cs="宋体" w:eastAsia="宋体" w:hint="default"/>
                <w:sz w:val="18"/>
                <w:szCs w:val="18"/>
              </w:rPr>
            </w:r>
          </w:p>
        </w:tc>
      </w:tr>
      <w:tr>
        <w:trPr>
          <w:trHeight w:val="50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QAC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报告生成器软件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2012SR056731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2012-06-29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98"/>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上海旋极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504"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单元测试工具报告生成器软件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2012SR056193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2012-06-28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98"/>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上海旋极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1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tc>
      </w:tr>
      <w:tr>
        <w:trPr>
          <w:trHeight w:val="50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3</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标编码规则集软件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2012SR056190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2012-06-28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8"/>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上海旋极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50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星载单机主控通信仿真测试软件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2012SR056132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2012-06-28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98"/>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上海旋极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5</w:t>
      </w:r>
      <w:r>
        <w:rPr/>
        <w:t>、投资状况分析</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51"/>
        <w:jc w:val="right"/>
      </w:pPr>
      <w:r>
        <w:rPr/>
        <w:t>单位：万元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088"/>
        <w:gridCol w:w="5479"/>
      </w:tblGrid>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b/>
                <w:bCs/>
                <w:sz w:val="18"/>
                <w:szCs w:val="18"/>
              </w:rPr>
              <w:t>募集资金总额</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33,784.02</w:t>
            </w: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报告期投入募集资金总额</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7,240.79(</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已累计投入募集资金总额</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7,240.79</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809" w:type="dxa"/>
        <w:tblLayout w:type="fixed"/>
        <w:tblCellMar>
          <w:top w:w="0" w:type="dxa"/>
          <w:left w:w="0" w:type="dxa"/>
          <w:bottom w:w="0" w:type="dxa"/>
          <w:right w:w="0" w:type="dxa"/>
        </w:tblCellMar>
        <w:tblLook w:val="01E0"/>
      </w:tblPr>
      <w:tblGrid>
        <w:gridCol w:w="4088"/>
        <w:gridCol w:w="5479"/>
      </w:tblGrid>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报告期内变更用途的募集资金总额</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b/>
                <w:bCs/>
                <w:sz w:val="18"/>
                <w:szCs w:val="18"/>
              </w:rPr>
              <w:t>累计变更用途的募集资金总额</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b/>
                <w:bCs/>
                <w:sz w:val="18"/>
                <w:szCs w:val="18"/>
              </w:rPr>
              <w:t>累计变更用途的募集资金总额比例（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募集资金总体使用情况说明</w:t>
            </w:r>
            <w:r>
              <w:rPr>
                <w:rFonts w:ascii="宋体" w:hAnsi="宋体" w:cs="宋体" w:eastAsia="宋体" w:hint="default"/>
                <w:sz w:val="18"/>
                <w:szCs w:val="18"/>
              </w:rPr>
            </w:r>
          </w:p>
        </w:tc>
      </w:tr>
      <w:tr>
        <w:trPr>
          <w:trHeight w:val="180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22" w:right="21" w:firstLine="36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[2012]593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号《关于核准北京旋极信息技术股份有限公司首次公开发行股票 并在创业板上市的批复》核准，首次向社会公众发行人民币普通股（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万股，每股面值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元，每股发行价</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格为人民币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27.00 </w:t>
            </w:r>
            <w:r>
              <w:rPr>
                <w:rFonts w:ascii="宋体" w:hAnsi="宋体" w:cs="宋体" w:eastAsia="宋体" w:hint="default"/>
                <w:sz w:val="18"/>
                <w:szCs w:val="18"/>
              </w:rPr>
              <w:t>元，募集资金总额为人民币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378,000,000.00 </w:t>
            </w:r>
            <w:r>
              <w:rPr>
                <w:rFonts w:ascii="宋体" w:hAnsi="宋体" w:cs="宋体" w:eastAsia="宋体" w:hint="default"/>
                <w:sz w:val="18"/>
                <w:szCs w:val="18"/>
              </w:rPr>
              <w:t>元，扣除各项发行费用合计人民币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40,159,827.02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w:t>
            </w: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集资金净额为人民币 </w:t>
            </w:r>
            <w:r>
              <w:rPr>
                <w:rFonts w:ascii="Times New Roman" w:hAnsi="Times New Roman" w:cs="Times New Roman" w:eastAsia="Times New Roman" w:hint="default"/>
                <w:sz w:val="18"/>
                <w:szCs w:val="18"/>
              </w:rPr>
              <w:t>337,840,172.98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元。上述募集资金到位情况业经信永中和会计师事务所有限责任公司验证，并出具</w:t>
            </w: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XYZH/20</w:t>
            </w:r>
            <w:r>
              <w:rPr>
                <w:rFonts w:ascii="Times New Roman" w:hAnsi="Times New Roman" w:cs="Times New Roman" w:eastAsia="Times New Roman" w:hint="default"/>
                <w:spacing w:val="-7"/>
                <w:sz w:val="18"/>
                <w:szCs w:val="18"/>
              </w:rPr>
              <w:t>1</w:t>
            </w:r>
            <w:r>
              <w:rPr>
                <w:rFonts w:ascii="Times New Roman" w:hAnsi="Times New Roman" w:cs="Times New Roman" w:eastAsia="Times New Roman" w:hint="default"/>
                <w:sz w:val="18"/>
                <w:szCs w:val="18"/>
              </w:rPr>
              <w:t>1JNA3058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验</w:t>
            </w:r>
            <w:r>
              <w:rPr>
                <w:rFonts w:ascii="宋体" w:hAnsi="宋体" w:cs="宋体" w:eastAsia="宋体" w:hint="default"/>
                <w:sz w:val="18"/>
                <w:szCs w:val="18"/>
              </w:rPr>
              <w:t>资报告</w:t>
            </w:r>
            <w:r>
              <w:rPr>
                <w:rFonts w:ascii="宋体" w:hAnsi="宋体" w:cs="宋体" w:eastAsia="宋体" w:hint="default"/>
                <w:spacing w:val="-90"/>
                <w:sz w:val="18"/>
                <w:szCs w:val="18"/>
              </w:rPr>
              <w:t>》</w:t>
            </w:r>
            <w:r>
              <w:rPr>
                <w:rFonts w:ascii="宋体" w:hAnsi="宋体" w:cs="宋体" w:eastAsia="宋体" w:hint="default"/>
                <w:sz w:val="18"/>
                <w:szCs w:val="18"/>
              </w:rPr>
              <w:t>。公司对募集资金采取了专户存储制度。</w:t>
            </w:r>
          </w:p>
        </w:tc>
      </w:tr>
    </w:tbl>
    <w:p>
      <w:pPr>
        <w:spacing w:line="240" w:lineRule="auto" w:before="4"/>
        <w:rPr>
          <w:rFonts w:ascii="宋体" w:hAnsi="宋体" w:cs="宋体" w:eastAsia="宋体" w:hint="default"/>
          <w:sz w:val="15"/>
          <w:szCs w:val="15"/>
        </w:rPr>
      </w:pPr>
    </w:p>
    <w:p>
      <w:pPr>
        <w:spacing w:before="44"/>
        <w:ind w:left="1174" w:right="72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本年度投入募集资金总额</w:t>
      </w:r>
      <w:r>
        <w:rPr>
          <w:rFonts w:ascii="Times New Roman" w:hAnsi="Times New Roman" w:cs="Times New Roman" w:eastAsia="Times New Roman" w:hint="default"/>
          <w:sz w:val="18"/>
          <w:szCs w:val="18"/>
        </w:rPr>
        <w:t>”</w:t>
      </w:r>
      <w:r>
        <w:rPr>
          <w:rFonts w:ascii="宋体" w:hAnsi="宋体" w:cs="宋体" w:eastAsia="宋体" w:hint="default"/>
          <w:sz w:val="18"/>
          <w:szCs w:val="18"/>
        </w:rPr>
        <w:t>包括募集资金到账后</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本年度投入金额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及实际已置换先期投入金额。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814" w:right="72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7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82" w:lineRule="exact"/>
        <w:ind w:left="648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5.1pt;height:19.150pt;mso-position-horizontal-relative:char;mso-position-vertical-relative:line" coordorigin="0,0" coordsize="1102,383">
            <v:group style="position:absolute;left:11;top:11;width:2;height:360" coordorigin="11,11" coordsize="2,360">
              <v:shape style="position:absolute;left:11;top:11;width:2;height:360" coordorigin="11,11" coordsize="0,360" path="m11,11l11,371e" filled="false" stroked="true" strokeweight="1.140pt" strokecolor="#ffffff">
                <v:path arrowok="t"/>
              </v:shape>
            </v:group>
            <v:group style="position:absolute;left:23;top:12;width:1079;height:359" coordorigin="23,12" coordsize="1079,359">
              <v:shape style="position:absolute;left:23;top:12;width:1079;height:359" coordorigin="23,12" coordsize="1079,359" path="m23,371l1102,371,1102,12,23,12,23,371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01" w:firstLine="0"/>
        <w:jc w:val="right"/>
        <w:rPr>
          <w:rFonts w:ascii="宋体" w:hAnsi="宋体" w:cs="宋体" w:eastAsia="宋体" w:hint="default"/>
          <w:sz w:val="18"/>
          <w:szCs w:val="18"/>
        </w:rPr>
      </w:pPr>
      <w:r>
        <w:rPr/>
        <w:pict>
          <v:shape style="position:absolute;margin-left:21pt;margin-top:-366.467896pt;width:546.5pt;height:383.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48"/>
                    <w:gridCol w:w="854"/>
                    <w:gridCol w:w="851"/>
                    <w:gridCol w:w="708"/>
                    <w:gridCol w:w="1134"/>
                    <w:gridCol w:w="1138"/>
                    <w:gridCol w:w="990"/>
                    <w:gridCol w:w="712"/>
                    <w:gridCol w:w="699"/>
                    <w:gridCol w:w="998"/>
                  </w:tblGrid>
                  <w:tr>
                    <w:trPr>
                      <w:trHeight w:val="108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715" w:right="83" w:hanging="632"/>
                          <w:jc w:val="left"/>
                          <w:rPr>
                            <w:rFonts w:ascii="宋体" w:hAnsi="宋体" w:cs="宋体" w:eastAsia="宋体" w:hint="default"/>
                            <w:sz w:val="18"/>
                            <w:szCs w:val="18"/>
                          </w:rPr>
                        </w:pPr>
                        <w:r>
                          <w:rPr>
                            <w:rFonts w:ascii="宋体" w:hAnsi="宋体" w:cs="宋体" w:eastAsia="宋体" w:hint="default"/>
                            <w:b/>
                            <w:bCs/>
                            <w:sz w:val="18"/>
                            <w:szCs w:val="18"/>
                          </w:rPr>
                          <w:t>承诺投资项目和超募资</w:t>
                        </w:r>
                        <w:r>
                          <w:rPr>
                            <w:rFonts w:ascii="宋体" w:hAnsi="宋体" w:cs="宋体" w:eastAsia="宋体" w:hint="default"/>
                            <w:b/>
                            <w:bCs/>
                            <w:w w:val="99"/>
                            <w:sz w:val="18"/>
                            <w:szCs w:val="18"/>
                          </w:rPr>
                          <w:t> </w:t>
                        </w:r>
                        <w:r>
                          <w:rPr>
                            <w:rFonts w:ascii="宋体" w:hAnsi="宋体" w:cs="宋体" w:eastAsia="宋体" w:hint="default"/>
                            <w:b/>
                            <w:bCs/>
                            <w:sz w:val="18"/>
                            <w:szCs w:val="18"/>
                          </w:rPr>
                          <w:t>金投向</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5" w:lineRule="auto" w:before="33"/>
                          <w:ind w:left="30" w:right="22" w:firstLine="3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是否已变</w:t>
                        </w:r>
                        <w:r>
                          <w:rPr>
                            <w:rFonts w:ascii="宋体" w:hAnsi="宋体" w:cs="宋体" w:eastAsia="宋体" w:hint="default"/>
                            <w:b/>
                            <w:bCs/>
                            <w:w w:val="99"/>
                            <w:sz w:val="18"/>
                            <w:szCs w:val="18"/>
                          </w:rPr>
                          <w:t> </w:t>
                        </w:r>
                        <w:r>
                          <w:rPr>
                            <w:rFonts w:ascii="宋体" w:hAnsi="宋体" w:cs="宋体" w:eastAsia="宋体" w:hint="default"/>
                            <w:b/>
                            <w:bCs/>
                            <w:sz w:val="18"/>
                            <w:szCs w:val="18"/>
                          </w:rPr>
                          <w:t>更项目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w:t>
                        </w:r>
                        <w:r>
                          <w:rPr>
                            <w:rFonts w:ascii="宋体" w:hAnsi="宋体" w:cs="宋体" w:eastAsia="宋体" w:hint="default"/>
                            <w:b/>
                            <w:bCs/>
                            <w:w w:val="99"/>
                            <w:sz w:val="18"/>
                            <w:szCs w:val="18"/>
                          </w:rPr>
                          <w:t> </w:t>
                        </w:r>
                        <w:r>
                          <w:rPr>
                            <w:rFonts w:ascii="宋体" w:hAnsi="宋体" w:cs="宋体" w:eastAsia="宋体" w:hint="default"/>
                            <w:b/>
                            <w:bCs/>
                            <w:sz w:val="18"/>
                            <w:szCs w:val="18"/>
                          </w:rPr>
                          <w:t>部分变更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62" w:right="56"/>
                          <w:jc w:val="center"/>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承诺投资</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44" w:right="41" w:firstLine="1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调整后投</w:t>
                        </w:r>
                        <w:r>
                          <w:rPr>
                            <w:rFonts w:ascii="宋体" w:hAnsi="宋体" w:cs="宋体" w:eastAsia="宋体" w:hint="default"/>
                            <w:b/>
                            <w:bCs/>
                            <w:w w:val="99"/>
                            <w:sz w:val="18"/>
                            <w:szCs w:val="18"/>
                          </w:rPr>
                          <w:t> </w:t>
                        </w:r>
                        <w:r>
                          <w:rPr>
                            <w:rFonts w:ascii="宋体" w:hAnsi="宋体" w:cs="宋体" w:eastAsia="宋体" w:hint="default"/>
                            <w:b/>
                            <w:bCs/>
                            <w:sz w:val="18"/>
                            <w:szCs w:val="18"/>
                          </w:rPr>
                          <w:t>资总额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6" w:right="77"/>
                          <w:jc w:val="both"/>
                          <w:rPr>
                            <w:rFonts w:ascii="宋体" w:hAnsi="宋体" w:cs="宋体" w:eastAsia="宋体" w:hint="default"/>
                            <w:sz w:val="18"/>
                            <w:szCs w:val="18"/>
                          </w:rPr>
                        </w:pPr>
                        <w:r>
                          <w:rPr>
                            <w:rFonts w:ascii="宋体" w:hAnsi="宋体" w:cs="宋体" w:eastAsia="宋体" w:hint="default"/>
                            <w:b/>
                            <w:bCs/>
                            <w:sz w:val="18"/>
                            <w:szCs w:val="18"/>
                          </w:rPr>
                          <w:t>本报告</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期投入</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8" w:lineRule="auto" w:before="33"/>
                          <w:ind w:left="109" w:right="108"/>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计投入金额</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34" w:right="39" w:firstLine="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资进度</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sz w:val="18"/>
                            <w:szCs w:val="18"/>
                          </w:rPr>
                        </w:r>
                      </w:p>
                      <w:p>
                        <w:pPr>
                          <w:pStyle w:val="TableParagraph"/>
                          <w:spacing w:line="240" w:lineRule="auto" w:before="6"/>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35" w:right="37"/>
                          <w:jc w:val="center"/>
                          <w:rPr>
                            <w:rFonts w:ascii="宋体" w:hAnsi="宋体" w:cs="宋体" w:eastAsia="宋体" w:hint="default"/>
                            <w:sz w:val="18"/>
                            <w:szCs w:val="18"/>
                          </w:rPr>
                        </w:pPr>
                        <w:r>
                          <w:rPr>
                            <w:rFonts w:ascii="宋体" w:hAnsi="宋体" w:cs="宋体" w:eastAsia="宋体" w:hint="default"/>
                            <w:b/>
                            <w:bCs/>
                            <w:sz w:val="18"/>
                            <w:szCs w:val="18"/>
                          </w:rPr>
                          <w:t>项目达到预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定可使用状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态日期</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6" w:right="79"/>
                          <w:jc w:val="both"/>
                          <w:rPr>
                            <w:rFonts w:ascii="宋体" w:hAnsi="宋体" w:cs="宋体" w:eastAsia="宋体" w:hint="default"/>
                            <w:sz w:val="18"/>
                            <w:szCs w:val="18"/>
                          </w:rPr>
                        </w:pPr>
                        <w:r>
                          <w:rPr>
                            <w:rFonts w:ascii="宋体" w:hAnsi="宋体" w:cs="宋体" w:eastAsia="宋体" w:hint="default"/>
                            <w:b/>
                            <w:bCs/>
                            <w:sz w:val="18"/>
                            <w:szCs w:val="18"/>
                          </w:rPr>
                          <w:t>本报告</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期实现</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的效益</w:t>
                        </w:r>
                        <w:r>
                          <w:rPr>
                            <w:rFonts w:ascii="宋体" w:hAnsi="宋体" w:cs="宋体" w:eastAsia="宋体" w:hint="default"/>
                            <w:sz w:val="18"/>
                            <w:szCs w:val="18"/>
                          </w:rPr>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4" w:right="69"/>
                          <w:jc w:val="both"/>
                          <w:rPr>
                            <w:rFonts w:ascii="宋体" w:hAnsi="宋体" w:cs="宋体" w:eastAsia="宋体" w:hint="default"/>
                            <w:sz w:val="18"/>
                            <w:szCs w:val="18"/>
                          </w:rPr>
                        </w:pPr>
                        <w:r>
                          <w:rPr>
                            <w:rFonts w:ascii="宋体" w:hAnsi="宋体" w:cs="宋体" w:eastAsia="宋体" w:hint="default"/>
                            <w:b/>
                            <w:bCs/>
                            <w:sz w:val="18"/>
                            <w:szCs w:val="18"/>
                          </w:rPr>
                          <w:t>是否达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到预计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效益</w:t>
                        </w:r>
                        <w:r>
                          <w:rPr>
                            <w:rFonts w:ascii="宋体" w:hAnsi="宋体" w:cs="宋体" w:eastAsia="宋体"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5" w:right="36"/>
                          <w:jc w:val="center"/>
                          <w:rPr>
                            <w:rFonts w:ascii="宋体" w:hAnsi="宋体" w:cs="宋体" w:eastAsia="宋体" w:hint="default"/>
                            <w:sz w:val="18"/>
                            <w:szCs w:val="18"/>
                          </w:rPr>
                        </w:pPr>
                        <w:r>
                          <w:rPr>
                            <w:rFonts w:ascii="宋体" w:hAnsi="宋体" w:cs="宋体" w:eastAsia="宋体" w:hint="default"/>
                            <w:b/>
                            <w:bCs/>
                            <w:sz w:val="18"/>
                            <w:szCs w:val="18"/>
                          </w:rPr>
                          <w:t>项目可行性</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是否发生重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大变化</w:t>
                        </w:r>
                        <w:r>
                          <w:rPr>
                            <w:rFonts w:ascii="宋体" w:hAnsi="宋体" w:cs="宋体" w:eastAsia="宋体" w:hint="default"/>
                            <w:sz w:val="18"/>
                            <w:szCs w:val="18"/>
                          </w:rPr>
                        </w:r>
                      </w:p>
                    </w:tc>
                  </w:tr>
                  <w:tr>
                    <w:trPr>
                      <w:trHeight w:val="370" w:hRule="exact"/>
                    </w:trPr>
                    <w:tc>
                      <w:tcPr>
                        <w:tcW w:w="1091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承诺投资项目</w:t>
                        </w:r>
                        <w:r>
                          <w:rPr>
                            <w:rFonts w:ascii="宋体" w:hAnsi="宋体" w:cs="宋体" w:eastAsia="宋体" w:hint="default"/>
                            <w:sz w:val="18"/>
                            <w:szCs w:val="18"/>
                          </w:rPr>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66" w:right="86" w:hanging="180"/>
                          <w:jc w:val="left"/>
                          <w:rPr>
                            <w:rFonts w:ascii="宋体" w:hAnsi="宋体" w:cs="宋体" w:eastAsia="宋体" w:hint="default"/>
                            <w:sz w:val="18"/>
                            <w:szCs w:val="18"/>
                          </w:rPr>
                        </w:pPr>
                        <w:r>
                          <w:rPr>
                            <w:rFonts w:ascii="宋体" w:hAnsi="宋体" w:cs="宋体" w:eastAsia="宋体" w:hint="default"/>
                            <w:sz w:val="18"/>
                            <w:szCs w:val="18"/>
                          </w:rPr>
                          <w:t>新一代航空总线产品的 研制及产业化项目</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5,255.4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5,255.4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1,489.6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1,489.6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28.34%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171.81</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176" w:right="86" w:hanging="90"/>
                          <w:jc w:val="left"/>
                          <w:rPr>
                            <w:rFonts w:ascii="宋体" w:hAnsi="宋体" w:cs="宋体" w:eastAsia="宋体" w:hint="default"/>
                            <w:sz w:val="18"/>
                            <w:szCs w:val="18"/>
                          </w:rPr>
                        </w:pPr>
                        <w:r>
                          <w:rPr>
                            <w:rFonts w:ascii="宋体" w:hAnsi="宋体" w:cs="宋体" w:eastAsia="宋体" w:hint="default"/>
                            <w:sz w:val="18"/>
                            <w:szCs w:val="18"/>
                          </w:rPr>
                          <w:t>网上银行客户端安全产 品研发及产业化项目</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3,942.08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3,942.08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620.77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15.75%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4.41</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536" w:right="86" w:hanging="450"/>
                          <w:jc w:val="left"/>
                          <w:rPr>
                            <w:rFonts w:ascii="宋体" w:hAnsi="宋体" w:cs="宋体" w:eastAsia="宋体" w:hint="default"/>
                            <w:sz w:val="18"/>
                            <w:szCs w:val="18"/>
                          </w:rPr>
                        </w:pPr>
                        <w:r>
                          <w:rPr>
                            <w:rFonts w:ascii="宋体" w:hAnsi="宋体" w:cs="宋体" w:eastAsia="宋体" w:hint="default"/>
                            <w:sz w:val="18"/>
                            <w:szCs w:val="18"/>
                          </w:rPr>
                          <w:t>行业智能移动终端及应 用系统项目</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3,471.4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3,471.4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930.38</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328" w:val="left" w:leader="none"/>
                          </w:tabs>
                          <w:spacing w:line="240" w:lineRule="auto"/>
                          <w:ind w:left="-124" w:right="33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26.8%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167</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361" w:right="0"/>
                          <w:jc w:val="lef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12,668.88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12,668.88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3,040.75</w:t>
                        </w:r>
                      </w:p>
                    </w:tc>
                    <w:tc>
                      <w:tcPr>
                        <w:tcW w:w="113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3"/>
                          <w:ind w:left="10" w:right="0"/>
                          <w:jc w:val="center"/>
                          <w:rPr>
                            <w:rFonts w:ascii="Times New Roman" w:hAnsi="Times New Roman" w:cs="Times New Roman" w:eastAsia="Times New Roman" w:hint="default"/>
                            <w:sz w:val="18"/>
                            <w:szCs w:val="18"/>
                          </w:rPr>
                        </w:pPr>
                        <w:r>
                          <w:rPr>
                            <w:rFonts w:ascii="Times New Roman"/>
                            <w:sz w:val="18"/>
                          </w:rPr>
                          <w:t>3,040.75</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343.22</w:t>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437" w:right="0"/>
                          <w:jc w:val="left"/>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1091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超募资金投向</w:t>
                        </w:r>
                        <w:r>
                          <w:rPr>
                            <w:rFonts w:ascii="宋体" w:hAnsi="宋体" w:cs="宋体" w:eastAsia="宋体" w:hint="default"/>
                            <w:sz w:val="18"/>
                            <w:szCs w:val="18"/>
                          </w:rPr>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手续费支出</w:t>
                        </w:r>
                      </w:p>
                    </w:tc>
                    <w:tc>
                      <w:tcPr>
                        <w:tcW w:w="84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0.04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54"/>
                          <w:jc w:val="right"/>
                          <w:rPr>
                            <w:rFonts w:ascii="Times New Roman" w:hAnsi="Times New Roman" w:cs="Times New Roman" w:eastAsia="Times New Roman" w:hint="default"/>
                            <w:sz w:val="18"/>
                            <w:szCs w:val="18"/>
                          </w:rPr>
                        </w:pPr>
                        <w:r>
                          <w:rPr>
                            <w:rFonts w:ascii="Times New Roman"/>
                            <w:sz w:val="18"/>
                          </w:rPr>
                          <w:t>100%</w:t>
                        </w:r>
                      </w:p>
                    </w:tc>
                    <w:tc>
                      <w:tcPr>
                        <w:tcW w:w="990"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361" w:right="0"/>
                          <w:jc w:val="lef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4,200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4,200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4,200</w:t>
                        </w:r>
                      </w:p>
                    </w:tc>
                    <w:tc>
                      <w:tcPr>
                        <w:tcW w:w="113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73"/>
                          <w:ind w:right="349"/>
                          <w:jc w:val="right"/>
                          <w:rPr>
                            <w:rFonts w:ascii="Times New Roman" w:hAnsi="Times New Roman" w:cs="Times New Roman" w:eastAsia="Times New Roman" w:hint="default"/>
                            <w:sz w:val="18"/>
                            <w:szCs w:val="18"/>
                          </w:rPr>
                        </w:pPr>
                        <w:r>
                          <w:rPr>
                            <w:rFonts w:ascii="Times New Roman"/>
                            <w:sz w:val="18"/>
                          </w:rPr>
                          <w:t>100%</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437" w:right="0"/>
                          <w:jc w:val="left"/>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361" w:right="0"/>
                          <w:jc w:val="lef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4,200.04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4,200.04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4,200.04</w:t>
                        </w:r>
                      </w:p>
                    </w:tc>
                    <w:tc>
                      <w:tcPr>
                        <w:tcW w:w="113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3"/>
                          <w:ind w:left="10" w:right="0"/>
                          <w:jc w:val="center"/>
                          <w:rPr>
                            <w:rFonts w:ascii="Times New Roman" w:hAnsi="Times New Roman" w:cs="Times New Roman" w:eastAsia="Times New Roman" w:hint="default"/>
                            <w:sz w:val="18"/>
                            <w:szCs w:val="18"/>
                          </w:rPr>
                        </w:pPr>
                        <w:r>
                          <w:rPr>
                            <w:rFonts w:ascii="Times New Roman"/>
                            <w:sz w:val="18"/>
                          </w:rPr>
                          <w:t>4,200.04</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13" w:space="0" w:color="D3D3D3"/>
                          <w:bottom w:val="single" w:sz="4" w:space="0" w:color="000000"/>
                          <w:right w:val="single" w:sz="13" w:space="0" w:color="D3D3D3"/>
                        </w:tcBorders>
                      </w:tcPr>
                      <w:p>
                        <w:pP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437" w:right="0"/>
                          <w:jc w:val="lef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361" w:right="0"/>
                          <w:jc w:val="lef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16,868.92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16,868.92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7,240.79</w:t>
                        </w:r>
                      </w:p>
                    </w:tc>
                    <w:tc>
                      <w:tcPr>
                        <w:tcW w:w="113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4"/>
                          <w:ind w:left="10" w:right="0"/>
                          <w:jc w:val="center"/>
                          <w:rPr>
                            <w:rFonts w:ascii="Times New Roman" w:hAnsi="Times New Roman" w:cs="Times New Roman" w:eastAsia="Times New Roman" w:hint="default"/>
                            <w:sz w:val="18"/>
                            <w:szCs w:val="18"/>
                          </w:rPr>
                        </w:pPr>
                        <w:r>
                          <w:rPr>
                            <w:rFonts w:ascii="Times New Roman"/>
                            <w:sz w:val="18"/>
                          </w:rPr>
                          <w:t>7,240.79</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3"/>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74"/>
                          <w:ind w:right="3"/>
                          <w:jc w:val="center"/>
                          <w:rPr>
                            <w:rFonts w:ascii="Times New Roman" w:hAnsi="Times New Roman" w:cs="Times New Roman" w:eastAsia="Times New Roman" w:hint="default"/>
                            <w:sz w:val="18"/>
                            <w:szCs w:val="18"/>
                          </w:rPr>
                        </w:pPr>
                        <w:r>
                          <w:rPr>
                            <w:rFonts w:ascii="Times New Roman"/>
                            <w:sz w:val="18"/>
                          </w:rPr>
                          <w:t>343.22</w:t>
                        </w:r>
                      </w:p>
                    </w:tc>
                    <w:tc>
                      <w:tcPr>
                        <w:tcW w:w="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437" w:right="0"/>
                          <w:jc w:val="lef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8930" w:type="dxa"/>
                        <w:gridSpan w:val="10"/>
                        <w:vMerge w:val="restart"/>
                        <w:tcBorders>
                          <w:top w:val="single" w:sz="4" w:space="0" w:color="000000"/>
                          <w:left w:val="single" w:sz="9" w:space="0" w:color="D3D3D3"/>
                          <w:right w:val="single" w:sz="4" w:space="0" w:color="000000"/>
                        </w:tcBorders>
                      </w:tcPr>
                      <w:p>
                        <w:pPr>
                          <w:pStyle w:val="TableParagraph"/>
                          <w:spacing w:line="350" w:lineRule="auto" w:before="33"/>
                          <w:ind w:left="17" w:right="18" w:firstLine="360"/>
                          <w:jc w:val="both"/>
                          <w:rPr>
                            <w:rFonts w:ascii="宋体" w:hAnsi="宋体" w:cs="宋体" w:eastAsia="宋体" w:hint="default"/>
                            <w:sz w:val="18"/>
                            <w:szCs w:val="18"/>
                          </w:rPr>
                        </w:pPr>
                        <w:r>
                          <w:rPr>
                            <w:rFonts w:ascii="宋体" w:hAnsi="宋体" w:cs="宋体" w:eastAsia="宋体" w:hint="default"/>
                            <w:sz w:val="18"/>
                            <w:szCs w:val="18"/>
                          </w:rPr>
                          <w:t>公司募集资金投资项目投资进度较计划较缓，共同的原因在于各项目研发基地建设用房尚未交付使用，由此</w:t>
                        </w:r>
                        <w:r>
                          <w:rPr>
                            <w:rFonts w:ascii="宋体" w:hAnsi="宋体" w:cs="宋体" w:eastAsia="宋体" w:hint="default"/>
                            <w:spacing w:val="1"/>
                            <w:sz w:val="18"/>
                            <w:szCs w:val="18"/>
                          </w:rPr>
                          <w:t> </w:t>
                        </w:r>
                        <w:r>
                          <w:rPr>
                            <w:rFonts w:ascii="宋体" w:hAnsi="宋体" w:cs="宋体" w:eastAsia="宋体" w:hint="default"/>
                            <w:spacing w:val="-5"/>
                            <w:sz w:val="18"/>
                            <w:szCs w:val="18"/>
                          </w:rPr>
                          <w:t>导致公司各项目研发基地建设延后。另外，新一代航空总线产品的研制及产业化项目中，公司原产业化计划与</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C919</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项目进程总体计划相比略有超前，为提高资金使用效率，公司自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年开始放缓了对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AFDX </w:t>
                        </w:r>
                        <w:r>
                          <w:rPr>
                            <w:rFonts w:ascii="宋体" w:hAnsi="宋体" w:cs="宋体" w:eastAsia="宋体" w:hint="default"/>
                            <w:sz w:val="18"/>
                            <w:szCs w:val="18"/>
                          </w:rPr>
                          <w:t>适航模块项目的投资 速度；同时，因技术发展及市场需求的变化，公司将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航空总线研发进程适当提前。综合以上两点，公司适 当调整了产品开发、实验和投放计划，致使新一代航空总线产品的研制及产业化项目投资进度较原计划有所滞后</w:t>
                        </w:r>
                      </w:p>
                    </w:tc>
                  </w:tr>
                  <w:tr>
                    <w:trPr>
                      <w:trHeight w:val="107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64" w:lineRule="auto" w:before="33"/>
                          <w:ind w:left="22" w:right="20" w:hanging="3"/>
                          <w:jc w:val="center"/>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5"/>
                            <w:sz w:val="18"/>
                            <w:szCs w:val="18"/>
                          </w:rPr>
                          <w:t>收益的情况和原因（分具</w:t>
                        </w:r>
                        <w:r>
                          <w:rPr>
                            <w:rFonts w:ascii="宋体" w:hAnsi="宋体" w:cs="宋体" w:eastAsia="宋体" w:hint="default"/>
                            <w:sz w:val="18"/>
                            <w:szCs w:val="18"/>
                          </w:rPr>
                          <w:t> 体项目）</w:t>
                        </w:r>
                      </w:p>
                    </w:tc>
                    <w:tc>
                      <w:tcPr>
                        <w:tcW w:w="8930" w:type="dxa"/>
                        <w:gridSpan w:val="10"/>
                        <w:vMerge/>
                        <w:tcBorders>
                          <w:left w:val="single" w:sz="9" w:space="0" w:color="D3D3D3"/>
                          <w:right w:val="single" w:sz="4" w:space="0" w:color="000000"/>
                        </w:tcBorders>
                      </w:tcPr>
                      <w:p>
                        <w:pPr/>
                      </w:p>
                    </w:tc>
                  </w:tr>
                  <w:tr>
                    <w:trPr>
                      <w:trHeight w:val="363"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8930" w:type="dxa"/>
                        <w:gridSpan w:val="10"/>
                        <w:vMerge/>
                        <w:tcBorders>
                          <w:left w:val="single" w:sz="9" w:space="0" w:color="D3D3D3"/>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97" w:footer="1252" w:top="1340" w:bottom="1440" w:left="32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101" w:firstLine="0"/>
        <w:jc w:val="right"/>
        <w:rPr>
          <w:rFonts w:ascii="宋体" w:hAnsi="宋体" w:cs="宋体" w:eastAsia="宋体" w:hint="default"/>
          <w:sz w:val="18"/>
          <w:szCs w:val="18"/>
        </w:rPr>
      </w:pPr>
      <w:r>
        <w:rPr/>
        <w:pict>
          <v:shape style="position:absolute;margin-left:21.00001pt;margin-top:-109.087929pt;width:546.5pt;height:580.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930"/>
                  </w:tblGrid>
                  <w:tr>
                    <w:trPr>
                      <w:trHeight w:val="108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3"/>
                          <w:ind w:left="24" w:right="19"/>
                          <w:jc w:val="both"/>
                          <w:rPr>
                            <w:rFonts w:ascii="宋体" w:hAnsi="宋体" w:cs="宋体" w:eastAsia="宋体" w:hint="default"/>
                            <w:sz w:val="18"/>
                            <w:szCs w:val="18"/>
                          </w:rPr>
                        </w:pPr>
                        <w:r>
                          <w:rPr>
                            <w:rFonts w:ascii="宋体" w:hAnsi="宋体" w:cs="宋体" w:eastAsia="宋体" w:hint="default"/>
                            <w:spacing w:val="-6"/>
                            <w:sz w:val="18"/>
                            <w:szCs w:val="18"/>
                          </w:rPr>
                          <w:t>行业智能移动终端及应用系统项目中，为更好地适应市场变化、降低产品成本，公司决定对原技术开发平台</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PXA510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进行调整，选用供应链更加完善的三星平台，新技术平台的稳定需要一定时间，以上调整事项也导致该项目较原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投资计划有一定的滞后。</w:t>
                        </w:r>
                      </w:p>
                    </w:tc>
                  </w:tr>
                  <w:tr>
                    <w:trPr>
                      <w:trHeight w:val="72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446" w:right="86" w:hanging="360"/>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8"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64" w:lineRule="auto" w:before="161"/>
                          <w:ind w:left="446" w:right="20" w:hanging="424"/>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使用进展情况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086"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3"/>
                          <w:ind w:left="24" w:right="1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日，公司第二届董事会第九次会议审议通过《关于使用部分超募资金永久补充流动资金的议案》</w:t>
                        </w:r>
                        <w:r>
                          <w:rPr>
                            <w:rFonts w:ascii="宋体" w:hAnsi="宋体" w:cs="宋体" w:eastAsia="宋体" w:hint="default"/>
                            <w:spacing w:val="-90"/>
                            <w:sz w:val="18"/>
                            <w:szCs w:val="18"/>
                          </w:rPr>
                          <w:t> </w:t>
                        </w:r>
                        <w:r>
                          <w:rPr>
                            <w:rFonts w:ascii="宋体" w:hAnsi="宋体" w:cs="宋体" w:eastAsia="宋体" w:hint="default"/>
                            <w:sz w:val="18"/>
                            <w:szCs w:val="18"/>
                          </w:rPr>
                          <w:t>为了提高募集资金的使用效率、降低财务费用，提升公司的经营效益，本着股东利益最大化的原则，在保证募集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资金项目建设资金需求的前提下，同意公司使用首次公开发行股票超募资金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tc>
                  </w:tr>
                  <w:tr>
                    <w:trPr>
                      <w:trHeight w:val="72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446" w:right="86" w:hanging="36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46" w:right="86" w:hanging="360"/>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8"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64" w:lineRule="auto"/>
                          <w:ind w:left="356" w:right="86" w:hanging="270"/>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2881"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日，本公司以自筹资金投入募集资金投资项目的实际投资金额合计为人民币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23,542,321.43</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元，其中新一代航空总线产品的研制及产业化项目先期投入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11,496,113.87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元；网上银行客户端安全产品研发及产</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业化项目先期投入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4,461,496.55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元；行业智能移动终端及应用系统项目先期投入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7,584,711.01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元，募集资金投资项</w:t>
                        </w:r>
                      </w:p>
                      <w:p>
                        <w:pPr>
                          <w:pStyle w:val="TableParagraph"/>
                          <w:spacing w:line="345" w:lineRule="auto" w:before="109"/>
                          <w:ind w:left="24" w:right="20"/>
                          <w:jc w:val="both"/>
                          <w:rPr>
                            <w:rFonts w:ascii="宋体" w:hAnsi="宋体" w:cs="宋体" w:eastAsia="宋体" w:hint="default"/>
                            <w:sz w:val="18"/>
                            <w:szCs w:val="18"/>
                          </w:rPr>
                        </w:pPr>
                        <w:r>
                          <w:rPr>
                            <w:rFonts w:ascii="宋体" w:hAnsi="宋体" w:cs="宋体" w:eastAsia="宋体" w:hint="default"/>
                            <w:sz w:val="18"/>
                            <w:szCs w:val="18"/>
                          </w:rPr>
                          <w:t>目置换先期投入金额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23,542,321.43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元。募集资金项目先期投入金额已由信永中和会计师事务所（特殊普通合伙） 进行专项审核，并出具了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XYZH/2012JNA3013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号《关于北京旋极信息技术股份有限公司以自筹资金预先投入募集 </w:t>
                        </w:r>
                        <w:r>
                          <w:rPr>
                            <w:rFonts w:ascii="宋体" w:hAnsi="宋体" w:cs="宋体" w:eastAsia="宋体" w:hint="default"/>
                            <w:spacing w:val="-7"/>
                            <w:sz w:val="18"/>
                            <w:szCs w:val="18"/>
                          </w:rPr>
                          <w:t>资金投资项目的鉴证报告》。公司于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日第二届董事会第十三次会议决议通过《关于使用募集资金置</w:t>
                        </w:r>
                      </w:p>
                      <w:p>
                        <w:pPr>
                          <w:pStyle w:val="TableParagraph"/>
                          <w:spacing w:line="345" w:lineRule="auto" w:before="22"/>
                          <w:ind w:left="24" w:right="19"/>
                          <w:jc w:val="both"/>
                          <w:rPr>
                            <w:rFonts w:ascii="宋体" w:hAnsi="宋体" w:cs="宋体" w:eastAsia="宋体" w:hint="default"/>
                            <w:sz w:val="18"/>
                            <w:szCs w:val="18"/>
                          </w:rPr>
                        </w:pPr>
                        <w:r>
                          <w:rPr>
                            <w:rFonts w:ascii="宋体" w:hAnsi="宋体" w:cs="宋体" w:eastAsia="宋体" w:hint="default"/>
                            <w:spacing w:val="-5"/>
                            <w:sz w:val="18"/>
                            <w:szCs w:val="18"/>
                          </w:rPr>
                          <w:t>换预先已投入募集资金投资项目的自筹资金的议案》，并于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2012-12-06</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进行了披露。截至本年末，该事项已实施完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356" w:right="86" w:hanging="270"/>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66" w:right="86" w:hanging="18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8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626" w:right="86" w:hanging="54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24" w:right="18" w:firstLine="360"/>
                          <w:jc w:val="both"/>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尚未使用的募集资金（包括超募资金）均存放在公司银行募集资金专户中，超募资金将全部用于主营业务，</w:t>
                        </w:r>
                        <w:r>
                          <w:rPr>
                            <w:rFonts w:ascii="宋体" w:hAnsi="宋体" w:cs="宋体" w:eastAsia="宋体" w:hint="default"/>
                            <w:spacing w:val="1"/>
                            <w:sz w:val="18"/>
                            <w:szCs w:val="18"/>
                          </w:rPr>
                          <w:t> </w:t>
                        </w:r>
                        <w:r>
                          <w:rPr>
                            <w:rFonts w:ascii="宋体" w:hAnsi="宋体" w:cs="宋体" w:eastAsia="宋体" w:hint="default"/>
                            <w:sz w:val="18"/>
                            <w:szCs w:val="18"/>
                          </w:rPr>
                          <w:t>并根据公司的发展规划及实际生产经营需求，妥善安排使用计划，提交董事会审议通过后及时披露，公司实际使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用超募资金前，将履行相应的董事会或股东大会审议程序，并及时披露。</w:t>
                        </w:r>
                      </w:p>
                    </w:tc>
                  </w:tr>
                  <w:tr>
                    <w:trPr>
                      <w:trHeight w:val="108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64" w:lineRule="auto"/>
                          <w:ind w:left="86" w:right="86"/>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4" w:right="20" w:firstLine="360"/>
                          <w:jc w:val="both"/>
                          <w:rPr>
                            <w:rFonts w:ascii="宋体" w:hAnsi="宋体" w:cs="宋体" w:eastAsia="宋体" w:hint="default"/>
                            <w:sz w:val="18"/>
                            <w:szCs w:val="18"/>
                          </w:rPr>
                        </w:pPr>
                        <w:r>
                          <w:rPr>
                            <w:rFonts w:ascii="宋体" w:hAnsi="宋体" w:cs="宋体" w:eastAsia="宋体" w:hint="default"/>
                            <w:spacing w:val="-10"/>
                            <w:sz w:val="18"/>
                            <w:szCs w:val="18"/>
                          </w:rPr>
                          <w:t>公司严格按照《公司法》、《证券法》、《深圳证券交易所创业板股票上市规则》、《深圳证券交易所创业板上市</w:t>
                        </w:r>
                        <w:r>
                          <w:rPr>
                            <w:rFonts w:ascii="宋体" w:hAnsi="宋体" w:cs="宋体" w:eastAsia="宋体" w:hint="default"/>
                            <w:sz w:val="18"/>
                            <w:szCs w:val="18"/>
                          </w:rPr>
                          <w:t> </w:t>
                        </w:r>
                        <w:r>
                          <w:rPr>
                            <w:rFonts w:ascii="宋体" w:hAnsi="宋体" w:cs="宋体" w:eastAsia="宋体" w:hint="default"/>
                            <w:spacing w:val="-3"/>
                            <w:sz w:val="18"/>
                            <w:szCs w:val="18"/>
                          </w:rPr>
                          <w:t>公司规范运作指引》及相关法律法规的规定和要求、《募集资金使用管理办法》等规定使用募集资金，并及时、真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实、准确、完整履行相关信息披露工作，不存在违规使用募集资金的情形。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451" w:lineRule="auto" w:before="44"/>
        <w:ind w:left="814" w:right="72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：行业智能移动终端及应用系统项目年度投入金额较前次募投项目延期金额有所差异，系前次计算误差所致，以本 次披露数据为准。</w:t>
      </w:r>
    </w:p>
    <w:p>
      <w:pPr>
        <w:spacing w:line="240" w:lineRule="auto" w:before="8"/>
        <w:rPr>
          <w:rFonts w:ascii="宋体" w:hAnsi="宋体" w:cs="宋体" w:eastAsia="宋体" w:hint="default"/>
          <w:sz w:val="17"/>
          <w:szCs w:val="17"/>
        </w:rPr>
      </w:pPr>
    </w:p>
    <w:p>
      <w:pPr>
        <w:spacing w:line="451" w:lineRule="auto" w:before="0"/>
        <w:ind w:left="813" w:right="721"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：首发招股说明书中募投项目效益指项目运行期内年平均实现利润，截止</w:t>
      </w:r>
      <w:r>
        <w:rPr>
          <w:rFonts w:ascii="Times New Roman" w:hAnsi="Times New Roman" w:cs="Times New Roman" w:eastAsia="Times New Roman" w:hint="default"/>
          <w:sz w:val="18"/>
          <w:szCs w:val="18"/>
        </w:rPr>
        <w:t>2012</w:t>
      </w:r>
      <w:r>
        <w:rPr>
          <w:rFonts w:ascii="宋体" w:hAnsi="宋体" w:cs="宋体" w:eastAsia="宋体" w:hint="default"/>
          <w:sz w:val="18"/>
          <w:szCs w:val="18"/>
        </w:rPr>
        <w:t>年末以上募投项目尚处于建设期，因 此无法与预计效益相比；另外，本公司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年半年度、三季度披露的效益为收入数，本次披露的效益为净利润。</w:t>
      </w:r>
    </w:p>
    <w:p>
      <w:pPr>
        <w:spacing w:after="0" w:line="451" w:lineRule="auto"/>
        <w:jc w:val="left"/>
        <w:rPr>
          <w:rFonts w:ascii="宋体" w:hAnsi="宋体" w:cs="宋体" w:eastAsia="宋体" w:hint="default"/>
          <w:sz w:val="18"/>
          <w:szCs w:val="18"/>
        </w:rPr>
        <w:sectPr>
          <w:pgSz w:w="11910" w:h="16840"/>
          <w:pgMar w:header="997" w:footer="1252" w:top="1340" w:bottom="1440" w:left="320" w:right="400"/>
        </w:sectPr>
      </w:pPr>
    </w:p>
    <w:p>
      <w:pPr>
        <w:spacing w:line="568" w:lineRule="auto" w:before="106"/>
        <w:ind w:left="1094" w:right="713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5"/>
        <w:spacing w:line="568" w:lineRule="auto" w:before="128"/>
        <w:ind w:left="1094" w:right="6292"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）非募集资金投资的重大项目情况</w:t>
      </w:r>
      <w:r>
        <w:rPr>
          <w:w w:val="99"/>
        </w:rPr>
        <w:t> </w:t>
      </w:r>
      <w:r>
        <w:rPr>
          <w:rFonts w:ascii="宋体" w:hAnsi="宋体" w:cs="宋体" w:eastAsia="宋体" w:hint="default"/>
          <w:b w:val="0"/>
          <w:bCs w:val="0"/>
        </w:rPr>
        <w:t>不适用。</w:t>
      </w:r>
    </w:p>
    <w:p>
      <w:pPr>
        <w:spacing w:line="568" w:lineRule="auto" w:before="128"/>
        <w:ind w:left="1094" w:right="797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）证券投资情况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5"/>
        <w:spacing w:line="568" w:lineRule="auto" w:before="128"/>
        <w:ind w:left="1094" w:right="6713"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）持有其他上市公司股权情况</w:t>
      </w:r>
      <w:r>
        <w:rPr>
          <w:spacing w:val="1"/>
          <w:w w:val="99"/>
        </w:rPr>
        <w:t> </w:t>
      </w:r>
      <w:r>
        <w:rPr>
          <w:rFonts w:ascii="宋体" w:hAnsi="宋体" w:cs="宋体" w:eastAsia="宋体" w:hint="default"/>
          <w:b w:val="0"/>
          <w:bCs w:val="0"/>
        </w:rPr>
        <w:t>不适用。</w:t>
      </w:r>
    </w:p>
    <w:p>
      <w:pPr>
        <w:pStyle w:val="Heading5"/>
        <w:spacing w:line="571" w:lineRule="auto" w:before="128"/>
        <w:ind w:left="1094" w:right="6503"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）持有非上市金融企业股权情况</w:t>
      </w:r>
      <w:r>
        <w:rPr>
          <w:w w:val="99"/>
        </w:rPr>
        <w:t> </w:t>
      </w:r>
      <w:r>
        <w:rPr>
          <w:rFonts w:ascii="宋体" w:hAnsi="宋体" w:cs="宋体" w:eastAsia="宋体" w:hint="default"/>
          <w:b w:val="0"/>
          <w:bCs w:val="0"/>
        </w:rPr>
        <w:t>不适用。</w:t>
      </w:r>
    </w:p>
    <w:p>
      <w:pPr>
        <w:pStyle w:val="Heading5"/>
        <w:spacing w:line="568" w:lineRule="auto" w:before="126"/>
        <w:ind w:left="1094" w:right="6503"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）买卖其他上市公司股份的情况</w:t>
      </w:r>
      <w:r>
        <w:rPr>
          <w:w w:val="99"/>
        </w:rPr>
        <w:t> </w:t>
      </w:r>
      <w:r>
        <w:rPr>
          <w:rFonts w:ascii="宋体" w:hAnsi="宋体" w:cs="宋体" w:eastAsia="宋体" w:hint="default"/>
          <w:b w:val="0"/>
          <w:bCs w:val="0"/>
        </w:rPr>
        <w:t>不适用。</w:t>
      </w:r>
    </w:p>
    <w:p>
      <w:pPr>
        <w:pStyle w:val="Heading5"/>
        <w:spacing w:line="240" w:lineRule="auto" w:before="128"/>
        <w:ind w:left="674" w:right="198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9"/>
        <w:jc w:val="right"/>
      </w:pPr>
      <w:r>
        <w:rPr/>
        <w:t>单位：元</w:t>
      </w: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3385"/>
        <w:gridCol w:w="1146"/>
        <w:gridCol w:w="1411"/>
        <w:gridCol w:w="1559"/>
        <w:gridCol w:w="1271"/>
        <w:gridCol w:w="1351"/>
      </w:tblGrid>
      <w:tr>
        <w:trPr>
          <w:trHeight w:val="184" w:hRule="exact"/>
        </w:trPr>
        <w:tc>
          <w:tcPr>
            <w:tcW w:w="33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426" w:right="71" w:hanging="362"/>
              <w:jc w:val="left"/>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b/>
                <w:bCs/>
                <w:w w:val="99"/>
                <w:sz w:val="18"/>
                <w:szCs w:val="18"/>
              </w:rPr>
              <w:t> </w:t>
            </w:r>
            <w:r>
              <w:rPr>
                <w:rFonts w:ascii="宋体" w:hAnsi="宋体" w:cs="宋体" w:eastAsia="宋体" w:hint="default"/>
                <w:b/>
                <w:bCs/>
                <w:sz w:val="18"/>
                <w:szCs w:val="18"/>
              </w:rPr>
              <w:t>动损益</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321" w:right="51" w:hanging="270"/>
              <w:jc w:val="left"/>
              <w:rPr>
                <w:rFonts w:ascii="宋体" w:hAnsi="宋体" w:cs="宋体" w:eastAsia="宋体" w:hint="default"/>
                <w:sz w:val="18"/>
                <w:szCs w:val="18"/>
              </w:rPr>
            </w:pPr>
            <w:r>
              <w:rPr>
                <w:rFonts w:ascii="宋体" w:hAnsi="宋体" w:cs="宋体" w:eastAsia="宋体" w:hint="default"/>
                <w:b/>
                <w:bCs/>
                <w:sz w:val="18"/>
                <w:szCs w:val="18"/>
              </w:rPr>
              <w:t>计入权益的累计公</w:t>
            </w:r>
            <w:r>
              <w:rPr>
                <w:rFonts w:ascii="宋体" w:hAnsi="宋体" w:cs="宋体" w:eastAsia="宋体" w:hint="default"/>
                <w:b/>
                <w:bCs/>
                <w:w w:val="99"/>
                <w:sz w:val="18"/>
                <w:szCs w:val="18"/>
              </w:rPr>
              <w:t> </w:t>
            </w:r>
            <w:r>
              <w:rPr>
                <w:rFonts w:ascii="宋体" w:hAnsi="宋体" w:cs="宋体" w:eastAsia="宋体" w:hint="default"/>
                <w:b/>
                <w:bCs/>
                <w:sz w:val="18"/>
                <w:szCs w:val="18"/>
              </w:rPr>
              <w:t>允价值变动</w:t>
            </w:r>
            <w:r>
              <w:rPr>
                <w:rFonts w:ascii="宋体" w:hAnsi="宋体" w:cs="宋体" w:eastAsia="宋体" w:hint="default"/>
                <w:sz w:val="18"/>
                <w:szCs w:val="18"/>
              </w:rPr>
            </w:r>
          </w:p>
        </w:tc>
        <w:tc>
          <w:tcPr>
            <w:tcW w:w="1271"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543" w:right="83" w:hanging="452"/>
              <w:jc w:val="left"/>
              <w:rPr>
                <w:rFonts w:ascii="宋体" w:hAnsi="宋体" w:cs="宋体" w:eastAsia="宋体" w:hint="default"/>
                <w:sz w:val="18"/>
                <w:szCs w:val="18"/>
              </w:rPr>
            </w:pPr>
            <w:r>
              <w:rPr>
                <w:rFonts w:ascii="宋体" w:hAnsi="宋体" w:cs="宋体" w:eastAsia="宋体" w:hint="default"/>
                <w:b/>
                <w:bCs/>
                <w:sz w:val="18"/>
                <w:szCs w:val="18"/>
              </w:rPr>
              <w:t>本期计提的减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8" w:hRule="exact"/>
        </w:trPr>
        <w:tc>
          <w:tcPr>
            <w:tcW w:w="33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386"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411"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c>
          <w:tcPr>
            <w:tcW w:w="1271" w:type="dxa"/>
            <w:vMerge/>
            <w:tcBorders>
              <w:left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91"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r>
      <w:tr>
        <w:trPr>
          <w:trHeight w:val="185" w:hRule="exact"/>
        </w:trPr>
        <w:tc>
          <w:tcPr>
            <w:tcW w:w="33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1"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8" w:hRule="exact"/>
        </w:trPr>
        <w:tc>
          <w:tcPr>
            <w:tcW w:w="1012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1"/>
              <w:jc w:val="center"/>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728"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4"/>
              <w:ind w:left="11"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 的金融资产（不含衍生金融资产）</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4"/>
              <w:jc w:val="center"/>
              <w:rPr>
                <w:rFonts w:ascii="宋体" w:hAnsi="宋体" w:cs="宋体" w:eastAsia="宋体" w:hint="default"/>
                <w:sz w:val="18"/>
                <w:szCs w:val="18"/>
              </w:rPr>
            </w:pPr>
            <w:r>
              <w:rPr>
                <w:rFonts w:ascii="宋体" w:hAnsi="宋体" w:cs="宋体" w:eastAsia="宋体" w:hint="default"/>
                <w:sz w:val="18"/>
                <w:szCs w:val="18"/>
              </w:rPr>
              <w:t>金融资产小计</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4"/>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left="398" w:right="0"/>
              <w:jc w:val="lef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16" w:right="0"/>
              <w:jc w:val="lef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97" w:footer="1252" w:top="1340" w:bottom="1440" w:left="460" w:right="980"/>
        </w:sectPr>
      </w:pPr>
    </w:p>
    <w:p>
      <w:pPr>
        <w:spacing w:line="240" w:lineRule="auto" w:before="3"/>
        <w:rPr>
          <w:rFonts w:ascii="宋体" w:hAnsi="宋体" w:cs="宋体" w:eastAsia="宋体" w:hint="default"/>
          <w:sz w:val="10"/>
          <w:szCs w:val="10"/>
        </w:rPr>
      </w:pPr>
    </w:p>
    <w:p>
      <w:pPr>
        <w:pStyle w:val="Heading3"/>
        <w:spacing w:line="240" w:lineRule="auto" w:before="26"/>
        <w:ind w:right="101"/>
        <w:jc w:val="left"/>
      </w:pPr>
      <w:r>
        <w:rPr>
          <w:rFonts w:ascii="Cambria" w:hAnsi="Cambria" w:cs="Cambria" w:eastAsia="Cambria" w:hint="default"/>
        </w:rPr>
        <w:t>6</w:t>
      </w:r>
      <w:r>
        <w:rPr/>
        <w:t>、主要控股参股公司分析</w:t>
      </w:r>
    </w:p>
    <w:p>
      <w:pPr>
        <w:spacing w:line="240" w:lineRule="auto" w:before="1"/>
        <w:rPr>
          <w:rFonts w:ascii="黑体" w:hAnsi="黑体" w:cs="黑体" w:eastAsia="黑体" w:hint="default"/>
          <w:sz w:val="29"/>
          <w:szCs w:val="29"/>
        </w:rPr>
      </w:pPr>
    </w:p>
    <w:p>
      <w:pPr>
        <w:spacing w:line="568" w:lineRule="auto" w:before="0"/>
        <w:ind w:left="574" w:right="677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）上海旋极信息技术有限公司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法定代表人：陈为群</w:t>
      </w:r>
    </w:p>
    <w:p>
      <w:pPr>
        <w:pStyle w:val="BodyText"/>
        <w:spacing w:line="516" w:lineRule="auto" w:before="61"/>
        <w:ind w:left="658" w:right="6912" w:hanging="1"/>
        <w:jc w:val="left"/>
      </w:pPr>
      <w:r>
        <w:rPr/>
        <w:t>成立日期：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 注册资本：</w:t>
      </w:r>
      <w:r>
        <w:rPr>
          <w:rFonts w:ascii="Times New Roman" w:hAnsi="Times New Roman" w:cs="Times New Roman" w:eastAsia="Times New Roman" w:hint="default"/>
        </w:rPr>
        <w:t>300</w:t>
      </w:r>
      <w:r>
        <w:rPr/>
        <w:t>万元</w:t>
      </w:r>
    </w:p>
    <w:p>
      <w:pPr>
        <w:pStyle w:val="BodyText"/>
        <w:spacing w:line="386" w:lineRule="auto" w:before="66"/>
        <w:ind w:left="154" w:right="101" w:firstLine="420"/>
        <w:jc w:val="left"/>
      </w:pPr>
      <w:r>
        <w:rPr>
          <w:spacing w:val="-3"/>
        </w:rPr>
        <w:t>股东构成：本公司持有其</w:t>
      </w:r>
      <w:r>
        <w:rPr>
          <w:rFonts w:ascii="Times New Roman" w:hAnsi="Times New Roman" w:cs="Times New Roman" w:eastAsia="Times New Roman" w:hint="default"/>
          <w:spacing w:val="-3"/>
        </w:rPr>
        <w:t>100%</w:t>
      </w:r>
      <w:r>
        <w:rPr>
          <w:spacing w:val="-3"/>
        </w:rPr>
        <w:t>股权。上海旋极自成立以来一直从事嵌入式系统测试业务和行业智能移</w:t>
      </w:r>
      <w:r>
        <w:rPr/>
        <w:t> 动终端业务在华东地区的市场推广和销售服务业务。</w:t>
      </w:r>
    </w:p>
    <w:p>
      <w:pPr>
        <w:spacing w:line="240" w:lineRule="auto" w:before="12"/>
        <w:rPr>
          <w:rFonts w:ascii="宋体" w:hAnsi="宋体" w:cs="宋体" w:eastAsia="宋体" w:hint="default"/>
          <w:sz w:val="16"/>
          <w:szCs w:val="16"/>
        </w:rPr>
      </w:pPr>
    </w:p>
    <w:p>
      <w:pPr>
        <w:pStyle w:val="BodyText"/>
        <w:spacing w:line="240" w:lineRule="auto"/>
        <w:ind w:right="101"/>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spacing w:val="-2"/>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t>日</w:t>
      </w:r>
      <w:r>
        <w:rPr>
          <w:spacing w:val="-88"/>
        </w:rPr>
        <w:t>，</w:t>
      </w:r>
      <w:r>
        <w:rPr>
          <w:spacing w:val="-2"/>
        </w:rPr>
        <w:t>该</w:t>
      </w:r>
      <w:r>
        <w:rPr/>
        <w:t>公司总资产为</w:t>
      </w:r>
      <w:r>
        <w:rPr>
          <w:spacing w:val="-2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50</w:t>
      </w:r>
      <w:r>
        <w:rPr>
          <w:spacing w:val="-2"/>
        </w:rPr>
        <w:t>万</w:t>
      </w:r>
      <w:r>
        <w:rPr/>
        <w:t>元</w:t>
      </w:r>
      <w:r>
        <w:rPr>
          <w:spacing w:val="-88"/>
        </w:rPr>
        <w:t>，</w:t>
      </w:r>
      <w:r>
        <w:rPr/>
        <w:t>净资产</w:t>
      </w:r>
      <w:r>
        <w:rPr>
          <w:rFonts w:ascii="Times New Roman" w:hAnsi="Times New Roman" w:cs="Times New Roman" w:eastAsia="Times New Roman" w:hint="default"/>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34</w:t>
      </w:r>
      <w:r>
        <w:rPr>
          <w:rFonts w:ascii="Times New Roman" w:hAnsi="Times New Roman" w:cs="Times New Roman" w:eastAsia="Times New Roman" w:hint="default"/>
          <w:spacing w:val="-1"/>
        </w:rPr>
        <w:t>.</w:t>
      </w:r>
      <w:r>
        <w:rPr>
          <w:rFonts w:ascii="Times New Roman" w:hAnsi="Times New Roman" w:cs="Times New Roman" w:eastAsia="Times New Roman" w:hint="default"/>
        </w:rPr>
        <w:t>49</w:t>
      </w:r>
      <w:r>
        <w:rPr/>
        <w:t>万</w:t>
      </w:r>
      <w:r>
        <w:rPr>
          <w:spacing w:val="-2"/>
        </w:rPr>
        <w:t>元</w:t>
      </w:r>
      <w:r>
        <w:rPr>
          <w:spacing w:val="-88"/>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12</w:t>
      </w:r>
      <w:r>
        <w:rPr/>
        <w:t>年实现</w:t>
      </w:r>
      <w:r>
        <w:rPr>
          <w:spacing w:val="-2"/>
        </w:rPr>
        <w:t>营</w:t>
      </w:r>
      <w:r>
        <w:rPr/>
        <w:t>业收入</w:t>
      </w:r>
      <w:r>
        <w:rPr>
          <w:rFonts w:ascii="Times New Roman" w:hAnsi="Times New Roman" w:cs="Times New Roman" w:eastAsia="Times New Roman" w:hint="default"/>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62</w:t>
      </w:r>
      <w:r>
        <w:rPr>
          <w:rFonts w:ascii="Times New Roman" w:hAnsi="Times New Roman" w:cs="Times New Roman" w:eastAsia="Times New Roman" w:hint="default"/>
          <w:spacing w:val="-1"/>
        </w:rPr>
        <w:t>.</w:t>
      </w:r>
      <w:r>
        <w:rPr>
          <w:rFonts w:ascii="Times New Roman" w:hAnsi="Times New Roman" w:cs="Times New Roman" w:eastAsia="Times New Roman" w:hint="default"/>
        </w:rPr>
        <w:t>45</w:t>
      </w:r>
    </w:p>
    <w:p>
      <w:pPr>
        <w:pStyle w:val="BodyText"/>
        <w:spacing w:line="240" w:lineRule="auto" w:before="177"/>
        <w:ind w:left="154" w:right="101"/>
        <w:jc w:val="left"/>
      </w:pPr>
      <w:r>
        <w:rPr/>
        <w:t>万元，营业成本 </w:t>
      </w:r>
      <w:r>
        <w:rPr>
          <w:rFonts w:ascii="Times New Roman" w:hAnsi="Times New Roman" w:cs="Times New Roman" w:eastAsia="Times New Roman" w:hint="default"/>
        </w:rPr>
        <w:t>1758.83  </w:t>
      </w:r>
      <w:r>
        <w:rPr/>
        <w:t>万元，净利润</w:t>
      </w:r>
      <w:r>
        <w:rPr>
          <w:spacing w:val="-70"/>
        </w:rPr>
        <w:t> </w:t>
      </w:r>
      <w:r>
        <w:rPr>
          <w:rFonts w:ascii="Times New Roman" w:hAnsi="Times New Roman" w:cs="Times New Roman" w:eastAsia="Times New Roman" w:hint="default"/>
        </w:rPr>
        <w:t>188.38</w:t>
      </w:r>
      <w:r>
        <w:rPr/>
        <w:t>万元。（以上数据已经信永中和会计师事务所审计）。</w:t>
      </w:r>
    </w:p>
    <w:p>
      <w:pPr>
        <w:spacing w:line="240" w:lineRule="auto" w:before="8"/>
        <w:rPr>
          <w:rFonts w:ascii="宋体" w:hAnsi="宋体" w:cs="宋体" w:eastAsia="宋体" w:hint="default"/>
          <w:sz w:val="30"/>
          <w:szCs w:val="30"/>
        </w:rPr>
      </w:pPr>
    </w:p>
    <w:p>
      <w:pPr>
        <w:spacing w:line="568" w:lineRule="auto" w:before="0"/>
        <w:ind w:left="574" w:right="593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）成都旋极历通信息技术有限公司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法定代表人：叶国雄</w:t>
      </w:r>
    </w:p>
    <w:p>
      <w:pPr>
        <w:pStyle w:val="BodyText"/>
        <w:spacing w:line="516" w:lineRule="auto" w:before="61"/>
        <w:ind w:right="6996" w:hanging="1"/>
        <w:jc w:val="left"/>
      </w:pPr>
      <w:r>
        <w:rPr/>
        <w:t>成立日期：</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 注册资本：</w:t>
      </w:r>
      <w:r>
        <w:rPr>
          <w:rFonts w:ascii="Times New Roman" w:hAnsi="Times New Roman" w:cs="Times New Roman" w:eastAsia="Times New Roman" w:hint="default"/>
        </w:rPr>
        <w:t>300</w:t>
      </w:r>
      <w:r>
        <w:rPr/>
        <w:t>万元</w:t>
      </w:r>
    </w:p>
    <w:p>
      <w:pPr>
        <w:pStyle w:val="BodyText"/>
        <w:spacing w:line="408" w:lineRule="auto" w:before="66"/>
        <w:ind w:left="154" w:right="95" w:firstLine="420"/>
        <w:jc w:val="left"/>
      </w:pPr>
      <w:r>
        <w:rPr>
          <w:spacing w:val="-3"/>
        </w:rPr>
        <w:t>经营范围：通讯与信息技术的技术开发、技术转让、技术咨询、技术培训、技术服务，集成电路设计、</w:t>
      </w:r>
      <w:r>
        <w:rPr/>
        <w:t> 生产，软件设计，电子计算机及其网络工程的技术服务；销售通讯设备（不含无线电发射设备）、文化用 品、办公设备（不含彩色复印机），普通机械、电子机械及器材</w:t>
      </w:r>
    </w:p>
    <w:p>
      <w:pPr>
        <w:spacing w:line="240" w:lineRule="auto" w:before="6"/>
        <w:rPr>
          <w:rFonts w:ascii="宋体" w:hAnsi="宋体" w:cs="宋体" w:eastAsia="宋体" w:hint="default"/>
          <w:sz w:val="15"/>
          <w:szCs w:val="15"/>
        </w:rPr>
      </w:pPr>
    </w:p>
    <w:p>
      <w:pPr>
        <w:pStyle w:val="BodyText"/>
        <w:spacing w:line="386" w:lineRule="auto"/>
        <w:ind w:left="154" w:right="101" w:firstLine="420"/>
        <w:jc w:val="left"/>
      </w:pPr>
      <w:r>
        <w:rPr/>
        <w:t>股东构成：本公司持有其</w:t>
      </w:r>
      <w:r>
        <w:rPr>
          <w:rFonts w:ascii="Times New Roman" w:hAnsi="Times New Roman" w:cs="Times New Roman" w:eastAsia="Times New Roman" w:hint="default"/>
        </w:rPr>
        <w:t>76.69%</w:t>
      </w:r>
      <w:r>
        <w:rPr/>
        <w:t>股权、何建樑持有其</w:t>
      </w:r>
      <w:r>
        <w:rPr>
          <w:rFonts w:ascii="Times New Roman" w:hAnsi="Times New Roman" w:cs="Times New Roman" w:eastAsia="Times New Roman" w:hint="default"/>
        </w:rPr>
        <w:t>11.65%</w:t>
      </w:r>
      <w:r>
        <w:rPr/>
        <w:t>股权、秦根民持有其</w:t>
      </w:r>
      <w:r>
        <w:rPr>
          <w:rFonts w:ascii="Times New Roman" w:hAnsi="Times New Roman" w:cs="Times New Roman" w:eastAsia="Times New Roman" w:hint="default"/>
        </w:rPr>
        <w:t>7.78%</w:t>
      </w:r>
      <w:r>
        <w:rPr/>
        <w:t>股权、曾军华</w:t>
      </w:r>
      <w:r>
        <w:rPr>
          <w:spacing w:val="1"/>
        </w:rPr>
        <w:t> </w:t>
      </w:r>
      <w:r>
        <w:rPr/>
        <w:t>持有其</w:t>
      </w:r>
      <w:r>
        <w:rPr>
          <w:rFonts w:ascii="Times New Roman" w:hAnsi="Times New Roman" w:cs="Times New Roman" w:eastAsia="Times New Roman" w:hint="default"/>
        </w:rPr>
        <w:t>1.94%</w:t>
      </w:r>
      <w:r>
        <w:rPr/>
        <w:t>股权、刘娜持有其</w:t>
      </w:r>
      <w:r>
        <w:rPr>
          <w:rFonts w:ascii="Times New Roman" w:hAnsi="Times New Roman" w:cs="Times New Roman" w:eastAsia="Times New Roman" w:hint="default"/>
        </w:rPr>
        <w:t>1.94%</w:t>
      </w:r>
      <w:r>
        <w:rPr/>
        <w:t>股权</w:t>
      </w:r>
    </w:p>
    <w:p>
      <w:pPr>
        <w:pStyle w:val="BodyText"/>
        <w:spacing w:line="408" w:lineRule="auto" w:before="191"/>
        <w:ind w:left="154" w:right="101" w:firstLine="420"/>
        <w:jc w:val="left"/>
      </w:pPr>
      <w:r>
        <w:rPr>
          <w:spacing w:val="3"/>
        </w:rPr>
        <w:t>成都旋极自成立以来一直从事嵌入式系统测试业务和行业智能移动终端业务在西南地区的市场推广</w:t>
      </w:r>
      <w:r>
        <w:rPr/>
        <w:t> 和销售服务。</w:t>
      </w:r>
    </w:p>
    <w:p>
      <w:pPr>
        <w:spacing w:line="240" w:lineRule="auto" w:before="6"/>
        <w:rPr>
          <w:rFonts w:ascii="宋体" w:hAnsi="宋体" w:cs="宋体" w:eastAsia="宋体" w:hint="default"/>
          <w:sz w:val="15"/>
          <w:szCs w:val="15"/>
        </w:rPr>
      </w:pPr>
    </w:p>
    <w:p>
      <w:pPr>
        <w:pStyle w:val="BodyText"/>
        <w:spacing w:line="240" w:lineRule="auto"/>
        <w:ind w:left="658" w:right="101"/>
        <w:jc w:val="left"/>
      </w:pPr>
      <w:r>
        <w:rPr>
          <w:spacing w:val="6"/>
        </w:rPr>
        <w:t>截至</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日，该公司总资产为 </w:t>
      </w:r>
      <w:r>
        <w:rPr>
          <w:rFonts w:ascii="Times New Roman" w:hAnsi="Times New Roman" w:cs="Times New Roman" w:eastAsia="Times New Roman" w:hint="default"/>
        </w:rPr>
        <w:t>1412.87</w:t>
      </w:r>
      <w:r>
        <w:rPr>
          <w:rFonts w:ascii="Times New Roman" w:hAnsi="Times New Roman" w:cs="Times New Roman" w:eastAsia="Times New Roman" w:hint="default"/>
          <w:spacing w:val="48"/>
        </w:rPr>
        <w:t> </w:t>
      </w:r>
      <w:r>
        <w:rPr>
          <w:spacing w:val="6"/>
        </w:rPr>
        <w:t>万元，净资产</w:t>
      </w:r>
      <w:r>
        <w:rPr>
          <w:rFonts w:ascii="Times New Roman" w:hAnsi="Times New Roman" w:cs="Times New Roman" w:eastAsia="Times New Roman" w:hint="default"/>
          <w:spacing w:val="6"/>
        </w:rPr>
        <w:t>993.10</w:t>
      </w:r>
      <w:r>
        <w:rPr>
          <w:spacing w:val="6"/>
        </w:rPr>
        <w:t>万元，</w:t>
      </w:r>
      <w:r>
        <w:rPr>
          <w:rFonts w:ascii="Times New Roman" w:hAnsi="Times New Roman" w:cs="Times New Roman" w:eastAsia="Times New Roman" w:hint="default"/>
          <w:spacing w:val="6"/>
        </w:rPr>
        <w:t>2012</w:t>
      </w:r>
      <w:r>
        <w:rPr>
          <w:spacing w:val="6"/>
        </w:rPr>
        <w:t>年实现营业收入</w:t>
      </w:r>
    </w:p>
    <w:p>
      <w:pPr>
        <w:pStyle w:val="BodyText"/>
        <w:spacing w:line="240" w:lineRule="auto" w:before="177"/>
        <w:ind w:left="154" w:right="96"/>
        <w:jc w:val="left"/>
      </w:pPr>
      <w:r>
        <w:rPr>
          <w:rFonts w:ascii="Times New Roman" w:hAnsi="Times New Roman" w:cs="Times New Roman" w:eastAsia="Times New Roman" w:hint="default"/>
        </w:rPr>
        <w:t>1874.89</w:t>
      </w:r>
      <w:r>
        <w:rPr/>
        <w:t>万元，营业成本</w:t>
      </w:r>
      <w:r>
        <w:rPr>
          <w:rFonts w:ascii="Times New Roman" w:hAnsi="Times New Roman" w:cs="Times New Roman" w:eastAsia="Times New Roman" w:hint="default"/>
        </w:rPr>
        <w:t>1384.02</w:t>
      </w:r>
      <w:r>
        <w:rPr/>
        <w:t>万元，净利润</w:t>
      </w:r>
      <w:r>
        <w:rPr>
          <w:rFonts w:ascii="Times New Roman" w:hAnsi="Times New Roman" w:cs="Times New Roman" w:eastAsia="Times New Roman" w:hint="default"/>
        </w:rPr>
        <w:t>296.21</w:t>
      </w:r>
      <w:r>
        <w:rPr/>
        <w:t>万元。（以上数据已经信永中和会计师事务所审计）。</w:t>
      </w:r>
    </w:p>
    <w:p>
      <w:pPr>
        <w:spacing w:after="0" w:line="240" w:lineRule="auto"/>
        <w:jc w:val="left"/>
        <w:sectPr>
          <w:pgSz w:w="11910" w:h="16840"/>
          <w:pgMar w:header="997" w:footer="1252" w:top="1340" w:bottom="1440" w:left="980" w:right="920"/>
        </w:sectPr>
      </w:pPr>
    </w:p>
    <w:p>
      <w:pPr>
        <w:spacing w:line="568" w:lineRule="auto" w:before="106"/>
        <w:ind w:left="574" w:right="650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）深圳市旋极历通科技有限公司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法定代表人：陈江涛</w:t>
      </w:r>
    </w:p>
    <w:p>
      <w:pPr>
        <w:pStyle w:val="BodyText"/>
        <w:spacing w:line="516" w:lineRule="auto" w:before="61"/>
        <w:ind w:right="6830"/>
        <w:jc w:val="left"/>
      </w:pPr>
      <w:r>
        <w:rPr/>
        <w:t>成立日期：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 注册资本：</w:t>
      </w:r>
      <w:r>
        <w:rPr>
          <w:rFonts w:ascii="Times New Roman" w:hAnsi="Times New Roman" w:cs="Times New Roman" w:eastAsia="Times New Roman" w:hint="default"/>
        </w:rPr>
        <w:t>248</w:t>
      </w:r>
      <w:r>
        <w:rPr/>
        <w:t>万元</w:t>
      </w:r>
    </w:p>
    <w:p>
      <w:pPr>
        <w:pStyle w:val="BodyText"/>
        <w:spacing w:line="408" w:lineRule="auto" w:before="66"/>
        <w:ind w:left="154" w:right="0" w:firstLine="420"/>
        <w:jc w:val="left"/>
      </w:pPr>
      <w:r>
        <w:rPr>
          <w:spacing w:val="-1"/>
        </w:rPr>
        <w:t>经营范围：计算机软件及网络；高性能微处理系统、机械电子设备、通信设备的技术开发与销售（不</w:t>
      </w:r>
      <w:r>
        <w:rPr/>
        <w:t> 含专营、专控、专卖商品）</w:t>
      </w:r>
    </w:p>
    <w:p>
      <w:pPr>
        <w:spacing w:line="240" w:lineRule="auto" w:before="6"/>
        <w:rPr>
          <w:rFonts w:ascii="宋体" w:hAnsi="宋体" w:cs="宋体" w:eastAsia="宋体" w:hint="default"/>
          <w:sz w:val="15"/>
          <w:szCs w:val="15"/>
        </w:rPr>
      </w:pPr>
    </w:p>
    <w:p>
      <w:pPr>
        <w:pStyle w:val="BodyText"/>
        <w:spacing w:line="240" w:lineRule="auto"/>
        <w:ind w:right="0"/>
        <w:jc w:val="left"/>
      </w:pPr>
      <w:r>
        <w:rPr/>
        <w:t>股东构成：本公司持有其</w:t>
      </w:r>
      <w:r>
        <w:rPr>
          <w:rFonts w:ascii="Times New Roman" w:hAnsi="Times New Roman" w:cs="Times New Roman" w:eastAsia="Times New Roman" w:hint="default"/>
        </w:rPr>
        <w:t>100%</w:t>
      </w:r>
      <w:r>
        <w:rPr/>
        <w:t>股权。</w:t>
      </w:r>
    </w:p>
    <w:p>
      <w:pPr>
        <w:spacing w:line="240" w:lineRule="auto" w:before="6"/>
        <w:rPr>
          <w:rFonts w:ascii="宋体" w:hAnsi="宋体" w:cs="宋体" w:eastAsia="宋体" w:hint="default"/>
          <w:sz w:val="25"/>
          <w:szCs w:val="25"/>
        </w:rPr>
      </w:pPr>
    </w:p>
    <w:p>
      <w:pPr>
        <w:pStyle w:val="BodyText"/>
        <w:spacing w:line="408" w:lineRule="auto"/>
        <w:ind w:left="154" w:right="0" w:firstLine="420"/>
        <w:jc w:val="left"/>
      </w:pPr>
      <w:r>
        <w:rPr>
          <w:spacing w:val="3"/>
        </w:rPr>
        <w:t>深圳旋极自成立以来一直从事嵌入式系统测试业务和行业智能移动终端业务在华南地区的市场推广</w:t>
      </w:r>
      <w:r>
        <w:rPr/>
        <w:t> 和销售服务。</w:t>
      </w:r>
    </w:p>
    <w:p>
      <w:pPr>
        <w:spacing w:line="240" w:lineRule="auto" w:before="6"/>
        <w:rPr>
          <w:rFonts w:ascii="宋体" w:hAnsi="宋体" w:cs="宋体" w:eastAsia="宋体" w:hint="default"/>
          <w:sz w:val="15"/>
          <w:szCs w:val="15"/>
        </w:rPr>
      </w:pPr>
    </w:p>
    <w:p>
      <w:pPr>
        <w:pStyle w:val="BodyText"/>
        <w:spacing w:line="386" w:lineRule="auto"/>
        <w:ind w:left="153" w:right="148"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58.88</w:t>
      </w:r>
      <w:r>
        <w:rPr/>
        <w:t>万元，净资产</w:t>
      </w:r>
      <w:r>
        <w:rPr>
          <w:rFonts w:ascii="Times New Roman" w:hAnsi="Times New Roman" w:cs="Times New Roman" w:eastAsia="Times New Roman" w:hint="default"/>
        </w:rPr>
        <w:t>-348.61</w:t>
      </w:r>
      <w:r>
        <w:rPr/>
        <w:t>万元，净利润</w:t>
      </w:r>
      <w:r>
        <w:rPr>
          <w:spacing w:val="-19"/>
        </w:rPr>
        <w:t> </w:t>
      </w:r>
      <w:r>
        <w:rPr>
          <w:rFonts w:ascii="Times New Roman" w:hAnsi="Times New Roman" w:cs="Times New Roman" w:eastAsia="Times New Roman" w:hint="default"/>
        </w:rPr>
        <w:t>-125.40</w:t>
      </w:r>
      <w:r>
        <w:rPr/>
        <w:t>万元。（以上 数据已经信永中和会计师事务所审计）。</w:t>
      </w:r>
    </w:p>
    <w:p>
      <w:pPr>
        <w:spacing w:line="240" w:lineRule="auto" w:before="0"/>
        <w:rPr>
          <w:rFonts w:ascii="宋体" w:hAnsi="宋体" w:cs="宋体" w:eastAsia="宋体" w:hint="default"/>
          <w:sz w:val="22"/>
          <w:szCs w:val="22"/>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4</w:t>
      </w:r>
      <w:r>
        <w:rPr/>
        <w:t>）旋极国际（香港）有限公司</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4" w:right="0" w:firstLine="419"/>
        <w:jc w:val="left"/>
      </w:pPr>
      <w:r>
        <w:rPr>
          <w:spacing w:val="-1"/>
        </w:rPr>
        <w:t>旋极国际（香港）有限公司为本公司的全资子公司，于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日在香港注册成立，股本</w:t>
      </w:r>
      <w:r>
        <w:rPr>
          <w:rFonts w:ascii="Times New Roman" w:hAnsi="Times New Roman" w:cs="Times New Roman" w:eastAsia="Times New Roman" w:hint="default"/>
          <w:spacing w:val="-1"/>
        </w:rPr>
        <w:t>100</w:t>
      </w:r>
      <w:r>
        <w:rPr>
          <w:spacing w:val="-1"/>
        </w:rPr>
        <w:t>万元</w:t>
      </w:r>
      <w:r>
        <w:rPr/>
        <w:t> 港币，经营范围：国际贸易，软件研发项目设计，软件服务外包。</w:t>
      </w:r>
    </w:p>
    <w:p>
      <w:pPr>
        <w:spacing w:line="240" w:lineRule="auto" w:before="12"/>
        <w:rPr>
          <w:rFonts w:ascii="宋体" w:hAnsi="宋体" w:cs="宋体" w:eastAsia="宋体" w:hint="default"/>
          <w:sz w:val="16"/>
          <w:szCs w:val="16"/>
        </w:rPr>
      </w:pPr>
    </w:p>
    <w:p>
      <w:pPr>
        <w:pStyle w:val="BodyText"/>
        <w:spacing w:line="530" w:lineRule="auto"/>
        <w:ind w:right="0" w:firstLine="83"/>
        <w:jc w:val="left"/>
      </w:pPr>
      <w:r>
        <w:rPr/>
        <w:t>住所：香港九龙旺角花园街</w:t>
      </w:r>
      <w:r>
        <w:rPr>
          <w:rFonts w:ascii="Times New Roman" w:hAnsi="Times New Roman" w:cs="Times New Roman" w:eastAsia="Times New Roman" w:hint="default"/>
        </w:rPr>
        <w:t>2</w:t>
      </w:r>
      <w:r>
        <w:rPr/>
        <w:t>道</w:t>
      </w:r>
      <w:r>
        <w:rPr>
          <w:rFonts w:ascii="Times New Roman" w:hAnsi="Times New Roman" w:cs="Times New Roman" w:eastAsia="Times New Roman" w:hint="default"/>
        </w:rPr>
        <w:t>16</w:t>
      </w:r>
      <w:r>
        <w:rPr/>
        <w:t>号好景商业中心</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1007</w:t>
      </w:r>
      <w:r>
        <w:rPr/>
        <w:t>室 主营业务：嵌入式系统测试产品和嵌入式智能行业终端产品的销售和服务 股东构成：本公司持有其</w:t>
      </w:r>
      <w:r>
        <w:rPr>
          <w:rFonts w:ascii="Times New Roman" w:hAnsi="Times New Roman" w:cs="Times New Roman" w:eastAsia="Times New Roman" w:hint="default"/>
        </w:rPr>
        <w:t>100%</w:t>
      </w:r>
      <w:r>
        <w:rPr/>
        <w:t>股权</w:t>
      </w:r>
    </w:p>
    <w:p>
      <w:pPr>
        <w:pStyle w:val="BodyText"/>
        <w:spacing w:line="386" w:lineRule="auto" w:before="52"/>
        <w:ind w:left="154" w:right="0" w:firstLine="420"/>
        <w:jc w:val="left"/>
      </w:pPr>
      <w:r>
        <w:rPr>
          <w:spacing w:val="-4"/>
        </w:rPr>
        <w:t>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日，该公司总资产为</w:t>
      </w:r>
      <w:r>
        <w:rPr>
          <w:rFonts w:ascii="Times New Roman" w:hAnsi="Times New Roman" w:cs="Times New Roman" w:eastAsia="Times New Roman" w:hint="default"/>
          <w:spacing w:val="-4"/>
        </w:rPr>
        <w:t>1641.51</w:t>
      </w:r>
      <w:r>
        <w:rPr>
          <w:spacing w:val="-4"/>
        </w:rPr>
        <w:t>万元，净资产</w:t>
      </w:r>
      <w:r>
        <w:rPr>
          <w:rFonts w:ascii="Times New Roman" w:hAnsi="Times New Roman" w:cs="Times New Roman" w:eastAsia="Times New Roman" w:hint="default"/>
          <w:spacing w:val="-4"/>
        </w:rPr>
        <w:t>1672.42</w:t>
      </w:r>
      <w:r>
        <w:rPr>
          <w:spacing w:val="-4"/>
        </w:rPr>
        <w:t>万元，</w:t>
      </w:r>
      <w:r>
        <w:rPr>
          <w:rFonts w:ascii="Times New Roman" w:hAnsi="Times New Roman" w:cs="Times New Roman" w:eastAsia="Times New Roman" w:hint="default"/>
          <w:spacing w:val="-4"/>
        </w:rPr>
        <w:t>2012</w:t>
      </w:r>
      <w:r>
        <w:rPr>
          <w:spacing w:val="-4"/>
        </w:rPr>
        <w:t>年实现营业收入</w:t>
      </w:r>
      <w:r>
        <w:rPr>
          <w:rFonts w:ascii="Times New Roman" w:hAnsi="Times New Roman" w:cs="Times New Roman" w:eastAsia="Times New Roman" w:hint="default"/>
          <w:spacing w:val="-4"/>
        </w:rPr>
        <w:t>5607.75</w:t>
      </w:r>
      <w:r>
        <w:rPr>
          <w:rFonts w:ascii="Times New Roman" w:hAnsi="Times New Roman" w:cs="Times New Roman" w:eastAsia="Times New Roman" w:hint="default"/>
        </w:rPr>
        <w:t> </w:t>
      </w:r>
      <w:r>
        <w:rPr/>
        <w:t>万元，营业成本</w:t>
      </w:r>
      <w:r>
        <w:rPr>
          <w:rFonts w:ascii="Times New Roman" w:hAnsi="Times New Roman" w:cs="Times New Roman" w:eastAsia="Times New Roman" w:hint="default"/>
        </w:rPr>
        <w:t>4605.63</w:t>
      </w:r>
      <w:r>
        <w:rPr/>
        <w:t>万元，净利润</w:t>
      </w:r>
      <w:r>
        <w:rPr>
          <w:spacing w:val="-28"/>
        </w:rPr>
        <w:t> </w:t>
      </w:r>
      <w:r>
        <w:rPr>
          <w:rFonts w:ascii="Times New Roman" w:hAnsi="Times New Roman" w:cs="Times New Roman" w:eastAsia="Times New Roman" w:hint="default"/>
        </w:rPr>
        <w:t>635.53</w:t>
      </w:r>
      <w:r>
        <w:rPr/>
        <w:t>万元。（以上数据已经信永中和会计师事务所审计）。</w:t>
      </w:r>
    </w:p>
    <w:p>
      <w:pPr>
        <w:spacing w:line="240" w:lineRule="auto" w:before="10"/>
        <w:rPr>
          <w:rFonts w:ascii="宋体" w:hAnsi="宋体" w:cs="宋体" w:eastAsia="宋体" w:hint="default"/>
          <w:sz w:val="19"/>
          <w:szCs w:val="19"/>
        </w:rPr>
      </w:pPr>
    </w:p>
    <w:p>
      <w:pPr>
        <w:spacing w:line="568" w:lineRule="auto" w:before="0"/>
        <w:ind w:left="573" w:right="608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）北京旋极汉荣嵌入式技术有限公司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法定代表人：刘明</w:t>
      </w:r>
    </w:p>
    <w:p>
      <w:pPr>
        <w:pStyle w:val="BodyText"/>
        <w:spacing w:line="516" w:lineRule="auto" w:before="61"/>
        <w:ind w:right="6936" w:hanging="1"/>
        <w:jc w:val="left"/>
      </w:pPr>
      <w:r>
        <w:rPr/>
        <w:t>成立日期：</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 注册资本：</w:t>
      </w:r>
      <w:r>
        <w:rPr>
          <w:rFonts w:ascii="Times New Roman" w:hAnsi="Times New Roman" w:cs="Times New Roman" w:eastAsia="Times New Roman" w:hint="default"/>
        </w:rPr>
        <w:t>100</w:t>
      </w:r>
      <w:r>
        <w:rPr/>
        <w:t>万元</w:t>
      </w:r>
    </w:p>
    <w:p>
      <w:pPr>
        <w:spacing w:after="0" w:line="516"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408" w:lineRule="auto" w:before="35"/>
        <w:ind w:left="154" w:right="151" w:firstLine="420"/>
        <w:jc w:val="both"/>
      </w:pPr>
      <w:r>
        <w:rPr>
          <w:spacing w:val="-1"/>
        </w:rPr>
        <w:t>经营范围：法律、行政法规、国务院决定禁止的，不得经营；法律、行政法规、国务院决定规定应经</w:t>
      </w:r>
      <w:r>
        <w:rPr/>
        <w:t> </w:t>
      </w:r>
      <w:r>
        <w:rPr>
          <w:spacing w:val="-1"/>
        </w:rPr>
        <w:t>许可的，经审批机关批准并经工商行政管理机关登记注册后方可经营；法律、行政法规、国务院决定未规</w:t>
      </w:r>
      <w:r>
        <w:rPr>
          <w:spacing w:val="-82"/>
        </w:rPr>
        <w:t> </w:t>
      </w:r>
      <w:r>
        <w:rPr>
          <w:spacing w:val="-82"/>
        </w:rPr>
      </w:r>
      <w:r>
        <w:rPr/>
        <w:t>定许可的，自主选择经营项目开展经营活动</w:t>
      </w:r>
    </w:p>
    <w:p>
      <w:pPr>
        <w:spacing w:line="240" w:lineRule="auto" w:before="6"/>
        <w:rPr>
          <w:rFonts w:ascii="宋体" w:hAnsi="宋体" w:cs="宋体" w:eastAsia="宋体" w:hint="default"/>
          <w:sz w:val="15"/>
          <w:szCs w:val="15"/>
        </w:rPr>
      </w:pPr>
    </w:p>
    <w:p>
      <w:pPr>
        <w:pStyle w:val="BodyText"/>
        <w:spacing w:line="516" w:lineRule="auto"/>
        <w:ind w:right="110"/>
        <w:jc w:val="left"/>
      </w:pPr>
      <w:r>
        <w:rPr/>
        <w:t>股东构成：本公司持有其</w:t>
      </w:r>
      <w:r>
        <w:rPr>
          <w:rFonts w:ascii="Times New Roman" w:hAnsi="Times New Roman" w:cs="Times New Roman" w:eastAsia="Times New Roman" w:hint="default"/>
        </w:rPr>
        <w:t>100%</w:t>
      </w:r>
      <w:r>
        <w:rPr/>
        <w:t>股权 旋极汉荣自成立以来一直从事嵌入式系统测试业务和行业智能移动终端产品的市场拓展与销售服务。</w:t>
      </w:r>
    </w:p>
    <w:p>
      <w:pPr>
        <w:pStyle w:val="BodyText"/>
        <w:spacing w:line="386" w:lineRule="auto" w:before="107"/>
        <w:ind w:left="154" w:right="151" w:firstLine="42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 </w:t>
      </w:r>
      <w:r>
        <w:rPr>
          <w:rFonts w:ascii="Times New Roman" w:hAnsi="Times New Roman" w:cs="Times New Roman" w:eastAsia="Times New Roman" w:hint="default"/>
        </w:rPr>
        <w:t>848.27</w:t>
      </w:r>
      <w:r>
        <w:rPr>
          <w:rFonts w:ascii="Times New Roman" w:hAnsi="Times New Roman" w:cs="Times New Roman" w:eastAsia="Times New Roman" w:hint="default"/>
          <w:spacing w:val="51"/>
        </w:rPr>
        <w:t> </w:t>
      </w:r>
      <w:r>
        <w:rPr>
          <w:spacing w:val="-3"/>
        </w:rPr>
        <w:t>万元。净资产</w:t>
      </w:r>
      <w:r>
        <w:rPr>
          <w:rFonts w:ascii="Times New Roman" w:hAnsi="Times New Roman" w:cs="Times New Roman" w:eastAsia="Times New Roman" w:hint="default"/>
          <w:spacing w:val="-3"/>
        </w:rPr>
        <w:t>815.97</w:t>
      </w:r>
      <w:r>
        <w:rPr>
          <w:spacing w:val="-3"/>
        </w:rPr>
        <w:t>万元，净利润</w:t>
      </w:r>
      <w:r>
        <w:rPr>
          <w:rFonts w:ascii="Times New Roman" w:hAnsi="Times New Roman" w:cs="Times New Roman" w:eastAsia="Times New Roman" w:hint="default"/>
          <w:spacing w:val="-3"/>
        </w:rPr>
        <w:t>29.87</w:t>
      </w:r>
      <w:r>
        <w:rPr>
          <w:spacing w:val="-3"/>
        </w:rPr>
        <w:t>万元（以上数</w:t>
      </w:r>
      <w:r>
        <w:rPr/>
        <w:t> 据已经信永中和会计师事务所审计）。</w:t>
      </w:r>
    </w:p>
    <w:p>
      <w:pPr>
        <w:spacing w:line="240" w:lineRule="auto" w:before="12"/>
        <w:rPr>
          <w:rFonts w:ascii="宋体" w:hAnsi="宋体" w:cs="宋体" w:eastAsia="宋体" w:hint="default"/>
          <w:sz w:val="16"/>
          <w:szCs w:val="16"/>
        </w:rPr>
      </w:pPr>
    </w:p>
    <w:p>
      <w:pPr>
        <w:pStyle w:val="BodyText"/>
        <w:spacing w:line="386" w:lineRule="auto"/>
        <w:ind w:left="153" w:right="150"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日，公司第二届董事会第七次会议审议通过《关于注销全资子公司北京旋极汉荣嵌入式 技术有限公司的议案》，该公司注销工作正在进行中。</w:t>
      </w:r>
    </w:p>
    <w:p>
      <w:pPr>
        <w:spacing w:line="240" w:lineRule="auto" w:before="0"/>
        <w:rPr>
          <w:rFonts w:ascii="宋体" w:hAnsi="宋体" w:cs="宋体" w:eastAsia="宋体" w:hint="default"/>
          <w:sz w:val="22"/>
          <w:szCs w:val="22"/>
        </w:rPr>
      </w:pPr>
    </w:p>
    <w:p>
      <w:pPr>
        <w:spacing w:line="568" w:lineRule="auto" w:before="0"/>
        <w:ind w:left="573" w:right="671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）北京百旺金赋科技有限公司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法定代表人：陈江涛</w:t>
      </w:r>
    </w:p>
    <w:p>
      <w:pPr>
        <w:pStyle w:val="BodyText"/>
        <w:spacing w:line="516" w:lineRule="auto" w:before="61"/>
        <w:ind w:left="573" w:right="6621"/>
        <w:jc w:val="left"/>
      </w:pPr>
      <w:r>
        <w:rPr/>
        <w:t>成立日期：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29</w:t>
      </w:r>
      <w:r>
        <w:rPr/>
        <w:t>日 注册资金：</w:t>
      </w:r>
      <w:r>
        <w:rPr>
          <w:rFonts w:ascii="Times New Roman" w:hAnsi="Times New Roman" w:cs="Times New Roman" w:eastAsia="Times New Roman" w:hint="default"/>
        </w:rPr>
        <w:t>1200</w:t>
      </w:r>
      <w:r>
        <w:rPr/>
        <w:t>万元 经营范围：许可经营项目：无</w:t>
      </w:r>
    </w:p>
    <w:p>
      <w:pPr>
        <w:pStyle w:val="BodyText"/>
        <w:spacing w:line="408" w:lineRule="auto" w:before="107"/>
        <w:ind w:left="153" w:right="128" w:firstLine="420"/>
        <w:jc w:val="both"/>
      </w:pPr>
      <w:r>
        <w:rPr>
          <w:spacing w:val="-1"/>
        </w:rPr>
        <w:t>一般经营项目：技术开发、技术转让、技术咨询、技术服务、技术推广；计算机系统服务；计算机维</w:t>
      </w:r>
      <w:r>
        <w:rPr/>
        <w:t> 修；基础软件服务；数据处理；计算机技术培训；销售家用电器、计算机、软件及辅助设备、通讯设备。</w:t>
      </w:r>
    </w:p>
    <w:p>
      <w:pPr>
        <w:pStyle w:val="BodyText"/>
        <w:spacing w:line="544" w:lineRule="auto" w:before="46"/>
        <w:ind w:left="573" w:right="6831" w:hanging="420"/>
        <w:jc w:val="left"/>
        <w:rPr>
          <w:rFonts w:ascii="Times New Roman" w:hAnsi="Times New Roman" w:cs="Times New Roman" w:eastAsia="Times New Roman" w:hint="default"/>
        </w:rPr>
      </w:pPr>
      <w:r>
        <w:rPr/>
        <w:t>（未取得行政许可的项目除外） 股东构成：本公司持股</w:t>
      </w:r>
      <w:r>
        <w:rPr>
          <w:rFonts w:ascii="Times New Roman" w:hAnsi="Times New Roman" w:cs="Times New Roman" w:eastAsia="Times New Roman" w:hint="default"/>
        </w:rPr>
        <w:t>75%</w:t>
      </w:r>
    </w:p>
    <w:p>
      <w:pPr>
        <w:pStyle w:val="BodyText"/>
        <w:spacing w:line="240" w:lineRule="auto" w:before="38"/>
        <w:ind w:left="573" w:right="0"/>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spacing w:val="-2"/>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t>日</w:t>
      </w:r>
      <w:r>
        <w:rPr>
          <w:spacing w:val="-88"/>
        </w:rPr>
        <w:t>，</w:t>
      </w:r>
      <w:r>
        <w:rPr>
          <w:spacing w:val="-2"/>
        </w:rPr>
        <w:t>该</w:t>
      </w:r>
      <w:r>
        <w:rPr/>
        <w:t>公司总资产为</w:t>
      </w:r>
      <w:r>
        <w:rPr>
          <w:spacing w:val="-2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72</w:t>
      </w:r>
      <w:r>
        <w:rPr>
          <w:spacing w:val="-2"/>
        </w:rPr>
        <w:t>万</w:t>
      </w:r>
      <w:r>
        <w:rPr/>
        <w:t>元</w:t>
      </w:r>
      <w:r>
        <w:rPr>
          <w:spacing w:val="-88"/>
        </w:rPr>
        <w:t>，</w:t>
      </w:r>
      <w:r>
        <w:rPr/>
        <w:t>净资产</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rFonts w:ascii="Times New Roman" w:hAnsi="Times New Roman" w:cs="Times New Roman" w:eastAsia="Times New Roman" w:hint="default"/>
        </w:rPr>
        <w:t>53</w:t>
      </w:r>
      <w:r>
        <w:rPr/>
        <w:t>万</w:t>
      </w:r>
      <w:r>
        <w:rPr>
          <w:spacing w:val="-2"/>
        </w:rPr>
        <w:t>元</w:t>
      </w:r>
      <w:r>
        <w:rPr>
          <w:spacing w:val="-88"/>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12</w:t>
      </w:r>
      <w:r>
        <w:rPr/>
        <w:t>年实现</w:t>
      </w:r>
      <w:r>
        <w:rPr>
          <w:spacing w:val="-2"/>
        </w:rPr>
        <w:t>营</w:t>
      </w:r>
      <w:r>
        <w:rPr/>
        <w:t>业收入</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67</w:t>
      </w:r>
      <w:r>
        <w:rPr>
          <w:rFonts w:ascii="Times New Roman" w:hAnsi="Times New Roman" w:cs="Times New Roman" w:eastAsia="Times New Roman" w:hint="default"/>
          <w:spacing w:val="-1"/>
        </w:rPr>
        <w:t>.</w:t>
      </w:r>
      <w:r>
        <w:rPr>
          <w:rFonts w:ascii="Times New Roman" w:hAnsi="Times New Roman" w:cs="Times New Roman" w:eastAsia="Times New Roman" w:hint="default"/>
        </w:rPr>
        <w:t>79</w:t>
      </w:r>
    </w:p>
    <w:p>
      <w:pPr>
        <w:pStyle w:val="BodyText"/>
        <w:spacing w:line="240" w:lineRule="auto" w:before="177"/>
        <w:ind w:left="153" w:right="0"/>
        <w:jc w:val="left"/>
      </w:pPr>
      <w:r>
        <w:rPr/>
        <w:t>万元</w:t>
      </w:r>
      <w:r>
        <w:rPr>
          <w:spacing w:val="-28"/>
        </w:rPr>
        <w:t> </w:t>
      </w:r>
      <w:r>
        <w:rPr/>
        <w:t>，营业成本</w:t>
      </w:r>
      <w:r>
        <w:rPr>
          <w:rFonts w:ascii="Times New Roman" w:hAnsi="Times New Roman" w:cs="Times New Roman" w:eastAsia="Times New Roman" w:hint="default"/>
        </w:rPr>
        <w:t>3524.84</w:t>
      </w:r>
      <w:r>
        <w:rPr/>
        <w:t>万元，净利润</w:t>
      </w:r>
      <w:r>
        <w:rPr>
          <w:rFonts w:ascii="Times New Roman" w:hAnsi="Times New Roman" w:cs="Times New Roman" w:eastAsia="Times New Roman" w:hint="default"/>
        </w:rPr>
        <w:t>111.98</w:t>
      </w:r>
      <w:r>
        <w:rPr/>
        <w:t>万元。（以上数据已经信永中和会计师事务所审计）。</w:t>
      </w:r>
    </w:p>
    <w:p>
      <w:pPr>
        <w:spacing w:line="240" w:lineRule="auto" w:before="8"/>
        <w:rPr>
          <w:rFonts w:ascii="宋体" w:hAnsi="宋体" w:cs="宋体" w:eastAsia="宋体" w:hint="default"/>
          <w:sz w:val="30"/>
          <w:szCs w:val="30"/>
        </w:rPr>
      </w:pPr>
    </w:p>
    <w:p>
      <w:pPr>
        <w:spacing w:line="556" w:lineRule="auto" w:before="0"/>
        <w:ind w:left="573" w:right="671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）天津百望金赋科技有限公司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法定代表人：陈江涛 成立日期：</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p>
      <w:pPr>
        <w:spacing w:after="0" w:line="556" w:lineRule="auto"/>
        <w:jc w:val="left"/>
        <w:rPr>
          <w:rFonts w:ascii="宋体" w:hAnsi="宋体" w:cs="宋体" w:eastAsia="宋体" w:hint="default"/>
          <w:sz w:val="21"/>
          <w:szCs w:val="21"/>
        </w:rPr>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注册资金：</w:t>
      </w:r>
      <w:r>
        <w:rPr>
          <w:rFonts w:ascii="Times New Roman" w:hAnsi="Times New Roman" w:cs="Times New Roman" w:eastAsia="Times New Roman" w:hint="default"/>
        </w:rPr>
        <w:t>100</w:t>
      </w:r>
      <w:r>
        <w:rPr/>
        <w:t>万元</w:t>
      </w:r>
    </w:p>
    <w:p>
      <w:pPr>
        <w:spacing w:line="240" w:lineRule="auto" w:before="6"/>
        <w:rPr>
          <w:rFonts w:ascii="宋体" w:hAnsi="宋体" w:cs="宋体" w:eastAsia="宋体" w:hint="default"/>
          <w:sz w:val="25"/>
          <w:szCs w:val="25"/>
        </w:rPr>
      </w:pPr>
    </w:p>
    <w:p>
      <w:pPr>
        <w:pStyle w:val="BodyText"/>
        <w:spacing w:line="408" w:lineRule="auto"/>
        <w:ind w:left="154" w:right="128" w:firstLine="420"/>
        <w:jc w:val="both"/>
      </w:pPr>
      <w:r>
        <w:rPr>
          <w:spacing w:val="-1"/>
        </w:rPr>
        <w:t>经营范围：计算机软硬件的技术开发、转让、咨询、服务；计算机系统集成；家用电器、计算机软硬</w:t>
      </w:r>
      <w:r>
        <w:rPr/>
        <w:t> 件及辅助设备、通讯设备批发兼零售。（以上经营范围涉及行业许可的凭许可证件，在有效期限内经营， 国家有专项专营规定的按规定办理）</w:t>
      </w:r>
    </w:p>
    <w:p>
      <w:pPr>
        <w:spacing w:line="240" w:lineRule="auto" w:before="6"/>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151" w:firstLine="420"/>
        <w:jc w:val="both"/>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日，该公司总资产为</w:t>
      </w:r>
      <w:r>
        <w:rPr>
          <w:rFonts w:ascii="Times New Roman" w:hAnsi="Times New Roman" w:cs="Times New Roman" w:eastAsia="Times New Roman" w:hint="default"/>
          <w:spacing w:val="-2"/>
        </w:rPr>
        <w:t>118.98</w:t>
      </w:r>
      <w:r>
        <w:rPr>
          <w:spacing w:val="-2"/>
        </w:rPr>
        <w:t>万元，净资产</w:t>
      </w:r>
      <w:r>
        <w:rPr>
          <w:rFonts w:ascii="Times New Roman" w:hAnsi="Times New Roman" w:cs="Times New Roman" w:eastAsia="Times New Roman" w:hint="default"/>
          <w:spacing w:val="-2"/>
        </w:rPr>
        <w:t>100.05</w:t>
      </w:r>
      <w:r>
        <w:rPr>
          <w:spacing w:val="-2"/>
        </w:rPr>
        <w:t>万元，净利润</w:t>
      </w:r>
      <w:r>
        <w:rPr>
          <w:rFonts w:ascii="Times New Roman" w:hAnsi="Times New Roman" w:cs="Times New Roman" w:eastAsia="Times New Roman" w:hint="default"/>
          <w:spacing w:val="-2"/>
        </w:rPr>
        <w:t>0.05</w:t>
      </w:r>
      <w:r>
        <w:rPr>
          <w:spacing w:val="-2"/>
        </w:rPr>
        <w:t>万元。（以上数据</w:t>
      </w:r>
      <w:r>
        <w:rPr/>
        <w:t> 已经信永中和会计师事务所审计）。</w:t>
      </w:r>
    </w:p>
    <w:p>
      <w:pPr>
        <w:spacing w:line="240" w:lineRule="auto" w:before="0"/>
        <w:rPr>
          <w:rFonts w:ascii="宋体" w:hAnsi="宋体" w:cs="宋体" w:eastAsia="宋体" w:hint="default"/>
          <w:sz w:val="22"/>
          <w:szCs w:val="22"/>
        </w:rPr>
      </w:pPr>
    </w:p>
    <w:p>
      <w:pPr>
        <w:spacing w:line="568" w:lineRule="auto" w:before="0"/>
        <w:ind w:left="574" w:right="671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）杭州百旺金赋科技有限公司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法定代表人：陈茵</w:t>
      </w:r>
    </w:p>
    <w:p>
      <w:pPr>
        <w:pStyle w:val="BodyText"/>
        <w:spacing w:line="516" w:lineRule="auto" w:before="61"/>
        <w:ind w:right="6620" w:hanging="1"/>
        <w:jc w:val="left"/>
      </w:pPr>
      <w:r>
        <w:rPr/>
        <w:t>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 注册资金：</w:t>
      </w:r>
      <w:r>
        <w:rPr>
          <w:rFonts w:ascii="Times New Roman" w:hAnsi="Times New Roman" w:cs="Times New Roman" w:eastAsia="Times New Roman" w:hint="default"/>
        </w:rPr>
        <w:t>300</w:t>
      </w:r>
      <w:r>
        <w:rPr/>
        <w:t>万元 经营范围：许可经营项目：无</w:t>
      </w:r>
    </w:p>
    <w:p>
      <w:pPr>
        <w:pStyle w:val="BodyText"/>
        <w:spacing w:line="408" w:lineRule="auto" w:before="107"/>
        <w:ind w:left="154" w:right="149" w:firstLine="420"/>
        <w:jc w:val="both"/>
      </w:pPr>
      <w:r>
        <w:rPr>
          <w:spacing w:val="-1"/>
        </w:rPr>
        <w:t>一般经营项目：电子产品的技术开发、技术咨询、技术服务（法律法规需前置审批的项目除外）；计</w:t>
      </w:r>
      <w:r>
        <w:rPr/>
        <w:t> </w:t>
      </w:r>
      <w:r>
        <w:rPr>
          <w:spacing w:val="-1"/>
        </w:rPr>
        <w:t>算机软硬件的技术开发、销售、系统集成；税控盘和传输产品的销售、技术服务。（上述经营范围不含国</w:t>
      </w:r>
      <w:r>
        <w:rPr>
          <w:spacing w:val="-83"/>
        </w:rPr>
        <w:t> </w:t>
      </w:r>
      <w:r>
        <w:rPr>
          <w:spacing w:val="-83"/>
        </w:rPr>
      </w:r>
      <w:r>
        <w:rPr/>
        <w:t>家法律法规规定禁止、限制和许可经营的项目。）</w:t>
      </w:r>
    </w:p>
    <w:p>
      <w:pPr>
        <w:spacing w:line="240" w:lineRule="auto" w:before="6"/>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52%</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150" w:firstLine="420"/>
        <w:jc w:val="both"/>
      </w:pPr>
      <w:r>
        <w:rPr>
          <w:rFonts w:ascii="Times New Roman" w:hAnsi="Times New Roman" w:cs="Times New Roman" w:eastAsia="Times New Roman" w:hint="default"/>
        </w:rPr>
        <w:t>2013</w:t>
      </w:r>
      <w:r>
        <w:rPr/>
        <w:t>年，经公司董事会批准，同意公司使用自有资金</w:t>
      </w:r>
      <w:r>
        <w:rPr>
          <w:rFonts w:ascii="Times New Roman" w:hAnsi="Times New Roman" w:cs="Times New Roman" w:eastAsia="Times New Roman" w:hint="default"/>
        </w:rPr>
        <w:t>156</w:t>
      </w:r>
      <w:r>
        <w:rPr/>
        <w:t>万，联合成都沪友科技发展有限公司、杭州 中天软件有限公司共同增资杭州百旺金赋科技有限公司，拓展浙江地区税控销售服务市场。</w:t>
      </w:r>
    </w:p>
    <w:p>
      <w:pPr>
        <w:spacing w:line="240" w:lineRule="auto" w:before="12"/>
        <w:rPr>
          <w:rFonts w:ascii="宋体" w:hAnsi="宋体" w:cs="宋体" w:eastAsia="宋体" w:hint="default"/>
          <w:sz w:val="16"/>
          <w:szCs w:val="16"/>
        </w:rPr>
      </w:pPr>
    </w:p>
    <w:p>
      <w:pPr>
        <w:pStyle w:val="BodyText"/>
        <w:spacing w:line="386" w:lineRule="auto"/>
        <w:ind w:left="154" w:right="148" w:firstLine="42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spacing w:val="29"/>
        </w:rPr>
        <w:t> </w:t>
      </w:r>
      <w:r>
        <w:rPr>
          <w:rFonts w:ascii="Times New Roman" w:hAnsi="Times New Roman" w:cs="Times New Roman" w:eastAsia="Times New Roman" w:hint="default"/>
        </w:rPr>
        <w:t>449.02</w:t>
      </w:r>
      <w:r>
        <w:rPr/>
        <w:t>万元，净资产</w:t>
      </w:r>
      <w:r>
        <w:rPr>
          <w:rFonts w:ascii="Times New Roman" w:hAnsi="Times New Roman" w:cs="Times New Roman" w:eastAsia="Times New Roman" w:hint="default"/>
        </w:rPr>
        <w:t>287.01</w:t>
      </w:r>
      <w:r>
        <w:rPr/>
        <w:t>万元，净利润</w:t>
      </w:r>
      <w:r>
        <w:rPr>
          <w:rFonts w:ascii="Times New Roman" w:hAnsi="Times New Roman" w:cs="Times New Roman" w:eastAsia="Times New Roman" w:hint="default"/>
        </w:rPr>
        <w:t>-12.99</w:t>
      </w:r>
      <w:r>
        <w:rPr/>
        <w:t>万元。（以上</w:t>
      </w:r>
      <w:r>
        <w:rPr>
          <w:spacing w:val="2"/>
        </w:rPr>
        <w:t> </w:t>
      </w:r>
      <w:r>
        <w:rPr/>
        <w:t>数据已经信永中和会计师事务所审计）。</w:t>
      </w:r>
    </w:p>
    <w:p>
      <w:pPr>
        <w:spacing w:line="240" w:lineRule="auto" w:before="0"/>
        <w:rPr>
          <w:rFonts w:ascii="宋体" w:hAnsi="宋体" w:cs="宋体" w:eastAsia="宋体" w:hint="default"/>
          <w:sz w:val="22"/>
          <w:szCs w:val="22"/>
        </w:rPr>
      </w:pPr>
    </w:p>
    <w:p>
      <w:pPr>
        <w:spacing w:line="556" w:lineRule="auto" w:before="0"/>
        <w:ind w:left="574" w:right="671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）厦门百旺金赋科技有限公司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法定代表人：陈江涛 成立日期：</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p>
      <w:pPr>
        <w:spacing w:after="0" w:line="556" w:lineRule="auto"/>
        <w:jc w:val="left"/>
        <w:rPr>
          <w:rFonts w:ascii="宋体" w:hAnsi="宋体" w:cs="宋体" w:eastAsia="宋体" w:hint="default"/>
          <w:sz w:val="21"/>
          <w:szCs w:val="21"/>
        </w:rPr>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注册资金：</w:t>
      </w:r>
      <w:r>
        <w:rPr>
          <w:rFonts w:ascii="Times New Roman" w:hAnsi="Times New Roman" w:cs="Times New Roman" w:eastAsia="Times New Roman" w:hint="default"/>
        </w:rPr>
        <w:t>100</w:t>
      </w:r>
      <w:r>
        <w:rPr/>
        <w:t>万元</w:t>
      </w:r>
    </w:p>
    <w:p>
      <w:pPr>
        <w:spacing w:line="240" w:lineRule="auto" w:before="6"/>
        <w:rPr>
          <w:rFonts w:ascii="宋体" w:hAnsi="宋体" w:cs="宋体" w:eastAsia="宋体" w:hint="default"/>
          <w:sz w:val="25"/>
          <w:szCs w:val="25"/>
        </w:rPr>
      </w:pPr>
    </w:p>
    <w:p>
      <w:pPr>
        <w:pStyle w:val="BodyText"/>
        <w:spacing w:line="408" w:lineRule="auto"/>
        <w:ind w:left="154" w:right="151" w:firstLine="420"/>
        <w:jc w:val="both"/>
      </w:pPr>
      <w:r>
        <w:rPr>
          <w:spacing w:val="-1"/>
        </w:rPr>
        <w:t>经营范围：计算机软硬件的技术开发、技术转让、技术咨询、技术服务；计算机系统集成；销售；家</w:t>
      </w:r>
      <w:r>
        <w:rPr/>
        <w:t> </w:t>
      </w:r>
      <w:r>
        <w:rPr>
          <w:spacing w:val="-1"/>
        </w:rPr>
        <w:t>用电器、计算机软硬件及辅助设备、通讯设备。（以上经营范围涉及许可经营项目的，应在取得有关部门</w:t>
      </w:r>
      <w:r>
        <w:rPr>
          <w:spacing w:val="-83"/>
        </w:rPr>
        <w:t> </w:t>
      </w:r>
      <w:r>
        <w:rPr>
          <w:spacing w:val="-83"/>
        </w:rPr>
      </w:r>
      <w:r>
        <w:rPr/>
        <w:t>的许可后方可经营。）</w:t>
      </w:r>
    </w:p>
    <w:p>
      <w:pPr>
        <w:spacing w:line="240" w:lineRule="auto" w:before="6"/>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70%</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0" w:firstLine="420"/>
        <w:jc w:val="left"/>
      </w:pPr>
      <w:r>
        <w:rPr>
          <w:spacing w:val="-1"/>
        </w:rPr>
        <w:t>该公司原为公司全资子公司，注册资本</w:t>
      </w:r>
      <w:r>
        <w:rPr>
          <w:rFonts w:ascii="Times New Roman" w:hAnsi="Times New Roman" w:cs="Times New Roman" w:eastAsia="Times New Roman" w:hint="default"/>
          <w:spacing w:val="-1"/>
        </w:rPr>
        <w:t>50</w:t>
      </w:r>
      <w:r>
        <w:rPr>
          <w:spacing w:val="-1"/>
        </w:rPr>
        <w:t>万元，</w:t>
      </w:r>
      <w:r>
        <w:rPr>
          <w:rFonts w:ascii="Times New Roman" w:hAnsi="Times New Roman" w:cs="Times New Roman" w:eastAsia="Times New Roman" w:hint="default"/>
          <w:spacing w:val="-1"/>
        </w:rPr>
        <w:t>2013</w:t>
      </w:r>
      <w:r>
        <w:rPr>
          <w:spacing w:val="-1"/>
        </w:rPr>
        <w:t>年经公司董事会批准，公司使用自有资金</w:t>
      </w:r>
      <w:r>
        <w:rPr>
          <w:rFonts w:ascii="Times New Roman" w:hAnsi="Times New Roman" w:cs="Times New Roman" w:eastAsia="Times New Roman" w:hint="default"/>
          <w:spacing w:val="-1"/>
        </w:rPr>
        <w:t>20</w:t>
      </w:r>
      <w:r>
        <w:rPr>
          <w:spacing w:val="-1"/>
        </w:rPr>
        <w:t>万元</w:t>
      </w:r>
      <w:r>
        <w:rPr/>
        <w:t> 与自然人李明宁共同增资厦门百旺增资完成后，公司合计持有厦门百旺</w:t>
      </w:r>
      <w:r>
        <w:rPr>
          <w:rFonts w:ascii="Times New Roman" w:hAnsi="Times New Roman" w:cs="Times New Roman" w:eastAsia="Times New Roman" w:hint="default"/>
        </w:rPr>
        <w:t>70%</w:t>
      </w:r>
      <w:r>
        <w:rPr/>
        <w:t>股权。</w:t>
      </w:r>
    </w:p>
    <w:p>
      <w:pPr>
        <w:pStyle w:val="BodyText"/>
        <w:spacing w:line="240" w:lineRule="auto" w:before="191"/>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115.98</w:t>
      </w:r>
      <w:r>
        <w:rPr/>
        <w:t>万元，净资产</w:t>
      </w:r>
      <w:r>
        <w:rPr>
          <w:rFonts w:ascii="Times New Roman" w:hAnsi="Times New Roman" w:cs="Times New Roman" w:eastAsia="Times New Roman" w:hint="default"/>
        </w:rPr>
        <w:t>95.96</w:t>
      </w:r>
      <w:r>
        <w:rPr/>
        <w:t>万元，净利润</w:t>
      </w:r>
      <w:r>
        <w:rPr>
          <w:rFonts w:ascii="Times New Roman" w:hAnsi="Times New Roman" w:cs="Times New Roman" w:eastAsia="Times New Roman" w:hint="default"/>
        </w:rPr>
        <w:t>-4.04</w:t>
      </w:r>
      <w:r>
        <w:rPr/>
        <w:t>万元。</w:t>
      </w:r>
    </w:p>
    <w:p>
      <w:pPr>
        <w:spacing w:line="240" w:lineRule="auto" w:before="6"/>
        <w:rPr>
          <w:rFonts w:ascii="宋体" w:hAnsi="宋体" w:cs="宋体" w:eastAsia="宋体" w:hint="default"/>
          <w:sz w:val="25"/>
          <w:szCs w:val="25"/>
        </w:rPr>
      </w:pPr>
    </w:p>
    <w:p>
      <w:pPr>
        <w:pStyle w:val="BodyText"/>
        <w:spacing w:line="240" w:lineRule="auto"/>
        <w:ind w:right="0"/>
        <w:jc w:val="left"/>
      </w:pPr>
      <w:r>
        <w:rPr/>
        <w:t>（以上数据已经信永中和会计师事务所审计）。</w:t>
      </w:r>
    </w:p>
    <w:p>
      <w:pPr>
        <w:spacing w:line="240" w:lineRule="auto" w:before="0"/>
        <w:rPr>
          <w:rFonts w:ascii="宋体" w:hAnsi="宋体" w:cs="宋体" w:eastAsia="宋体" w:hint="default"/>
          <w:sz w:val="20"/>
          <w:szCs w:val="20"/>
        </w:rPr>
      </w:pPr>
    </w:p>
    <w:p>
      <w:pPr>
        <w:spacing w:line="568" w:lineRule="auto" w:before="154"/>
        <w:ind w:left="574" w:right="660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）福建百旺金赋科技有限公司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法定代表人：陈江涛</w:t>
      </w:r>
    </w:p>
    <w:p>
      <w:pPr>
        <w:pStyle w:val="BodyText"/>
        <w:spacing w:line="516" w:lineRule="auto" w:before="61"/>
        <w:ind w:right="6936" w:hanging="1"/>
        <w:jc w:val="left"/>
      </w:pPr>
      <w:r>
        <w:rPr/>
        <w:t>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 注册资金：</w:t>
      </w:r>
      <w:r>
        <w:rPr>
          <w:rFonts w:ascii="Times New Roman" w:hAnsi="Times New Roman" w:cs="Times New Roman" w:eastAsia="Times New Roman" w:hint="default"/>
        </w:rPr>
        <w:t>500</w:t>
      </w:r>
      <w:r>
        <w:rPr/>
        <w:t>万元</w:t>
      </w:r>
    </w:p>
    <w:p>
      <w:pPr>
        <w:pStyle w:val="BodyText"/>
        <w:spacing w:line="408" w:lineRule="auto" w:before="66"/>
        <w:ind w:left="154" w:right="149" w:firstLine="420"/>
        <w:jc w:val="both"/>
      </w:pPr>
      <w:r>
        <w:rPr>
          <w:spacing w:val="-1"/>
        </w:rPr>
        <w:t>经营范围：网络信息技术的研究、开发及技术服务、技术咨询、技术转让；计算机软硬件的开发；计</w:t>
      </w:r>
      <w:r>
        <w:rPr/>
        <w:t> </w:t>
      </w:r>
      <w:r>
        <w:rPr>
          <w:spacing w:val="-1"/>
        </w:rPr>
        <w:t>算机信息网络设计、系统集成；电子产品、计算机软硬件的批发、代购代销。（以上经营范围涉及许可经</w:t>
      </w:r>
      <w:r>
        <w:rPr>
          <w:spacing w:val="-83"/>
        </w:rPr>
        <w:t> </w:t>
      </w:r>
      <w:r>
        <w:rPr>
          <w:spacing w:val="-83"/>
        </w:rPr>
      </w:r>
      <w:r>
        <w:rPr/>
        <w:t>营项目的，应在取得有关部门的许可后方可经营）</w:t>
      </w:r>
    </w:p>
    <w:p>
      <w:pPr>
        <w:spacing w:line="240" w:lineRule="auto" w:before="6"/>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0"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519.18</w:t>
      </w:r>
      <w:r>
        <w:rPr/>
        <w:t>万元，净资产</w:t>
      </w:r>
      <w:r>
        <w:rPr>
          <w:rFonts w:ascii="Times New Roman" w:hAnsi="Times New Roman" w:cs="Times New Roman" w:eastAsia="Times New Roman" w:hint="default"/>
        </w:rPr>
        <w:t>494.63</w:t>
      </w:r>
      <w:r>
        <w:rPr/>
        <w:t>万元，净利润</w:t>
      </w:r>
      <w:r>
        <w:rPr>
          <w:rFonts w:ascii="Times New Roman" w:hAnsi="Times New Roman" w:cs="Times New Roman" w:eastAsia="Times New Roman" w:hint="default"/>
        </w:rPr>
        <w:t>-5.37</w:t>
      </w:r>
      <w:r>
        <w:rPr/>
        <w:t>万元。（以上数 据已经信永中和会计师事务所审计）。</w:t>
      </w:r>
    </w:p>
    <w:p>
      <w:pPr>
        <w:spacing w:line="240" w:lineRule="auto" w:before="0"/>
        <w:rPr>
          <w:rFonts w:ascii="宋体" w:hAnsi="宋体" w:cs="宋体" w:eastAsia="宋体" w:hint="default"/>
          <w:sz w:val="22"/>
          <w:szCs w:val="22"/>
        </w:rPr>
      </w:pPr>
    </w:p>
    <w:p>
      <w:pPr>
        <w:spacing w:line="568" w:lineRule="auto" w:before="0"/>
        <w:ind w:left="574" w:right="660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）宁波百旺金赋科技有限公司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法定代表人：周铂</w:t>
      </w:r>
    </w:p>
    <w:p>
      <w:pPr>
        <w:pStyle w:val="BodyText"/>
        <w:spacing w:line="516" w:lineRule="auto" w:before="61"/>
        <w:ind w:right="6936" w:hanging="1"/>
        <w:jc w:val="left"/>
      </w:pPr>
      <w:r>
        <w:rPr/>
        <w:t>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 注册资金：</w:t>
      </w:r>
      <w:r>
        <w:rPr>
          <w:rFonts w:ascii="Times New Roman" w:hAnsi="Times New Roman" w:cs="Times New Roman" w:eastAsia="Times New Roman" w:hint="default"/>
        </w:rPr>
        <w:t>100</w:t>
      </w:r>
      <w:r>
        <w:rPr/>
        <w:t>万元</w:t>
      </w:r>
    </w:p>
    <w:p>
      <w:pPr>
        <w:spacing w:after="0" w:line="516"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240" w:lineRule="auto" w:before="35"/>
        <w:ind w:right="101"/>
        <w:jc w:val="left"/>
      </w:pPr>
      <w:r>
        <w:rPr/>
        <w:t>经营范围：许可经营项目：无</w:t>
      </w:r>
    </w:p>
    <w:p>
      <w:pPr>
        <w:spacing w:line="240" w:lineRule="auto" w:before="9"/>
        <w:rPr>
          <w:rFonts w:ascii="宋体" w:hAnsi="宋体" w:cs="宋体" w:eastAsia="宋体" w:hint="default"/>
          <w:sz w:val="26"/>
          <w:szCs w:val="26"/>
        </w:rPr>
      </w:pPr>
    </w:p>
    <w:p>
      <w:pPr>
        <w:pStyle w:val="BodyText"/>
        <w:spacing w:line="408" w:lineRule="auto"/>
        <w:ind w:left="154" w:right="95" w:firstLine="420"/>
        <w:jc w:val="left"/>
      </w:pPr>
      <w:r>
        <w:rPr>
          <w:spacing w:val="-3"/>
        </w:rPr>
        <w:t>一般经营项目：计算机信息技术开发、技术转让、技术咨询、技术服务、技术推广，计算机系统服务，</w:t>
      </w:r>
      <w:r>
        <w:rPr/>
        <w:t> 计算机维修，计算机基础软件服务，家用电器、计算机、软件及辅助设备、通讯设备的批发、零售。（上 述经营范围不含国家法律法规规定禁止、限制和许可经营的项目。）</w:t>
      </w:r>
    </w:p>
    <w:p>
      <w:pPr>
        <w:spacing w:line="240" w:lineRule="auto" w:before="6"/>
        <w:rPr>
          <w:rFonts w:ascii="宋体" w:hAnsi="宋体" w:cs="宋体" w:eastAsia="宋体" w:hint="default"/>
          <w:sz w:val="15"/>
          <w:szCs w:val="15"/>
        </w:rPr>
      </w:pPr>
    </w:p>
    <w:p>
      <w:pPr>
        <w:pStyle w:val="BodyText"/>
        <w:spacing w:line="516" w:lineRule="auto"/>
        <w:ind w:right="205"/>
        <w:jc w:val="left"/>
      </w:pPr>
      <w:r>
        <w:rPr/>
        <w:t>股东构成：本公司持股</w:t>
      </w:r>
      <w:r>
        <w:rPr>
          <w:rFonts w:ascii="Times New Roman" w:hAnsi="Times New Roman" w:cs="Times New Roman" w:eastAsia="Times New Roman" w:hint="default"/>
        </w:rPr>
        <w:t>60% 2013</w:t>
      </w:r>
      <w:r>
        <w:rPr/>
        <w:t>年，经公司董事会批准，公司将宁波百旺</w:t>
      </w:r>
      <w:r>
        <w:rPr>
          <w:rFonts w:ascii="Times New Roman" w:hAnsi="Times New Roman" w:cs="Times New Roman" w:eastAsia="Times New Roman" w:hint="default"/>
        </w:rPr>
        <w:t>40%</w:t>
      </w:r>
      <w:r>
        <w:rPr/>
        <w:t>股权以</w:t>
      </w:r>
      <w:r>
        <w:rPr>
          <w:rFonts w:ascii="Times New Roman" w:hAnsi="Times New Roman" w:cs="Times New Roman" w:eastAsia="Times New Roman" w:hint="default"/>
        </w:rPr>
        <w:t>40</w:t>
      </w:r>
      <w:r>
        <w:rPr/>
        <w:t>万元转让给成都沪友科技发展有限公司。</w:t>
      </w:r>
    </w:p>
    <w:p>
      <w:pPr>
        <w:pStyle w:val="BodyText"/>
        <w:spacing w:line="386" w:lineRule="auto" w:before="66"/>
        <w:ind w:left="154" w:right="101"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160.12</w:t>
      </w:r>
      <w:r>
        <w:rPr/>
        <w:t>万元，净资产</w:t>
      </w:r>
      <w:r>
        <w:rPr>
          <w:rFonts w:ascii="Times New Roman" w:hAnsi="Times New Roman" w:cs="Times New Roman" w:eastAsia="Times New Roman" w:hint="default"/>
        </w:rPr>
        <w:t>123.22</w:t>
      </w:r>
      <w:r>
        <w:rPr/>
        <w:t>万元，净利润</w:t>
      </w:r>
      <w:r>
        <w:rPr>
          <w:rFonts w:ascii="Times New Roman" w:hAnsi="Times New Roman" w:cs="Times New Roman" w:eastAsia="Times New Roman" w:hint="default"/>
        </w:rPr>
        <w:t>23.22</w:t>
      </w:r>
      <w:r>
        <w:rPr/>
        <w:t>万元。（以上数</w:t>
      </w:r>
      <w:r>
        <w:rPr>
          <w:spacing w:val="1"/>
        </w:rPr>
        <w:t> </w:t>
      </w:r>
      <w:r>
        <w:rPr/>
        <w:t>据已经信永中和会计师事务所审计）。</w:t>
      </w:r>
    </w:p>
    <w:p>
      <w:pPr>
        <w:spacing w:line="240" w:lineRule="auto" w:before="0"/>
        <w:rPr>
          <w:rFonts w:ascii="宋体" w:hAnsi="宋体" w:cs="宋体" w:eastAsia="宋体" w:hint="default"/>
          <w:sz w:val="22"/>
          <w:szCs w:val="22"/>
        </w:rPr>
      </w:pPr>
    </w:p>
    <w:p>
      <w:pPr>
        <w:spacing w:line="568" w:lineRule="auto" w:before="0"/>
        <w:ind w:left="574" w:right="666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）北京麦禾信通科技有限公司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法定代表人：陈海涛</w:t>
      </w:r>
    </w:p>
    <w:p>
      <w:pPr>
        <w:pStyle w:val="BodyText"/>
        <w:spacing w:line="516" w:lineRule="auto" w:before="61"/>
        <w:ind w:right="6680" w:hanging="1"/>
        <w:jc w:val="left"/>
      </w:pPr>
      <w:r>
        <w:rPr/>
        <w:t>成立日期：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 注册资金：</w:t>
      </w:r>
      <w:r>
        <w:rPr>
          <w:rFonts w:ascii="Times New Roman" w:hAnsi="Times New Roman" w:cs="Times New Roman" w:eastAsia="Times New Roman" w:hint="default"/>
        </w:rPr>
        <w:t>500</w:t>
      </w:r>
      <w:r>
        <w:rPr/>
        <w:t>万元 经营范围：许可经营项目：无</w:t>
      </w:r>
    </w:p>
    <w:p>
      <w:pPr>
        <w:pStyle w:val="BodyText"/>
        <w:spacing w:line="408" w:lineRule="auto" w:before="107"/>
        <w:ind w:left="154" w:right="188" w:firstLine="420"/>
        <w:jc w:val="both"/>
      </w:pPr>
      <w:r>
        <w:rPr>
          <w:spacing w:val="-1"/>
        </w:rPr>
        <w:t>一般经营项目：技术开发、技术转让、技术咨询、技术服务；计算机技术培训；基础软件服务；应用</w:t>
      </w:r>
      <w:r>
        <w:rPr/>
        <w:t> </w:t>
      </w:r>
      <w:r>
        <w:rPr>
          <w:spacing w:val="-1"/>
        </w:rPr>
        <w:t>软件服务；计算机系统服务；数据处理；计算机维修；销售计算机、软件及辅助设备、电子产品、机械设</w:t>
      </w:r>
      <w:r>
        <w:rPr>
          <w:spacing w:val="-85"/>
        </w:rPr>
        <w:t> </w:t>
      </w:r>
      <w:r>
        <w:rPr>
          <w:spacing w:val="-85"/>
        </w:rPr>
      </w:r>
      <w:r>
        <w:rPr/>
        <w:t>备、通讯设备、五金、交电、化工产品（不含危险化学品及一类易制毒化学品）、文化用品、体育用品、 日用品。（未取得行政许可的项目除外）（其中知识产权出资为</w:t>
      </w:r>
      <w:r>
        <w:rPr>
          <w:rFonts w:ascii="Times New Roman" w:hAnsi="Times New Roman" w:cs="Times New Roman" w:eastAsia="Times New Roman" w:hint="default"/>
        </w:rPr>
        <w:t>80.0</w:t>
      </w:r>
      <w:r>
        <w:rPr/>
        <w:t>万元）</w:t>
      </w:r>
    </w:p>
    <w:p>
      <w:pPr>
        <w:pStyle w:val="BodyText"/>
        <w:spacing w:line="240" w:lineRule="auto" w:before="170"/>
        <w:ind w:right="101"/>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90%</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207" w:firstLine="419"/>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 </w:t>
      </w:r>
      <w:r>
        <w:rPr>
          <w:rFonts w:ascii="Times New Roman" w:hAnsi="Times New Roman" w:cs="Times New Roman" w:eastAsia="Times New Roman" w:hint="default"/>
        </w:rPr>
        <w:t>318.40</w:t>
      </w:r>
      <w:r>
        <w:rPr/>
        <w:t>万元，净资产</w:t>
      </w:r>
      <w:r>
        <w:rPr>
          <w:spacing w:val="-54"/>
        </w:rPr>
        <w:t> </w:t>
      </w:r>
      <w:r>
        <w:rPr>
          <w:rFonts w:ascii="Times New Roman" w:hAnsi="Times New Roman" w:cs="Times New Roman" w:eastAsia="Times New Roman" w:hint="default"/>
        </w:rPr>
        <w:t>308.70</w:t>
      </w:r>
      <w:r>
        <w:rPr/>
        <w:t>万元，净利润</w:t>
      </w:r>
      <w:r>
        <w:rPr>
          <w:rFonts w:ascii="Times New Roman" w:hAnsi="Times New Roman" w:cs="Times New Roman" w:eastAsia="Times New Roman" w:hint="default"/>
        </w:rPr>
        <w:t>-69.71</w:t>
      </w:r>
      <w:r>
        <w:rPr/>
        <w:t>万元。（以上 数据已经信永中和会计师事务所审计）。</w:t>
      </w:r>
    </w:p>
    <w:p>
      <w:pPr>
        <w:spacing w:line="240" w:lineRule="auto" w:before="0"/>
        <w:rPr>
          <w:rFonts w:ascii="宋体" w:hAnsi="宋体" w:cs="宋体" w:eastAsia="宋体" w:hint="default"/>
          <w:sz w:val="22"/>
          <w:szCs w:val="22"/>
        </w:rPr>
      </w:pPr>
    </w:p>
    <w:p>
      <w:pPr>
        <w:spacing w:line="556" w:lineRule="auto" w:before="0"/>
        <w:ind w:left="574" w:right="645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）北京旋极泰科新科技有限公司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法定代表人：曲海斌 成立日期：</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p>
      <w:pPr>
        <w:spacing w:after="0" w:line="556" w:lineRule="auto"/>
        <w:jc w:val="left"/>
        <w:rPr>
          <w:rFonts w:ascii="宋体" w:hAnsi="宋体" w:cs="宋体" w:eastAsia="宋体" w:hint="default"/>
          <w:sz w:val="21"/>
          <w:szCs w:val="21"/>
        </w:rPr>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516" w:lineRule="auto" w:before="35"/>
        <w:ind w:right="5840" w:hanging="1"/>
        <w:jc w:val="left"/>
      </w:pPr>
      <w:r>
        <w:rPr/>
        <w:t>注册资金：</w:t>
      </w:r>
      <w:r>
        <w:rPr>
          <w:rFonts w:ascii="Times New Roman" w:hAnsi="Times New Roman" w:cs="Times New Roman" w:eastAsia="Times New Roman" w:hint="default"/>
        </w:rPr>
        <w:t>800</w:t>
      </w:r>
      <w:r>
        <w:rPr/>
        <w:t>万元 经营范围：许可经营项目：专业承包。</w:t>
      </w:r>
    </w:p>
    <w:p>
      <w:pPr>
        <w:pStyle w:val="BodyText"/>
        <w:spacing w:line="408" w:lineRule="auto" w:before="107"/>
        <w:ind w:left="154" w:right="101" w:firstLine="420"/>
        <w:jc w:val="left"/>
      </w:pPr>
      <w:r>
        <w:rPr/>
        <w:t>一般经营项目：技术推广服务；组织文化艺术交流活动（不含演出）；承办展览展示活动；电脑图文 </w:t>
      </w:r>
      <w:r>
        <w:rPr>
          <w:spacing w:val="-3"/>
        </w:rPr>
        <w:t>设计、制作；企业策划；会议服务；设计、制作、代理、发布广告；市场调查；投资咨询；经济贸易咨询；</w:t>
      </w:r>
      <w:r>
        <w:rPr>
          <w:spacing w:val="-99"/>
        </w:rPr>
        <w:t> </w:t>
      </w:r>
      <w:r>
        <w:rPr>
          <w:spacing w:val="-99"/>
        </w:rPr>
      </w:r>
      <w:r>
        <w:rPr/>
        <w:t>销售汽车配件、机械设备、电子产品、建筑材料、五金交电、文具用品、日用品、工艺品、计算机、软件</w:t>
      </w:r>
      <w:r>
        <w:rPr/>
        <w:t> 及辅助设备。（（领取本执照后，应到住房城乡建设部、市住房城乡建设委、区县住房城乡建设委取得行 政许可；下期出资时间为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30</w:t>
      </w:r>
      <w:r>
        <w:rPr/>
        <w:t>日（其中知识产权出资为</w:t>
      </w:r>
      <w:r>
        <w:rPr>
          <w:rFonts w:ascii="Times New Roman" w:hAnsi="Times New Roman" w:cs="Times New Roman" w:eastAsia="Times New Roman" w:hint="default"/>
        </w:rPr>
        <w:t>330.0</w:t>
      </w:r>
      <w:r>
        <w:rPr/>
        <w:t>万元）</w:t>
      </w:r>
    </w:p>
    <w:p>
      <w:pPr>
        <w:pStyle w:val="BodyText"/>
        <w:spacing w:line="240" w:lineRule="auto" w:before="170"/>
        <w:ind w:right="101"/>
        <w:jc w:val="left"/>
        <w:rPr>
          <w:rFonts w:ascii="Times New Roman" w:hAnsi="Times New Roman" w:cs="Times New Roman" w:eastAsia="Times New Roman" w:hint="default"/>
        </w:rPr>
      </w:pPr>
      <w:r>
        <w:rPr/>
        <w:t>股东构成：本公司持股</w:t>
      </w:r>
      <w:r>
        <w:rPr>
          <w:rFonts w:ascii="Times New Roman" w:hAnsi="Times New Roman" w:cs="Times New Roman" w:eastAsia="Times New Roman" w:hint="default"/>
        </w:rPr>
        <w:t>40%</w:t>
      </w:r>
    </w:p>
    <w:p>
      <w:pPr>
        <w:spacing w:line="240" w:lineRule="auto" w:before="11"/>
        <w:rPr>
          <w:rFonts w:ascii="Times New Roman" w:hAnsi="Times New Roman" w:cs="Times New Roman" w:eastAsia="Times New Roman" w:hint="default"/>
          <w:sz w:val="28"/>
          <w:szCs w:val="28"/>
        </w:rPr>
      </w:pPr>
    </w:p>
    <w:p>
      <w:pPr>
        <w:pStyle w:val="BodyText"/>
        <w:spacing w:line="386" w:lineRule="auto"/>
        <w:ind w:left="154" w:right="101" w:firstLine="42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日，该公司总资产为</w:t>
      </w:r>
      <w:r>
        <w:rPr>
          <w:rFonts w:ascii="Times New Roman" w:hAnsi="Times New Roman" w:cs="Times New Roman" w:eastAsia="Times New Roman" w:hint="default"/>
          <w:spacing w:val="-2"/>
        </w:rPr>
        <w:t>594.38</w:t>
      </w:r>
      <w:r>
        <w:rPr>
          <w:spacing w:val="-2"/>
        </w:rPr>
        <w:t>万元，净资产</w:t>
      </w:r>
      <w:r>
        <w:rPr>
          <w:rFonts w:ascii="Times New Roman" w:hAnsi="Times New Roman" w:cs="Times New Roman" w:eastAsia="Times New Roman" w:hint="default"/>
          <w:spacing w:val="-2"/>
        </w:rPr>
        <w:t>520</w:t>
      </w:r>
      <w:r>
        <w:rPr>
          <w:spacing w:val="-2"/>
        </w:rPr>
        <w:t>万元，净利润</w:t>
      </w:r>
      <w:r>
        <w:rPr>
          <w:rFonts w:ascii="Times New Roman" w:hAnsi="Times New Roman" w:cs="Times New Roman" w:eastAsia="Times New Roman" w:hint="default"/>
          <w:spacing w:val="-2"/>
        </w:rPr>
        <w:t>-130.11</w:t>
      </w:r>
      <w:r>
        <w:rPr>
          <w:spacing w:val="-2"/>
        </w:rPr>
        <w:t>万元。（以上数据</w:t>
      </w:r>
      <w:r>
        <w:rPr/>
        <w:t> 已经信永中和会计师事务所审计）。</w:t>
      </w:r>
    </w:p>
    <w:p>
      <w:pPr>
        <w:spacing w:line="240" w:lineRule="auto" w:before="0"/>
        <w:rPr>
          <w:rFonts w:ascii="宋体" w:hAnsi="宋体" w:cs="宋体" w:eastAsia="宋体" w:hint="default"/>
          <w:sz w:val="22"/>
          <w:szCs w:val="22"/>
        </w:rPr>
      </w:pPr>
    </w:p>
    <w:p>
      <w:pPr>
        <w:spacing w:line="552" w:lineRule="auto" w:before="0"/>
        <w:ind w:left="574" w:right="666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）上海百旺金赋科技有限公司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法定代表人：陈为群 成立日期：2012年11月20日</w:t>
      </w:r>
      <w:r>
        <w:rPr>
          <w:rFonts w:ascii="宋体" w:hAnsi="宋体" w:cs="宋体" w:eastAsia="宋体" w:hint="default"/>
          <w:spacing w:val="-1"/>
          <w:sz w:val="21"/>
          <w:szCs w:val="21"/>
        </w:rPr>
        <w:t> </w:t>
      </w:r>
      <w:r>
        <w:rPr>
          <w:rFonts w:ascii="宋体" w:hAnsi="宋体" w:cs="宋体" w:eastAsia="宋体" w:hint="default"/>
          <w:sz w:val="21"/>
          <w:szCs w:val="21"/>
        </w:rPr>
        <w:t>注册资金：300万元</w:t>
      </w:r>
    </w:p>
    <w:p>
      <w:pPr>
        <w:pStyle w:val="BodyText"/>
        <w:spacing w:line="408" w:lineRule="auto" w:before="76"/>
        <w:ind w:left="154" w:right="101" w:firstLine="420"/>
        <w:jc w:val="left"/>
      </w:pPr>
      <w:r>
        <w:rPr>
          <w:spacing w:val="-1"/>
        </w:rPr>
        <w:t>经营范围：计算机软硬件的技术开发、技术转让、技术咨询、技术服务，计算机系统集成，计算机软</w:t>
      </w:r>
      <w:r>
        <w:rPr/>
        <w:t> 硬件及辅助设备、通讯设备的销售。（涉及行政许可的，凭许可证经营）</w:t>
      </w:r>
    </w:p>
    <w:p>
      <w:pPr>
        <w:spacing w:line="240" w:lineRule="auto" w:before="6"/>
        <w:rPr>
          <w:rFonts w:ascii="宋体" w:hAnsi="宋体" w:cs="宋体" w:eastAsia="宋体" w:hint="default"/>
          <w:sz w:val="15"/>
          <w:szCs w:val="15"/>
        </w:rPr>
      </w:pPr>
    </w:p>
    <w:p>
      <w:pPr>
        <w:pStyle w:val="BodyText"/>
        <w:spacing w:line="240" w:lineRule="auto"/>
        <w:ind w:right="101"/>
        <w:jc w:val="left"/>
      </w:pPr>
      <w:r>
        <w:rPr/>
        <w:t>股东构成：上海旋极持股100%</w:t>
      </w:r>
    </w:p>
    <w:p>
      <w:pPr>
        <w:spacing w:line="240" w:lineRule="auto" w:before="9"/>
        <w:rPr>
          <w:rFonts w:ascii="宋体" w:hAnsi="宋体" w:cs="宋体" w:eastAsia="宋体" w:hint="default"/>
          <w:sz w:val="26"/>
          <w:szCs w:val="26"/>
        </w:rPr>
      </w:pPr>
    </w:p>
    <w:p>
      <w:pPr>
        <w:pStyle w:val="BodyText"/>
        <w:spacing w:line="386" w:lineRule="auto"/>
        <w:ind w:left="153" w:right="101"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spacing w:val="3"/>
        </w:rPr>
        <w:t> </w:t>
      </w:r>
      <w:r>
        <w:rPr>
          <w:rFonts w:ascii="Times New Roman" w:hAnsi="Times New Roman" w:cs="Times New Roman" w:eastAsia="Times New Roman" w:hint="default"/>
        </w:rPr>
        <w:t>300.10</w:t>
      </w:r>
      <w:r>
        <w:rPr/>
        <w:t>万元，净资产</w:t>
      </w:r>
      <w:r>
        <w:rPr>
          <w:rFonts w:ascii="Times New Roman" w:hAnsi="Times New Roman" w:cs="Times New Roman" w:eastAsia="Times New Roman" w:hint="default"/>
        </w:rPr>
        <w:t>300.10</w:t>
      </w:r>
      <w:r>
        <w:rPr/>
        <w:t>万元，净利润</w:t>
      </w:r>
      <w:r>
        <w:rPr>
          <w:rFonts w:ascii="Times New Roman" w:hAnsi="Times New Roman" w:cs="Times New Roman" w:eastAsia="Times New Roman" w:hint="default"/>
        </w:rPr>
        <w:t>0.10</w:t>
      </w:r>
      <w:r>
        <w:rPr/>
        <w:t>万元。（以上数 据已经信永中和会计师事务所审计）。</w:t>
      </w:r>
    </w:p>
    <w:p>
      <w:pPr>
        <w:spacing w:line="240" w:lineRule="auto" w:before="2"/>
        <w:rPr>
          <w:rFonts w:ascii="宋体" w:hAnsi="宋体" w:cs="宋体" w:eastAsia="宋体" w:hint="default"/>
          <w:sz w:val="15"/>
          <w:szCs w:val="15"/>
        </w:rPr>
      </w:pPr>
    </w:p>
    <w:p>
      <w:pPr>
        <w:pStyle w:val="Heading3"/>
        <w:spacing w:line="240" w:lineRule="auto"/>
        <w:ind w:right="101"/>
        <w:jc w:val="left"/>
      </w:pPr>
      <w:r>
        <w:rPr>
          <w:rFonts w:ascii="Cambria" w:hAnsi="Cambria" w:cs="Cambria" w:eastAsia="Cambria" w:hint="default"/>
        </w:rPr>
        <w:t>7</w:t>
      </w:r>
      <w:r>
        <w:rPr/>
        <w:t>、公司控制的特殊目的主体情况</w:t>
      </w:r>
    </w:p>
    <w:p>
      <w:pPr>
        <w:spacing w:line="240" w:lineRule="auto" w:before="12"/>
        <w:rPr>
          <w:rFonts w:ascii="黑体" w:hAnsi="黑体" w:cs="黑体" w:eastAsia="黑体" w:hint="default"/>
          <w:sz w:val="23"/>
          <w:szCs w:val="23"/>
        </w:rPr>
      </w:pPr>
    </w:p>
    <w:p>
      <w:pPr>
        <w:pStyle w:val="BodyText"/>
        <w:spacing w:line="240" w:lineRule="auto"/>
        <w:ind w:right="101"/>
        <w:jc w:val="left"/>
      </w:pPr>
      <w:r>
        <w:rPr/>
        <w:t>不适用</w:t>
      </w:r>
    </w:p>
    <w:p>
      <w:pPr>
        <w:spacing w:after="0" w:line="240" w:lineRule="auto"/>
        <w:jc w:val="left"/>
        <w:sectPr>
          <w:pgSz w:w="11910" w:h="16840"/>
          <w:pgMar w:header="997" w:footer="1252" w:top="1340" w:bottom="1440" w:left="980" w:right="920"/>
        </w:sectPr>
      </w:pPr>
    </w:p>
    <w:p>
      <w:pPr>
        <w:spacing w:line="240" w:lineRule="auto" w:before="8"/>
        <w:rPr>
          <w:rFonts w:ascii="宋体" w:hAnsi="宋体" w:cs="宋体" w:eastAsia="宋体" w:hint="default"/>
          <w:sz w:val="14"/>
          <w:szCs w:val="14"/>
        </w:rPr>
      </w:pPr>
    </w:p>
    <w:p>
      <w:pPr>
        <w:pStyle w:val="Heading2"/>
        <w:spacing w:line="240" w:lineRule="auto" w:before="13"/>
        <w:ind w:right="101"/>
        <w:jc w:val="left"/>
      </w:pPr>
      <w:r>
        <w:rPr/>
        <w:t>三、公司未来发展的展望</w:t>
      </w:r>
    </w:p>
    <w:p>
      <w:pPr>
        <w:spacing w:line="240" w:lineRule="auto" w:before="3"/>
        <w:rPr>
          <w:rFonts w:ascii="黑体" w:hAnsi="黑体" w:cs="黑体" w:eastAsia="黑体" w:hint="default"/>
          <w:sz w:val="28"/>
          <w:szCs w:val="28"/>
        </w:rPr>
      </w:pPr>
    </w:p>
    <w:p>
      <w:pPr>
        <w:pStyle w:val="Heading3"/>
        <w:spacing w:line="240" w:lineRule="auto"/>
        <w:ind w:right="101"/>
        <w:jc w:val="left"/>
      </w:pPr>
      <w:r>
        <w:rPr>
          <w:rFonts w:ascii="Cambria" w:hAnsi="Cambria" w:cs="Cambria" w:eastAsia="Cambria" w:hint="default"/>
        </w:rPr>
        <w:t>1</w:t>
      </w:r>
      <w:r>
        <w:rPr/>
        <w:t>、行业格局与未来发展趋势</w:t>
      </w:r>
    </w:p>
    <w:p>
      <w:pPr>
        <w:spacing w:line="240" w:lineRule="auto" w:before="12"/>
        <w:rPr>
          <w:rFonts w:ascii="黑体" w:hAnsi="黑体" w:cs="黑体" w:eastAsia="黑体" w:hint="default"/>
          <w:sz w:val="23"/>
          <w:szCs w:val="23"/>
        </w:rPr>
      </w:pPr>
    </w:p>
    <w:p>
      <w:pPr>
        <w:pStyle w:val="BodyText"/>
        <w:spacing w:line="408" w:lineRule="auto"/>
        <w:ind w:left="153" w:right="105" w:firstLine="420"/>
        <w:jc w:val="both"/>
      </w:pPr>
      <w:r>
        <w:rPr>
          <w:spacing w:val="-3"/>
        </w:rPr>
        <w:t>嵌入式行业是一个以嵌入式技术为核心、主要提供嵌入式系统的行业，嵌入式系统应用领域非常广泛。</w:t>
      </w:r>
      <w:r>
        <w:rPr/>
        <w:t> 目前在世界范围内，嵌入式产业发展迅猛，嵌入式系统正不断渗透各个行业。</w:t>
      </w:r>
    </w:p>
    <w:p>
      <w:pPr>
        <w:spacing w:line="240" w:lineRule="auto" w:before="6"/>
        <w:rPr>
          <w:rFonts w:ascii="宋体" w:hAnsi="宋体" w:cs="宋体" w:eastAsia="宋体" w:hint="default"/>
          <w:sz w:val="15"/>
          <w:szCs w:val="15"/>
        </w:rPr>
      </w:pPr>
    </w:p>
    <w:p>
      <w:pPr>
        <w:pStyle w:val="BodyText"/>
        <w:spacing w:line="403" w:lineRule="auto"/>
        <w:ind w:left="153" w:right="188" w:firstLine="420"/>
        <w:jc w:val="both"/>
      </w:pPr>
      <w:r>
        <w:rPr/>
        <w:t>新一轮汽车、通讯、信息电器、医疗、军事等行业巨大的智能化装备需求拉动了嵌入式系统的发展。 </w:t>
      </w:r>
      <w:r>
        <w:rPr>
          <w:spacing w:val="-1"/>
        </w:rPr>
        <w:t>同传统的通用计算机系统不同，嵌入式系统面向特定应用领域，根据应用需求定制开发，并随着智能化产</w:t>
      </w:r>
      <w:r>
        <w:rPr>
          <w:spacing w:val="-83"/>
        </w:rPr>
        <w:t> </w:t>
      </w:r>
      <w:r>
        <w:rPr>
          <w:spacing w:val="-83"/>
        </w:rPr>
      </w:r>
      <w:r>
        <w:rPr>
          <w:spacing w:val="-1"/>
        </w:rPr>
        <w:t>品的普遍需求渗透到各行各业。随着嵌入式系统向着体积更小、功能更强大发展，嵌入式技术已经成为工</w:t>
      </w:r>
      <w:r>
        <w:rPr>
          <w:spacing w:val="-83"/>
        </w:rPr>
        <w:t> </w:t>
      </w:r>
      <w:r>
        <w:rPr>
          <w:spacing w:val="-83"/>
        </w:rPr>
      </w:r>
      <w:r>
        <w:rPr/>
        <w:t>业产品数字化改造、智能化增值的关键性、带动性技术。①</w:t>
      </w:r>
      <w:r>
        <w:rPr>
          <w:rFonts w:ascii="Times New Roman" w:hAnsi="Times New Roman" w:cs="Times New Roman" w:eastAsia="Times New Roman" w:hint="default"/>
        </w:rPr>
        <w:t>SOC</w:t>
      </w:r>
      <w:r>
        <w:rPr/>
        <w:t>技术的出现促进了嵌入式软件与硬件系统 进一步融合嵌入；②嵌入式软件技术快速发展。</w:t>
      </w:r>
    </w:p>
    <w:p>
      <w:pPr>
        <w:spacing w:line="240" w:lineRule="auto" w:before="10"/>
        <w:rPr>
          <w:rFonts w:ascii="宋体" w:hAnsi="宋体" w:cs="宋体" w:eastAsia="宋体" w:hint="default"/>
          <w:sz w:val="15"/>
          <w:szCs w:val="15"/>
        </w:rPr>
      </w:pPr>
    </w:p>
    <w:p>
      <w:pPr>
        <w:pStyle w:val="BodyText"/>
        <w:spacing w:line="405" w:lineRule="auto"/>
        <w:ind w:left="153" w:right="209" w:firstLine="420"/>
        <w:jc w:val="both"/>
      </w:pPr>
      <w:r>
        <w:rPr>
          <w:spacing w:val="-1"/>
        </w:rPr>
        <w:t>最近几年来，中国的嵌入式行业发展速度一直高于中国国民经济的发展速度和全球嵌入式行业的发展</w:t>
      </w:r>
      <w:r>
        <w:rPr/>
        <w:t> </w:t>
      </w:r>
      <w:r>
        <w:rPr>
          <w:spacing w:val="-1"/>
        </w:rPr>
        <w:t>速度，在中国国民经济和全球嵌入式行业中所占的比重越来越大。中国嵌入式产业的发展面临着良好的发</w:t>
      </w:r>
      <w:r>
        <w:rPr>
          <w:spacing w:val="-81"/>
        </w:rPr>
        <w:t> </w:t>
      </w:r>
      <w:r>
        <w:rPr>
          <w:spacing w:val="-81"/>
        </w:rPr>
      </w:r>
      <w:r>
        <w:rPr>
          <w:spacing w:val="-1"/>
        </w:rPr>
        <w:t>展环境与机遇，这包括政府的重视与扶植、信息产业与传统产业的融合机遇、垄断局面尚未形成、中国制</w:t>
      </w:r>
      <w:r>
        <w:rPr>
          <w:spacing w:val="-82"/>
        </w:rPr>
        <w:t> </w:t>
      </w:r>
      <w:r>
        <w:rPr>
          <w:spacing w:val="-82"/>
        </w:rPr>
      </w:r>
      <w:r>
        <w:rPr>
          <w:spacing w:val="-1"/>
        </w:rPr>
        <w:t>造业的良好基础、自由软件运动的兴起等等。在我国嵌入式行业发展过程中，政府已充分认识到它的重要</w:t>
      </w:r>
      <w:r>
        <w:rPr>
          <w:spacing w:val="-83"/>
        </w:rPr>
        <w:t> </w:t>
      </w:r>
      <w:r>
        <w:rPr>
          <w:spacing w:val="-83"/>
        </w:rPr>
      </w:r>
      <w:r>
        <w:rPr>
          <w:spacing w:val="-1"/>
        </w:rPr>
        <w:t>作用，并在政策、资金等方面给予了大力支持。</w:t>
      </w:r>
      <w:r>
        <w:rPr>
          <w:rFonts w:ascii="Times New Roman" w:hAnsi="Times New Roman" w:cs="Times New Roman" w:eastAsia="Times New Roman" w:hint="default"/>
          <w:spacing w:val="-1"/>
        </w:rPr>
        <w:t>2004</w:t>
      </w:r>
      <w:r>
        <w:rPr>
          <w:spacing w:val="-1"/>
        </w:rPr>
        <w:t>年国家发改委、科技部、商务部联合颁布的《当前优</w:t>
      </w:r>
      <w:r>
        <w:rPr>
          <w:spacing w:val="-84"/>
        </w:rPr>
        <w:t> </w:t>
      </w:r>
      <w:r>
        <w:rPr>
          <w:spacing w:val="-84"/>
        </w:rPr>
      </w:r>
      <w:r>
        <w:rPr>
          <w:spacing w:val="-1"/>
        </w:rPr>
        <w:t>先发展的高技术产业化重点领域指南》，把嵌入式产业作为国家发展的一个重要领域。嵌入式系统的研制</w:t>
      </w:r>
      <w:r>
        <w:rPr>
          <w:spacing w:val="-83"/>
        </w:rPr>
        <w:t> </w:t>
      </w:r>
      <w:r>
        <w:rPr>
          <w:spacing w:val="-83"/>
        </w:rPr>
      </w:r>
      <w:r>
        <w:rPr/>
        <w:t>和应用已经成为我国信息化带动工业化、工业化促进信息化发展的新的国民经济增长点。</w:t>
      </w:r>
    </w:p>
    <w:p>
      <w:pPr>
        <w:spacing w:line="240" w:lineRule="auto" w:before="8"/>
        <w:rPr>
          <w:rFonts w:ascii="宋体" w:hAnsi="宋体" w:cs="宋体" w:eastAsia="宋体" w:hint="default"/>
          <w:sz w:val="15"/>
          <w:szCs w:val="15"/>
        </w:rPr>
      </w:pPr>
    </w:p>
    <w:p>
      <w:pPr>
        <w:pStyle w:val="BodyText"/>
        <w:spacing w:line="408" w:lineRule="auto"/>
        <w:ind w:left="153" w:right="188" w:firstLine="420"/>
        <w:jc w:val="both"/>
      </w:pPr>
      <w:r>
        <w:rPr>
          <w:spacing w:val="-1"/>
        </w:rPr>
        <w:t>目前，国内嵌入式产业的发展重点出现了由重视嵌入式基础软硬件技术研发向重视嵌入式技术的行业</w:t>
      </w:r>
      <w:r>
        <w:rPr/>
        <w:t> </w:t>
      </w:r>
      <w:r>
        <w:rPr>
          <w:spacing w:val="-1"/>
        </w:rPr>
        <w:t>化应用渗透的趋势。这种趋势主要表现为两方面：一方面，服务于不同行业的应用系统集成商通过引入嵌</w:t>
      </w:r>
      <w:r>
        <w:rPr>
          <w:spacing w:val="-83"/>
        </w:rPr>
        <w:t> </w:t>
      </w:r>
      <w:r>
        <w:rPr>
          <w:spacing w:val="-83"/>
        </w:rPr>
      </w:r>
      <w:r>
        <w:rPr>
          <w:spacing w:val="-1"/>
        </w:rPr>
        <w:t>入式技术获得了相关行业越来越多的项目和机会；另一方面，越来越多的传统行业为了加强信息化和移动</w:t>
      </w:r>
      <w:r>
        <w:rPr>
          <w:spacing w:val="-81"/>
        </w:rPr>
        <w:t> </w:t>
      </w:r>
      <w:r>
        <w:rPr>
          <w:spacing w:val="-81"/>
        </w:rPr>
      </w:r>
      <w:r>
        <w:rPr>
          <w:spacing w:val="-1"/>
        </w:rPr>
        <w:t>管理，不断提出个性化的嵌入式技术应用需求，给从事嵌入式业务的公司提供了新的机会。随着一些研发</w:t>
      </w:r>
      <w:r>
        <w:rPr>
          <w:spacing w:val="-83"/>
        </w:rPr>
        <w:t> </w:t>
      </w:r>
      <w:r>
        <w:rPr>
          <w:spacing w:val="-83"/>
        </w:rPr>
      </w:r>
      <w:r>
        <w:rPr/>
        <w:t>实力较强的嵌入式企业向各种行业应用的渗透，使得原来服务于该行业的应用系统集成商队伍重新洗牌， 一些嵌入式技术应用实力较强的公司通过向行业的渗透成功转型并得到迅速发展。</w:t>
      </w:r>
    </w:p>
    <w:p>
      <w:pPr>
        <w:spacing w:line="240" w:lineRule="auto" w:before="6"/>
        <w:rPr>
          <w:rFonts w:ascii="宋体" w:hAnsi="宋体" w:cs="宋体" w:eastAsia="宋体" w:hint="default"/>
          <w:sz w:val="15"/>
          <w:szCs w:val="15"/>
        </w:rPr>
      </w:pPr>
    </w:p>
    <w:p>
      <w:pPr>
        <w:pStyle w:val="BodyText"/>
        <w:spacing w:line="408" w:lineRule="auto"/>
        <w:ind w:left="153" w:right="211" w:firstLine="420"/>
        <w:jc w:val="both"/>
      </w:pPr>
      <w:r>
        <w:rPr>
          <w:spacing w:val="-1"/>
        </w:rPr>
        <w:t>随着嵌入式技术向行业应用的渗透，它将成为我国信息化带动工业化、工业化促进信息化发展的新的</w:t>
      </w:r>
      <w:r>
        <w:rPr/>
        <w:t> 国民经济增长点。</w:t>
      </w:r>
    </w:p>
    <w:p>
      <w:pPr>
        <w:spacing w:line="240" w:lineRule="auto" w:before="6"/>
        <w:rPr>
          <w:rFonts w:ascii="宋体" w:hAnsi="宋体" w:cs="宋体" w:eastAsia="宋体" w:hint="default"/>
          <w:sz w:val="15"/>
          <w:szCs w:val="15"/>
        </w:rPr>
      </w:pPr>
    </w:p>
    <w:p>
      <w:pPr>
        <w:pStyle w:val="BodyText"/>
        <w:spacing w:line="408" w:lineRule="auto"/>
        <w:ind w:left="153" w:right="211" w:firstLine="420"/>
        <w:jc w:val="both"/>
      </w:pPr>
      <w:r>
        <w:rPr>
          <w:spacing w:val="-1"/>
        </w:rPr>
        <w:t>根据现在嵌入式系统的发展方向以及嵌入式行业的发展状况，在以后一段比较长的时间内，嵌入式行</w:t>
      </w:r>
      <w:r>
        <w:rPr/>
        <w:t> 业会朝着以下几个方向发展：</w:t>
      </w:r>
    </w:p>
    <w:p>
      <w:pPr>
        <w:spacing w:after="0" w:line="408" w:lineRule="auto"/>
        <w:jc w:val="both"/>
        <w:sectPr>
          <w:pgSz w:w="11910" w:h="16840"/>
          <w:pgMar w:header="997" w:footer="1252" w:top="1340" w:bottom="1440" w:left="980" w:right="920"/>
        </w:sectPr>
      </w:pPr>
    </w:p>
    <w:p>
      <w:pPr>
        <w:pStyle w:val="Heading5"/>
        <w:spacing w:line="240" w:lineRule="auto" w:before="106"/>
        <w:ind w:right="0"/>
        <w:jc w:val="both"/>
        <w:rPr>
          <w:b w:val="0"/>
          <w:bCs w:val="0"/>
        </w:rPr>
      </w:pPr>
      <w:r>
        <w:rPr/>
        <w:t>（</w:t>
      </w:r>
      <w:r>
        <w:rPr>
          <w:rFonts w:ascii="Times New Roman" w:hAnsi="Times New Roman" w:cs="Times New Roman" w:eastAsia="Times New Roman" w:hint="default"/>
        </w:rPr>
        <w:t>1</w:t>
      </w:r>
      <w:r>
        <w:rPr/>
        <w:t>）互联成为必然趋势</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208" w:firstLine="420"/>
        <w:jc w:val="both"/>
      </w:pPr>
      <w:r>
        <w:rPr>
          <w:spacing w:val="-1"/>
        </w:rPr>
        <w:t>过去嵌入式系统通常是深嵌于最终产品之中，以系统控制为基础，一般不与外界连接。其微控制器在</w:t>
      </w:r>
      <w:r>
        <w:rPr/>
        <w:t> </w:t>
      </w:r>
      <w:r>
        <w:rPr>
          <w:spacing w:val="3"/>
        </w:rPr>
        <w:t>一个相当封闭的系统中工作，定时查询外设、收集数据、完成简单的处理工作。由于它们不会与局域网</w:t>
      </w:r>
    </w:p>
    <w:p>
      <w:pPr>
        <w:pStyle w:val="BodyText"/>
        <w:spacing w:line="400" w:lineRule="auto" w:before="46"/>
        <w:ind w:left="154" w:right="105"/>
        <w:jc w:val="both"/>
      </w:pPr>
      <w:r>
        <w:rPr/>
        <w:t>（</w:t>
      </w:r>
      <w:r>
        <w:rPr>
          <w:rFonts w:ascii="Times New Roman" w:hAnsi="Times New Roman" w:cs="Times New Roman" w:eastAsia="Times New Roman" w:hint="default"/>
        </w:rPr>
        <w:t>LAN</w:t>
      </w:r>
      <w:r>
        <w:rPr/>
        <w:t>）或互联网（</w:t>
      </w:r>
      <w:r>
        <w:rPr>
          <w:rFonts w:ascii="Times New Roman" w:hAnsi="Times New Roman" w:cs="Times New Roman" w:eastAsia="Times New Roman" w:hint="default"/>
        </w:rPr>
        <w:t>Internet</w:t>
      </w:r>
      <w:r>
        <w:rPr/>
        <w:t>）连接，所以不存在互联和安全的问题。然而，这一切现在都在发生改变。如 今的嵌入式系统一般都要连接到局域网，这样就有数十、甚至上百个控制器连接在一起。而且，随着嵌入 式网络越来越复杂，嵌入式以太网也开始涉足于工业控制、建筑物自动化、医疗和保安产品市场。 未来</w:t>
      </w:r>
      <w:r>
        <w:rPr>
          <w:spacing w:val="-38"/>
        </w:rPr>
        <w:t> </w:t>
      </w:r>
      <w:r>
        <w:rPr>
          <w:spacing w:val="-38"/>
        </w:rPr>
      </w:r>
      <w:r>
        <w:rPr/>
        <w:t>的嵌入式设备为了适应网络发展的要求，必然要求硬件上提供各种网络通信接口，同时也需要提供相应的</w:t>
      </w:r>
      <w:r>
        <w:rPr/>
        <w:t> 通信组网协议软件，甚至可以在设备上嵌入</w:t>
      </w:r>
      <w:r>
        <w:rPr>
          <w:rFonts w:ascii="Times New Roman" w:hAnsi="Times New Roman" w:cs="Times New Roman" w:eastAsia="Times New Roman" w:hint="default"/>
        </w:rPr>
        <w:t>Web</w:t>
      </w:r>
      <w:r>
        <w:rPr/>
        <w:t>浏览器，真正实现随时随地用各种设备上网。所以，除了 </w:t>
      </w:r>
      <w:r>
        <w:rPr>
          <w:spacing w:val="-3"/>
        </w:rPr>
        <w:t>传统的嵌入式技术，嵌入式系统厂家必须要在通信协议、自组网技术以及信息安全等方面都要充分的积累。</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(2)</w:t>
      </w:r>
      <w:r>
        <w:rPr/>
        <w:t>由重视嵌入式基础软硬件向重视嵌入式技术的行业化应用渗透的趋势</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209" w:firstLine="420"/>
        <w:jc w:val="both"/>
      </w:pPr>
      <w:r>
        <w:rPr>
          <w:spacing w:val="-1"/>
        </w:rPr>
        <w:t>这种趋势主要表现为两方面：一方面，服务于不同行业的应用系统集成商通过引入嵌入式技术获得了</w:t>
      </w:r>
      <w:r>
        <w:rPr/>
        <w:t> </w:t>
      </w:r>
      <w:r>
        <w:rPr>
          <w:spacing w:val="-1"/>
        </w:rPr>
        <w:t>相关行业越来越多的项目和机会；另一方面，越来越多的传统行业为了加强信息化和移动管理，不断提出</w:t>
      </w:r>
      <w:r>
        <w:rPr>
          <w:spacing w:val="-83"/>
        </w:rPr>
        <w:t> </w:t>
      </w:r>
      <w:r>
        <w:rPr>
          <w:spacing w:val="-83"/>
        </w:rPr>
      </w:r>
      <w:r>
        <w:rPr>
          <w:spacing w:val="-1"/>
        </w:rPr>
        <w:t>个性化的嵌入式技术应用需求，给从事嵌入式业务的公司提供了新的机会。随着一些研发实力较强的嵌入</w:t>
      </w:r>
      <w:r>
        <w:rPr>
          <w:spacing w:val="-81"/>
        </w:rPr>
        <w:t> </w:t>
      </w:r>
      <w:r>
        <w:rPr>
          <w:spacing w:val="-81"/>
        </w:rPr>
      </w:r>
      <w:r>
        <w:rPr>
          <w:spacing w:val="-1"/>
        </w:rPr>
        <w:t>式企业向各种行业应用的渗透，嵌入式技术应用实力较强的公司通过向行业的渗透成功转型并得到迅速发</w:t>
      </w:r>
      <w:r>
        <w:rPr>
          <w:spacing w:val="-81"/>
        </w:rPr>
        <w:t> </w:t>
      </w:r>
      <w:r>
        <w:rPr>
          <w:spacing w:val="-81"/>
        </w:rPr>
      </w:r>
      <w:r>
        <w:rPr/>
        <w:t>展。</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(3)</w:t>
      </w:r>
      <w:r>
        <w:rPr/>
        <w:t>标准化与安全性要求提高</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54" w:right="211" w:firstLine="504"/>
        <w:jc w:val="both"/>
      </w:pPr>
      <w:r>
        <w:rPr>
          <w:spacing w:val="-3"/>
        </w:rPr>
        <w:t>对于行业专用解决方案，</w:t>
      </w:r>
      <w:r>
        <w:rPr>
          <w:rFonts w:ascii="Times New Roman" w:hAnsi="Times New Roman" w:cs="Times New Roman" w:eastAsia="Times New Roman" w:hint="default"/>
          <w:spacing w:val="-3"/>
        </w:rPr>
        <w:t>IT</w:t>
      </w:r>
      <w:r>
        <w:rPr>
          <w:spacing w:val="-3"/>
        </w:rPr>
        <w:t>技术、移动通信技术和自动控制技术将会无缝融合，如在物流管理、条码</w:t>
      </w:r>
      <w:r>
        <w:rPr/>
        <w:t> </w:t>
      </w:r>
      <w:r>
        <w:rPr>
          <w:spacing w:val="-1"/>
        </w:rPr>
        <w:t>扫描、移动信息采集、工业控制等应用场合。嵌入式系统必须能够在更深的层面提供连接、大数据分析相</w:t>
      </w:r>
      <w:r>
        <w:rPr>
          <w:spacing w:val="-82"/>
        </w:rPr>
        <w:t> </w:t>
      </w:r>
      <w:r>
        <w:rPr>
          <w:spacing w:val="-82"/>
        </w:rPr>
      </w:r>
      <w:r>
        <w:rPr/>
        <w:t>结合的能力。为了实现这一目标，厂家必须在标准化和安全两方面进行创新性的工作。</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）提供友好的多媒体人机界面</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left="154" w:right="188" w:firstLine="420"/>
        <w:jc w:val="both"/>
      </w:pPr>
      <w:r>
        <w:rPr>
          <w:spacing w:val="-1"/>
        </w:rPr>
        <w:t>嵌入式设备能与用户亲密接触，最重要的因素就是它能提供非常友好的用户界面。图像界面，灵活的</w:t>
      </w:r>
      <w:r>
        <w:rPr/>
        <w:t> 控制方式，使得人们感觉嵌入式设备就像是一个熟悉的老朋友。这就要求嵌入式厂家必须要在图形界面、 </w:t>
      </w:r>
      <w:r>
        <w:rPr>
          <w:spacing w:val="-1"/>
        </w:rPr>
        <w:t>多媒体技术上也要打破传统思维，谋变发展。目前在一些先进的</w:t>
      </w:r>
      <w:r>
        <w:rPr>
          <w:rFonts w:ascii="Times New Roman" w:hAnsi="Times New Roman" w:cs="Times New Roman" w:eastAsia="Times New Roman" w:hint="default"/>
          <w:spacing w:val="-1"/>
        </w:rPr>
        <w:t>PDA</w:t>
      </w:r>
      <w:r>
        <w:rPr>
          <w:spacing w:val="-1"/>
        </w:rPr>
        <w:t>上已实现汉字输入、光学扫描等，但</w:t>
      </w:r>
      <w:r>
        <w:rPr>
          <w:spacing w:val="-83"/>
        </w:rPr>
        <w:t> </w:t>
      </w:r>
      <w:r>
        <w:rPr>
          <w:spacing w:val="-83"/>
        </w:rPr>
      </w:r>
      <w:r>
        <w:rPr/>
        <w:t>一般的嵌入式设备距离这个要求还有很长的路要走。</w:t>
      </w:r>
    </w:p>
    <w:p>
      <w:pPr>
        <w:spacing w:after="0" w:line="400" w:lineRule="auto"/>
        <w:jc w:val="both"/>
        <w:sectPr>
          <w:pgSz w:w="11910" w:h="16840"/>
          <w:pgMar w:header="997" w:footer="1252" w:top="1340" w:bottom="1440" w:left="980" w:right="920"/>
        </w:sectPr>
      </w:pPr>
    </w:p>
    <w:p>
      <w:pPr>
        <w:spacing w:line="240" w:lineRule="auto" w:before="3"/>
        <w:rPr>
          <w:rFonts w:ascii="宋体" w:hAnsi="宋体" w:cs="宋体" w:eastAsia="宋体" w:hint="default"/>
          <w:sz w:val="10"/>
          <w:szCs w:val="10"/>
        </w:rPr>
      </w:pPr>
    </w:p>
    <w:p>
      <w:pPr>
        <w:pStyle w:val="Heading3"/>
        <w:spacing w:line="240" w:lineRule="auto" w:before="26"/>
        <w:ind w:right="101"/>
        <w:jc w:val="left"/>
      </w:pPr>
      <w:r>
        <w:rPr>
          <w:rFonts w:ascii="Cambria" w:hAnsi="Cambria" w:cs="Cambria" w:eastAsia="Cambria" w:hint="default"/>
        </w:rPr>
        <w:t>2</w:t>
      </w:r>
      <w:r>
        <w:rPr/>
        <w:t>、公司面临的发展机遇与挑战</w:t>
      </w:r>
    </w:p>
    <w:p>
      <w:pPr>
        <w:spacing w:line="690" w:lineRule="exact" w:before="74"/>
        <w:ind w:left="574" w:right="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）公司未来发展机遇</w:t>
      </w:r>
      <w:r>
        <w:rPr>
          <w:rFonts w:ascii="宋体" w:hAnsi="宋体" w:cs="宋体" w:eastAsia="宋体" w:hint="default"/>
          <w:b/>
          <w:bCs/>
          <w:w w:val="99"/>
          <w:sz w:val="21"/>
          <w:szCs w:val="21"/>
        </w:rPr>
        <w:t> </w:t>
      </w:r>
      <w:r>
        <w:rPr>
          <w:rFonts w:ascii="宋体" w:hAnsi="宋体" w:cs="宋体" w:eastAsia="宋体" w:hint="default"/>
          <w:spacing w:val="-3"/>
          <w:sz w:val="21"/>
          <w:szCs w:val="21"/>
        </w:rPr>
        <w:t>在国防现代化、信息化与工业化融合战略的带动下，军事、汽车、通讯、信息电器、信息安全、政务、</w:t>
      </w:r>
    </w:p>
    <w:p>
      <w:pPr>
        <w:pStyle w:val="BodyText"/>
        <w:spacing w:line="398" w:lineRule="auto" w:before="84"/>
        <w:ind w:left="154" w:right="101"/>
        <w:jc w:val="left"/>
      </w:pPr>
      <w:r>
        <w:rPr/>
        <w:t>医疗等行业的巨大的智能化装备需求拉动了嵌入式系统及软件的发展。作为构成未来世界的</w:t>
      </w:r>
      <w:r>
        <w:rPr>
          <w:rFonts w:ascii="Times New Roman" w:hAnsi="Times New Roman" w:cs="Times New Roman" w:eastAsia="Times New Roman" w:hint="default"/>
        </w:rPr>
        <w:t>“</w:t>
      </w:r>
      <w:r>
        <w:rPr/>
        <w:t>数字基因</w:t>
      </w:r>
      <w:r>
        <w:rPr>
          <w:rFonts w:ascii="Times New Roman" w:hAnsi="Times New Roman" w:cs="Times New Roman" w:eastAsia="Times New Roman" w:hint="default"/>
        </w:rPr>
        <w:t>”</w:t>
      </w:r>
      <w:r>
        <w:rPr/>
        <w:t>， </w:t>
      </w:r>
      <w:r>
        <w:rPr>
          <w:spacing w:val="-3"/>
        </w:rPr>
        <w:t>嵌入式技术与自动化技术、现代管理技术、制造技术互相渗透力度正在加大，嵌入式系统在产品设计制造、</w:t>
      </w:r>
      <w:r>
        <w:rPr>
          <w:spacing w:val="-90"/>
        </w:rPr>
        <w:t> </w:t>
      </w:r>
      <w:r>
        <w:rPr>
          <w:spacing w:val="-90"/>
        </w:rPr>
      </w:r>
      <w:r>
        <w:rPr>
          <w:spacing w:val="-3"/>
        </w:rPr>
        <w:t>企业管理信息化、生产过程控制智能化、制造装备数控化、咨询服务网络化的变革中发挥的作用越来越大。</w:t>
      </w:r>
    </w:p>
    <w:p>
      <w:pPr>
        <w:spacing w:line="240" w:lineRule="auto" w:before="1"/>
        <w:rPr>
          <w:rFonts w:ascii="宋体" w:hAnsi="宋体" w:cs="宋体" w:eastAsia="宋体" w:hint="default"/>
          <w:sz w:val="16"/>
          <w:szCs w:val="16"/>
        </w:rPr>
      </w:pPr>
    </w:p>
    <w:p>
      <w:pPr>
        <w:pStyle w:val="BodyText"/>
        <w:spacing w:line="408" w:lineRule="auto"/>
        <w:ind w:left="154" w:right="211" w:firstLine="420"/>
        <w:jc w:val="both"/>
      </w:pPr>
      <w:r>
        <w:rPr>
          <w:spacing w:val="-1"/>
        </w:rPr>
        <w:t>公司作为一家专注于嵌入式系统和行业化应用的开发、生产、销售和服务为主业的高科技企业，在军</w:t>
      </w:r>
      <w:r>
        <w:rPr/>
        <w:t> 民信息化和智能化大发展的前提下，面临如下的发展机遇：</w:t>
      </w:r>
    </w:p>
    <w:p>
      <w:pPr>
        <w:spacing w:line="240" w:lineRule="auto" w:before="6"/>
        <w:rPr>
          <w:rFonts w:ascii="宋体" w:hAnsi="宋体" w:cs="宋体" w:eastAsia="宋体" w:hint="default"/>
          <w:sz w:val="15"/>
          <w:szCs w:val="15"/>
        </w:rPr>
      </w:pPr>
    </w:p>
    <w:p>
      <w:pPr>
        <w:pStyle w:val="BodyText"/>
        <w:spacing w:line="240" w:lineRule="auto"/>
        <w:ind w:right="101"/>
        <w:jc w:val="left"/>
      </w:pPr>
      <w:r>
        <w:rPr/>
        <w:t>①国防建设从机械化向信息化转型过程中的机遇</w:t>
      </w:r>
    </w:p>
    <w:p>
      <w:pPr>
        <w:spacing w:line="240" w:lineRule="auto" w:before="9"/>
        <w:rPr>
          <w:rFonts w:ascii="宋体" w:hAnsi="宋体" w:cs="宋体" w:eastAsia="宋体" w:hint="default"/>
          <w:sz w:val="26"/>
          <w:szCs w:val="26"/>
        </w:rPr>
      </w:pPr>
    </w:p>
    <w:p>
      <w:pPr>
        <w:pStyle w:val="BodyText"/>
        <w:spacing w:line="408" w:lineRule="auto"/>
        <w:ind w:left="154" w:right="188" w:firstLine="420"/>
        <w:jc w:val="both"/>
      </w:pPr>
      <w:r>
        <w:rPr>
          <w:spacing w:val="-1"/>
        </w:rPr>
        <w:t>国防安全关系到国家的主权安危，虽然我们处在和平年代，但是周边局势和国际形势风云变化，危机</w:t>
      </w:r>
      <w:r>
        <w:rPr/>
        <w:t> </w:t>
      </w:r>
      <w:r>
        <w:rPr>
          <w:spacing w:val="-1"/>
        </w:rPr>
        <w:t>重重。我国的武器装备，尤其在信息化建设方面，跟西方发达国家仍然具有相当的差距。海湾战争后，国</w:t>
      </w:r>
      <w:r>
        <w:rPr>
          <w:spacing w:val="-83"/>
        </w:rPr>
        <w:t> </w:t>
      </w:r>
      <w:r>
        <w:rPr>
          <w:spacing w:val="-83"/>
        </w:rPr>
      </w:r>
      <w:r>
        <w:rPr>
          <w:spacing w:val="-1"/>
        </w:rPr>
        <w:t>家开始持续加大对国防的投入，投入研制新武器装备。经过十五和十一五的投入，新的武器装备已经初有</w:t>
      </w:r>
      <w:r>
        <w:rPr>
          <w:spacing w:val="-83"/>
        </w:rPr>
        <w:t> </w:t>
      </w:r>
      <w:r>
        <w:rPr>
          <w:spacing w:val="-83"/>
        </w:rPr>
      </w:r>
      <w:r>
        <w:rPr>
          <w:spacing w:val="-1"/>
        </w:rPr>
        <w:t>成效，但是距离发达国家还有很长的路要走。为保国家的长治久安，中国政府把对国防现代化建设的投入</w:t>
      </w:r>
      <w:r>
        <w:rPr>
          <w:spacing w:val="-83"/>
        </w:rPr>
        <w:t> </w:t>
      </w:r>
      <w:r>
        <w:rPr>
          <w:spacing w:val="-83"/>
        </w:rPr>
      </w:r>
      <w:r>
        <w:rPr>
          <w:spacing w:val="-1"/>
        </w:rPr>
        <w:t>作为发展的重要一环。20132年中国国防费预算为72026702.74亿元人民币，比上年预算执行数增加676.04</w:t>
      </w:r>
      <w:r>
        <w:rPr>
          <w:spacing w:val="-73"/>
        </w:rPr>
        <w:t> </w:t>
      </w:r>
      <w:r>
        <w:rPr>
          <w:spacing w:val="-73"/>
        </w:rPr>
      </w:r>
      <w:r>
        <w:rPr/>
        <w:t>亿元人民币，增加长101.72%。随着国家军事的变革和技术的飞速发展，一些老装备已经不能适应目前国</w:t>
      </w:r>
      <w:r>
        <w:rPr>
          <w:spacing w:val="-37"/>
        </w:rPr>
        <w:t> </w:t>
      </w:r>
      <w:r>
        <w:rPr>
          <w:spacing w:val="-37"/>
        </w:rPr>
      </w:r>
      <w:r>
        <w:rPr>
          <w:spacing w:val="-1"/>
        </w:rPr>
        <w:t>防需要。国家在最新的十二五规划中，特别是国防十二五规划中，需要研制一系列新技术的武器装备，项</w:t>
      </w:r>
      <w:r>
        <w:rPr>
          <w:spacing w:val="-82"/>
        </w:rPr>
        <w:t> </w:t>
      </w:r>
      <w:r>
        <w:rPr>
          <w:spacing w:val="-82"/>
        </w:rPr>
      </w:r>
      <w:r>
        <w:rPr>
          <w:spacing w:val="-1"/>
        </w:rPr>
        <w:t>目涵盖飞机（运输机、战斗机、无人机、预警机等）、卫星导航、卫星、导弹、潜艇、航母等。作为多年</w:t>
      </w:r>
      <w:r>
        <w:rPr>
          <w:spacing w:val="-89"/>
        </w:rPr>
        <w:t> </w:t>
      </w:r>
      <w:r>
        <w:rPr>
          <w:spacing w:val="-89"/>
        </w:rPr>
      </w:r>
      <w:r>
        <w:rPr/>
        <w:t>为国防现代化提供定制和配套信息化嵌入式产品的高科技企业，我们在弹载机、发控、机载设备等领域， 有着巨大的机会。</w:t>
      </w:r>
    </w:p>
    <w:p>
      <w:pPr>
        <w:spacing w:line="240" w:lineRule="auto" w:before="6"/>
        <w:rPr>
          <w:rFonts w:ascii="宋体" w:hAnsi="宋体" w:cs="宋体" w:eastAsia="宋体" w:hint="default"/>
          <w:sz w:val="15"/>
          <w:szCs w:val="15"/>
        </w:rPr>
      </w:pPr>
    </w:p>
    <w:p>
      <w:pPr>
        <w:pStyle w:val="BodyText"/>
        <w:spacing w:line="240" w:lineRule="auto"/>
        <w:ind w:left="679" w:right="101"/>
        <w:jc w:val="left"/>
      </w:pPr>
      <w:r>
        <w:rPr/>
        <w:t>②航天和航空发展带给我们的机遇</w:t>
      </w:r>
    </w:p>
    <w:p>
      <w:pPr>
        <w:spacing w:line="240" w:lineRule="auto" w:before="9"/>
        <w:rPr>
          <w:rFonts w:ascii="宋体" w:hAnsi="宋体" w:cs="宋体" w:eastAsia="宋体" w:hint="default"/>
          <w:sz w:val="26"/>
          <w:szCs w:val="26"/>
        </w:rPr>
      </w:pPr>
    </w:p>
    <w:p>
      <w:pPr>
        <w:pStyle w:val="BodyText"/>
        <w:spacing w:line="408" w:lineRule="auto"/>
        <w:ind w:left="154" w:right="206" w:firstLine="420"/>
        <w:jc w:val="both"/>
      </w:pPr>
      <w:r>
        <w:rPr>
          <w:spacing w:val="-1"/>
        </w:rPr>
        <w:t>航天工业是确定国家大国地位的重要工业，特别是两弹一星的发射，更使我们在联合国确定了常任理</w:t>
      </w:r>
      <w:r>
        <w:rPr/>
        <w:t> 事国的地位。在十二五的规划中，航天要发射100多颗卫星，平均每年要发射20多颗卫星，我们将进入卫</w:t>
      </w:r>
      <w:r>
        <w:rPr>
          <w:spacing w:val="-34"/>
        </w:rPr>
        <w:t> </w:t>
      </w:r>
      <w:r>
        <w:rPr>
          <w:spacing w:val="-34"/>
        </w:rPr>
      </w:r>
      <w:r>
        <w:rPr/>
        <w:t>星产业化的时代，由此带动火箭、导弹技术和产业的发展。</w:t>
      </w:r>
    </w:p>
    <w:p>
      <w:pPr>
        <w:spacing w:line="240" w:lineRule="auto" w:before="6"/>
        <w:rPr>
          <w:rFonts w:ascii="宋体" w:hAnsi="宋体" w:cs="宋体" w:eastAsia="宋体" w:hint="default"/>
          <w:sz w:val="15"/>
          <w:szCs w:val="15"/>
        </w:rPr>
      </w:pPr>
    </w:p>
    <w:p>
      <w:pPr>
        <w:pStyle w:val="BodyText"/>
        <w:spacing w:line="408" w:lineRule="auto"/>
        <w:ind w:left="154" w:right="209" w:firstLine="420"/>
        <w:jc w:val="both"/>
      </w:pPr>
      <w:r>
        <w:rPr>
          <w:spacing w:val="-1"/>
        </w:rPr>
        <w:t>航空工业是关系国家安全和国民经济命脉的战略性产业。是衡量一个国家国防实力和资金密集型和高</w:t>
      </w:r>
      <w:r>
        <w:rPr/>
        <w:t> </w:t>
      </w:r>
      <w:r>
        <w:rPr>
          <w:spacing w:val="-1"/>
        </w:rPr>
        <w:t>投入、高风险、高附加值的技术密集型产业。由于其技术含量高、产业链长、带动性强，其发展对我国经</w:t>
      </w:r>
      <w:r>
        <w:rPr>
          <w:spacing w:val="-83"/>
        </w:rPr>
        <w:t> </w:t>
      </w:r>
      <w:r>
        <w:rPr>
          <w:spacing w:val="-83"/>
        </w:rPr>
      </w:r>
      <w:r>
        <w:rPr>
          <w:spacing w:val="-1"/>
        </w:rPr>
        <w:t>济结构调整、实现产业优化升级，提高综合国力具有重要意义。同时，世界新的竞争形势下的民用、军用</w:t>
      </w:r>
    </w:p>
    <w:p>
      <w:pPr>
        <w:spacing w:after="0" w:line="408" w:lineRule="auto"/>
        <w:jc w:val="both"/>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240" w:lineRule="auto" w:before="35"/>
        <w:ind w:left="154" w:right="101"/>
        <w:jc w:val="left"/>
      </w:pPr>
      <w:r>
        <w:rPr/>
        <w:t>飞机生产通用型强，互动转换快的特点，都迫使国家把发展航空产业作为新阶段的新的战略选择。</w:t>
      </w:r>
    </w:p>
    <w:p>
      <w:pPr>
        <w:spacing w:line="240" w:lineRule="auto" w:before="9"/>
        <w:rPr>
          <w:rFonts w:ascii="宋体" w:hAnsi="宋体" w:cs="宋体" w:eastAsia="宋体" w:hint="default"/>
          <w:sz w:val="26"/>
          <w:szCs w:val="26"/>
        </w:rPr>
      </w:pPr>
    </w:p>
    <w:p>
      <w:pPr>
        <w:pStyle w:val="BodyText"/>
        <w:spacing w:line="391" w:lineRule="auto"/>
        <w:ind w:left="154" w:right="101" w:firstLine="419"/>
        <w:jc w:val="left"/>
      </w:pPr>
      <w:r>
        <w:rPr>
          <w:spacing w:val="-3"/>
        </w:rPr>
        <w:t>在《国家中长期科学和技术发展规划纲要（</w:t>
      </w:r>
      <w:r>
        <w:rPr>
          <w:rFonts w:ascii="Times New Roman" w:hAnsi="Times New Roman" w:cs="Times New Roman" w:eastAsia="Times New Roman" w:hint="default"/>
          <w:spacing w:val="-3"/>
        </w:rPr>
        <w:t>2006-2020</w:t>
      </w:r>
      <w:r>
        <w:rPr>
          <w:spacing w:val="-3"/>
        </w:rPr>
        <w:t>年）》中，对民用飞机、航空产业配套能力、卫</w:t>
      </w:r>
      <w:r>
        <w:rPr/>
        <w:t> 星研发制造、卫星应用等几个方面对航空航天发展提出了相应的部署。在上述政策中，对于飞机整机及配 套产业的自主创新能力给予了重视、鼓励和支持，特别是大型飞机项目在</w:t>
      </w:r>
      <w:r>
        <w:rPr>
          <w:rFonts w:ascii="Times New Roman" w:hAnsi="Times New Roman" w:cs="Times New Roman" w:eastAsia="Times New Roman" w:hint="default"/>
        </w:rPr>
        <w:t>20</w:t>
      </w:r>
      <w:r>
        <w:rPr/>
        <w:t>年后得以重新启动，表明了国 </w:t>
      </w:r>
      <w:r>
        <w:rPr>
          <w:spacing w:val="-1"/>
        </w:rPr>
        <w:t>家对提高民用飞机自主研发能力的决心。大飞机项目在今后三到五年要投入</w:t>
      </w:r>
      <w:r>
        <w:rPr>
          <w:rFonts w:ascii="Times New Roman" w:hAnsi="Times New Roman" w:cs="Times New Roman" w:eastAsia="Times New Roman" w:hint="default"/>
          <w:spacing w:val="-1"/>
        </w:rPr>
        <w:t>600</w:t>
      </w:r>
      <w:r>
        <w:rPr>
          <w:spacing w:val="-1"/>
        </w:rPr>
        <w:t>亿元，而到最终投放市场，</w:t>
      </w:r>
      <w:r>
        <w:rPr>
          <w:spacing w:val="-82"/>
        </w:rPr>
        <w:t> </w:t>
      </w:r>
      <w:r>
        <w:rPr>
          <w:spacing w:val="-82"/>
        </w:rPr>
      </w:r>
      <w:r>
        <w:rPr/>
        <w:t>相关投入总体上将达到</w:t>
      </w:r>
      <w:r>
        <w:rPr>
          <w:rFonts w:ascii="Times New Roman" w:hAnsi="Times New Roman" w:cs="Times New Roman" w:eastAsia="Times New Roman" w:hint="default"/>
        </w:rPr>
        <w:t>2000</w:t>
      </w:r>
      <w:r>
        <w:rPr/>
        <w:t>亿元；在这个巨大的产业链中，结合我们自身的技术和产品积累，我们的机会 主要在高速航空数据总线、机载电子设备和适航认证。</w:t>
      </w:r>
    </w:p>
    <w:p>
      <w:pPr>
        <w:spacing w:line="240" w:lineRule="auto" w:before="8"/>
        <w:rPr>
          <w:rFonts w:ascii="宋体" w:hAnsi="宋体" w:cs="宋体" w:eastAsia="宋体" w:hint="default"/>
          <w:sz w:val="16"/>
          <w:szCs w:val="16"/>
        </w:rPr>
      </w:pPr>
    </w:p>
    <w:p>
      <w:pPr>
        <w:pStyle w:val="BodyText"/>
        <w:spacing w:line="240" w:lineRule="auto"/>
        <w:ind w:right="101"/>
        <w:jc w:val="left"/>
      </w:pPr>
      <w:r>
        <w:rPr/>
        <w:t>③低空领域逐渐开放带给我们的机遇</w:t>
      </w:r>
    </w:p>
    <w:p>
      <w:pPr>
        <w:spacing w:line="240" w:lineRule="auto" w:before="9"/>
        <w:rPr>
          <w:rFonts w:ascii="宋体" w:hAnsi="宋体" w:cs="宋体" w:eastAsia="宋体" w:hint="default"/>
          <w:sz w:val="26"/>
          <w:szCs w:val="26"/>
        </w:rPr>
      </w:pPr>
    </w:p>
    <w:p>
      <w:pPr>
        <w:pStyle w:val="BodyText"/>
        <w:spacing w:line="386" w:lineRule="auto"/>
        <w:ind w:left="154" w:right="207" w:firstLine="420"/>
        <w:jc w:val="both"/>
      </w:pPr>
      <w:r>
        <w:rPr/>
        <w:t>根据国务院、中央军委的改革意见，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月起，扩大低空领域开放范围，整个东北和中南地区， 以及唐山、西安、青岛、杭州、宁波和昆明</w:t>
      </w:r>
      <w:r>
        <w:rPr>
          <w:rFonts w:ascii="Times New Roman" w:hAnsi="Times New Roman" w:cs="Times New Roman" w:eastAsia="Times New Roman" w:hint="default"/>
        </w:rPr>
        <w:t>6</w:t>
      </w:r>
      <w:r>
        <w:rPr/>
        <w:t>个分区将放开低空空域。作为国家战略，低空航运有望成为</w:t>
      </w:r>
      <w:r>
        <w:rPr>
          <w:spacing w:val="-34"/>
        </w:rPr>
        <w:t> </w:t>
      </w:r>
      <w:r>
        <w:rPr>
          <w:spacing w:val="-34"/>
        </w:rPr>
      </w:r>
      <w:r>
        <w:rPr/>
        <w:t>中国新的经济增长点。</w:t>
      </w:r>
    </w:p>
    <w:p>
      <w:pPr>
        <w:spacing w:line="240" w:lineRule="auto" w:before="12"/>
        <w:rPr>
          <w:rFonts w:ascii="宋体" w:hAnsi="宋体" w:cs="宋体" w:eastAsia="宋体" w:hint="default"/>
          <w:sz w:val="16"/>
          <w:szCs w:val="16"/>
        </w:rPr>
      </w:pPr>
    </w:p>
    <w:p>
      <w:pPr>
        <w:pStyle w:val="BodyText"/>
        <w:spacing w:line="408" w:lineRule="auto"/>
        <w:ind w:left="154" w:right="209" w:firstLine="420"/>
        <w:jc w:val="both"/>
      </w:pPr>
      <w:r>
        <w:rPr>
          <w:spacing w:val="-1"/>
        </w:rPr>
        <w:t>国家低空领域的开放，犹如在空中开辟了条空中高速路。我们必须抓住这个产业的变革，在这个巨大</w:t>
      </w:r>
      <w:r>
        <w:rPr/>
        <w:t> </w:t>
      </w:r>
      <w:r>
        <w:rPr>
          <w:spacing w:val="-1"/>
        </w:rPr>
        <w:t>的产业链中找到机会和成长空间。这个产业涉及到材料、航空制造、航空电子、航空运营、维修检测等细</w:t>
      </w:r>
      <w:r>
        <w:rPr>
          <w:spacing w:val="-83"/>
        </w:rPr>
        <w:t> </w:t>
      </w:r>
      <w:r>
        <w:rPr>
          <w:spacing w:val="-83"/>
        </w:rPr>
      </w:r>
      <w:r>
        <w:rPr/>
        <w:t>分市场。我们将根据我们的特点在航空电子产品上进行关注和跟踪。</w:t>
      </w:r>
    </w:p>
    <w:p>
      <w:pPr>
        <w:spacing w:line="240" w:lineRule="auto" w:before="6"/>
        <w:rPr>
          <w:rFonts w:ascii="宋体" w:hAnsi="宋体" w:cs="宋体" w:eastAsia="宋体" w:hint="default"/>
          <w:sz w:val="15"/>
          <w:szCs w:val="15"/>
        </w:rPr>
      </w:pPr>
    </w:p>
    <w:p>
      <w:pPr>
        <w:pStyle w:val="BodyText"/>
        <w:spacing w:line="240" w:lineRule="auto"/>
        <w:ind w:right="101"/>
        <w:jc w:val="left"/>
      </w:pPr>
      <w:r>
        <w:rPr/>
        <w:t>④信息化与工业化融合趋势下嵌入式技术行业化应用带来的机遇</w:t>
      </w:r>
    </w:p>
    <w:p>
      <w:pPr>
        <w:spacing w:line="240" w:lineRule="auto" w:before="9"/>
        <w:rPr>
          <w:rFonts w:ascii="宋体" w:hAnsi="宋体" w:cs="宋体" w:eastAsia="宋体" w:hint="default"/>
          <w:sz w:val="26"/>
          <w:szCs w:val="26"/>
        </w:rPr>
      </w:pPr>
    </w:p>
    <w:p>
      <w:pPr>
        <w:pStyle w:val="BodyText"/>
        <w:spacing w:line="408" w:lineRule="auto"/>
        <w:ind w:left="154" w:right="209" w:firstLine="420"/>
        <w:jc w:val="both"/>
      </w:pPr>
      <w:r>
        <w:rPr>
          <w:spacing w:val="-1"/>
        </w:rPr>
        <w:t>在信息化与工业化融合战略的带动下，嵌入式技术与自动化技术、现代管理技术、制造技术互相渗透</w:t>
      </w:r>
      <w:r>
        <w:rPr/>
        <w:t> </w:t>
      </w:r>
      <w:r>
        <w:rPr>
          <w:spacing w:val="-1"/>
        </w:rPr>
        <w:t>力度正在加大。嵌入式产业的发展重点出现了由重视嵌入式基础软硬件向重视嵌入式技术的行业化应用渗</w:t>
      </w:r>
      <w:r>
        <w:rPr>
          <w:spacing w:val="-81"/>
        </w:rPr>
        <w:t> </w:t>
      </w:r>
      <w:r>
        <w:rPr>
          <w:spacing w:val="-81"/>
        </w:rPr>
      </w:r>
      <w:r>
        <w:rPr>
          <w:spacing w:val="-1"/>
        </w:rPr>
        <w:t>透的趋势。嵌入式技术在城市管理信息化、生产过程控制智能化、制造装备数控化、金融及物流服务信息</w:t>
      </w:r>
      <w:r>
        <w:rPr>
          <w:spacing w:val="-82"/>
        </w:rPr>
        <w:t> </w:t>
      </w:r>
      <w:r>
        <w:rPr>
          <w:spacing w:val="-82"/>
        </w:rPr>
      </w:r>
      <w:r>
        <w:rPr/>
        <w:t>和网络化的变革中发挥的作用越来越大。</w:t>
      </w:r>
    </w:p>
    <w:p>
      <w:pPr>
        <w:spacing w:line="240" w:lineRule="auto" w:before="6"/>
        <w:rPr>
          <w:rFonts w:ascii="宋体" w:hAnsi="宋体" w:cs="宋体" w:eastAsia="宋体" w:hint="default"/>
          <w:sz w:val="15"/>
          <w:szCs w:val="15"/>
        </w:rPr>
      </w:pPr>
    </w:p>
    <w:p>
      <w:pPr>
        <w:pStyle w:val="BodyText"/>
        <w:spacing w:line="240" w:lineRule="auto"/>
        <w:ind w:right="0"/>
        <w:jc w:val="left"/>
      </w:pPr>
      <w:r>
        <w:rPr>
          <w:spacing w:val="-3"/>
        </w:rPr>
        <w:t>依托原有的嵌入式技术和产品积累，结合自身的优势，公司将在以下的几个行业获得较大的发展机遇：</w:t>
      </w:r>
    </w:p>
    <w:p>
      <w:pPr>
        <w:pStyle w:val="BodyText"/>
        <w:spacing w:line="620" w:lineRule="atLeast" w:before="20"/>
        <w:ind w:right="1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信息安全领域 随着网络深入我们生活的各个方面，信息安全已经成为人们工作与生活的必需品。国家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w:t>
      </w:r>
    </w:p>
    <w:p>
      <w:pPr>
        <w:pStyle w:val="BodyText"/>
        <w:spacing w:line="386" w:lineRule="auto" w:before="177"/>
        <w:ind w:left="154" w:right="101" w:hanging="1"/>
        <w:jc w:val="left"/>
      </w:pPr>
      <w:r>
        <w:rPr>
          <w:spacing w:val="-2"/>
        </w:rPr>
        <w:t>中明确新一代信息安全技术是国家未来重点扶持的对象。随着网上银行、</w:t>
      </w:r>
      <w:r>
        <w:rPr>
          <w:rFonts w:ascii="Times New Roman" w:hAnsi="Times New Roman" w:cs="Times New Roman" w:eastAsia="Times New Roman" w:hint="default"/>
          <w:spacing w:val="-2"/>
        </w:rPr>
        <w:t>EMV</w:t>
      </w:r>
      <w:r>
        <w:rPr>
          <w:spacing w:val="-2"/>
        </w:rPr>
        <w:t>迁移、云计算、物联网、移</w:t>
      </w:r>
      <w:r>
        <w:rPr>
          <w:spacing w:val="-85"/>
        </w:rPr>
        <w:t> </w:t>
      </w:r>
      <w:r>
        <w:rPr>
          <w:spacing w:val="-85"/>
        </w:rPr>
      </w:r>
      <w:r>
        <w:rPr/>
        <w:t>动互联、电子商务等新领域的爆发，信息安全市场将面临良好的发展机会。</w:t>
      </w:r>
    </w:p>
    <w:p>
      <w:pPr>
        <w:spacing w:line="240" w:lineRule="auto" w:before="12"/>
        <w:rPr>
          <w:rFonts w:ascii="宋体" w:hAnsi="宋体" w:cs="宋体" w:eastAsia="宋体" w:hint="default"/>
          <w:sz w:val="16"/>
          <w:szCs w:val="16"/>
        </w:rPr>
      </w:pPr>
    </w:p>
    <w:p>
      <w:pPr>
        <w:pStyle w:val="BodyText"/>
        <w:spacing w:line="408" w:lineRule="auto"/>
        <w:ind w:left="154" w:right="209" w:firstLine="420"/>
        <w:jc w:val="both"/>
      </w:pPr>
      <w:r>
        <w:rPr>
          <w:spacing w:val="-1"/>
        </w:rPr>
        <w:t>信息系统的身份认证是信息安全防护的第一道也是最重要的关口，越来越受到政府、服务提供商和用</w:t>
      </w:r>
      <w:r>
        <w:rPr/>
        <w:t> </w:t>
      </w:r>
      <w:r>
        <w:rPr>
          <w:spacing w:val="-1"/>
        </w:rPr>
        <w:t>户的重视。我国政府规定，密码保护产品必须采用经过国家密码管理部门批准使用或者准于销售的密码产</w:t>
      </w:r>
    </w:p>
    <w:p>
      <w:pPr>
        <w:spacing w:after="0" w:line="408" w:lineRule="auto"/>
        <w:jc w:val="both"/>
        <w:sectPr>
          <w:footerReference w:type="default" r:id="rId19"/>
          <w:pgSz w:w="11910" w:h="16840"/>
          <w:pgMar w:footer="1252" w:header="997" w:top="1340" w:bottom="1440" w:left="980" w:right="920"/>
          <w:pgNumType w:start="38"/>
        </w:sectPr>
      </w:pPr>
    </w:p>
    <w:p>
      <w:pPr>
        <w:spacing w:line="240" w:lineRule="auto" w:before="4"/>
        <w:rPr>
          <w:rFonts w:ascii="宋体" w:hAnsi="宋体" w:cs="宋体" w:eastAsia="宋体" w:hint="default"/>
          <w:sz w:val="11"/>
          <w:szCs w:val="11"/>
        </w:rPr>
      </w:pPr>
    </w:p>
    <w:p>
      <w:pPr>
        <w:pStyle w:val="BodyText"/>
        <w:spacing w:line="408" w:lineRule="auto" w:before="35"/>
        <w:ind w:left="154" w:right="111"/>
        <w:jc w:val="left"/>
      </w:pPr>
      <w:r>
        <w:rPr>
          <w:spacing w:val="-1"/>
        </w:rPr>
        <w:t>品进行安全保护，不得采用国外引进或擅自研制的密码产品，未经批准不得采用含有加密功能的进口信息</w:t>
      </w:r>
      <w:r>
        <w:rPr>
          <w:spacing w:val="-81"/>
        </w:rPr>
        <w:t> </w:t>
      </w:r>
      <w:r>
        <w:rPr>
          <w:spacing w:val="-81"/>
        </w:rPr>
      </w:r>
      <w:r>
        <w:rPr/>
        <w:t>技术产品。这些政策对于具有自主信息安全研发能力的国内企业提供了广阔的发展空间。</w:t>
      </w:r>
    </w:p>
    <w:p>
      <w:pPr>
        <w:spacing w:line="240" w:lineRule="auto" w:before="6"/>
        <w:rPr>
          <w:rFonts w:ascii="宋体" w:hAnsi="宋体" w:cs="宋体" w:eastAsia="宋体" w:hint="default"/>
          <w:sz w:val="15"/>
          <w:szCs w:val="15"/>
        </w:rPr>
      </w:pPr>
    </w:p>
    <w:p>
      <w:pPr>
        <w:pStyle w:val="BodyText"/>
        <w:spacing w:line="391" w:lineRule="auto"/>
        <w:ind w:left="154" w:right="111" w:firstLine="420"/>
        <w:jc w:val="left"/>
      </w:pPr>
      <w:r>
        <w:rPr>
          <w:spacing w:val="9"/>
        </w:rPr>
        <w:t>目前，身份认证产品广泛应用于金融、证券、电子商务、电子政务及税务等领域，具体主要包括</w:t>
      </w:r>
      <w:r>
        <w:rPr>
          <w:spacing w:val="10"/>
        </w:rPr>
        <w:t> </w:t>
      </w:r>
      <w:r>
        <w:rPr>
          <w:rFonts w:ascii="Times New Roman" w:hAnsi="Times New Roman" w:cs="Times New Roman" w:eastAsia="Times New Roman" w:hint="default"/>
        </w:rPr>
        <w:t>USBKEY</w:t>
      </w:r>
      <w:r>
        <w:rPr/>
        <w:t>、移动</w:t>
      </w:r>
      <w:r>
        <w:rPr>
          <w:rFonts w:ascii="Times New Roman" w:hAnsi="Times New Roman" w:cs="Times New Roman" w:eastAsia="Times New Roman" w:hint="default"/>
        </w:rPr>
        <w:t>USBKEY</w:t>
      </w:r>
      <w:r>
        <w:rPr/>
        <w:t>、</w:t>
      </w:r>
      <w:r>
        <w:rPr>
          <w:rFonts w:ascii="Times New Roman" w:hAnsi="Times New Roman" w:cs="Times New Roman" w:eastAsia="Times New Roman" w:hint="default"/>
        </w:rPr>
        <w:t>OTP</w:t>
      </w:r>
      <w:r>
        <w:rPr/>
        <w:t>令牌等。公司依托原有的嵌入式及</w:t>
      </w:r>
      <w:r>
        <w:rPr>
          <w:rFonts w:ascii="Times New Roman" w:hAnsi="Times New Roman" w:cs="Times New Roman" w:eastAsia="Times New Roman" w:hint="default"/>
        </w:rPr>
        <w:t>COS</w:t>
      </w:r>
      <w:r>
        <w:rPr>
          <w:rFonts w:ascii="Times New Roman" w:hAnsi="Times New Roman" w:cs="Times New Roman" w:eastAsia="Times New Roman" w:hint="default"/>
          <w:spacing w:val="21"/>
        </w:rPr>
        <w:t> </w:t>
      </w:r>
      <w:r>
        <w:rPr/>
        <w:t>等技术，进入信息安全产品领域， 并取得了国家密码管理局颁发的</w:t>
      </w:r>
      <w:r>
        <w:rPr>
          <w:rFonts w:ascii="Times New Roman" w:hAnsi="Times New Roman" w:cs="Times New Roman" w:eastAsia="Times New Roman" w:hint="default"/>
        </w:rPr>
        <w:t>“</w:t>
      </w:r>
      <w:r>
        <w:rPr/>
        <w:t>商用密码产品生产定点单位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商用密码产品销售许可证</w:t>
      </w:r>
      <w:r>
        <w:rPr>
          <w:rFonts w:ascii="Times New Roman" w:hAnsi="Times New Roman" w:cs="Times New Roman" w:eastAsia="Times New Roman" w:hint="default"/>
        </w:rPr>
        <w:t>”</w:t>
      </w:r>
      <w:r>
        <w:rPr/>
        <w:t>资质，并研制</w:t>
      </w:r>
      <w:r>
        <w:rPr>
          <w:spacing w:val="-87"/>
        </w:rPr>
        <w:t> </w:t>
      </w:r>
      <w:r>
        <w:rPr>
          <w:spacing w:val="-87"/>
        </w:rPr>
      </w:r>
      <w:r>
        <w:rPr/>
        <w:t>出具有自主知识产权的智能卡操作系统</w:t>
      </w:r>
      <w:r>
        <w:rPr>
          <w:rFonts w:ascii="Times New Roman" w:hAnsi="Times New Roman" w:cs="Times New Roman" w:eastAsia="Times New Roman" w:hint="default"/>
        </w:rPr>
        <w:t>WTCOS</w:t>
      </w:r>
      <w:r>
        <w:rPr/>
        <w:t>和</w:t>
      </w:r>
      <w:r>
        <w:rPr>
          <w:rFonts w:ascii="Times New Roman" w:hAnsi="Times New Roman" w:cs="Times New Roman" w:eastAsia="Times New Roman" w:hint="default"/>
        </w:rPr>
        <w:t>USB</w:t>
      </w:r>
      <w:r>
        <w:rPr>
          <w:rFonts w:ascii="Times New Roman" w:hAnsi="Times New Roman" w:cs="Times New Roman" w:eastAsia="Times New Roman" w:hint="default"/>
          <w:spacing w:val="-10"/>
        </w:rPr>
        <w:t> </w:t>
      </w:r>
      <w:r>
        <w:rPr>
          <w:rFonts w:ascii="Times New Roman" w:hAnsi="Times New Roman" w:cs="Times New Roman" w:eastAsia="Times New Roman" w:hint="default"/>
        </w:rPr>
        <w:t>KEY</w:t>
      </w:r>
      <w:r>
        <w:rPr>
          <w:rFonts w:ascii="Times New Roman" w:hAnsi="Times New Roman" w:cs="Times New Roman" w:eastAsia="Times New Roman" w:hint="default"/>
          <w:spacing w:val="35"/>
        </w:rPr>
        <w:t> </w:t>
      </w:r>
      <w:r>
        <w:rPr>
          <w:spacing w:val="-3"/>
        </w:rPr>
        <w:t>产品。上述成就标志着公司自主信息安全产品</w:t>
      </w:r>
      <w:r>
        <w:rPr>
          <w:spacing w:val="-103"/>
        </w:rPr>
        <w:t> </w:t>
      </w:r>
      <w:r>
        <w:rPr>
          <w:spacing w:val="-103"/>
        </w:rPr>
      </w:r>
      <w:r>
        <w:rPr/>
        <w:t>已基本形成，在信息安全的智能身份认证领域将会迎来良好的发展前景。</w:t>
      </w:r>
    </w:p>
    <w:p>
      <w:pPr>
        <w:spacing w:line="240" w:lineRule="auto" w:before="8"/>
        <w:rPr>
          <w:rFonts w:ascii="宋体" w:hAnsi="宋体" w:cs="宋体" w:eastAsia="宋体" w:hint="default"/>
          <w:sz w:val="16"/>
          <w:szCs w:val="16"/>
        </w:rPr>
      </w:pPr>
    </w:p>
    <w:p>
      <w:pPr>
        <w:pStyle w:val="BodyText"/>
        <w:spacing w:line="240" w:lineRule="auto"/>
        <w:ind w:right="11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税控领域</w:t>
      </w:r>
    </w:p>
    <w:p>
      <w:pPr>
        <w:spacing w:line="240" w:lineRule="auto" w:before="6"/>
        <w:rPr>
          <w:rFonts w:ascii="宋体" w:hAnsi="宋体" w:cs="宋体" w:eastAsia="宋体" w:hint="default"/>
          <w:sz w:val="25"/>
          <w:szCs w:val="25"/>
        </w:rPr>
      </w:pPr>
    </w:p>
    <w:p>
      <w:pPr>
        <w:pStyle w:val="BodyText"/>
        <w:spacing w:line="408" w:lineRule="auto"/>
        <w:ind w:left="154" w:right="190" w:firstLine="420"/>
        <w:jc w:val="both"/>
      </w:pPr>
      <w:r>
        <w:rPr>
          <w:spacing w:val="-1"/>
        </w:rPr>
        <w:t>为了消除重复征税，实行结构性减税，调整和优化产业结构，促进服务业的进一步发展，国家开始推</w:t>
      </w:r>
      <w:r>
        <w:rPr/>
        <w:t> </w:t>
      </w:r>
      <w:r>
        <w:rPr>
          <w:spacing w:val="-1"/>
        </w:rPr>
        <w:t>行新的税制改革。营业税改增值税的国家税制改革，是当前国家的重大决策，对于我国产业结构的全面优</w:t>
      </w:r>
      <w:r>
        <w:rPr>
          <w:spacing w:val="-83"/>
        </w:rPr>
        <w:t> </w:t>
      </w:r>
      <w:r>
        <w:rPr>
          <w:spacing w:val="-83"/>
        </w:rPr>
      </w:r>
      <w:r>
        <w:rPr>
          <w:spacing w:val="-1"/>
        </w:rPr>
        <w:t>化影响深远，将对税控设备、税控服务等各个相关领域产生重大影响，类似十几年前的税制改革一样，将</w:t>
      </w:r>
      <w:r>
        <w:rPr>
          <w:spacing w:val="-82"/>
        </w:rPr>
        <w:t> </w:t>
      </w:r>
      <w:r>
        <w:rPr>
          <w:spacing w:val="-82"/>
        </w:rPr>
      </w:r>
      <w:r>
        <w:rPr>
          <w:spacing w:val="-1"/>
        </w:rPr>
        <w:t>衍生出一个新型的税控市场，为税控产业带来巨大的发展机遇。整个营业税改增值税工程，未来将涉及到</w:t>
      </w:r>
      <w:r>
        <w:rPr>
          <w:spacing w:val="-83"/>
        </w:rPr>
        <w:t> </w:t>
      </w:r>
      <w:r>
        <w:rPr>
          <w:spacing w:val="-83"/>
        </w:rPr>
      </w:r>
      <w:r>
        <w:rPr>
          <w:spacing w:val="-1"/>
        </w:rPr>
        <w:t>全国的上千万户纳税人，将产生上千万台的新型税控盘的需求、上千万户技术服务的需求，同时会带来配</w:t>
      </w:r>
      <w:r>
        <w:rPr>
          <w:spacing w:val="-83"/>
        </w:rPr>
        <w:t> </w:t>
      </w:r>
      <w:r>
        <w:rPr>
          <w:spacing w:val="-83"/>
        </w:rPr>
      </w:r>
      <w:r>
        <w:rPr/>
        <w:t>套的设备、服务、培训等其他市场需求，形成一个巨大的新型市场。</w:t>
      </w:r>
    </w:p>
    <w:p>
      <w:pPr>
        <w:spacing w:line="240" w:lineRule="auto" w:before="6"/>
        <w:rPr>
          <w:rFonts w:ascii="宋体" w:hAnsi="宋体" w:cs="宋体" w:eastAsia="宋体" w:hint="default"/>
          <w:sz w:val="15"/>
          <w:szCs w:val="15"/>
        </w:rPr>
      </w:pPr>
    </w:p>
    <w:p>
      <w:pPr>
        <w:pStyle w:val="BodyText"/>
        <w:spacing w:line="398" w:lineRule="auto"/>
        <w:ind w:left="154" w:right="191" w:firstLine="420"/>
        <w:jc w:val="both"/>
      </w:pPr>
      <w:r>
        <w:rPr/>
        <w:t>目前，公司研发的税控盘产品已顺利通过国家税务总局的符合性验证。随着国家</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试点工作的 </w:t>
      </w:r>
      <w:r>
        <w:rPr>
          <w:spacing w:val="-1"/>
        </w:rPr>
        <w:t>逐步推进，在增值税专用发票税控开票产品和服务市场，作为全国两家防伪税控系统提供商之一总参系统</w:t>
      </w:r>
      <w:r>
        <w:rPr>
          <w:spacing w:val="-81"/>
        </w:rPr>
        <w:t> </w:t>
      </w:r>
      <w:r>
        <w:rPr>
          <w:spacing w:val="-81"/>
        </w:rPr>
      </w:r>
      <w:r>
        <w:rPr/>
        <w:t>主要产品和服务供应商，公司在税控市场会迎来较大的发展机会。</w:t>
      </w:r>
    </w:p>
    <w:p>
      <w:pPr>
        <w:spacing w:line="240" w:lineRule="auto" w:before="1"/>
        <w:rPr>
          <w:rFonts w:ascii="宋体" w:hAnsi="宋体" w:cs="宋体" w:eastAsia="宋体" w:hint="default"/>
          <w:sz w:val="16"/>
          <w:szCs w:val="16"/>
        </w:rPr>
      </w:pPr>
    </w:p>
    <w:p>
      <w:pPr>
        <w:pStyle w:val="BodyText"/>
        <w:spacing w:line="240" w:lineRule="auto"/>
        <w:ind w:right="111"/>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智慧城市领域</w:t>
      </w:r>
    </w:p>
    <w:p>
      <w:pPr>
        <w:spacing w:line="240" w:lineRule="auto" w:before="6"/>
        <w:rPr>
          <w:rFonts w:ascii="宋体" w:hAnsi="宋体" w:cs="宋体" w:eastAsia="宋体" w:hint="default"/>
          <w:sz w:val="25"/>
          <w:szCs w:val="25"/>
        </w:rPr>
      </w:pPr>
    </w:p>
    <w:p>
      <w:pPr>
        <w:pStyle w:val="BodyText"/>
        <w:spacing w:line="408" w:lineRule="auto"/>
        <w:ind w:left="154" w:right="168" w:firstLine="420"/>
        <w:jc w:val="both"/>
      </w:pPr>
      <w:r>
        <w:rPr/>
        <w:t>随着中国城镇化的持续进行，城市的数量和规模都在急剧地膨胀。如果我们不提高城市的管理水平， </w:t>
      </w:r>
      <w:r>
        <w:rPr>
          <w:spacing w:val="-1"/>
        </w:rPr>
        <w:t>中国的城镇化的发展就没有可持续性。随着信息化技术和物流网技术的飞速发展，智慧城市的建设从手段</w:t>
      </w:r>
      <w:r>
        <w:rPr>
          <w:spacing w:val="-81"/>
        </w:rPr>
        <w:t> </w:t>
      </w:r>
      <w:r>
        <w:rPr>
          <w:spacing w:val="-81"/>
        </w:rPr>
      </w:r>
      <w:r>
        <w:rPr/>
        <w:t>上变得越来越现实。</w:t>
      </w:r>
    </w:p>
    <w:p>
      <w:pPr>
        <w:spacing w:line="240" w:lineRule="auto" w:before="6"/>
        <w:rPr>
          <w:rFonts w:ascii="宋体" w:hAnsi="宋体" w:cs="宋体" w:eastAsia="宋体" w:hint="default"/>
          <w:sz w:val="15"/>
          <w:szCs w:val="15"/>
        </w:rPr>
      </w:pPr>
    </w:p>
    <w:p>
      <w:pPr>
        <w:pStyle w:val="BodyText"/>
        <w:spacing w:line="408" w:lineRule="auto"/>
        <w:ind w:left="154" w:right="190" w:firstLine="420"/>
        <w:jc w:val="both"/>
      </w:pPr>
      <w:r>
        <w:rPr>
          <w:spacing w:val="-1"/>
        </w:rPr>
        <w:t>智慧城市建设是在原有城市基础设施上，综合运用新一代的信息技术，赋予基础设施交互能力，对物</w:t>
      </w:r>
      <w:r>
        <w:rPr/>
        <w:t> </w:t>
      </w:r>
      <w:r>
        <w:rPr>
          <w:spacing w:val="-1"/>
        </w:rPr>
        <w:t>体进行识别，感测城市运行的基本状况，实现物与物之间的信息传递；并对交互感知得到的信息通过云计</w:t>
      </w:r>
      <w:r>
        <w:rPr>
          <w:spacing w:val="-83"/>
        </w:rPr>
        <w:t> </w:t>
      </w:r>
      <w:r>
        <w:rPr>
          <w:spacing w:val="-83"/>
        </w:rPr>
      </w:r>
      <w:r>
        <w:rPr>
          <w:spacing w:val="-1"/>
        </w:rPr>
        <w:t>算平台进行统一管理和调度，城市各相关部门根据所需提取信息进行智能处理、分析预测，形成诸多城市</w:t>
      </w:r>
      <w:r>
        <w:rPr>
          <w:spacing w:val="-83"/>
        </w:rPr>
        <w:t> </w:t>
      </w:r>
      <w:r>
        <w:rPr>
          <w:spacing w:val="-83"/>
        </w:rPr>
      </w:r>
      <w:r>
        <w:rPr/>
        <w:t>科学管理方案。</w:t>
      </w:r>
    </w:p>
    <w:p>
      <w:pPr>
        <w:spacing w:line="240" w:lineRule="auto" w:before="6"/>
        <w:rPr>
          <w:rFonts w:ascii="宋体" w:hAnsi="宋体" w:cs="宋体" w:eastAsia="宋体" w:hint="default"/>
          <w:sz w:val="15"/>
          <w:szCs w:val="15"/>
        </w:rPr>
      </w:pPr>
    </w:p>
    <w:p>
      <w:pPr>
        <w:pStyle w:val="BodyText"/>
        <w:spacing w:line="240" w:lineRule="auto"/>
        <w:ind w:right="111"/>
        <w:jc w:val="left"/>
      </w:pPr>
      <w:r>
        <w:rPr/>
        <w:t>智慧城市建设主要包括智能交通管理系统、智能物流配送系统、智能安防管理系统、智慧能源管理系</w:t>
      </w:r>
    </w:p>
    <w:p>
      <w:pPr>
        <w:spacing w:after="0" w:line="240" w:lineRule="auto"/>
        <w:jc w:val="left"/>
        <w:sectPr>
          <w:pgSz w:w="11910" w:h="16840"/>
          <w:pgMar w:header="997" w:footer="1252" w:top="1340" w:bottom="1440" w:left="980" w:right="940"/>
        </w:sectPr>
      </w:pPr>
    </w:p>
    <w:p>
      <w:pPr>
        <w:spacing w:line="240" w:lineRule="auto" w:before="4"/>
        <w:rPr>
          <w:rFonts w:ascii="宋体" w:hAnsi="宋体" w:cs="宋体" w:eastAsia="宋体" w:hint="default"/>
          <w:sz w:val="11"/>
          <w:szCs w:val="11"/>
        </w:rPr>
      </w:pPr>
    </w:p>
    <w:p>
      <w:pPr>
        <w:pStyle w:val="BodyText"/>
        <w:spacing w:line="408" w:lineRule="auto" w:before="35"/>
        <w:ind w:left="154" w:right="210"/>
        <w:jc w:val="both"/>
      </w:pPr>
      <w:r>
        <w:rPr>
          <w:spacing w:val="-1"/>
        </w:rPr>
        <w:t>统、水质环境监控系统、智慧校园管理系统、移动办公管理系统、智能票务管理系统、虚拟旅游管理系统</w:t>
      </w:r>
      <w:r>
        <w:rPr>
          <w:spacing w:val="-83"/>
        </w:rPr>
        <w:t> </w:t>
      </w:r>
      <w:r>
        <w:rPr>
          <w:spacing w:val="-83"/>
        </w:rPr>
      </w:r>
      <w:r>
        <w:rPr>
          <w:spacing w:val="-1"/>
        </w:rPr>
        <w:t>等；通过打造一个统一的城市运营指挥中心，为城市管理者提供高效的城市管理手段和途径，从而为企业</w:t>
      </w:r>
      <w:r>
        <w:rPr>
          <w:spacing w:val="-83"/>
        </w:rPr>
        <w:t> </w:t>
      </w:r>
      <w:r>
        <w:rPr>
          <w:spacing w:val="-83"/>
        </w:rPr>
      </w:r>
      <w:r>
        <w:rPr/>
        <w:t>提供优质服务和广阔的创新空间，为市民提供更好的生活品质。</w:t>
      </w:r>
    </w:p>
    <w:p>
      <w:pPr>
        <w:spacing w:line="240" w:lineRule="auto" w:before="6"/>
        <w:rPr>
          <w:rFonts w:ascii="宋体" w:hAnsi="宋体" w:cs="宋体" w:eastAsia="宋体" w:hint="default"/>
          <w:sz w:val="15"/>
          <w:szCs w:val="15"/>
        </w:rPr>
      </w:pPr>
    </w:p>
    <w:p>
      <w:pPr>
        <w:pStyle w:val="BodyText"/>
        <w:spacing w:line="403" w:lineRule="auto"/>
        <w:ind w:left="154" w:right="208" w:firstLine="420"/>
        <w:jc w:val="both"/>
      </w:pPr>
      <w:r>
        <w:rPr>
          <w:spacing w:val="-1"/>
        </w:rPr>
        <w:t>公司在嵌入式技术和通信技术的多年积累，具备了开发特定行业应用的智能终端和数据采集设备的能</w:t>
      </w:r>
      <w:r>
        <w:rPr/>
        <w:t> 力。目前，基于</w:t>
      </w:r>
      <w:r>
        <w:rPr>
          <w:rFonts w:ascii="Times New Roman" w:hAnsi="Times New Roman" w:cs="Times New Roman" w:eastAsia="Times New Roman" w:hint="default"/>
        </w:rPr>
        <w:t>GPRS </w:t>
      </w:r>
      <w:r>
        <w:rPr/>
        <w:t>和</w:t>
      </w:r>
      <w:r>
        <w:rPr>
          <w:rFonts w:ascii="Times New Roman" w:hAnsi="Times New Roman" w:cs="Times New Roman" w:eastAsia="Times New Roman" w:hint="default"/>
        </w:rPr>
        <w:t>RFID </w:t>
      </w:r>
      <w:r>
        <w:rPr/>
        <w:t>的行业应用智能移动终端已量产并投入应用。平台方面，用于城市道路停</w:t>
      </w:r>
      <w:r>
        <w:rPr>
          <w:spacing w:val="-96"/>
        </w:rPr>
        <w:t> </w:t>
      </w:r>
      <w:r>
        <w:rPr>
          <w:spacing w:val="-96"/>
        </w:rPr>
      </w:r>
      <w:r>
        <w:rPr>
          <w:spacing w:val="-1"/>
        </w:rPr>
        <w:t>车管理和快消品配送的系统平台也已经投入使用。利用我们嵌入式开发的优势，引入物联网技术加以集成</w:t>
      </w:r>
      <w:r>
        <w:rPr>
          <w:spacing w:val="-81"/>
        </w:rPr>
        <w:t> </w:t>
      </w:r>
      <w:r>
        <w:rPr>
          <w:spacing w:val="-81"/>
        </w:rPr>
      </w:r>
      <w:r>
        <w:rPr>
          <w:spacing w:val="-1"/>
        </w:rPr>
        <w:t>和改造，紧跟国家城镇化的浪潮，为智慧城市建设提供具有创新价值的应用，公司必将在该领域获得发展</w:t>
      </w:r>
      <w:r>
        <w:rPr>
          <w:spacing w:val="-83"/>
        </w:rPr>
        <w:t> </w:t>
      </w:r>
      <w:r>
        <w:rPr>
          <w:spacing w:val="-83"/>
        </w:rPr>
      </w:r>
      <w:r>
        <w:rPr/>
        <w:t>的机遇。</w:t>
      </w:r>
    </w:p>
    <w:p>
      <w:pPr>
        <w:spacing w:line="240" w:lineRule="auto" w:before="12"/>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）公司面临的挑战</w:t>
      </w:r>
      <w:r>
        <w:rPr>
          <w:b w:val="0"/>
          <w:bCs w:val="0"/>
        </w:rPr>
      </w:r>
    </w:p>
    <w:p>
      <w:pPr>
        <w:pStyle w:val="BodyText"/>
        <w:spacing w:line="620" w:lineRule="atLeast" w:before="54"/>
        <w:ind w:right="170"/>
        <w:jc w:val="left"/>
      </w:pPr>
      <w:r>
        <w:rPr/>
        <w:t>①同行产品和技术提高带来的挑战 经过多年的努力与积累，公司已成为我国嵌入式系统测试领域和嵌入式信息安全领域内的领先企业，</w:t>
      </w:r>
    </w:p>
    <w:p>
      <w:pPr>
        <w:spacing w:line="240" w:lineRule="auto" w:before="10"/>
        <w:rPr>
          <w:rFonts w:ascii="宋体" w:hAnsi="宋体" w:cs="宋体" w:eastAsia="宋体" w:hint="default"/>
          <w:sz w:val="14"/>
          <w:szCs w:val="14"/>
        </w:rPr>
      </w:pPr>
    </w:p>
    <w:p>
      <w:pPr>
        <w:pStyle w:val="BodyText"/>
        <w:spacing w:line="408" w:lineRule="auto"/>
        <w:ind w:left="154" w:right="209"/>
        <w:jc w:val="both"/>
      </w:pPr>
      <w:r>
        <w:rPr>
          <w:spacing w:val="-1"/>
        </w:rPr>
        <w:t>具有很强的自主创新能力和雄厚的研究开发实力，以及成熟的经营模式和稳定的客户群体，具有较强的竞</w:t>
      </w:r>
      <w:r>
        <w:rPr>
          <w:spacing w:val="-81"/>
        </w:rPr>
        <w:t> </w:t>
      </w:r>
      <w:r>
        <w:rPr>
          <w:spacing w:val="-81"/>
        </w:rPr>
      </w:r>
      <w:r>
        <w:rPr>
          <w:spacing w:val="-1"/>
        </w:rPr>
        <w:t>争优势。但国内嵌入式系统测试和嵌入式信息安全行业的市场竞争正在加剧，新一代嵌入式芯片和操作系</w:t>
      </w:r>
      <w:r>
        <w:rPr>
          <w:spacing w:val="-81"/>
        </w:rPr>
        <w:t> </w:t>
      </w:r>
      <w:r>
        <w:rPr>
          <w:spacing w:val="-81"/>
        </w:rPr>
      </w:r>
      <w:r>
        <w:rPr>
          <w:spacing w:val="-1"/>
        </w:rPr>
        <w:t>统的快速发展，给新进企业占据行业高地创造了很好的环境。公司面临国际国内企业的竞争。如果公司不</w:t>
      </w:r>
      <w:r>
        <w:rPr>
          <w:spacing w:val="-83"/>
        </w:rPr>
        <w:t> </w:t>
      </w:r>
      <w:r>
        <w:rPr>
          <w:spacing w:val="-83"/>
        </w:rPr>
      </w:r>
      <w:r>
        <w:rPr>
          <w:spacing w:val="-1"/>
        </w:rPr>
        <w:t>能正确判断和把握行业的发展趋势，不能根据技术发展、行业标准和客户需求及时进行技术创新和业务模</w:t>
      </w:r>
      <w:r>
        <w:rPr>
          <w:spacing w:val="-81"/>
        </w:rPr>
        <w:t> </w:t>
      </w:r>
      <w:r>
        <w:rPr>
          <w:spacing w:val="-81"/>
        </w:rPr>
      </w:r>
      <w:r>
        <w:rPr/>
        <w:t>式创新，将面临技术被超越、市场被蚕食的威胁。</w:t>
      </w:r>
    </w:p>
    <w:p>
      <w:pPr>
        <w:spacing w:line="240" w:lineRule="auto" w:before="6"/>
        <w:rPr>
          <w:rFonts w:ascii="宋体" w:hAnsi="宋体" w:cs="宋体" w:eastAsia="宋体" w:hint="default"/>
          <w:sz w:val="15"/>
          <w:szCs w:val="15"/>
        </w:rPr>
      </w:pPr>
    </w:p>
    <w:p>
      <w:pPr>
        <w:pStyle w:val="BodyText"/>
        <w:spacing w:line="240" w:lineRule="auto"/>
        <w:ind w:right="101"/>
        <w:jc w:val="left"/>
      </w:pPr>
      <w:r>
        <w:rPr/>
        <w:t>②公司管理能力的挑战</w:t>
      </w:r>
    </w:p>
    <w:p>
      <w:pPr>
        <w:spacing w:line="240" w:lineRule="auto" w:before="9"/>
        <w:rPr>
          <w:rFonts w:ascii="宋体" w:hAnsi="宋体" w:cs="宋体" w:eastAsia="宋体" w:hint="default"/>
          <w:sz w:val="26"/>
          <w:szCs w:val="26"/>
        </w:rPr>
      </w:pPr>
    </w:p>
    <w:p>
      <w:pPr>
        <w:pStyle w:val="BodyText"/>
        <w:spacing w:line="408" w:lineRule="auto"/>
        <w:ind w:left="154" w:right="95" w:firstLine="420"/>
        <w:jc w:val="left"/>
      </w:pPr>
      <w:r>
        <w:rPr>
          <w:spacing w:val="-3"/>
        </w:rPr>
        <w:t>随着公司经营规模的继续扩张，公司人员和部门机构的相应扩大，公司面临进一步完善现有管理体系、</w:t>
      </w:r>
      <w:r>
        <w:rPr/>
        <w:t> 建立规范的内控制度、提高管理能力、保证公司运营顺畅等一系列问题；同时，随着公司子公司增加，对 子公司在人员、财务、经营等方面的管理问题日益凸显，如何在保障各子公司工作积极性的同时，实现有 效的管控，也是摆在我们面前的主要问题。总体来讲，存在管理能力滞后于公司快速扩张、制约公司发展 的挑战。</w:t>
      </w:r>
    </w:p>
    <w:p>
      <w:pPr>
        <w:spacing w:line="240" w:lineRule="auto" w:before="6"/>
        <w:rPr>
          <w:rFonts w:ascii="宋体" w:hAnsi="宋体" w:cs="宋体" w:eastAsia="宋体" w:hint="default"/>
          <w:sz w:val="15"/>
          <w:szCs w:val="15"/>
        </w:rPr>
      </w:pPr>
    </w:p>
    <w:p>
      <w:pPr>
        <w:pStyle w:val="BodyText"/>
        <w:spacing w:line="240" w:lineRule="auto"/>
        <w:ind w:right="101"/>
        <w:jc w:val="left"/>
      </w:pPr>
      <w:r>
        <w:rPr/>
        <w:t>③政策不确定性带来的挑战</w:t>
      </w:r>
    </w:p>
    <w:p>
      <w:pPr>
        <w:spacing w:line="240" w:lineRule="auto" w:before="9"/>
        <w:rPr>
          <w:rFonts w:ascii="宋体" w:hAnsi="宋体" w:cs="宋体" w:eastAsia="宋体" w:hint="default"/>
          <w:sz w:val="26"/>
          <w:szCs w:val="26"/>
        </w:rPr>
      </w:pPr>
    </w:p>
    <w:p>
      <w:pPr>
        <w:pStyle w:val="BodyText"/>
        <w:spacing w:line="408" w:lineRule="auto"/>
        <w:ind w:left="154" w:right="188" w:firstLine="420"/>
        <w:jc w:val="both"/>
      </w:pPr>
      <w:r>
        <w:rPr/>
        <w:t>公司的军工、金融业信息安全和税控产品的主要客户为军方、银行及政府，采购具有调节性的特点， 受政策影响较大。今后几年这几类产品产品的收入、利润占公司营业收入、利润总额的比例还会比较高。 </w:t>
      </w:r>
      <w:r>
        <w:rPr>
          <w:spacing w:val="-1"/>
        </w:rPr>
        <w:t>因此，如何布局合理的产品组合，降低政策和采购量的不确定性带来经营业绩的波动，将会是公司发展一</w:t>
      </w:r>
    </w:p>
    <w:p>
      <w:pPr>
        <w:spacing w:after="0" w:line="408" w:lineRule="auto"/>
        <w:jc w:val="both"/>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240" w:lineRule="auto" w:before="35"/>
        <w:ind w:left="154" w:right="0"/>
        <w:jc w:val="left"/>
      </w:pPr>
      <w:r>
        <w:rPr/>
        <w:t>个持续的挑战。</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、公司未来发展战略</w:t>
      </w:r>
    </w:p>
    <w:p>
      <w:pPr>
        <w:pStyle w:val="BodyText"/>
        <w:spacing w:line="690" w:lineRule="exact" w:before="74"/>
        <w:ind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）公司发展目标</w:t>
      </w:r>
      <w:r>
        <w:rPr>
          <w:rFonts w:ascii="宋体" w:hAnsi="宋体" w:cs="宋体" w:eastAsia="宋体" w:hint="default"/>
          <w:b/>
          <w:bCs/>
          <w:spacing w:val="1"/>
          <w:w w:val="99"/>
        </w:rPr>
        <w:t> </w:t>
      </w:r>
      <w:r>
        <w:rPr>
          <w:spacing w:val="-1"/>
        </w:rPr>
        <w:t>嵌入式技术逐渐向各行各业渗透已经是信息化社会未来发展趋势，公司立足于十多年来积累的嵌入式</w:t>
      </w:r>
    </w:p>
    <w:p>
      <w:pPr>
        <w:pStyle w:val="BodyText"/>
        <w:spacing w:line="240" w:lineRule="auto" w:before="84"/>
        <w:ind w:left="154" w:right="0"/>
        <w:jc w:val="left"/>
      </w:pPr>
      <w:r>
        <w:rPr/>
        <w:t>技术，着重发展嵌入式系统和服务、信息安全产品及物联网行业化应用。</w:t>
      </w:r>
    </w:p>
    <w:p>
      <w:pPr>
        <w:spacing w:line="240" w:lineRule="auto" w:before="9"/>
        <w:rPr>
          <w:rFonts w:ascii="宋体" w:hAnsi="宋体" w:cs="宋体" w:eastAsia="宋体" w:hint="default"/>
          <w:sz w:val="26"/>
          <w:szCs w:val="26"/>
        </w:rPr>
      </w:pPr>
    </w:p>
    <w:p>
      <w:pPr>
        <w:pStyle w:val="BodyText"/>
        <w:spacing w:line="386" w:lineRule="auto"/>
        <w:ind w:left="154" w:right="151" w:firstLine="420"/>
        <w:jc w:val="both"/>
      </w:pPr>
      <w:r>
        <w:rPr/>
        <w:t>公司计划在未来</w:t>
      </w:r>
      <w:r>
        <w:rPr>
          <w:rFonts w:ascii="Times New Roman" w:hAnsi="Times New Roman" w:cs="Times New Roman" w:eastAsia="Times New Roman" w:hint="default"/>
        </w:rPr>
        <w:t>10</w:t>
      </w:r>
      <w:r>
        <w:rPr>
          <w:rFonts w:ascii="Times New Roman" w:hAnsi="Times New Roman" w:cs="Times New Roman" w:eastAsia="Times New Roman" w:hint="default"/>
          <w:spacing w:val="46"/>
        </w:rPr>
        <w:t> </w:t>
      </w:r>
      <w:r>
        <w:rPr/>
        <w:t>年左右时间内，力争发展成为国际知名的创新型军民信息化领域嵌入式产品和服 务提供商。</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）总体发展战略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47" w:firstLine="420"/>
        <w:jc w:val="both"/>
      </w:pPr>
      <w:r>
        <w:rPr>
          <w:spacing w:val="-1"/>
        </w:rPr>
        <w:t>以军民信息化领域的嵌入式产品和服务为产业发展方向，坚持军民品互动发展战略，嵌入式系统和服</w:t>
      </w:r>
      <w:r>
        <w:rPr/>
        <w:t> 务方面重点发展机载/星载电子设备、高速数据总线、嵌入式系统和软件测试、多点协同试验系统产品；</w:t>
      </w:r>
      <w:r>
        <w:rPr>
          <w:spacing w:val="-34"/>
        </w:rPr>
        <w:t> </w:t>
      </w:r>
      <w:r>
        <w:rPr>
          <w:spacing w:val="-34"/>
        </w:rPr>
      </w:r>
      <w:r>
        <w:rPr>
          <w:spacing w:val="-1"/>
        </w:rPr>
        <w:t>嵌入式行业应用重点发展金融业和税控信息安全以及物联网行业解决方案。合理规划市场布局，进一步拓</w:t>
      </w:r>
      <w:r>
        <w:rPr>
          <w:spacing w:val="-81"/>
        </w:rPr>
        <w:t> </w:t>
      </w:r>
      <w:r>
        <w:rPr>
          <w:spacing w:val="-81"/>
        </w:rPr>
      </w:r>
      <w:r>
        <w:rPr>
          <w:spacing w:val="-1"/>
        </w:rPr>
        <w:t>展和完善军品产品结构，积极推进军技民用，逐步扩大核心技术在民用市场的应用，力争发展成为国际知</w:t>
      </w:r>
      <w:r>
        <w:rPr>
          <w:spacing w:val="-83"/>
        </w:rPr>
        <w:t> </w:t>
      </w:r>
      <w:r>
        <w:rPr>
          <w:spacing w:val="-83"/>
        </w:rPr>
      </w:r>
      <w:r>
        <w:rPr/>
        <w:t>名的创新型军民信息化领军企业。</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）公司</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年经营计划及相关举措</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54" w:right="145"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36"/>
        </w:rPr>
        <w:t> </w:t>
      </w:r>
      <w:r>
        <w:rPr/>
        <w:t>年是公司上市后实施战略发展关键之年，公司将紧紧围绕</w:t>
      </w:r>
      <w:r>
        <w:rPr>
          <w:rFonts w:ascii="Times New Roman" w:hAnsi="Times New Roman" w:cs="Times New Roman" w:eastAsia="Times New Roman" w:hint="default"/>
        </w:rPr>
        <w:t>“</w:t>
      </w:r>
      <w:r>
        <w:rPr/>
        <w:t>坚持自主创新，面向国防和民用两大 市场，不断提升产品和技术核心竞争力</w:t>
      </w:r>
      <w:r>
        <w:rPr>
          <w:rFonts w:ascii="Times New Roman" w:hAnsi="Times New Roman" w:cs="Times New Roman" w:eastAsia="Times New Roman" w:hint="default"/>
        </w:rPr>
        <w:t>”</w:t>
      </w:r>
      <w:r>
        <w:rPr/>
        <w:t>的经营理念，始终坚持以领先的技术、优异的质量、完善的服务</w:t>
      </w:r>
      <w:r>
        <w:rPr>
          <w:spacing w:val="-23"/>
        </w:rPr>
        <w:t> </w:t>
      </w:r>
      <w:r>
        <w:rPr>
          <w:spacing w:val="-23"/>
        </w:rPr>
      </w:r>
      <w:r>
        <w:rPr>
          <w:spacing w:val="-1"/>
        </w:rPr>
        <w:t>不断为客户创造更大价值的同时，加快从项目营业模式向市场化、产业化为主经营模式转变的步伐，重点</w:t>
      </w:r>
      <w:r>
        <w:rPr>
          <w:spacing w:val="-83"/>
        </w:rPr>
        <w:t> </w:t>
      </w:r>
      <w:r>
        <w:rPr>
          <w:spacing w:val="-83"/>
        </w:rPr>
      </w:r>
      <w:r>
        <w:rPr/>
        <w:t>发展嵌入式测试</w:t>
      </w:r>
      <w:r>
        <w:rPr>
          <w:rFonts w:ascii="Times New Roman" w:hAnsi="Times New Roman" w:cs="Times New Roman" w:eastAsia="Times New Roman" w:hint="default"/>
        </w:rPr>
        <w:t>/</w:t>
      </w:r>
      <w:r>
        <w:rPr/>
        <w:t>仿真、高速数据总线、政企信息安全和物联网行业应用。公司的发展总目标和任务是</w:t>
      </w:r>
      <w:r>
        <w:rPr>
          <w:rFonts w:ascii="Times New Roman" w:hAnsi="Times New Roman" w:cs="Times New Roman" w:eastAsia="Times New Roman" w:hint="default"/>
        </w:rPr>
        <w:t>:</w:t>
      </w:r>
      <w:r>
        <w:rPr/>
        <w:t>保</w:t>
      </w:r>
      <w:r>
        <w:rPr>
          <w:spacing w:val="-49"/>
        </w:rPr>
        <w:t> </w:t>
      </w:r>
      <w:r>
        <w:rPr>
          <w:spacing w:val="-1"/>
        </w:rPr>
        <w:t>持传统业务稳定增长的同时，在重点领域完成产业化布局和转型，确立以自主核心技术为基础，形成在相</w:t>
      </w:r>
      <w:r>
        <w:rPr>
          <w:spacing w:val="-83"/>
        </w:rPr>
        <w:t> </w:t>
      </w:r>
      <w:r>
        <w:rPr>
          <w:spacing w:val="-83"/>
        </w:rPr>
      </w:r>
      <w:r>
        <w:rPr>
          <w:spacing w:val="-1"/>
        </w:rPr>
        <w:t>关领域的技术、产品、市场、服务等方面的完整经营模式，并使产业化成果转化成为公司收入增长的主要</w:t>
      </w:r>
      <w:r>
        <w:rPr>
          <w:spacing w:val="-82"/>
        </w:rPr>
        <w:t> </w:t>
      </w:r>
      <w:r>
        <w:rPr>
          <w:spacing w:val="-82"/>
        </w:rPr>
      </w:r>
      <w:r>
        <w:rPr/>
        <w:t>源泉，使公司逐步成为有行业影响力、客户值得信赖的一流的企业。</w:t>
      </w:r>
    </w:p>
    <w:p>
      <w:pPr>
        <w:spacing w:line="240" w:lineRule="auto" w:before="1"/>
        <w:rPr>
          <w:rFonts w:ascii="宋体" w:hAnsi="宋体" w:cs="宋体" w:eastAsia="宋体" w:hint="default"/>
          <w:sz w:val="16"/>
          <w:szCs w:val="16"/>
        </w:rPr>
      </w:pPr>
    </w:p>
    <w:p>
      <w:pPr>
        <w:pStyle w:val="BodyText"/>
        <w:spacing w:line="240" w:lineRule="auto"/>
        <w:ind w:right="0"/>
        <w:jc w:val="left"/>
      </w:pPr>
      <w:r>
        <w:rPr/>
        <w:t>为确保实现</w:t>
      </w:r>
      <w:r>
        <w:rPr>
          <w:spacing w:val="-24"/>
        </w:rPr>
        <w:t> </w:t>
      </w:r>
      <w:r>
        <w:rPr>
          <w:rFonts w:ascii="Times New Roman" w:hAnsi="Times New Roman" w:cs="Times New Roman" w:eastAsia="Times New Roman" w:hint="default"/>
        </w:rPr>
        <w:t>2013</w:t>
      </w:r>
      <w:r>
        <w:rPr/>
        <w:t>年经营业绩目标，公司全年工作将围绕以下六个重点方面展开：</w:t>
      </w:r>
    </w:p>
    <w:p>
      <w:pPr>
        <w:spacing w:line="240" w:lineRule="auto" w:before="6"/>
        <w:rPr>
          <w:rFonts w:ascii="宋体" w:hAnsi="宋体" w:cs="宋体" w:eastAsia="宋体" w:hint="default"/>
          <w:sz w:val="25"/>
          <w:szCs w:val="25"/>
        </w:rPr>
      </w:pPr>
    </w:p>
    <w:p>
      <w:pPr>
        <w:spacing w:line="544" w:lineRule="auto" w:before="0"/>
        <w:ind w:left="574" w:right="2922" w:firstLine="84"/>
        <w:jc w:val="left"/>
        <w:rPr>
          <w:rFonts w:ascii="宋体" w:hAnsi="宋体" w:cs="宋体" w:eastAsia="宋体" w:hint="default"/>
          <w:sz w:val="21"/>
          <w:szCs w:val="21"/>
        </w:rPr>
      </w:pPr>
      <w:r>
        <w:rPr>
          <w:rFonts w:ascii="宋体" w:hAnsi="宋体" w:cs="宋体" w:eastAsia="宋体" w:hint="default"/>
          <w:b/>
          <w:bCs/>
          <w:sz w:val="21"/>
          <w:szCs w:val="21"/>
        </w:rPr>
        <w:t>①加大募投产品的开发及推广力度</w:t>
      </w:r>
      <w:r>
        <w:rPr>
          <w:rFonts w:ascii="宋体" w:hAnsi="宋体" w:cs="宋体" w:eastAsia="宋体" w:hint="default"/>
          <w:b/>
          <w:bCs/>
          <w:w w:val="99"/>
          <w:sz w:val="21"/>
          <w:szCs w:val="21"/>
        </w:rPr>
        <w:t> </w:t>
      </w:r>
      <w:r>
        <w:rPr>
          <w:rFonts w:ascii="宋体" w:hAnsi="宋体" w:cs="宋体" w:eastAsia="宋体" w:hint="default"/>
          <w:sz w:val="21"/>
          <w:szCs w:val="21"/>
        </w:rPr>
        <w:t>公司将加大</w:t>
      </w:r>
      <w:r>
        <w:rPr>
          <w:rFonts w:ascii="Times New Roman" w:hAnsi="Times New Roman" w:cs="Times New Roman" w:eastAsia="Times New Roman" w:hint="default"/>
          <w:sz w:val="21"/>
          <w:szCs w:val="21"/>
        </w:rPr>
        <w:t>IPO</w:t>
      </w:r>
      <w:r>
        <w:rPr>
          <w:rFonts w:ascii="宋体" w:hAnsi="宋体" w:cs="宋体" w:eastAsia="宋体" w:hint="default"/>
          <w:sz w:val="21"/>
          <w:szCs w:val="21"/>
        </w:rPr>
        <w:t>募投项目的资源投入，加快募投项目产生效益的进度。</w:t>
      </w:r>
    </w:p>
    <w:p>
      <w:pPr>
        <w:spacing w:after="0" w:line="544" w:lineRule="auto"/>
        <w:jc w:val="left"/>
        <w:rPr>
          <w:rFonts w:ascii="宋体" w:hAnsi="宋体" w:cs="宋体" w:eastAsia="宋体" w:hint="default"/>
          <w:sz w:val="21"/>
          <w:szCs w:val="21"/>
        </w:rPr>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Heading5"/>
        <w:spacing w:line="240" w:lineRule="auto" w:before="35"/>
        <w:ind w:left="576" w:right="101"/>
        <w:jc w:val="left"/>
        <w:rPr>
          <w:b w:val="0"/>
          <w:bCs w:val="0"/>
        </w:rPr>
      </w:pPr>
      <w:r>
        <w:rPr/>
        <w:t>②完善产品开发与市场营销相结合的体系建设</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53" w:right="102" w:firstLine="420"/>
        <w:jc w:val="left"/>
      </w:pPr>
      <w:r>
        <w:rPr/>
        <w:t>进一步面向客户需求，完善产品规划。在各业务领域完善产品体系，</w:t>
      </w:r>
      <w:r>
        <w:rPr>
          <w:spacing w:val="16"/>
        </w:rPr>
        <w:t> </w:t>
      </w:r>
      <w:r>
        <w:rPr/>
        <w:t>增强核心竞争力，以保证业务</w:t>
      </w:r>
      <w:r>
        <w:rPr>
          <w:spacing w:val="2"/>
        </w:rPr>
        <w:t> </w:t>
      </w:r>
      <w:r>
        <w:rPr/>
        <w:t>的持续增长。公司将制定激励科技创新的奖励措施，加大科研开发所需的人力、开发测试设备的投入，加</w:t>
      </w:r>
      <w:r>
        <w:rPr/>
        <w:t> </w:t>
      </w:r>
      <w:r>
        <w:rPr>
          <w:spacing w:val="-3"/>
        </w:rPr>
        <w:t>强与国际嵌入式系统及芯片主流厂商的合作和技术交流，把握主流技术变化趋势，加强与行业系统集成商、</w:t>
      </w:r>
      <w:r>
        <w:rPr>
          <w:spacing w:val="-92"/>
        </w:rPr>
        <w:t> </w:t>
      </w:r>
      <w:r>
        <w:rPr>
          <w:spacing w:val="-92"/>
        </w:rPr>
      </w:r>
      <w:r>
        <w:rPr/>
        <w:t>客户的合作，把握用户的需求变化。</w:t>
      </w:r>
    </w:p>
    <w:p>
      <w:pPr>
        <w:spacing w:line="240" w:lineRule="auto" w:before="6"/>
        <w:rPr>
          <w:rFonts w:ascii="宋体" w:hAnsi="宋体" w:cs="宋体" w:eastAsia="宋体" w:hint="default"/>
          <w:sz w:val="15"/>
          <w:szCs w:val="15"/>
        </w:rPr>
      </w:pPr>
    </w:p>
    <w:p>
      <w:pPr>
        <w:pStyle w:val="BodyText"/>
        <w:spacing w:line="386" w:lineRule="auto"/>
        <w:ind w:left="153" w:right="211" w:firstLine="420"/>
        <w:jc w:val="both"/>
      </w:pPr>
      <w:r>
        <w:rPr/>
        <w:t>公司</w:t>
      </w:r>
      <w:r>
        <w:rPr>
          <w:rFonts w:ascii="Times New Roman" w:hAnsi="Times New Roman" w:cs="Times New Roman" w:eastAsia="Times New Roman" w:hint="default"/>
        </w:rPr>
        <w:t>2013</w:t>
      </w:r>
      <w:r>
        <w:rPr/>
        <w:t>年的技术研发主要集中在以下五个方面：</w:t>
      </w:r>
      <w:r>
        <w:rPr>
          <w:rFonts w:ascii="Times New Roman" w:hAnsi="Times New Roman" w:cs="Times New Roman" w:eastAsia="Times New Roman" w:hint="default"/>
        </w:rPr>
        <w:t>a.</w:t>
      </w:r>
      <w:r>
        <w:rPr/>
        <w:t>新一代航空总线产品的研发；</w:t>
      </w:r>
      <w:r>
        <w:rPr>
          <w:rFonts w:ascii="Times New Roman" w:hAnsi="Times New Roman" w:cs="Times New Roman" w:eastAsia="Times New Roman" w:hint="default"/>
        </w:rPr>
        <w:t>b.</w:t>
      </w:r>
      <w:r>
        <w:rPr/>
        <w:t>行业智能移动终 </w:t>
      </w:r>
      <w:r>
        <w:rPr>
          <w:spacing w:val="-2"/>
        </w:rPr>
        <w:t>端及应用和运营系统的研发；</w:t>
      </w:r>
      <w:r>
        <w:rPr>
          <w:rFonts w:ascii="Times New Roman" w:hAnsi="Times New Roman" w:cs="Times New Roman" w:eastAsia="Times New Roman" w:hint="default"/>
          <w:spacing w:val="-2"/>
        </w:rPr>
        <w:t>c.</w:t>
      </w:r>
      <w:r>
        <w:rPr>
          <w:spacing w:val="-2"/>
        </w:rPr>
        <w:t>网上银行客户端安全产品研发及产业化；</w:t>
      </w:r>
      <w:r>
        <w:rPr>
          <w:rFonts w:ascii="Times New Roman" w:hAnsi="Times New Roman" w:cs="Times New Roman" w:eastAsia="Times New Roman" w:hint="default"/>
          <w:spacing w:val="-2"/>
        </w:rPr>
        <w:t>d.MARS</w:t>
      </w:r>
      <w:r>
        <w:rPr>
          <w:spacing w:val="-2"/>
        </w:rPr>
        <w:t>远程航电中继系统的研制</w:t>
      </w:r>
      <w:r>
        <w:rPr>
          <w:spacing w:val="-91"/>
        </w:rPr>
        <w:t> </w:t>
      </w:r>
      <w:r>
        <w:rPr>
          <w:spacing w:val="-91"/>
        </w:rPr>
      </w:r>
      <w:r>
        <w:rPr/>
        <w:t>及推广；</w:t>
      </w:r>
      <w:r>
        <w:rPr>
          <w:rFonts w:ascii="Times New Roman" w:hAnsi="Times New Roman" w:cs="Times New Roman" w:eastAsia="Times New Roman" w:hint="default"/>
        </w:rPr>
        <w:t>e.</w:t>
      </w:r>
      <w:r>
        <w:rPr/>
        <w:t>新型税控盘产品的研制及推广。</w:t>
      </w:r>
    </w:p>
    <w:p>
      <w:pPr>
        <w:pStyle w:val="BodyText"/>
        <w:spacing w:line="408" w:lineRule="auto" w:before="191"/>
        <w:ind w:left="153" w:right="211" w:firstLine="420"/>
        <w:jc w:val="both"/>
      </w:pPr>
      <w:r>
        <w:rPr>
          <w:spacing w:val="-1"/>
        </w:rPr>
        <w:t>与此同时，通过培养和引进的方式，打造一支高素质高水平的销售团队，加大公司营销力度，创新营</w:t>
      </w:r>
      <w:r>
        <w:rPr/>
        <w:t> 销模式，扩大品牌影响力。</w:t>
      </w:r>
    </w:p>
    <w:p>
      <w:pPr>
        <w:spacing w:line="240" w:lineRule="auto" w:before="6"/>
        <w:rPr>
          <w:rFonts w:ascii="宋体" w:hAnsi="宋体" w:cs="宋体" w:eastAsia="宋体" w:hint="default"/>
          <w:sz w:val="15"/>
          <w:szCs w:val="15"/>
        </w:rPr>
      </w:pPr>
    </w:p>
    <w:p>
      <w:pPr>
        <w:pStyle w:val="Heading5"/>
        <w:spacing w:line="240" w:lineRule="auto"/>
        <w:ind w:left="576" w:right="101"/>
        <w:jc w:val="left"/>
        <w:rPr>
          <w:b w:val="0"/>
          <w:bCs w:val="0"/>
        </w:rPr>
      </w:pPr>
      <w:r>
        <w:rPr/>
        <w:t>③加强内部管理，提升公司管理水平</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53" w:right="211" w:firstLine="420"/>
        <w:jc w:val="both"/>
      </w:pPr>
      <w:r>
        <w:rPr>
          <w:spacing w:val="-1"/>
        </w:rPr>
        <w:t>随着公司业务逐渐扩大，公司在机制建立、战略规划、组织设计、运营管理、资金管理和内部控制等</w:t>
      </w:r>
      <w:r>
        <w:rPr/>
        <w:t> </w:t>
      </w:r>
      <w:r>
        <w:rPr>
          <w:spacing w:val="-1"/>
        </w:rPr>
        <w:t>方面的管理水平将面临挑战。为此，公司将不断创新管理机制，借鉴并推广适合公司发展的管理经验，优</w:t>
      </w:r>
      <w:r>
        <w:rPr>
          <w:spacing w:val="-82"/>
        </w:rPr>
        <w:t> </w:t>
      </w:r>
      <w:r>
        <w:rPr>
          <w:spacing w:val="-82"/>
        </w:rPr>
      </w:r>
      <w:r>
        <w:rPr/>
        <w:t>化调整组织架构，并进一步完善信息化、行政及后勤服务工作，支持公司管理体系的高效运行。</w:t>
      </w:r>
    </w:p>
    <w:p>
      <w:pPr>
        <w:spacing w:line="240" w:lineRule="auto" w:before="6"/>
        <w:rPr>
          <w:rFonts w:ascii="宋体" w:hAnsi="宋体" w:cs="宋体" w:eastAsia="宋体" w:hint="default"/>
          <w:sz w:val="15"/>
          <w:szCs w:val="15"/>
        </w:rPr>
      </w:pPr>
    </w:p>
    <w:p>
      <w:pPr>
        <w:pStyle w:val="Heading5"/>
        <w:spacing w:line="240" w:lineRule="auto"/>
        <w:ind w:left="576" w:right="101"/>
        <w:jc w:val="left"/>
        <w:rPr>
          <w:b w:val="0"/>
          <w:bCs w:val="0"/>
        </w:rPr>
      </w:pPr>
      <w:r>
        <w:rPr/>
        <w:t>④积极实施收购兼并及对外扩张计划，提升公司盈利能力</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53" w:right="210" w:firstLine="420"/>
        <w:jc w:val="both"/>
      </w:pPr>
      <w:r>
        <w:rPr>
          <w:spacing w:val="-1"/>
        </w:rPr>
        <w:t>随着公司实力的增强，公司将根据主业的发展战略，借助资本市场平台，利用公司的技术开发优势和</w:t>
      </w:r>
      <w:r>
        <w:rPr/>
        <w:t> </w:t>
      </w:r>
      <w:r>
        <w:rPr>
          <w:spacing w:val="-1"/>
        </w:rPr>
        <w:t>资源优势，与公司现有产品的上下游进行产业链整合，开拓新的应用市场，增加新的利润增长点，实现公</w:t>
      </w:r>
      <w:r>
        <w:rPr>
          <w:spacing w:val="-82"/>
        </w:rPr>
        <w:t> </w:t>
      </w:r>
      <w:r>
        <w:rPr>
          <w:spacing w:val="-82"/>
        </w:rPr>
      </w:r>
      <w:r>
        <w:rPr/>
        <w:t>司的快速扩张和跨越式发展。</w:t>
      </w:r>
    </w:p>
    <w:p>
      <w:pPr>
        <w:spacing w:line="240" w:lineRule="auto" w:before="6"/>
        <w:rPr>
          <w:rFonts w:ascii="宋体" w:hAnsi="宋体" w:cs="宋体" w:eastAsia="宋体" w:hint="default"/>
          <w:sz w:val="15"/>
          <w:szCs w:val="15"/>
        </w:rPr>
      </w:pPr>
    </w:p>
    <w:p>
      <w:pPr>
        <w:pStyle w:val="Heading5"/>
        <w:spacing w:line="240" w:lineRule="auto"/>
        <w:ind w:left="576" w:right="101"/>
        <w:jc w:val="left"/>
        <w:rPr>
          <w:b w:val="0"/>
          <w:bCs w:val="0"/>
        </w:rPr>
      </w:pPr>
      <w:r>
        <w:rPr/>
        <w:t>⑤大力实施人才强企战略，提升公司整体人员素质</w:t>
      </w:r>
      <w:r>
        <w:rPr>
          <w:b w:val="0"/>
          <w:bCs w:val="0"/>
        </w:rPr>
      </w:r>
    </w:p>
    <w:p>
      <w:pPr>
        <w:spacing w:line="240" w:lineRule="auto" w:before="9"/>
        <w:rPr>
          <w:rFonts w:ascii="宋体" w:hAnsi="宋体" w:cs="宋体" w:eastAsia="宋体" w:hint="default"/>
          <w:b/>
          <w:bCs/>
          <w:sz w:val="26"/>
          <w:szCs w:val="26"/>
        </w:rPr>
      </w:pPr>
    </w:p>
    <w:p>
      <w:pPr>
        <w:pStyle w:val="BodyText"/>
        <w:spacing w:line="400" w:lineRule="auto"/>
        <w:ind w:left="153" w:right="209"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35"/>
        </w:rPr>
        <w:t> </w:t>
      </w:r>
      <w:r>
        <w:rPr>
          <w:spacing w:val="2"/>
        </w:rPr>
        <w:t>年，公司将加大高级和领军型人才的引进力度，吸收一批优秀人才加入，建立优秀人才培养的</w:t>
      </w:r>
      <w:r>
        <w:rPr/>
        <w:t> </w:t>
      </w:r>
      <w:r>
        <w:rPr>
          <w:spacing w:val="-1"/>
        </w:rPr>
        <w:t>长效机制，保证团队的稳定性和梯队建设；大力实施人才强企战略，着力抓好人才引进、培养、激励等关</w:t>
      </w:r>
      <w:r>
        <w:rPr>
          <w:spacing w:val="-83"/>
        </w:rPr>
        <w:t> </w:t>
      </w:r>
      <w:r>
        <w:rPr>
          <w:spacing w:val="-83"/>
        </w:rPr>
      </w:r>
      <w:r>
        <w:rPr>
          <w:spacing w:val="-1"/>
        </w:rPr>
        <w:t>键环节，打造一支具有较强竞争力的高素质、高效率、高凝聚力的管理人才和高技能人才队伍，为公司的</w:t>
      </w:r>
      <w:r>
        <w:rPr>
          <w:spacing w:val="-82"/>
        </w:rPr>
        <w:t> </w:t>
      </w:r>
      <w:r>
        <w:rPr>
          <w:spacing w:val="-82"/>
        </w:rPr>
      </w:r>
      <w:r>
        <w:rPr/>
        <w:t>持续稳定发展提供源源不断的优质人才队伍。</w:t>
      </w:r>
    </w:p>
    <w:p>
      <w:pPr>
        <w:spacing w:line="240" w:lineRule="auto" w:before="12"/>
        <w:rPr>
          <w:rFonts w:ascii="宋体" w:hAnsi="宋体" w:cs="宋体" w:eastAsia="宋体" w:hint="default"/>
          <w:sz w:val="15"/>
          <w:szCs w:val="15"/>
        </w:rPr>
      </w:pPr>
    </w:p>
    <w:p>
      <w:pPr>
        <w:pStyle w:val="Heading5"/>
        <w:spacing w:line="240" w:lineRule="auto"/>
        <w:ind w:left="576" w:right="101"/>
        <w:jc w:val="left"/>
        <w:rPr>
          <w:b w:val="0"/>
          <w:bCs w:val="0"/>
        </w:rPr>
      </w:pPr>
      <w:r>
        <w:rPr/>
        <w:t>⑥深化内控建设，加强公司规范管理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101"/>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6"/>
        </w:rPr>
        <w:t> </w:t>
      </w:r>
      <w:r>
        <w:rPr>
          <w:spacing w:val="2"/>
        </w:rPr>
        <w:t>年，公司将加大高级和领军型人才的引进力度，吸收一批优秀人才加入，建立优秀人才培养的</w:t>
      </w:r>
    </w:p>
    <w:p>
      <w:pPr>
        <w:spacing w:after="0" w:line="240" w:lineRule="auto"/>
        <w:jc w:val="left"/>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408" w:lineRule="auto" w:before="35"/>
        <w:ind w:left="154" w:right="151"/>
        <w:jc w:val="both"/>
      </w:pPr>
      <w:r>
        <w:rPr>
          <w:spacing w:val="-1"/>
        </w:rPr>
        <w:t>长效机制，保证团队的稳定性和梯队建设；大力实施人才强企战略，着力抓好人才引进、培养、激励等关</w:t>
      </w:r>
      <w:r>
        <w:rPr>
          <w:spacing w:val="-83"/>
        </w:rPr>
        <w:t> </w:t>
      </w:r>
      <w:r>
        <w:rPr>
          <w:spacing w:val="-83"/>
        </w:rPr>
      </w:r>
      <w:r>
        <w:rPr>
          <w:spacing w:val="-1"/>
        </w:rPr>
        <w:t>键环节，打造一支具有较强竞争力的高素质、高效率、高凝聚力的管理人才和高技能人才队伍，为公司的</w:t>
      </w:r>
      <w:r>
        <w:rPr>
          <w:spacing w:val="-82"/>
        </w:rPr>
        <w:t> </w:t>
      </w:r>
      <w:r>
        <w:rPr>
          <w:spacing w:val="-82"/>
        </w:rPr>
      </w:r>
      <w:r>
        <w:rPr/>
        <w:t>持续稳定发展提供源源不断的优质人才队伍。</w:t>
      </w:r>
    </w:p>
    <w:p>
      <w:pPr>
        <w:spacing w:line="240" w:lineRule="auto" w:before="1"/>
        <w:rPr>
          <w:rFonts w:ascii="宋体" w:hAnsi="宋体" w:cs="宋体" w:eastAsia="宋体" w:hint="default"/>
          <w:sz w:val="17"/>
          <w:szCs w:val="17"/>
        </w:rPr>
      </w:pPr>
    </w:p>
    <w:p>
      <w:pPr>
        <w:pStyle w:val="Heading2"/>
        <w:spacing w:line="240" w:lineRule="auto"/>
        <w:ind w:right="0"/>
        <w:jc w:val="both"/>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p>
    <w:p>
      <w:pPr>
        <w:spacing w:line="240" w:lineRule="auto" w:before="5"/>
        <w:rPr>
          <w:rFonts w:ascii="黑体" w:hAnsi="黑体" w:cs="黑体" w:eastAsia="黑体" w:hint="default"/>
          <w:sz w:val="28"/>
          <w:szCs w:val="28"/>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both"/>
      </w:pPr>
      <w:r>
        <w:rPr/>
        <w:t>五、董事会关于报告期会计政策、会计估计变更或重要前期差错更正的说明</w:t>
      </w:r>
    </w:p>
    <w:p>
      <w:pPr>
        <w:spacing w:line="240" w:lineRule="auto" w:before="13"/>
        <w:rPr>
          <w:rFonts w:ascii="黑体" w:hAnsi="黑体" w:cs="黑体" w:eastAsia="黑体" w:hint="default"/>
          <w:sz w:val="29"/>
          <w:szCs w:val="29"/>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both"/>
      </w:pPr>
      <w:r>
        <w:rPr/>
        <w:t>六、公司利润分配及分红派息情况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报告期内利润分配政策特别是现金分红政策的制定、执行或调整情况</w:t>
      </w:r>
    </w:p>
    <w:p>
      <w:pPr>
        <w:spacing w:line="240" w:lineRule="auto" w:before="9"/>
        <w:rPr>
          <w:rFonts w:ascii="宋体" w:hAnsi="宋体" w:cs="宋体" w:eastAsia="宋体" w:hint="default"/>
          <w:sz w:val="26"/>
          <w:szCs w:val="26"/>
        </w:rPr>
      </w:pPr>
    </w:p>
    <w:p>
      <w:pPr>
        <w:pStyle w:val="BodyText"/>
        <w:spacing w:line="544" w:lineRule="auto"/>
        <w:ind w:left="657" w:right="5991" w:hanging="84"/>
        <w:jc w:val="left"/>
      </w:pPr>
      <w:r>
        <w:rPr/>
        <w:t>《公司章程》中现金分红条款如下： 第一百五十六条</w:t>
      </w:r>
    </w:p>
    <w:p>
      <w:pPr>
        <w:pStyle w:val="BodyText"/>
        <w:spacing w:line="408" w:lineRule="auto" w:before="82"/>
        <w:ind w:left="153" w:right="151" w:firstLine="420"/>
        <w:jc w:val="both"/>
      </w:pPr>
      <w:r>
        <w:rPr>
          <w:spacing w:val="-1"/>
        </w:rPr>
        <w:t>一、公司实施积极的利润分配政策，重视对投资者的合理投资回报，并保持连续性和稳定性。公司可</w:t>
      </w:r>
      <w:r>
        <w:rPr/>
        <w:t> </w:t>
      </w:r>
      <w:r>
        <w:rPr>
          <w:spacing w:val="-1"/>
        </w:rPr>
        <w:t>以采取现金、股票或两者相结合的方式分配利润，利润分配不得超过累计可分配利润的范围，不得损害公</w:t>
      </w:r>
      <w:r>
        <w:rPr>
          <w:spacing w:val="-83"/>
        </w:rPr>
        <w:t> </w:t>
      </w:r>
      <w:r>
        <w:rPr>
          <w:spacing w:val="-83"/>
        </w:rPr>
      </w:r>
      <w:r>
        <w:rPr>
          <w:spacing w:val="-1"/>
        </w:rPr>
        <w:t>司持续经营能力。公司董事会、监事会和股东大会对利润分配政策的决策和论证过程中应当充分考虑独立</w:t>
      </w:r>
      <w:r>
        <w:rPr>
          <w:spacing w:val="-81"/>
        </w:rPr>
        <w:t> </w:t>
      </w:r>
      <w:r>
        <w:rPr>
          <w:spacing w:val="-81"/>
        </w:rPr>
      </w:r>
      <w:r>
        <w:rPr/>
        <w:t>董事、外部监事和公众投资者的意见。</w:t>
      </w:r>
    </w:p>
    <w:p>
      <w:pPr>
        <w:spacing w:line="240" w:lineRule="auto" w:before="6"/>
        <w:rPr>
          <w:rFonts w:ascii="宋体" w:hAnsi="宋体" w:cs="宋体" w:eastAsia="宋体" w:hint="default"/>
          <w:sz w:val="15"/>
          <w:szCs w:val="15"/>
        </w:rPr>
      </w:pPr>
    </w:p>
    <w:p>
      <w:pPr>
        <w:pStyle w:val="BodyText"/>
        <w:spacing w:line="398" w:lineRule="auto"/>
        <w:ind w:left="153" w:right="111" w:firstLine="504"/>
        <w:jc w:val="left"/>
      </w:pPr>
      <w:r>
        <w:rPr/>
        <w:t>二、如无重大投资计划或重大现金支出发生，公司应当采取现金方式分配股利，以现金方式分配的 利润不少于当年实现的可分配利润的</w:t>
      </w:r>
      <w:r>
        <w:rPr>
          <w:rFonts w:ascii="Times New Roman" w:hAnsi="Times New Roman" w:cs="Times New Roman" w:eastAsia="Times New Roman" w:hint="default"/>
        </w:rPr>
        <w:t>20%</w:t>
      </w:r>
      <w:r>
        <w:rPr/>
        <w:t>。公司在实施上述现金分配股利的同时，可以派发红股。发放股 </w:t>
      </w:r>
      <w:r>
        <w:rPr>
          <w:spacing w:val="-1"/>
        </w:rPr>
        <w:t>票股利的具体条件：公司在经营情况良好，并且董事会认为公司股票价格与公司股本规模不匹配、发放股</w:t>
      </w:r>
      <w:r>
        <w:rPr>
          <w:spacing w:val="-83"/>
        </w:rPr>
        <w:t> </w:t>
      </w:r>
      <w:r>
        <w:rPr>
          <w:spacing w:val="-83"/>
        </w:rPr>
      </w:r>
      <w:r>
        <w:rPr>
          <w:spacing w:val="-1"/>
        </w:rPr>
        <w:t>票股利有利于公司全体股东整体利益时，可以在满足上述现金分红的条件下，提出股票股利分配预案。公</w:t>
      </w:r>
      <w:r>
        <w:rPr>
          <w:spacing w:val="-83"/>
        </w:rPr>
        <w:t> </w:t>
      </w:r>
      <w:r>
        <w:rPr>
          <w:spacing w:val="-83"/>
        </w:rPr>
      </w:r>
      <w:r>
        <w:rPr/>
        <w:t>司重大投资计划或重大现金支出是指以下情形之一：</w:t>
      </w:r>
      <w:r>
        <w:rPr>
          <w:rFonts w:ascii="Times New Roman" w:hAnsi="Times New Roman" w:cs="Times New Roman" w:eastAsia="Times New Roman" w:hint="default"/>
        </w:rPr>
        <w:t>1</w:t>
      </w:r>
      <w:r>
        <w:rPr/>
        <w:t>、公司未来十二个月内拟对外投资、收购资产或购 </w:t>
      </w:r>
      <w:r>
        <w:rPr>
          <w:spacing w:val="-3"/>
        </w:rPr>
        <w:t>买设备累计支出达到或超过公司最近一期经审计净资产的</w:t>
      </w:r>
      <w:r>
        <w:rPr>
          <w:rFonts w:ascii="Times New Roman" w:hAnsi="Times New Roman" w:cs="Times New Roman" w:eastAsia="Times New Roman" w:hint="default"/>
          <w:spacing w:val="-3"/>
        </w:rPr>
        <w:t>50%</w:t>
      </w:r>
      <w:r>
        <w:rPr>
          <w:spacing w:val="-3"/>
        </w:rPr>
        <w:t>；</w:t>
      </w:r>
      <w:r>
        <w:rPr>
          <w:rFonts w:ascii="Times New Roman" w:hAnsi="Times New Roman" w:cs="Times New Roman" w:eastAsia="Times New Roman" w:hint="default"/>
          <w:spacing w:val="-3"/>
        </w:rPr>
        <w:t>2</w:t>
      </w:r>
      <w:r>
        <w:rPr>
          <w:spacing w:val="-3"/>
        </w:rPr>
        <w:t>、公司未来十二个月内拟对外投资、收购</w:t>
      </w:r>
      <w:r>
        <w:rPr>
          <w:spacing w:val="-58"/>
        </w:rPr>
        <w:t> </w:t>
      </w:r>
      <w:r>
        <w:rPr>
          <w:spacing w:val="-58"/>
        </w:rPr>
      </w:r>
      <w:r>
        <w:rPr/>
        <w:t>资产或购买设备累计支出达到或超过公司最近一期经审计总资产的</w:t>
      </w:r>
      <w:r>
        <w:rPr>
          <w:rFonts w:ascii="Times New Roman" w:hAnsi="Times New Roman" w:cs="Times New Roman" w:eastAsia="Times New Roman" w:hint="default"/>
        </w:rPr>
        <w:t>30%</w:t>
      </w:r>
      <w:r>
        <w:rPr/>
        <w:t>。上述重大投资计划或重大现金支 出须经董事会批准，报股东大会审议通过后方可实施。公司因上述规定的特殊情况而不进行现金分红时， </w:t>
      </w:r>
      <w:r>
        <w:rPr>
          <w:spacing w:val="-1"/>
        </w:rPr>
        <w:t>董事会就不进行现金分红的具体原因、公司留存收益的确切用途及预计投资收益等事项进行专项说明，经</w:t>
      </w:r>
      <w:r>
        <w:rPr>
          <w:spacing w:val="-81"/>
        </w:rPr>
        <w:t> </w:t>
      </w:r>
      <w:r>
        <w:rPr>
          <w:spacing w:val="-81"/>
        </w:rPr>
      </w:r>
      <w:r>
        <w:rPr/>
        <w:t>独立董事发表意见后提交股东大会审议，并在公司指定媒体上予以披露。</w:t>
      </w:r>
    </w:p>
    <w:p>
      <w:pPr>
        <w:spacing w:after="0" w:line="398"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240" w:lineRule="auto" w:before="35"/>
        <w:ind w:left="658" w:right="0"/>
        <w:jc w:val="left"/>
      </w:pPr>
      <w:r>
        <w:rPr/>
        <w:t>三、公司董事会可以根据公司的资金需求状况提议公司进行中期现金分配。</w:t>
      </w:r>
    </w:p>
    <w:p>
      <w:pPr>
        <w:spacing w:line="240" w:lineRule="auto" w:before="9"/>
        <w:rPr>
          <w:rFonts w:ascii="宋体" w:hAnsi="宋体" w:cs="宋体" w:eastAsia="宋体" w:hint="default"/>
          <w:sz w:val="26"/>
          <w:szCs w:val="26"/>
        </w:rPr>
      </w:pPr>
    </w:p>
    <w:p>
      <w:pPr>
        <w:pStyle w:val="BodyText"/>
        <w:spacing w:line="408" w:lineRule="auto"/>
        <w:ind w:left="154" w:right="0" w:firstLine="504"/>
        <w:jc w:val="left"/>
      </w:pPr>
      <w:r>
        <w:rPr/>
        <w:t>四、公司将保持股利分配政策的连续性、稳定性，如遇到战争、自然灾害等不可抗力、或者公司外 </w:t>
      </w:r>
      <w:r>
        <w:rPr>
          <w:spacing w:val="-1"/>
        </w:rPr>
        <w:t>部经营环境变化并对公司生产经营造成重大影响，或公司自身经营状况发生较大变化时，公司可对利润分</w:t>
      </w:r>
      <w:r>
        <w:rPr>
          <w:spacing w:val="-81"/>
        </w:rPr>
        <w:t> </w:t>
      </w:r>
      <w:r>
        <w:rPr>
          <w:spacing w:val="-81"/>
        </w:rPr>
      </w:r>
      <w:r>
        <w:rPr>
          <w:spacing w:val="-1"/>
        </w:rPr>
        <w:t>配政策进行调整。公司调整利润分配政策应由董事会做出专题论述，详细论证调整理由，形成书面论证报</w:t>
      </w:r>
      <w:r>
        <w:rPr>
          <w:spacing w:val="-83"/>
        </w:rPr>
        <w:t> </w:t>
      </w:r>
      <w:r>
        <w:rPr>
          <w:spacing w:val="-83"/>
        </w:rPr>
      </w:r>
      <w:r>
        <w:rPr>
          <w:spacing w:val="-1"/>
        </w:rPr>
        <w:t>告并经独立董事审议后提交股东大会特别决议通过。审议利润分配政策变更事项时，公司为股东提供网络</w:t>
      </w:r>
      <w:r>
        <w:rPr>
          <w:spacing w:val="-81"/>
        </w:rPr>
        <w:t> </w:t>
      </w:r>
      <w:r>
        <w:rPr>
          <w:spacing w:val="-81"/>
        </w:rPr>
      </w:r>
      <w:r>
        <w:rPr/>
        <w:t>投票方式。</w:t>
      </w:r>
    </w:p>
    <w:p>
      <w:pPr>
        <w:spacing w:line="240" w:lineRule="auto" w:before="6"/>
        <w:rPr>
          <w:rFonts w:ascii="宋体" w:hAnsi="宋体" w:cs="宋体" w:eastAsia="宋体" w:hint="default"/>
          <w:sz w:val="15"/>
          <w:szCs w:val="15"/>
        </w:rPr>
      </w:pPr>
    </w:p>
    <w:p>
      <w:pPr>
        <w:pStyle w:val="BodyText"/>
        <w:spacing w:line="408" w:lineRule="auto"/>
        <w:ind w:left="154" w:right="0" w:firstLine="504"/>
        <w:jc w:val="left"/>
      </w:pPr>
      <w:r>
        <w:rPr/>
        <w:t>五、公司将根据自身实际情况，并结合股东（特别是公众投资者）、独立董事和外部监事的意见制 </w:t>
      </w:r>
      <w:r>
        <w:rPr>
          <w:spacing w:val="-1"/>
        </w:rPr>
        <w:t>定或调整股东回报计划。但公司保证现行及未来的股东回报计划不得违反以下原则：即如无重大投资计划</w:t>
      </w:r>
      <w:r>
        <w:rPr>
          <w:spacing w:val="-81"/>
        </w:rPr>
        <w:t> </w:t>
      </w:r>
      <w:r>
        <w:rPr>
          <w:spacing w:val="-81"/>
        </w:rPr>
      </w:r>
      <w:r>
        <w:rPr>
          <w:spacing w:val="-1"/>
        </w:rPr>
        <w:t>或重大现金支出发生，公司应当采取现金方式分配股利，以现金方式分配的利润不少于当年实现的可分配</w:t>
      </w:r>
      <w:r>
        <w:rPr>
          <w:spacing w:val="-81"/>
        </w:rPr>
        <w:t> </w:t>
      </w:r>
      <w:r>
        <w:rPr>
          <w:spacing w:val="-81"/>
        </w:rPr>
      </w:r>
      <w:r>
        <w:rPr/>
        <w:t>利润的</w:t>
      </w:r>
      <w:r>
        <w:rPr>
          <w:rFonts w:ascii="Times New Roman" w:hAnsi="Times New Roman" w:cs="Times New Roman" w:eastAsia="Times New Roman" w:hint="default"/>
        </w:rPr>
        <w:t>20%</w:t>
      </w:r>
      <w:r>
        <w:rPr/>
        <w:t>。</w:t>
      </w:r>
    </w:p>
    <w:p>
      <w:pPr>
        <w:pStyle w:val="BodyText"/>
        <w:spacing w:line="386" w:lineRule="auto" w:before="170"/>
        <w:ind w:left="153" w:right="198" w:firstLine="420"/>
        <w:jc w:val="left"/>
      </w:pPr>
      <w:r>
        <w:rPr/>
        <w:t>六、公司股东大会对利润分配方案作出决议后</w:t>
      </w:r>
      <w:r>
        <w:rPr>
          <w:rFonts w:ascii="Times New Roman" w:hAnsi="Times New Roman" w:cs="Times New Roman" w:eastAsia="Times New Roman" w:hint="default"/>
        </w:rPr>
        <w:t>,</w:t>
      </w:r>
      <w:r>
        <w:rPr/>
        <w:t>公司董事会须在股东大会召开后二个月内完成股利</w:t>
      </w:r>
      <w:r>
        <w:rPr>
          <w:rFonts w:ascii="Times New Roman" w:hAnsi="Times New Roman" w:cs="Times New Roman" w:eastAsia="Times New Roman" w:hint="default"/>
        </w:rPr>
        <w:t>(</w:t>
      </w:r>
      <w:r>
        <w:rPr/>
        <w:t>或 股份</w:t>
      </w:r>
      <w:r>
        <w:rPr>
          <w:rFonts w:ascii="Times New Roman" w:hAnsi="Times New Roman" w:cs="Times New Roman" w:eastAsia="Times New Roman" w:hint="default"/>
        </w:rPr>
        <w:t>)</w:t>
      </w:r>
      <w:r>
        <w:rPr/>
        <w:t>的派发事项。</w:t>
      </w:r>
    </w:p>
    <w:p>
      <w:pPr>
        <w:pStyle w:val="BodyText"/>
        <w:spacing w:line="240" w:lineRule="auto" w:before="191"/>
        <w:ind w:left="573" w:right="0"/>
        <w:jc w:val="left"/>
      </w:pPr>
      <w:r>
        <w:rPr/>
        <w:t>公司报告期利润分配预案及资本公积金转增股本预案与公司章程和分红管理办法等的相关规定一致。</w:t>
      </w:r>
    </w:p>
    <w:p>
      <w:pPr>
        <w:spacing w:line="240" w:lineRule="auto" w:before="9"/>
        <w:rPr>
          <w:rFonts w:ascii="宋体" w:hAnsi="宋体" w:cs="宋体" w:eastAsia="宋体" w:hint="default"/>
          <w:sz w:val="26"/>
          <w:szCs w:val="26"/>
        </w:rPr>
      </w:pPr>
    </w:p>
    <w:p>
      <w:pPr>
        <w:pStyle w:val="BodyText"/>
        <w:spacing w:line="530" w:lineRule="auto"/>
        <w:ind w:right="179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 本年度利润分配及资本公积金转增股本预案</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股送红股数（股）</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r>
      <w:tr>
        <w:trPr>
          <w:trHeight w:val="479"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b/>
                <w:bCs/>
                <w:w w:val="99"/>
                <w:sz w:val="18"/>
                <w:szCs w:val="18"/>
              </w:rPr>
              <w:t>每</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pacing w:val="1"/>
                <w:w w:val="99"/>
                <w:sz w:val="18"/>
                <w:szCs w:val="18"/>
              </w:rPr>
              <w:t>股派</w:t>
            </w:r>
            <w:r>
              <w:rPr>
                <w:rFonts w:ascii="宋体" w:hAnsi="宋体" w:cs="宋体" w:eastAsia="宋体" w:hint="default"/>
                <w:b/>
                <w:bCs/>
                <w:w w:val="99"/>
                <w:sz w:val="18"/>
                <w:szCs w:val="18"/>
              </w:rPr>
              <w:t>息数</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元</w:t>
            </w:r>
            <w:r>
              <w:rPr>
                <w:rFonts w:ascii="宋体" w:hAnsi="宋体" w:cs="宋体" w:eastAsia="宋体" w:hint="default"/>
                <w:b/>
                <w:bCs/>
                <w:spacing w:val="-8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含</w:t>
            </w:r>
            <w:r>
              <w:rPr>
                <w:rFonts w:ascii="宋体" w:hAnsi="宋体" w:cs="宋体" w:eastAsia="宋体" w:hint="default"/>
                <w:b/>
                <w:bCs/>
                <w:spacing w:val="1"/>
                <w:w w:val="99"/>
                <w:sz w:val="18"/>
                <w:szCs w:val="18"/>
              </w:rPr>
              <w:t>税）</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w:t>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股转增数（股）</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w:t>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b/>
                <w:bCs/>
                <w:sz w:val="18"/>
                <w:szCs w:val="18"/>
              </w:rPr>
              <w:t>分配预案的股本基数（股）</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79"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b/>
                <w:bCs/>
                <w:spacing w:val="1"/>
                <w:w w:val="99"/>
                <w:sz w:val="18"/>
                <w:szCs w:val="18"/>
              </w:rPr>
              <w:t>现金</w:t>
            </w:r>
            <w:r>
              <w:rPr>
                <w:rFonts w:ascii="宋体" w:hAnsi="宋体" w:cs="宋体" w:eastAsia="宋体" w:hint="default"/>
                <w:b/>
                <w:bCs/>
                <w:w w:val="99"/>
                <w:sz w:val="18"/>
                <w:szCs w:val="18"/>
              </w:rPr>
              <w:t>分</w:t>
            </w:r>
            <w:r>
              <w:rPr>
                <w:rFonts w:ascii="宋体" w:hAnsi="宋体" w:cs="宋体" w:eastAsia="宋体" w:hint="default"/>
                <w:b/>
                <w:bCs/>
                <w:spacing w:val="1"/>
                <w:w w:val="99"/>
                <w:sz w:val="18"/>
                <w:szCs w:val="18"/>
              </w:rPr>
              <w:t>红</w:t>
            </w:r>
            <w:r>
              <w:rPr>
                <w:rFonts w:ascii="宋体" w:hAnsi="宋体" w:cs="宋体" w:eastAsia="宋体" w:hint="default"/>
                <w:b/>
                <w:bCs/>
                <w:w w:val="99"/>
                <w:sz w:val="18"/>
                <w:szCs w:val="18"/>
              </w:rPr>
              <w:t>总额</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元</w:t>
            </w:r>
            <w:r>
              <w:rPr>
                <w:rFonts w:ascii="宋体" w:hAnsi="宋体" w:cs="宋体" w:eastAsia="宋体" w:hint="default"/>
                <w:b/>
                <w:bCs/>
                <w:spacing w:val="-8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含</w:t>
            </w:r>
            <w:r>
              <w:rPr>
                <w:rFonts w:ascii="宋体" w:hAnsi="宋体" w:cs="宋体" w:eastAsia="宋体" w:hint="default"/>
                <w:b/>
                <w:bCs/>
                <w:spacing w:val="1"/>
                <w:w w:val="99"/>
                <w:sz w:val="18"/>
                <w:szCs w:val="18"/>
              </w:rPr>
              <w:t>税）</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b/>
                <w:bCs/>
                <w:sz w:val="18"/>
                <w:szCs w:val="18"/>
              </w:rPr>
              <w:t>可分配利润（元）</w:t>
            </w:r>
            <w:r>
              <w:rPr>
                <w:rFonts w:ascii="宋体" w:hAnsi="宋体" w:cs="宋体" w:eastAsia="宋体" w:hint="default"/>
                <w:sz w:val="18"/>
                <w:szCs w:val="18"/>
              </w:rPr>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103,452,677.13</w:t>
            </w:r>
          </w:p>
        </w:tc>
      </w:tr>
      <w:tr>
        <w:trPr>
          <w:trHeight w:val="478"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050" w:right="0"/>
              <w:jc w:val="left"/>
              <w:rPr>
                <w:rFonts w:ascii="宋体" w:hAnsi="宋体" w:cs="宋体" w:eastAsia="宋体" w:hint="default"/>
                <w:sz w:val="18"/>
                <w:szCs w:val="18"/>
              </w:rPr>
            </w:pPr>
            <w:r>
              <w:rPr>
                <w:rFonts w:ascii="宋体" w:hAnsi="宋体" w:cs="宋体" w:eastAsia="宋体" w:hint="default"/>
                <w:b/>
                <w:bCs/>
                <w:sz w:val="18"/>
                <w:szCs w:val="18"/>
              </w:rPr>
              <w:t>利润分配或资本公积金转增预案的详细情况</w:t>
            </w:r>
            <w:r>
              <w:rPr>
                <w:rFonts w:ascii="宋体" w:hAnsi="宋体" w:cs="宋体" w:eastAsia="宋体" w:hint="default"/>
                <w:sz w:val="18"/>
                <w:szCs w:val="18"/>
              </w:rPr>
            </w:r>
          </w:p>
        </w:tc>
      </w:tr>
      <w:tr>
        <w:trPr>
          <w:trHeight w:val="1087"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日第二届董事会第十五次会议通过的利润分配预案，以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45" w:lineRule="auto" w:before="109"/>
              <w:ind w:left="11" w:right="23"/>
              <w:jc w:val="left"/>
              <w:rPr>
                <w:rFonts w:ascii="宋体" w:hAnsi="宋体" w:cs="宋体" w:eastAsia="宋体" w:hint="default"/>
                <w:sz w:val="18"/>
                <w:szCs w:val="18"/>
              </w:rPr>
            </w:pPr>
            <w:r>
              <w:rPr>
                <w:rFonts w:ascii="宋体" w:hAnsi="宋体" w:cs="宋体" w:eastAsia="宋体" w:hint="default"/>
                <w:spacing w:val="-1"/>
                <w:sz w:val="18"/>
                <w:szCs w:val="18"/>
              </w:rPr>
              <w:t>股为基数，每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元（含税），同时以资本公积金转增股本，向全体股东每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股。该决</w:t>
            </w:r>
            <w:r>
              <w:rPr>
                <w:rFonts w:ascii="宋体" w:hAnsi="宋体" w:cs="宋体" w:eastAsia="宋体" w:hint="default"/>
                <w:sz w:val="18"/>
                <w:szCs w:val="18"/>
              </w:rPr>
              <w:t> 议尚需经股东大会审议通过。</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公司近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after="0" w:line="240"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386" w:lineRule="auto" w:before="35"/>
        <w:ind w:left="154" w:right="0" w:firstLine="420"/>
        <w:jc w:val="left"/>
      </w:pPr>
      <w:r>
        <w:rPr>
          <w:rFonts w:ascii="Times New Roman" w:hAnsi="Times New Roman" w:cs="Times New Roman" w:eastAsia="Times New Roman" w:hint="default"/>
          <w:spacing w:val="-3"/>
        </w:rPr>
        <w:t>2009-2011</w:t>
      </w:r>
      <w:r>
        <w:rPr>
          <w:spacing w:val="-3"/>
        </w:rPr>
        <w:t>年，因公司业务和资产规模处于快速扩张时期，而公司的融资渠道较少，主要是依靠自身内</w:t>
      </w:r>
      <w:r>
        <w:rPr/>
        <w:t> 部积累来满足资金需求，为满足生产经营及后续发展的需要，公司未进行股利分配及公积金转增。</w:t>
      </w:r>
    </w:p>
    <w:p>
      <w:pPr>
        <w:spacing w:line="240" w:lineRule="auto" w:before="12"/>
        <w:rPr>
          <w:rFonts w:ascii="宋体" w:hAnsi="宋体" w:cs="宋体" w:eastAsia="宋体" w:hint="default"/>
          <w:sz w:val="16"/>
          <w:szCs w:val="16"/>
        </w:rPr>
      </w:pPr>
    </w:p>
    <w:p>
      <w:pPr>
        <w:pStyle w:val="BodyText"/>
        <w:spacing w:line="240" w:lineRule="auto"/>
        <w:ind w:right="0"/>
        <w:jc w:val="left"/>
      </w:pPr>
      <w:r>
        <w:rPr/>
        <w:t>公司近三年现金分红情况表</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369"/>
        <w:gridCol w:w="2416"/>
        <w:gridCol w:w="2380"/>
        <w:gridCol w:w="2392"/>
      </w:tblGrid>
      <w:tr>
        <w:trPr>
          <w:trHeight w:val="185"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276" w:right="105" w:hanging="182"/>
              <w:jc w:val="left"/>
              <w:rPr>
                <w:rFonts w:ascii="宋体" w:hAnsi="宋体" w:cs="宋体" w:eastAsia="宋体" w:hint="default"/>
                <w:sz w:val="18"/>
                <w:szCs w:val="18"/>
              </w:rPr>
            </w:pPr>
            <w:r>
              <w:rPr>
                <w:rFonts w:ascii="宋体" w:hAnsi="宋体" w:cs="宋体" w:eastAsia="宋体" w:hint="default"/>
                <w:b/>
                <w:bCs/>
                <w:sz w:val="18"/>
                <w:szCs w:val="18"/>
              </w:rPr>
              <w:t>分红年度合并报表中归属于</w:t>
            </w:r>
            <w:r>
              <w:rPr>
                <w:rFonts w:ascii="宋体" w:hAnsi="宋体" w:cs="宋体" w:eastAsia="宋体" w:hint="default"/>
                <w:b/>
                <w:bCs/>
                <w:w w:val="99"/>
                <w:sz w:val="18"/>
                <w:szCs w:val="18"/>
              </w:rPr>
              <w:t> </w:t>
            </w:r>
            <w:r>
              <w:rPr>
                <w:rFonts w:ascii="宋体" w:hAnsi="宋体" w:cs="宋体" w:eastAsia="宋体" w:hint="default"/>
                <w:b/>
                <w:bCs/>
                <w:sz w:val="18"/>
                <w:szCs w:val="18"/>
              </w:rPr>
              <w:t>上市公司股东的净利润</w:t>
            </w:r>
            <w:r>
              <w:rPr>
                <w:rFonts w:ascii="宋体" w:hAnsi="宋体" w:cs="宋体" w:eastAsia="宋体" w:hint="default"/>
                <w:sz w:val="18"/>
                <w:szCs w:val="18"/>
              </w:rPr>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22" w:right="11" w:firstLine="84"/>
              <w:jc w:val="left"/>
              <w:rPr>
                <w:rFonts w:ascii="宋体" w:hAnsi="宋体" w:cs="宋体" w:eastAsia="宋体" w:hint="default"/>
                <w:sz w:val="18"/>
                <w:szCs w:val="18"/>
              </w:rPr>
            </w:pPr>
            <w:r>
              <w:rPr>
                <w:rFonts w:ascii="宋体" w:hAnsi="宋体" w:cs="宋体" w:eastAsia="宋体" w:hint="default"/>
                <w:b/>
                <w:bCs/>
                <w:sz w:val="18"/>
                <w:szCs w:val="18"/>
              </w:rPr>
              <w:t>占合并报表中归属于上市公</w:t>
            </w:r>
            <w:r>
              <w:rPr>
                <w:rFonts w:ascii="宋体" w:hAnsi="宋体" w:cs="宋体" w:eastAsia="宋体" w:hint="default"/>
                <w:b/>
                <w:bCs/>
                <w:w w:val="99"/>
                <w:sz w:val="18"/>
                <w:szCs w:val="18"/>
              </w:rPr>
              <w:t> </w:t>
            </w:r>
            <w:r>
              <w:rPr>
                <w:rFonts w:ascii="宋体" w:hAnsi="宋体" w:cs="宋体" w:eastAsia="宋体" w:hint="default"/>
                <w:b/>
                <w:bCs/>
                <w:sz w:val="18"/>
                <w:szCs w:val="18"/>
              </w:rPr>
              <w:t>司股东的净利润的比率（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8"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817"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2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300" w:right="0"/>
              <w:jc w:val="left"/>
              <w:rPr>
                <w:rFonts w:ascii="宋体" w:hAnsi="宋体" w:cs="宋体" w:eastAsia="宋体" w:hint="default"/>
                <w:sz w:val="18"/>
                <w:szCs w:val="18"/>
              </w:rPr>
            </w:pPr>
            <w:r>
              <w:rPr>
                <w:rFonts w:ascii="宋体" w:hAnsi="宋体" w:cs="宋体" w:eastAsia="宋体" w:hint="default"/>
                <w:b/>
                <w:bCs/>
                <w:sz w:val="18"/>
                <w:szCs w:val="18"/>
              </w:rPr>
              <w:t>现金分红金额（含税）</w:t>
            </w:r>
            <w:r>
              <w:rPr>
                <w:rFonts w:ascii="宋体" w:hAnsi="宋体" w:cs="宋体" w:eastAsia="宋体" w:hint="default"/>
                <w:sz w:val="18"/>
                <w:szCs w:val="18"/>
              </w:rPr>
            </w:r>
          </w:p>
        </w:tc>
        <w:tc>
          <w:tcPr>
            <w:tcW w:w="2380"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84"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3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31"/>
              <w:jc w:val="right"/>
              <w:rPr>
                <w:rFonts w:ascii="Times New Roman" w:hAnsi="Times New Roman" w:cs="Times New Roman" w:eastAsia="Times New Roman" w:hint="default"/>
                <w:sz w:val="18"/>
                <w:szCs w:val="18"/>
              </w:rPr>
            </w:pPr>
            <w:r>
              <w:rPr>
                <w:rFonts w:ascii="Times New Roman"/>
                <w:spacing w:val="-1"/>
                <w:sz w:val="18"/>
              </w:rPr>
              <w:t>44,800,000.00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46,890,276.01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95.54%</w:t>
            </w:r>
          </w:p>
        </w:tc>
      </w:tr>
      <w:tr>
        <w:trPr>
          <w:trHeight w:val="368"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31"/>
              <w:jc w:val="right"/>
              <w:rPr>
                <w:rFonts w:ascii="Times New Roman" w:hAnsi="Times New Roman" w:cs="Times New Roman" w:eastAsia="Times New Roman" w:hint="default"/>
                <w:sz w:val="18"/>
                <w:szCs w:val="18"/>
              </w:rPr>
            </w:pPr>
            <w:r>
              <w:rPr>
                <w:rFonts w:ascii="Times New Roman"/>
                <w:sz w:val="18"/>
              </w:rPr>
              <w:t>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42,687,674.19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31"/>
              <w:jc w:val="right"/>
              <w:rPr>
                <w:rFonts w:ascii="Times New Roman" w:hAnsi="Times New Roman" w:cs="Times New Roman" w:eastAsia="Times New Roman" w:hint="default"/>
                <w:sz w:val="18"/>
                <w:szCs w:val="18"/>
              </w:rPr>
            </w:pPr>
            <w:r>
              <w:rPr>
                <w:rFonts w:ascii="Times New Roman"/>
                <w:sz w:val="18"/>
              </w:rPr>
              <w:t>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26,852,136.38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公司报告期内盈利且母公司未分配利润为正但未提出现金红利分配预案</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27"/>
          <w:szCs w:val="27"/>
        </w:rPr>
      </w:pPr>
    </w:p>
    <w:p>
      <w:pPr>
        <w:pStyle w:val="Heading2"/>
        <w:spacing w:line="240" w:lineRule="auto"/>
        <w:ind w:right="0"/>
        <w:jc w:val="left"/>
      </w:pPr>
      <w:r>
        <w:rPr/>
        <w:t>七、内幕信息知情人管理制度的建立和执行情况</w:t>
      </w:r>
    </w:p>
    <w:p>
      <w:pPr>
        <w:spacing w:line="240" w:lineRule="auto" w:before="13"/>
        <w:rPr>
          <w:rFonts w:ascii="黑体" w:hAnsi="黑体" w:cs="黑体" w:eastAsia="黑体" w:hint="default"/>
          <w:sz w:val="29"/>
          <w:szCs w:val="29"/>
        </w:rPr>
      </w:pPr>
    </w:p>
    <w:p>
      <w:pPr>
        <w:pStyle w:val="BodyText"/>
        <w:spacing w:line="408" w:lineRule="auto"/>
        <w:ind w:left="154" w:right="128" w:firstLine="420"/>
        <w:jc w:val="both"/>
      </w:pPr>
      <w:r>
        <w:rPr>
          <w:spacing w:val="-1"/>
        </w:rPr>
        <w:t>为了规范公司的内幕信息管理，加强内幕信息保密工作，维护信息披露公平原则，根据《中华人民共</w:t>
      </w:r>
      <w:r>
        <w:rPr/>
        <w:t> </w:t>
      </w:r>
      <w:r>
        <w:rPr>
          <w:spacing w:val="-1"/>
        </w:rPr>
        <w:t>和国公司法》、《中华人民共和国证券法》、《上市公司信息披露管理办法》、《深圳证券交易所创业板</w:t>
      </w:r>
      <w:r>
        <w:rPr>
          <w:spacing w:val="-83"/>
        </w:rPr>
        <w:t> </w:t>
      </w:r>
      <w:r>
        <w:rPr>
          <w:spacing w:val="-83"/>
        </w:rPr>
      </w:r>
      <w:r>
        <w:rPr>
          <w:spacing w:val="-1"/>
        </w:rPr>
        <w:t>股票上市规则》及《上市公司建立内幕信息知情人登记管理制度的规定》、《公司章程》等有关规定，公</w:t>
      </w:r>
      <w:r>
        <w:rPr>
          <w:spacing w:val="-85"/>
        </w:rPr>
        <w:t> </w:t>
      </w:r>
      <w:r>
        <w:rPr>
          <w:spacing w:val="-85"/>
        </w:rPr>
      </w:r>
      <w:r>
        <w:rPr/>
        <w:t>司制定了《内幕信息知情人登记制度》、《重大事项内部报告制度》、《信息披露管理制度》、《董事、 </w:t>
      </w:r>
      <w:r>
        <w:rPr>
          <w:spacing w:val="-1"/>
        </w:rPr>
        <w:t>监事和高级管理人员所持本公司股份及其变动管理制度》及《投资者关系管理制度》等。报告期内，为进</w:t>
      </w:r>
      <w:r>
        <w:rPr>
          <w:spacing w:val="-83"/>
        </w:rPr>
        <w:t> </w:t>
      </w:r>
      <w:r>
        <w:rPr>
          <w:spacing w:val="-83"/>
        </w:rPr>
      </w:r>
      <w:r>
        <w:rPr>
          <w:spacing w:val="-1"/>
        </w:rPr>
        <w:t>一步规范内幕信息管理及登记工作，公司修订了《投资者关系管理制度》、《信息披露管理制度》，并经</w:t>
      </w:r>
      <w:r>
        <w:rPr>
          <w:spacing w:val="-85"/>
        </w:rPr>
        <w:t> </w:t>
      </w:r>
      <w:r>
        <w:rPr>
          <w:spacing w:val="-85"/>
        </w:rPr>
      </w:r>
      <w:r>
        <w:rPr/>
        <w:t>公司第二届董事会第十三次会议审议通过，详细内容见巨潮资讯网（</w:t>
      </w:r>
      <w:r>
        <w:rPr>
          <w:rFonts w:ascii="Times New Roman" w:hAnsi="Times New Roman" w:cs="Times New Roman" w:eastAsia="Times New Roman" w:hint="default"/>
          <w:color w:val="0000FF"/>
        </w:rPr>
      </w:r>
      <w:hyperlink r:id="rId16">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w:t>
      </w:r>
    </w:p>
    <w:p>
      <w:pPr>
        <w:spacing w:line="240" w:lineRule="auto" w:before="4"/>
        <w:rPr>
          <w:rFonts w:ascii="宋体" w:hAnsi="宋体" w:cs="宋体" w:eastAsia="宋体" w:hint="default"/>
          <w:sz w:val="10"/>
          <w:szCs w:val="10"/>
        </w:rPr>
      </w:pPr>
    </w:p>
    <w:p>
      <w:pPr>
        <w:pStyle w:val="BodyText"/>
        <w:spacing w:line="408" w:lineRule="auto" w:before="35"/>
        <w:ind w:left="154" w:right="0" w:firstLine="420"/>
        <w:jc w:val="left"/>
      </w:pPr>
      <w:r>
        <w:rPr>
          <w:spacing w:val="-1"/>
        </w:rPr>
        <w:t>公司严格执行内幕信息保密制度，报告期内，公司证券部及时提示敏感期及内幕信息知情人义务，如</w:t>
      </w:r>
      <w:r>
        <w:rPr/>
        <w:t> 实、完整记录内幕信息知情人名单，并定期向深圳证券交易所和北京证监局报备相关情况。</w:t>
      </w:r>
    </w:p>
    <w:p>
      <w:pPr>
        <w:spacing w:line="240" w:lineRule="auto" w:before="6"/>
        <w:rPr>
          <w:rFonts w:ascii="宋体" w:hAnsi="宋体" w:cs="宋体" w:eastAsia="宋体" w:hint="default"/>
          <w:sz w:val="15"/>
          <w:szCs w:val="15"/>
        </w:rPr>
      </w:pPr>
    </w:p>
    <w:p>
      <w:pPr>
        <w:pStyle w:val="BodyText"/>
        <w:spacing w:line="408" w:lineRule="auto"/>
        <w:ind w:left="153" w:right="0" w:firstLine="420"/>
        <w:jc w:val="left"/>
      </w:pPr>
      <w:r>
        <w:rPr>
          <w:spacing w:val="-1"/>
        </w:rPr>
        <w:t>为确保公平披露信息，公司证券部及时向深圳证券交易所报备投资者调研情况，并在指定网站及时披</w:t>
      </w:r>
      <w:r>
        <w:rPr/>
        <w:t> 露投资者关系活动记录表及调研纪要。定期报告敏感期期间，公司暂停投资者调研及媒体接待等活动。</w:t>
      </w:r>
    </w:p>
    <w:p>
      <w:pPr>
        <w:spacing w:line="240" w:lineRule="auto" w:before="6"/>
        <w:rPr>
          <w:rFonts w:ascii="宋体" w:hAnsi="宋体" w:cs="宋体" w:eastAsia="宋体" w:hint="default"/>
          <w:sz w:val="15"/>
          <w:szCs w:val="15"/>
        </w:rPr>
      </w:pPr>
    </w:p>
    <w:p>
      <w:pPr>
        <w:pStyle w:val="BodyText"/>
        <w:spacing w:line="408" w:lineRule="auto"/>
        <w:ind w:left="154" w:right="0" w:firstLine="420"/>
        <w:jc w:val="left"/>
      </w:pPr>
      <w:r>
        <w:rPr>
          <w:spacing w:val="-1"/>
        </w:rPr>
        <w:t>报告期内，公司董事、监事、高级管理人员及其他内幕信息知情人切实遵守了内部信息知情人管理制</w:t>
      </w:r>
      <w:r>
        <w:rPr/>
        <w:t> 度，没有发生内幕交易行为以及被监管部门查处和要求整改情形。</w:t>
      </w:r>
    </w:p>
    <w:p>
      <w:pPr>
        <w:spacing w:after="0" w:line="408" w:lineRule="auto"/>
        <w:jc w:val="left"/>
        <w:sectPr>
          <w:pgSz w:w="11910" w:h="16840"/>
          <w:pgMar w:header="997" w:footer="1252" w:top="1340" w:bottom="1440" w:left="980" w:right="980"/>
        </w:sectPr>
      </w:pPr>
    </w:p>
    <w:p>
      <w:pPr>
        <w:spacing w:line="240" w:lineRule="auto" w:before="8"/>
        <w:rPr>
          <w:rFonts w:ascii="宋体" w:hAnsi="宋体" w:cs="宋体" w:eastAsia="宋体" w:hint="default"/>
          <w:sz w:val="14"/>
          <w:szCs w:val="14"/>
        </w:rPr>
      </w:pPr>
      <w:r>
        <w:rPr/>
        <w:pict>
          <v:group style="position:absolute;margin-left:478.619995pt;margin-top:314.200012pt;width:77.5pt;height:17.9pt;mso-position-horizontal-relative:page;mso-position-vertical-relative:page;z-index:-728872" coordorigin="9572,6284" coordsize="1550,358">
            <v:shape style="position:absolute;left:9572;top:6284;width:1550;height:358" coordorigin="9572,6284" coordsize="1550,358" path="m9572,6642l11122,6642,11122,6284,9572,6284,9572,6642xe" filled="true" fillcolor="#ffffff" stroked="false">
              <v:path arrowok="t"/>
              <v:fill type="solid"/>
            </v:shape>
            <w10:wrap type="none"/>
          </v:group>
        </w:pict>
      </w:r>
    </w:p>
    <w:p>
      <w:pPr>
        <w:pStyle w:val="Heading2"/>
        <w:spacing w:line="240" w:lineRule="auto" w:before="13"/>
        <w:ind w:left="474" w:right="0"/>
        <w:jc w:val="left"/>
      </w:pPr>
      <w:r>
        <w:rPr/>
        <w:t>八、报告期内接待调研、沟通、采访等活动登记表</w:t>
      </w:r>
    </w:p>
    <w:p>
      <w:pPr>
        <w:spacing w:line="240" w:lineRule="auto" w:before="2"/>
        <w:rPr>
          <w:rFonts w:ascii="黑体" w:hAnsi="黑体" w:cs="黑体" w:eastAsia="黑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1494"/>
        <w:gridCol w:w="1342"/>
        <w:gridCol w:w="1134"/>
        <w:gridCol w:w="1276"/>
        <w:gridCol w:w="3544"/>
        <w:gridCol w:w="1560"/>
      </w:tblGrid>
      <w:tr>
        <w:trPr>
          <w:trHeight w:val="727"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b/>
                <w:bCs/>
                <w:w w:val="95"/>
                <w:sz w:val="18"/>
                <w:szCs w:val="18"/>
              </w:rPr>
              <w:t>接待方式</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322" w:right="50" w:hanging="270"/>
              <w:jc w:val="left"/>
              <w:rPr>
                <w:rFonts w:ascii="宋体" w:hAnsi="宋体" w:cs="宋体" w:eastAsia="宋体" w:hint="default"/>
                <w:sz w:val="18"/>
                <w:szCs w:val="18"/>
              </w:rPr>
            </w:pPr>
            <w:r>
              <w:rPr>
                <w:rFonts w:ascii="宋体" w:hAnsi="宋体" w:cs="宋体" w:eastAsia="宋体" w:hint="default"/>
                <w:b/>
                <w:bCs/>
                <w:sz w:val="18"/>
                <w:szCs w:val="18"/>
              </w:rPr>
              <w:t>谈论的主要内容及</w:t>
            </w:r>
            <w:r>
              <w:rPr>
                <w:rFonts w:ascii="宋体" w:hAnsi="宋体" w:cs="宋体" w:eastAsia="宋体" w:hint="default"/>
                <w:b/>
                <w:bCs/>
                <w:w w:val="99"/>
                <w:sz w:val="18"/>
                <w:szCs w:val="18"/>
              </w:rPr>
              <w:t> </w:t>
            </w:r>
            <w:r>
              <w:rPr>
                <w:rFonts w:ascii="宋体" w:hAnsi="宋体" w:cs="宋体" w:eastAsia="宋体" w:hint="default"/>
                <w:b/>
                <w:bCs/>
                <w:sz w:val="18"/>
                <w:szCs w:val="18"/>
              </w:rPr>
              <w:t>提供的资料</w:t>
            </w:r>
            <w:r>
              <w:rPr>
                <w:rFonts w:ascii="宋体" w:hAnsi="宋体" w:cs="宋体" w:eastAsia="宋体" w:hint="default"/>
                <w:sz w:val="18"/>
                <w:szCs w:val="18"/>
              </w:rPr>
            </w:r>
          </w:p>
        </w:tc>
      </w:tr>
      <w:tr>
        <w:trPr>
          <w:trHeight w:val="72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22" w:right="89"/>
              <w:jc w:val="left"/>
              <w:rPr>
                <w:rFonts w:ascii="宋体" w:hAnsi="宋体" w:cs="宋体" w:eastAsia="宋体" w:hint="default"/>
                <w:sz w:val="18"/>
                <w:szCs w:val="18"/>
              </w:rPr>
            </w:pPr>
            <w:r>
              <w:rPr>
                <w:rFonts w:ascii="宋体" w:hAnsi="宋体" w:cs="宋体" w:eastAsia="宋体" w:hint="default"/>
                <w:sz w:val="18"/>
                <w:szCs w:val="18"/>
              </w:rPr>
              <w:t>西部证券、平安资产管理、海通证券、国金 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36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36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华商基金、融通基金、民生证券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72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22" w:right="89"/>
              <w:jc w:val="left"/>
              <w:rPr>
                <w:rFonts w:ascii="宋体" w:hAnsi="宋体" w:cs="宋体" w:eastAsia="宋体" w:hint="default"/>
                <w:sz w:val="18"/>
                <w:szCs w:val="18"/>
              </w:rPr>
            </w:pPr>
            <w:r>
              <w:rPr>
                <w:rFonts w:ascii="宋体" w:hAnsi="宋体" w:cs="宋体" w:eastAsia="宋体" w:hint="default"/>
                <w:sz w:val="18"/>
                <w:szCs w:val="18"/>
              </w:rPr>
              <w:t>国金证券、东兴证券、中信建投证券、中邮 证券、华商基金、银华基金等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36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国信证券、富国基金、建信基金、华商基金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72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89"/>
              <w:jc w:val="left"/>
              <w:rPr>
                <w:rFonts w:ascii="宋体" w:hAnsi="宋体" w:cs="宋体" w:eastAsia="宋体" w:hint="default"/>
                <w:sz w:val="18"/>
                <w:szCs w:val="18"/>
              </w:rPr>
            </w:pPr>
            <w:r>
              <w:rPr>
                <w:rFonts w:ascii="宋体" w:hAnsi="宋体" w:cs="宋体" w:eastAsia="宋体" w:hint="default"/>
                <w:sz w:val="18"/>
                <w:szCs w:val="18"/>
              </w:rPr>
              <w:t>民生证券、中国中投证券、光大证券、信达 证券、国海证券、齐鲁证券、华创证券等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108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8"/>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22" w:right="89"/>
              <w:jc w:val="both"/>
              <w:rPr>
                <w:rFonts w:ascii="宋体" w:hAnsi="宋体" w:cs="宋体" w:eastAsia="宋体" w:hint="default"/>
                <w:sz w:val="18"/>
                <w:szCs w:val="18"/>
              </w:rPr>
            </w:pPr>
            <w:r>
              <w:rPr>
                <w:rFonts w:ascii="宋体" w:hAnsi="宋体" w:cs="宋体" w:eastAsia="宋体" w:hint="default"/>
                <w:sz w:val="18"/>
                <w:szCs w:val="18"/>
              </w:rPr>
              <w:t>国都证券、银河证券、海通证券、国信证券 中信建投证券、中邮基金、华商基金、银华 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3"/>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72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89"/>
              <w:jc w:val="left"/>
              <w:rPr>
                <w:rFonts w:ascii="宋体" w:hAnsi="宋体" w:cs="宋体" w:eastAsia="宋体" w:hint="default"/>
                <w:sz w:val="18"/>
                <w:szCs w:val="18"/>
              </w:rPr>
            </w:pPr>
            <w:r>
              <w:rPr>
                <w:rFonts w:ascii="宋体" w:hAnsi="宋体" w:cs="宋体" w:eastAsia="宋体" w:hint="default"/>
                <w:sz w:val="18"/>
                <w:szCs w:val="18"/>
              </w:rPr>
              <w:t>长江证券、银河证券、中信建投证券、南方 基金、建信基金、华商基金等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bl>
    <w:p>
      <w:pPr>
        <w:spacing w:after="0" w:line="240" w:lineRule="auto"/>
        <w:jc w:val="left"/>
        <w:rPr>
          <w:rFonts w:ascii="宋体" w:hAnsi="宋体" w:cs="宋体" w:eastAsia="宋体" w:hint="default"/>
          <w:sz w:val="18"/>
          <w:szCs w:val="18"/>
        </w:rPr>
        <w:sectPr>
          <w:pgSz w:w="11910" w:h="16840"/>
          <w:pgMar w:header="997" w:footer="1252" w:top="1340" w:bottom="1440" w:left="660" w:right="660"/>
        </w:sectPr>
      </w:pPr>
    </w:p>
    <w:p>
      <w:pPr>
        <w:spacing w:line="240" w:lineRule="auto" w:before="1"/>
        <w:rPr>
          <w:rFonts w:ascii="黑体" w:hAnsi="黑体" w:cs="黑体" w:eastAsia="黑体" w:hint="default"/>
          <w:sz w:val="13"/>
          <w:szCs w:val="13"/>
        </w:rPr>
      </w:pPr>
    </w:p>
    <w:p>
      <w:pPr>
        <w:pStyle w:val="Heading1"/>
        <w:spacing w:line="240" w:lineRule="auto"/>
        <w:ind w:right="3434"/>
        <w:jc w:val="center"/>
      </w:pPr>
      <w:bookmarkStart w:name="_TOC_250005" w:id="4"/>
      <w:r>
        <w:rPr/>
        <w:t>第五节</w:t>
      </w:r>
      <w:r>
        <w:rPr>
          <w:spacing w:val="-4"/>
        </w:rPr>
        <w:t> </w:t>
      </w:r>
      <w:bookmarkEnd w:id="4"/>
      <w:r>
        <w:rPr/>
        <w:t>重要事项</w:t>
      </w:r>
    </w:p>
    <w:p>
      <w:pPr>
        <w:spacing w:after="0" w:line="240" w:lineRule="auto"/>
        <w:jc w:val="center"/>
        <w:sectPr>
          <w:pgSz w:w="11910" w:h="16840"/>
          <w:pgMar w:header="997" w:footer="1252" w:top="1340" w:bottom="1440" w:left="980" w:right="980"/>
        </w:sectPr>
      </w:pPr>
    </w:p>
    <w:p>
      <w:pPr>
        <w:spacing w:before="17"/>
        <w:ind w:left="97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p>
      <w:pPr>
        <w:spacing w:line="240" w:lineRule="auto" w:before="1"/>
        <w:rPr>
          <w:rFonts w:ascii="Times New Roman" w:hAnsi="Times New Roman" w:cs="Times New Roman" w:eastAsia="Times New Roman" w:hint="default"/>
          <w:sz w:val="13"/>
          <w:szCs w:val="13"/>
        </w:rPr>
      </w:pP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6"/>
          <w:szCs w:val="16"/>
        </w:rPr>
      </w:pPr>
    </w:p>
    <w:p>
      <w:pPr>
        <w:pStyle w:val="Heading2"/>
        <w:spacing w:line="240" w:lineRule="auto" w:before="13"/>
        <w:ind w:left="819" w:right="0"/>
        <w:jc w:val="left"/>
      </w:pPr>
      <w:r>
        <w:rPr/>
        <w:t>一、重大诉讼仲裁事项</w:t>
      </w:r>
    </w:p>
    <w:p>
      <w:pPr>
        <w:spacing w:line="240" w:lineRule="auto" w:before="13"/>
        <w:rPr>
          <w:rFonts w:ascii="黑体" w:hAnsi="黑体" w:cs="黑体" w:eastAsia="黑体" w:hint="default"/>
          <w:sz w:val="29"/>
          <w:szCs w:val="29"/>
        </w:rPr>
      </w:pPr>
    </w:p>
    <w:p>
      <w:pPr>
        <w:pStyle w:val="BodyText"/>
        <w:spacing w:line="240" w:lineRule="auto"/>
        <w:ind w:left="12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135"/>
        <w:gridCol w:w="1315"/>
        <w:gridCol w:w="875"/>
        <w:gridCol w:w="875"/>
        <w:gridCol w:w="1045"/>
        <w:gridCol w:w="1276"/>
        <w:gridCol w:w="2977"/>
        <w:gridCol w:w="1559"/>
        <w:gridCol w:w="1134"/>
        <w:gridCol w:w="1843"/>
        <w:gridCol w:w="1277"/>
      </w:tblGrid>
      <w:tr>
        <w:trPr>
          <w:trHeight w:val="727"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起诉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申请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方</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应诉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被申请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方</w:t>
            </w:r>
            <w:r>
              <w:rPr>
                <w:rFonts w:ascii="宋体" w:hAnsi="宋体" w:cs="宋体" w:eastAsia="宋体" w:hint="default"/>
                <w:sz w:val="18"/>
                <w:szCs w:val="18"/>
              </w:rPr>
            </w:r>
          </w:p>
        </w:tc>
        <w:tc>
          <w:tcPr>
            <w:tcW w:w="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60" w:right="71" w:hanging="90"/>
              <w:jc w:val="left"/>
              <w:rPr>
                <w:rFonts w:ascii="宋体" w:hAnsi="宋体" w:cs="宋体" w:eastAsia="宋体" w:hint="default"/>
                <w:sz w:val="18"/>
                <w:szCs w:val="18"/>
              </w:rPr>
            </w:pPr>
            <w:r>
              <w:rPr>
                <w:rFonts w:ascii="宋体" w:hAnsi="宋体" w:cs="宋体" w:eastAsia="宋体" w:hint="default"/>
                <w:b/>
                <w:bCs/>
                <w:sz w:val="18"/>
                <w:szCs w:val="18"/>
              </w:rPr>
              <w:t>承担连带</w:t>
            </w:r>
            <w:r>
              <w:rPr>
                <w:rFonts w:ascii="宋体" w:hAnsi="宋体" w:cs="宋体" w:eastAsia="宋体" w:hint="default"/>
                <w:b/>
                <w:bCs/>
                <w:w w:val="99"/>
                <w:sz w:val="18"/>
                <w:szCs w:val="18"/>
              </w:rPr>
              <w:t> </w:t>
            </w:r>
            <w:r>
              <w:rPr>
                <w:rFonts w:ascii="宋体" w:hAnsi="宋体" w:cs="宋体" w:eastAsia="宋体" w:hint="default"/>
                <w:b/>
                <w:bCs/>
                <w:sz w:val="18"/>
                <w:szCs w:val="18"/>
              </w:rPr>
              <w:t>责任方</w:t>
            </w:r>
            <w:r>
              <w:rPr>
                <w:rFonts w:ascii="宋体" w:hAnsi="宋体" w:cs="宋体" w:eastAsia="宋体" w:hint="default"/>
                <w:sz w:val="18"/>
                <w:szCs w:val="18"/>
              </w:rPr>
            </w:r>
          </w:p>
        </w:tc>
        <w:tc>
          <w:tcPr>
            <w:tcW w:w="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50" w:right="71" w:hanging="180"/>
              <w:jc w:val="left"/>
              <w:rPr>
                <w:rFonts w:ascii="宋体" w:hAnsi="宋体" w:cs="宋体" w:eastAsia="宋体" w:hint="default"/>
                <w:sz w:val="18"/>
                <w:szCs w:val="18"/>
              </w:rPr>
            </w:pPr>
            <w:r>
              <w:rPr>
                <w:rFonts w:ascii="宋体" w:hAnsi="宋体" w:cs="宋体" w:eastAsia="宋体" w:hint="default"/>
                <w:b/>
                <w:bCs/>
                <w:sz w:val="18"/>
                <w:szCs w:val="18"/>
              </w:rPr>
              <w:t>诉讼仲裁</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55" w:right="94" w:hanging="6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w w:val="99"/>
                <w:sz w:val="18"/>
                <w:szCs w:val="18"/>
              </w:rPr>
              <w:t> </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91" w:right="29" w:hanging="6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涉及</w:t>
            </w:r>
            <w:r>
              <w:rPr>
                <w:rFonts w:ascii="宋体" w:hAnsi="宋体" w:cs="宋体" w:eastAsia="宋体" w:hint="default"/>
                <w:b/>
                <w:bCs/>
                <w:w w:val="99"/>
                <w:sz w:val="18"/>
                <w:szCs w:val="18"/>
              </w:rPr>
              <w:t> </w:t>
            </w:r>
            <w:r>
              <w:rPr>
                <w:rFonts w:ascii="宋体" w:hAnsi="宋体" w:cs="宋体" w:eastAsia="宋体" w:hint="default"/>
                <w:b/>
                <w:bCs/>
                <w:sz w:val="18"/>
                <w:szCs w:val="18"/>
              </w:rPr>
              <w:t>金额（万元）</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81"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进展</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412" w:right="82" w:hanging="332"/>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审理结</w:t>
            </w:r>
            <w:r>
              <w:rPr>
                <w:rFonts w:ascii="宋体" w:hAnsi="宋体" w:cs="宋体" w:eastAsia="宋体" w:hint="default"/>
                <w:b/>
                <w:bCs/>
                <w:w w:val="99"/>
                <w:sz w:val="18"/>
                <w:szCs w:val="18"/>
              </w:rPr>
              <w:t> </w:t>
            </w:r>
            <w:r>
              <w:rPr>
                <w:rFonts w:ascii="宋体" w:hAnsi="宋体" w:cs="宋体" w:eastAsia="宋体" w:hint="default"/>
                <w:b/>
                <w:bCs/>
                <w:sz w:val="18"/>
                <w:szCs w:val="18"/>
              </w:rPr>
              <w:t>果及影响</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10" w:right="48" w:hanging="6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判</w:t>
            </w:r>
            <w:r>
              <w:rPr>
                <w:rFonts w:ascii="宋体" w:hAnsi="宋体" w:cs="宋体" w:eastAsia="宋体" w:hint="default"/>
                <w:b/>
                <w:bCs/>
                <w:w w:val="99"/>
                <w:sz w:val="18"/>
                <w:szCs w:val="18"/>
              </w:rPr>
              <w:t> </w:t>
            </w:r>
            <w:r>
              <w:rPr>
                <w:rFonts w:ascii="宋体" w:hAnsi="宋体" w:cs="宋体" w:eastAsia="宋体" w:hint="default"/>
                <w:b/>
                <w:bCs/>
                <w:sz w:val="18"/>
                <w:szCs w:val="18"/>
              </w:rPr>
              <w:t>决执行情况</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826" w:right="99" w:hanging="723"/>
              <w:jc w:val="left"/>
              <w:rPr>
                <w:rFonts w:ascii="宋体" w:hAnsi="宋体" w:cs="宋体" w:eastAsia="宋体" w:hint="default"/>
                <w:sz w:val="18"/>
                <w:szCs w:val="18"/>
              </w:rPr>
            </w:pPr>
            <w:r>
              <w:rPr>
                <w:rFonts w:ascii="宋体" w:hAnsi="宋体" w:cs="宋体" w:eastAsia="宋体" w:hint="default"/>
                <w:b/>
                <w:bCs/>
                <w:sz w:val="18"/>
                <w:szCs w:val="18"/>
              </w:rPr>
              <w:t>相关临时公告披露日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52" w:right="90" w:hanging="362"/>
              <w:jc w:val="left"/>
              <w:rPr>
                <w:rFonts w:ascii="宋体" w:hAnsi="宋体" w:cs="宋体" w:eastAsia="宋体" w:hint="default"/>
                <w:sz w:val="18"/>
                <w:szCs w:val="18"/>
              </w:rPr>
            </w:pPr>
            <w:r>
              <w:rPr>
                <w:rFonts w:ascii="宋体" w:hAnsi="宋体" w:cs="宋体" w:eastAsia="宋体" w:hint="default"/>
                <w:b/>
                <w:bCs/>
                <w:sz w:val="18"/>
                <w:szCs w:val="18"/>
              </w:rPr>
              <w:t>相关临时公告</w:t>
            </w:r>
            <w:r>
              <w:rPr>
                <w:rFonts w:ascii="宋体" w:hAnsi="宋体" w:cs="宋体" w:eastAsia="宋体" w:hint="default"/>
                <w:b/>
                <w:bCs/>
                <w:w w:val="99"/>
                <w:sz w:val="18"/>
                <w:szCs w:val="18"/>
              </w:rPr>
              <w:t> </w:t>
            </w: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37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64" w:lineRule="auto"/>
              <w:ind w:left="111" w:right="112"/>
              <w:jc w:val="center"/>
              <w:rPr>
                <w:rFonts w:ascii="宋体" w:hAnsi="宋体" w:cs="宋体" w:eastAsia="宋体" w:hint="default"/>
                <w:sz w:val="18"/>
                <w:szCs w:val="18"/>
              </w:rPr>
            </w:pPr>
            <w:r>
              <w:rPr>
                <w:rFonts w:ascii="宋体" w:hAnsi="宋体" w:cs="宋体" w:eastAsia="宋体" w:hint="default"/>
                <w:sz w:val="18"/>
                <w:szCs w:val="18"/>
              </w:rPr>
              <w:t>深圳市朗科 科技股份有 限公司</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64"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北京旋极信息 技术股份有限 公司、中国农业 银行股份有限 公司、中国农业 银行股份有限 公司北海工业 园支行</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民事诉讼</w:t>
            </w: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6,000</w:t>
            </w:r>
          </w:p>
        </w:tc>
        <w:tc>
          <w:tcPr>
            <w:tcW w:w="2977" w:type="dxa"/>
            <w:vMerge w:val="restart"/>
            <w:tcBorders>
              <w:top w:val="single" w:sz="4" w:space="0" w:color="000000"/>
              <w:left w:val="single" w:sz="4" w:space="0" w:color="000000"/>
              <w:right w:val="single" w:sz="4" w:space="0" w:color="000000"/>
            </w:tcBorders>
          </w:tcPr>
          <w:p>
            <w:pPr>
              <w:pStyle w:val="TableParagraph"/>
              <w:spacing w:line="362" w:lineRule="auto" w:before="34"/>
              <w:ind w:left="24"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日上午，本案各方当 事人在广西壮族自治区南宁市中级人 民法院进行了证据交换，原定于同日 下午进行的庭审暂未举行。关于下一 </w:t>
            </w:r>
            <w:r>
              <w:rPr>
                <w:rFonts w:ascii="宋体" w:hAnsi="宋体" w:cs="宋体" w:eastAsia="宋体" w:hint="default"/>
                <w:spacing w:val="-4"/>
                <w:sz w:val="18"/>
                <w:szCs w:val="18"/>
              </w:rPr>
              <w:t>步程序，等待南宁中院的进一步通知</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日，南宁市中级人民法 院根据公司申请，向国家知识产权局 专利复审委员会和北京市第一中级人 民法院调取了证据，用以证明涉案产 品没有落入朗科公司的专利保护范 围。</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60" w:lineRule="atLeast"/>
              <w:ind w:left="54" w:right="53"/>
              <w:jc w:val="center"/>
              <w:rPr>
                <w:rFonts w:ascii="宋体" w:hAnsi="宋体" w:cs="宋体" w:eastAsia="宋体" w:hint="default"/>
                <w:sz w:val="18"/>
                <w:szCs w:val="18"/>
              </w:rPr>
            </w:pPr>
            <w:r>
              <w:rPr>
                <w:rFonts w:ascii="宋体" w:hAnsi="宋体" w:cs="宋体" w:eastAsia="宋体" w:hint="default"/>
                <w:sz w:val="18"/>
                <w:szCs w:val="18"/>
              </w:rPr>
              <w:t>由于本案尚未开庭 审理，案件结果不</w:t>
            </w:r>
          </w:p>
          <w:p>
            <w:pPr>
              <w:pStyle w:val="TableParagraph"/>
              <w:spacing w:line="152"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明。本次诉讼对于</w:t>
            </w:r>
          </w:p>
          <w:p>
            <w:pPr>
              <w:pStyle w:val="TableParagraph"/>
              <w:spacing w:line="364" w:lineRule="auto" w:before="123"/>
              <w:ind w:left="54" w:right="53"/>
              <w:jc w:val="center"/>
              <w:rPr>
                <w:rFonts w:ascii="宋体" w:hAnsi="宋体" w:cs="宋体" w:eastAsia="宋体" w:hint="default"/>
                <w:sz w:val="18"/>
                <w:szCs w:val="18"/>
              </w:rPr>
            </w:pPr>
            <w:r>
              <w:rPr>
                <w:rFonts w:ascii="宋体" w:hAnsi="宋体" w:cs="宋体" w:eastAsia="宋体" w:hint="default"/>
                <w:sz w:val="18"/>
                <w:szCs w:val="18"/>
              </w:rPr>
              <w:t>本公司的生产经营 及利润无重大影 响。</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1135"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2012-002</w:t>
            </w:r>
          </w:p>
        </w:tc>
      </w:tr>
      <w:tr>
        <w:trPr>
          <w:trHeight w:val="368" w:hRule="exact"/>
        </w:trPr>
        <w:tc>
          <w:tcPr>
            <w:tcW w:w="1135"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2012-003</w:t>
            </w:r>
          </w:p>
        </w:tc>
      </w:tr>
      <w:tr>
        <w:trPr>
          <w:trHeight w:val="370" w:hRule="exact"/>
        </w:trPr>
        <w:tc>
          <w:tcPr>
            <w:tcW w:w="1135"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2012-011</w:t>
            </w:r>
          </w:p>
        </w:tc>
      </w:tr>
      <w:tr>
        <w:trPr>
          <w:trHeight w:val="368" w:hRule="exact"/>
        </w:trPr>
        <w:tc>
          <w:tcPr>
            <w:tcW w:w="1135"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2012-019</w:t>
            </w:r>
          </w:p>
        </w:tc>
      </w:tr>
      <w:tr>
        <w:trPr>
          <w:trHeight w:val="2113" w:hRule="exact"/>
        </w:trPr>
        <w:tc>
          <w:tcPr>
            <w:tcW w:w="1135"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2012-025</w:t>
            </w:r>
          </w:p>
        </w:tc>
      </w:tr>
    </w:tbl>
    <w:p>
      <w:pPr>
        <w:spacing w:line="240" w:lineRule="auto" w:before="1"/>
        <w:rPr>
          <w:rFonts w:ascii="宋体" w:hAnsi="宋体" w:cs="宋体" w:eastAsia="宋体" w:hint="default"/>
          <w:sz w:val="14"/>
          <w:szCs w:val="14"/>
        </w:rPr>
      </w:pPr>
    </w:p>
    <w:p>
      <w:pPr>
        <w:pStyle w:val="BodyText"/>
        <w:spacing w:line="240" w:lineRule="auto" w:before="35"/>
        <w:ind w:left="1239" w:right="0"/>
        <w:jc w:val="left"/>
      </w:pPr>
      <w:r>
        <w:rPr/>
        <w:t>发生在编制上一期年度报告之后的涉及公司的重大诉讼、仲裁事项的涉及金额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5"/>
          <w:szCs w:val="25"/>
        </w:rPr>
      </w:pPr>
    </w:p>
    <w:p>
      <w:pPr>
        <w:pStyle w:val="BodyText"/>
        <w:spacing w:line="240" w:lineRule="auto"/>
        <w:ind w:left="1239" w:right="0"/>
        <w:jc w:val="left"/>
      </w:pPr>
      <w:r>
        <w:rPr/>
        <w:t>已编入上一期年度报告，但当时尚未结案的重大诉讼、仲裁事项的涉及金额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5"/>
          <w:szCs w:val="25"/>
        </w:rPr>
      </w:pPr>
    </w:p>
    <w:p>
      <w:pPr>
        <w:pStyle w:val="BodyText"/>
        <w:spacing w:line="240" w:lineRule="auto"/>
        <w:ind w:left="1239" w:right="0"/>
        <w:jc w:val="left"/>
      </w:pPr>
      <w:r>
        <w:rPr/>
        <w:t>因诉讼仲裁计提的预计负债</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73"/>
        <w:ind w:left="7884" w:right="7406"/>
        <w:jc w:val="center"/>
        <w:rPr>
          <w:rFonts w:ascii="Times New Roman" w:hAnsi="Times New Roman" w:cs="Times New Roman" w:eastAsia="Times New Roman" w:hint="default"/>
        </w:rPr>
      </w:pPr>
      <w:r>
        <w:rPr>
          <w:rFonts w:ascii="Times New Roman"/>
        </w:rPr>
        <w:t>48</w:t>
      </w:r>
    </w:p>
    <w:p>
      <w:pPr>
        <w:spacing w:after="0" w:line="240" w:lineRule="auto"/>
        <w:jc w:val="center"/>
        <w:rPr>
          <w:rFonts w:ascii="Times New Roman" w:hAnsi="Times New Roman" w:cs="Times New Roman" w:eastAsia="Times New Roman" w:hint="default"/>
        </w:rPr>
        <w:sectPr>
          <w:headerReference w:type="default" r:id="rId20"/>
          <w:footerReference w:type="default" r:id="rId21"/>
          <w:pgSz w:w="16840" w:h="11910" w:orient="landscape"/>
          <w:pgMar w:header="0" w:footer="0" w:top="920" w:bottom="280" w:left="620" w:right="680"/>
        </w:sectPr>
      </w:pPr>
    </w:p>
    <w:p>
      <w:pPr>
        <w:spacing w:line="240" w:lineRule="auto" w:before="10"/>
        <w:rPr>
          <w:rFonts w:ascii="Times New Roman" w:hAnsi="Times New Roman" w:cs="Times New Roman" w:eastAsia="Times New Roman" w:hint="default"/>
          <w:sz w:val="12"/>
          <w:szCs w:val="12"/>
        </w:rPr>
      </w:pPr>
    </w:p>
    <w:p>
      <w:pPr>
        <w:pStyle w:val="Heading5"/>
        <w:spacing w:line="240" w:lineRule="auto" w:before="35"/>
        <w:ind w:left="576" w:right="101"/>
        <w:jc w:val="left"/>
        <w:rPr>
          <w:b w:val="0"/>
          <w:bCs w:val="0"/>
        </w:rPr>
      </w:pPr>
      <w:r>
        <w:rPr/>
        <w:t>重大诉讼仲裁事项的详细说明</w:t>
      </w:r>
      <w:r>
        <w:rPr>
          <w:b w:val="0"/>
          <w:bCs w:val="0"/>
        </w:rPr>
      </w:r>
    </w:p>
    <w:p>
      <w:pPr>
        <w:spacing w:line="240" w:lineRule="auto" w:before="9"/>
        <w:rPr>
          <w:rFonts w:ascii="宋体" w:hAnsi="宋体" w:cs="宋体" w:eastAsia="宋体" w:hint="default"/>
          <w:b/>
          <w:bCs/>
          <w:sz w:val="26"/>
          <w:szCs w:val="26"/>
        </w:rPr>
      </w:pPr>
    </w:p>
    <w:p>
      <w:pPr>
        <w:pStyle w:val="BodyText"/>
        <w:spacing w:line="388" w:lineRule="auto"/>
        <w:ind w:left="153" w:right="199" w:firstLine="420"/>
        <w:jc w:val="both"/>
      </w:pPr>
      <w:r>
        <w:rPr>
          <w:spacing w:val="-3"/>
        </w:rPr>
        <w:t>深圳市朗科科技股份有限公司（以下简称</w:t>
      </w:r>
      <w:r>
        <w:rPr>
          <w:rFonts w:ascii="Times New Roman" w:hAnsi="Times New Roman" w:cs="Times New Roman" w:eastAsia="Times New Roman" w:hint="default"/>
          <w:spacing w:val="-3"/>
        </w:rPr>
        <w:t>“</w:t>
      </w:r>
      <w:r>
        <w:rPr>
          <w:spacing w:val="-3"/>
        </w:rPr>
        <w:t>朗科科技</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日向广西壮族自治区南宁市中级</w:t>
      </w:r>
      <w:r>
        <w:rPr/>
        <w:t> </w:t>
      </w:r>
      <w:r>
        <w:rPr>
          <w:spacing w:val="-1"/>
        </w:rPr>
        <w:t>人民法院递交《民事起诉状》，起诉北京旋极信息技术股份有限公司、中国农业银行股份有限公司、中国</w:t>
      </w:r>
      <w:r>
        <w:rPr>
          <w:spacing w:val="-83"/>
        </w:rPr>
        <w:t> </w:t>
      </w:r>
      <w:r>
        <w:rPr>
          <w:spacing w:val="-83"/>
        </w:rPr>
      </w:r>
      <w:r>
        <w:rPr/>
        <w:t>农业银行股份有限公司北海工业园支行侵犯公司发明专利权（专利名称为</w:t>
      </w:r>
      <w:r>
        <w:rPr>
          <w:rFonts w:ascii="Times New Roman" w:hAnsi="Times New Roman" w:cs="Times New Roman" w:eastAsia="Times New Roman" w:hint="default"/>
        </w:rPr>
        <w:t>“</w:t>
      </w:r>
      <w:r>
        <w:rPr/>
        <w:t>用于数据处理系统的快闪电子</w:t>
      </w:r>
      <w:r>
        <w:rPr>
          <w:spacing w:val="-23"/>
        </w:rPr>
        <w:t> </w:t>
      </w:r>
      <w:r>
        <w:rPr>
          <w:spacing w:val="-23"/>
        </w:rPr>
      </w:r>
      <w:r>
        <w:rPr/>
        <w:t>式外存储方法及其装置</w:t>
      </w:r>
      <w:r>
        <w:rPr>
          <w:rFonts w:ascii="Times New Roman" w:hAnsi="Times New Roman" w:cs="Times New Roman" w:eastAsia="Times New Roman" w:hint="default"/>
        </w:rPr>
        <w:t>”</w:t>
      </w:r>
      <w:r>
        <w:rPr/>
        <w:t>，专利号：</w:t>
      </w:r>
      <w:r>
        <w:rPr>
          <w:rFonts w:ascii="Times New Roman" w:hAnsi="Times New Roman" w:cs="Times New Roman" w:eastAsia="Times New Roman" w:hint="default"/>
        </w:rPr>
        <w:t>99117225.6</w:t>
      </w:r>
      <w:r>
        <w:rPr/>
        <w:t>）。南宁市中级人民法院于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日受理了本案。其</w:t>
      </w:r>
      <w:r>
        <w:rPr>
          <w:spacing w:val="-80"/>
        </w:rPr>
        <w:t> </w:t>
      </w:r>
      <w:r>
        <w:rPr>
          <w:spacing w:val="-80"/>
        </w:rPr>
      </w:r>
      <w:r>
        <w:rPr>
          <w:spacing w:val="-3"/>
        </w:rPr>
        <w:t>诉讼请求如下：</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w:t>
      </w:r>
      <w:r>
        <w:rPr>
          <w:spacing w:val="-3"/>
        </w:rPr>
        <w:t>）判令三被告立即停止侵犯公司名称为</w:t>
      </w:r>
      <w:r>
        <w:rPr>
          <w:rFonts w:ascii="Times New Roman" w:hAnsi="Times New Roman" w:cs="Times New Roman" w:eastAsia="Times New Roman" w:hint="default"/>
          <w:spacing w:val="-3"/>
        </w:rPr>
        <w:t>“</w:t>
      </w:r>
      <w:r>
        <w:rPr>
          <w:spacing w:val="-3"/>
        </w:rPr>
        <w:t>用于数据处理系统的快闪电子式外存储方法及</w:t>
      </w:r>
      <w:r>
        <w:rPr>
          <w:spacing w:val="-66"/>
        </w:rPr>
        <w:t> </w:t>
      </w:r>
      <w:r>
        <w:rPr>
          <w:spacing w:val="9"/>
        </w:rPr>
        <w:t>其装置</w:t>
      </w:r>
      <w:r>
        <w:rPr>
          <w:rFonts w:ascii="Times New Roman" w:hAnsi="Times New Roman" w:cs="Times New Roman" w:eastAsia="Times New Roman" w:hint="default"/>
          <w:spacing w:val="9"/>
        </w:rPr>
        <w:t>”</w:t>
      </w:r>
      <w:r>
        <w:rPr>
          <w:spacing w:val="9"/>
        </w:rPr>
        <w:t>专利号：</w:t>
      </w:r>
      <w:r>
        <w:rPr>
          <w:rFonts w:ascii="Times New Roman" w:hAnsi="Times New Roman" w:cs="Times New Roman" w:eastAsia="Times New Roman" w:hint="default"/>
          <w:spacing w:val="9"/>
        </w:rPr>
        <w:t>99117225.6</w:t>
      </w:r>
      <w:r>
        <w:rPr>
          <w:spacing w:val="9"/>
        </w:rPr>
        <w:t>）发明专利权的行为；（</w:t>
      </w:r>
      <w:r>
        <w:rPr>
          <w:rFonts w:ascii="Times New Roman" w:hAnsi="Times New Roman" w:cs="Times New Roman" w:eastAsia="Times New Roman" w:hint="default"/>
          <w:spacing w:val="9"/>
        </w:rPr>
        <w:t>2</w:t>
      </w:r>
      <w:r>
        <w:rPr>
          <w:spacing w:val="9"/>
        </w:rPr>
        <w:t>）判令被告一立即停止制造、销售和许诺销售</w:t>
      </w:r>
      <w:r>
        <w:rPr>
          <w:spacing w:val="-101"/>
        </w:rPr>
        <w:t> </w:t>
      </w:r>
      <w:r>
        <w:rPr>
          <w:spacing w:val="-101"/>
        </w:rPr>
      </w:r>
      <w:r>
        <w:rPr>
          <w:rFonts w:ascii="Times New Roman" w:hAnsi="Times New Roman" w:cs="Times New Roman" w:eastAsia="Times New Roman" w:hint="default"/>
        </w:rPr>
        <w:t>ComyiKEY220</w:t>
      </w:r>
      <w:r>
        <w:rPr/>
        <w:t>产品；（</w:t>
      </w:r>
      <w:r>
        <w:rPr>
          <w:rFonts w:ascii="Times New Roman" w:hAnsi="Times New Roman" w:cs="Times New Roman" w:eastAsia="Times New Roman" w:hint="default"/>
        </w:rPr>
        <w:t>3</w:t>
      </w:r>
      <w:r>
        <w:rPr/>
        <w:t>）判令被告二和被告三立即停止销售和许诺销售</w:t>
      </w:r>
      <w:r>
        <w:rPr>
          <w:rFonts w:ascii="Times New Roman" w:hAnsi="Times New Roman" w:cs="Times New Roman" w:eastAsia="Times New Roman" w:hint="default"/>
        </w:rPr>
        <w:t>ComyiKEY220</w:t>
      </w:r>
      <w:r>
        <w:rPr/>
        <w:t>产品；（</w:t>
      </w:r>
      <w:r>
        <w:rPr>
          <w:rFonts w:ascii="Times New Roman" w:hAnsi="Times New Roman" w:cs="Times New Roman" w:eastAsia="Times New Roman" w:hint="default"/>
        </w:rPr>
        <w:t>4</w:t>
      </w:r>
      <w:r>
        <w:rPr/>
        <w:t>）判令</w:t>
      </w:r>
      <w:r>
        <w:rPr>
          <w:spacing w:val="-54"/>
        </w:rPr>
        <w:t> </w:t>
      </w:r>
      <w:r>
        <w:rPr>
          <w:spacing w:val="-54"/>
        </w:rPr>
      </w:r>
      <w:r>
        <w:rPr/>
        <w:t>三被告共同赔偿公司经济损失共计人民币</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5</w:t>
      </w:r>
      <w:r>
        <w:rPr/>
        <w:t>）本案的诉讼费用由三被告共同承担</w:t>
      </w:r>
      <w:r>
        <w:rPr>
          <w:rFonts w:ascii="Times New Roman" w:hAnsi="Times New Roman" w:cs="Times New Roman" w:eastAsia="Times New Roman" w:hint="default"/>
        </w:rPr>
        <w:t>”</w:t>
      </w:r>
      <w:r>
        <w:rPr/>
        <w:t>。</w:t>
      </w:r>
    </w:p>
    <w:p>
      <w:pPr>
        <w:pStyle w:val="BodyText"/>
        <w:spacing w:line="403" w:lineRule="auto" w:before="189"/>
        <w:ind w:left="153" w:right="210" w:firstLine="420"/>
        <w:jc w:val="both"/>
      </w:pPr>
      <w:r>
        <w:rPr/>
        <w:t>朗科科技提起该诉讼是在公司首次公开发行股票并在创业板上市路演询价之际，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 </w:t>
      </w:r>
      <w:r>
        <w:rPr>
          <w:spacing w:val="-1"/>
        </w:rPr>
        <w:t>司发布公告：鉴于朗科科技的上述诉讼可能对公司的初步询价工作及询价结果产生的不确定影响，为维护</w:t>
      </w:r>
      <w:r>
        <w:rPr>
          <w:spacing w:val="-81"/>
        </w:rPr>
        <w:t> </w:t>
      </w:r>
      <w:r>
        <w:rPr>
          <w:spacing w:val="-81"/>
        </w:rPr>
      </w:r>
      <w:r>
        <w:rPr>
          <w:spacing w:val="-1"/>
        </w:rPr>
        <w:t>公司及广大投资者的合法权益，经公司和保荐人（主承销商）协商决定旋极信息初步询价截止时间顺延一</w:t>
      </w:r>
      <w:r>
        <w:rPr>
          <w:spacing w:val="-83"/>
        </w:rPr>
        <w:t> </w:t>
      </w:r>
      <w:r>
        <w:rPr>
          <w:spacing w:val="-83"/>
        </w:rPr>
      </w:r>
      <w:r>
        <w:rPr>
          <w:spacing w:val="-1"/>
        </w:rPr>
        <w:t>周。同日，本公司收到广西壮族自治区南宁市中级人民法院送达的关于朗科科技起诉本公司侵权案件的应</w:t>
      </w:r>
      <w:r>
        <w:rPr>
          <w:spacing w:val="-81"/>
        </w:rPr>
        <w:t> </w:t>
      </w:r>
      <w:r>
        <w:rPr>
          <w:spacing w:val="-81"/>
        </w:rPr>
      </w:r>
      <w:r>
        <w:rPr/>
        <w:t>诉通知书。</w:t>
      </w:r>
    </w:p>
    <w:p>
      <w:pPr>
        <w:spacing w:line="240" w:lineRule="auto" w:before="10"/>
        <w:rPr>
          <w:rFonts w:ascii="宋体" w:hAnsi="宋体" w:cs="宋体" w:eastAsia="宋体" w:hint="default"/>
          <w:sz w:val="15"/>
          <w:szCs w:val="15"/>
        </w:rPr>
      </w:pPr>
    </w:p>
    <w:p>
      <w:pPr>
        <w:pStyle w:val="BodyText"/>
        <w:spacing w:line="388" w:lineRule="auto"/>
        <w:ind w:left="153" w:right="102" w:firstLine="420"/>
        <w:jc w:val="left"/>
      </w:pPr>
      <w:r>
        <w:rPr/>
        <w:t>平安证券、北京市大成律师事务所（以下简称</w:t>
      </w:r>
      <w:r>
        <w:rPr>
          <w:rFonts w:ascii="Times New Roman" w:hAnsi="Times New Roman" w:cs="Times New Roman" w:eastAsia="Times New Roman" w:hint="default"/>
        </w:rPr>
        <w:t>“</w:t>
      </w:r>
      <w:r>
        <w:rPr/>
        <w:t>大成</w:t>
      </w:r>
      <w:r>
        <w:rPr>
          <w:rFonts w:ascii="Times New Roman" w:hAnsi="Times New Roman" w:cs="Times New Roman" w:eastAsia="Times New Roman" w:hint="default"/>
        </w:rPr>
        <w:t>”</w:t>
      </w:r>
      <w:r>
        <w:rPr/>
        <w:t>）对本次侵权诉讼涉及的资料进行了核查，平安 </w:t>
      </w:r>
      <w:r>
        <w:rPr>
          <w:spacing w:val="-2"/>
        </w:rPr>
        <w:t>证券、大成经核查认为，本公司的</w:t>
      </w:r>
      <w:r>
        <w:rPr>
          <w:rFonts w:ascii="Times New Roman" w:hAnsi="Times New Roman" w:cs="Times New Roman" w:eastAsia="Times New Roman" w:hint="default"/>
          <w:spacing w:val="-2"/>
        </w:rPr>
        <w:t>ComyiKEY220</w:t>
      </w:r>
      <w:r>
        <w:rPr>
          <w:spacing w:val="-2"/>
        </w:rPr>
        <w:t>产品与朗科科技涉诉专利的权利要求存在显著差异，未落</w:t>
      </w:r>
      <w:r>
        <w:rPr>
          <w:spacing w:val="-90"/>
        </w:rPr>
        <w:t> </w:t>
      </w:r>
      <w:r>
        <w:rPr>
          <w:spacing w:val="-90"/>
        </w:rPr>
      </w:r>
      <w:r>
        <w:rPr>
          <w:spacing w:val="-3"/>
        </w:rPr>
        <w:t>入朗科科技所主张的涉诉专利的权利要求的保护范围，从而不构成对朗科科技涉诉专利的侵权。平安证券、</w:t>
      </w:r>
      <w:r>
        <w:rPr>
          <w:spacing w:val="-92"/>
        </w:rPr>
        <w:t> </w:t>
      </w:r>
      <w:r>
        <w:rPr>
          <w:spacing w:val="-92"/>
        </w:rPr>
      </w:r>
      <w:r>
        <w:rPr/>
        <w:t>大成经核查认为，本公司对</w:t>
      </w:r>
      <w:r>
        <w:rPr>
          <w:rFonts w:ascii="Times New Roman" w:hAnsi="Times New Roman" w:cs="Times New Roman" w:eastAsia="Times New Roman" w:hint="default"/>
        </w:rPr>
        <w:t>ComyiKey220</w:t>
      </w:r>
      <w:r>
        <w:rPr/>
        <w:t>产品拥有其全部知识产权，公司对</w:t>
      </w:r>
      <w:r>
        <w:rPr>
          <w:rFonts w:ascii="Times New Roman" w:hAnsi="Times New Roman" w:cs="Times New Roman" w:eastAsia="Times New Roman" w:hint="default"/>
        </w:rPr>
        <w:t>ComyiKey220</w:t>
      </w:r>
      <w:r>
        <w:rPr/>
        <w:t>产品研发思路清</w:t>
      </w:r>
      <w:r>
        <w:rPr>
          <w:spacing w:val="-92"/>
        </w:rPr>
        <w:t> </w:t>
      </w:r>
      <w:r>
        <w:rPr>
          <w:spacing w:val="-92"/>
        </w:rPr>
      </w:r>
      <w:r>
        <w:rPr/>
        <w:t>晰、形成产品的研发过程和时间流程完整、明确，并拥有相关的软件著作权（</w:t>
      </w:r>
      <w:r>
        <w:rPr>
          <w:rFonts w:ascii="Times New Roman" w:hAnsi="Times New Roman" w:cs="Times New Roman" w:eastAsia="Times New Roman" w:hint="default"/>
        </w:rPr>
        <w:t>ComyiKEY</w:t>
      </w:r>
      <w:r>
        <w:rPr/>
        <w:t>软件</w:t>
      </w:r>
      <w:r>
        <w:rPr>
          <w:spacing w:val="-37"/>
        </w:rPr>
        <w:t> </w:t>
      </w:r>
      <w:r>
        <w:rPr>
          <w:rFonts w:ascii="Times New Roman" w:hAnsi="Times New Roman" w:cs="Times New Roman" w:eastAsia="Times New Roman" w:hint="default"/>
          <w:spacing w:val="-3"/>
        </w:rPr>
        <w:t>V1.0</w:t>
      </w:r>
      <w:r>
        <w:rPr>
          <w:spacing w:val="-3"/>
        </w:rPr>
        <w:t>），是</w:t>
      </w:r>
      <w:r>
        <w:rPr/>
        <w:t> </w:t>
      </w:r>
      <w:r>
        <w:rPr>
          <w:spacing w:val="17"/>
        </w:rPr>
        <w:t>公司独立研发的结果。</w:t>
      </w:r>
      <w:r>
        <w:rPr>
          <w:spacing w:val="-84"/>
        </w:rPr>
        <w:t> </w:t>
      </w:r>
      <w:r>
        <w:rPr>
          <w:spacing w:val="18"/>
        </w:rPr>
        <w:t>北京市君合律师事务所（以下简称</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31"/>
        </w:rPr>
        <w:t> </w:t>
      </w:r>
      <w:r>
        <w:rPr>
          <w:spacing w:val="17"/>
        </w:rPr>
        <w:t>君合</w:t>
      </w:r>
      <w:r>
        <w:rPr>
          <w:rFonts w:ascii="Times New Roman" w:hAnsi="Times New Roman" w:cs="Times New Roman" w:eastAsia="Times New Roman" w:hint="default"/>
          <w:spacing w:val="17"/>
        </w:rPr>
        <w:t>”</w:t>
      </w:r>
      <w:r>
        <w:rPr>
          <w:spacing w:val="17"/>
        </w:rPr>
        <w:t>）经过分析，</w:t>
      </w:r>
      <w:r>
        <w:rPr>
          <w:spacing w:val="-84"/>
        </w:rPr>
        <w:t> </w:t>
      </w:r>
      <w:r>
        <w:rPr>
          <w:spacing w:val="17"/>
        </w:rPr>
        <w:t>出具了关于公司的</w:t>
      </w:r>
      <w:r>
        <w:rPr>
          <w:spacing w:val="-90"/>
        </w:rPr>
        <w:t> </w:t>
      </w:r>
      <w:r>
        <w:rPr>
          <w:spacing w:val="-90"/>
        </w:rPr>
      </w:r>
      <w:r>
        <w:rPr>
          <w:rFonts w:ascii="Times New Roman" w:hAnsi="Times New Roman" w:cs="Times New Roman" w:eastAsia="Times New Roman" w:hint="default"/>
          <w:spacing w:val="-2"/>
        </w:rPr>
        <w:t>ComyiKEY220</w:t>
      </w:r>
      <w:r>
        <w:rPr>
          <w:spacing w:val="-2"/>
        </w:rPr>
        <w:t>产品与朗科科技涉诉专利的权利要求存在显著差异，未落入朗科科技所主张的涉诉专利的权</w:t>
      </w:r>
      <w:r>
        <w:rPr>
          <w:spacing w:val="-91"/>
        </w:rPr>
        <w:t> </w:t>
      </w:r>
      <w:r>
        <w:rPr>
          <w:spacing w:val="-91"/>
        </w:rPr>
      </w:r>
      <w:r>
        <w:rPr/>
        <w:t>利要求的保护范围，从而不构成对朗科科技涉诉专利的侵权的法律意见。</w:t>
      </w:r>
    </w:p>
    <w:p>
      <w:pPr>
        <w:spacing w:line="240" w:lineRule="auto" w:before="10"/>
        <w:rPr>
          <w:rFonts w:ascii="宋体" w:hAnsi="宋体" w:cs="宋体" w:eastAsia="宋体" w:hint="default"/>
          <w:sz w:val="16"/>
          <w:szCs w:val="16"/>
        </w:rPr>
      </w:pPr>
    </w:p>
    <w:p>
      <w:pPr>
        <w:pStyle w:val="BodyText"/>
        <w:spacing w:line="393" w:lineRule="auto"/>
        <w:ind w:left="153" w:right="205" w:firstLine="419"/>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日，公司大股东、实际控制人陈江涛先生针对朗科科技诉本公司侵权案件向本公司做出 书面承诺：</w:t>
      </w:r>
      <w:r>
        <w:rPr>
          <w:rFonts w:ascii="Times New Roman" w:hAnsi="Times New Roman" w:cs="Times New Roman" w:eastAsia="Times New Roman" w:hint="default"/>
        </w:rPr>
        <w:t>“</w:t>
      </w:r>
      <w:r>
        <w:rPr/>
        <w:t>如果公司因本次侵权案件最终败诉，并因此需要支付任何侵权赔偿金、相关诉讼费用，或因</w:t>
      </w:r>
      <w:r>
        <w:rPr>
          <w:spacing w:val="-23"/>
        </w:rPr>
        <w:t> </w:t>
      </w:r>
      <w:r>
        <w:rPr>
          <w:spacing w:val="-23"/>
        </w:rPr>
      </w:r>
      <w:r>
        <w:rPr>
          <w:spacing w:val="-1"/>
        </w:rPr>
        <w:t>本次诉讼导致公司的生产、经营遭受损失，公司实际控制人陈江涛先生将承担公司因本次诉讼产生的侵权</w:t>
      </w:r>
      <w:r>
        <w:rPr>
          <w:spacing w:val="-81"/>
        </w:rPr>
        <w:t> </w:t>
      </w:r>
      <w:r>
        <w:rPr>
          <w:spacing w:val="-81"/>
        </w:rPr>
      </w:r>
      <w:r>
        <w:rPr/>
        <w:t>赔偿金、案件费用及生产、经营损失。</w:t>
      </w:r>
      <w:r>
        <w:rPr>
          <w:rFonts w:ascii="Times New Roman" w:hAnsi="Times New Roman" w:cs="Times New Roman" w:eastAsia="Times New Roman" w:hint="default"/>
        </w:rPr>
        <w:t>”</w:t>
      </w:r>
    </w:p>
    <w:p>
      <w:pPr>
        <w:pStyle w:val="BodyText"/>
        <w:spacing w:line="240" w:lineRule="auto" w:before="184"/>
        <w:ind w:left="573" w:right="10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日，公司向南宁市中级人民法院提交了《管辖权异议申请书》，认为根据最高人民法院</w:t>
      </w:r>
    </w:p>
    <w:p>
      <w:pPr>
        <w:spacing w:after="0" w:line="240" w:lineRule="auto"/>
        <w:jc w:val="left"/>
        <w:sectPr>
          <w:footerReference w:type="default" r:id="rId22"/>
          <w:pgSz w:w="11910" w:h="16840"/>
          <w:pgMar w:footer="1252" w:header="0" w:top="1340" w:bottom="1440" w:left="980" w:right="920"/>
          <w:pgNumType w:start="49"/>
        </w:sectPr>
      </w:pPr>
    </w:p>
    <w:p>
      <w:pPr>
        <w:spacing w:line="240" w:lineRule="auto" w:before="4"/>
        <w:rPr>
          <w:rFonts w:ascii="宋体" w:hAnsi="宋体" w:cs="宋体" w:eastAsia="宋体" w:hint="default"/>
          <w:sz w:val="11"/>
          <w:szCs w:val="11"/>
        </w:rPr>
      </w:pPr>
    </w:p>
    <w:p>
      <w:pPr>
        <w:pStyle w:val="BodyText"/>
        <w:spacing w:line="240" w:lineRule="auto" w:before="35"/>
        <w:ind w:left="154" w:right="101"/>
        <w:jc w:val="left"/>
      </w:pPr>
      <w:r>
        <w:rPr/>
        <w:t>关于专利侵权案件管辖的规定，广西壮族自治区南宁市中级人民法院对于本案不具有管辖权。</w:t>
      </w:r>
    </w:p>
    <w:p>
      <w:pPr>
        <w:spacing w:line="240" w:lineRule="auto" w:before="9"/>
        <w:rPr>
          <w:rFonts w:ascii="宋体" w:hAnsi="宋体" w:cs="宋体" w:eastAsia="宋体" w:hint="default"/>
          <w:sz w:val="26"/>
          <w:szCs w:val="26"/>
        </w:rPr>
      </w:pPr>
    </w:p>
    <w:p>
      <w:pPr>
        <w:pStyle w:val="BodyText"/>
        <w:spacing w:line="386" w:lineRule="auto"/>
        <w:ind w:left="154" w:right="211" w:firstLine="41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日，公司收到南宁市中级人民法院（</w:t>
      </w:r>
      <w:r>
        <w:rPr>
          <w:rFonts w:ascii="Times New Roman" w:hAnsi="Times New Roman" w:cs="Times New Roman" w:eastAsia="Times New Roman" w:hint="default"/>
        </w:rPr>
        <w:t>2012</w:t>
      </w:r>
      <w:r>
        <w:rPr/>
        <w:t>）南市民三初字第</w:t>
      </w:r>
      <w:r>
        <w:rPr>
          <w:rFonts w:ascii="Times New Roman" w:hAnsi="Times New Roman" w:cs="Times New Roman" w:eastAsia="Times New Roman" w:hint="default"/>
        </w:rPr>
        <w:t>59-2</w:t>
      </w:r>
      <w:r>
        <w:rPr/>
        <w:t>号民事裁定书，裁定</w:t>
      </w:r>
      <w:r>
        <w:rPr>
          <w:rFonts w:ascii="Times New Roman" w:hAnsi="Times New Roman" w:cs="Times New Roman" w:eastAsia="Times New Roman" w:hint="default"/>
        </w:rPr>
        <w:t>“</w:t>
      </w:r>
      <w:r>
        <w:rPr/>
        <w:t>驳 回被告北京旋极信息技术股份有限公司对本案提出的管辖权异议</w:t>
      </w:r>
      <w:r>
        <w:rPr>
          <w:rFonts w:ascii="Times New Roman" w:hAnsi="Times New Roman" w:cs="Times New Roman" w:eastAsia="Times New Roman" w:hint="default"/>
        </w:rPr>
        <w:t>”</w:t>
      </w:r>
      <w:r>
        <w:rPr/>
        <w:t>。</w:t>
      </w:r>
    </w:p>
    <w:p>
      <w:pPr>
        <w:pStyle w:val="BodyText"/>
        <w:spacing w:line="386" w:lineRule="auto" w:before="191"/>
        <w:ind w:left="154" w:right="101" w:firstLine="42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28</w:t>
      </w:r>
      <w:r>
        <w:rPr>
          <w:spacing w:val="-3"/>
        </w:rPr>
        <w:t>日，公司向广西壮族自治区高级人民法院提出《管辖权异议上诉状》，请求</w:t>
      </w:r>
      <w:r>
        <w:rPr>
          <w:rFonts w:ascii="Times New Roman" w:hAnsi="Times New Roman" w:cs="Times New Roman" w:eastAsia="Times New Roman" w:hint="default"/>
          <w:spacing w:val="-3"/>
        </w:rPr>
        <w:t>“</w:t>
      </w:r>
      <w:r>
        <w:rPr>
          <w:spacing w:val="-3"/>
        </w:rPr>
        <w:t>撤销裁定书，</w:t>
      </w:r>
      <w:r>
        <w:rPr/>
        <w:t> 并将本案移送至有管辖权的北京市第一中级人民法院或北京市高级人民法院</w:t>
      </w:r>
      <w:r>
        <w:rPr>
          <w:rFonts w:ascii="Times New Roman" w:hAnsi="Times New Roman" w:cs="Times New Roman" w:eastAsia="Times New Roman" w:hint="default"/>
        </w:rPr>
        <w:t>”</w:t>
      </w:r>
      <w:r>
        <w:rPr/>
        <w:t>。</w:t>
      </w:r>
    </w:p>
    <w:p>
      <w:pPr>
        <w:pStyle w:val="BodyText"/>
        <w:spacing w:line="386" w:lineRule="auto" w:before="191"/>
        <w:ind w:left="154" w:right="125" w:firstLine="377"/>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日，公司收到广西壮族自治区高级人民法院（</w:t>
      </w:r>
      <w:r>
        <w:rPr>
          <w:rFonts w:ascii="Times New Roman" w:hAnsi="Times New Roman" w:cs="Times New Roman" w:eastAsia="Times New Roman" w:hint="default"/>
        </w:rPr>
        <w:t>2012</w:t>
      </w:r>
      <w:r>
        <w:rPr/>
        <w:t>）桂立民终字第</w:t>
      </w:r>
      <w:r>
        <w:rPr>
          <w:rFonts w:ascii="Times New Roman" w:hAnsi="Times New Roman" w:cs="Times New Roman" w:eastAsia="Times New Roman" w:hint="default"/>
        </w:rPr>
        <w:t>14</w:t>
      </w:r>
      <w:r>
        <w:rPr/>
        <w:t>号《民事裁定书》， </w:t>
      </w:r>
      <w:r>
        <w:rPr>
          <w:rFonts w:ascii="Times New Roman" w:hAnsi="Times New Roman" w:cs="Times New Roman" w:eastAsia="Times New Roman" w:hint="default"/>
        </w:rPr>
        <w:t>“</w:t>
      </w:r>
      <w:r>
        <w:rPr/>
        <w:t>驳回上诉，维持原裁定</w:t>
      </w:r>
      <w:r>
        <w:rPr>
          <w:rFonts w:ascii="Times New Roman" w:hAnsi="Times New Roman" w:cs="Times New Roman" w:eastAsia="Times New Roman" w:hint="default"/>
        </w:rPr>
        <w:t>”</w:t>
      </w:r>
      <w:r>
        <w:rPr/>
        <w:t>。</w:t>
      </w:r>
    </w:p>
    <w:p>
      <w:pPr>
        <w:pStyle w:val="BodyText"/>
        <w:spacing w:line="386" w:lineRule="auto" w:before="191"/>
        <w:ind w:left="154" w:right="206"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日，公司收到广西壮族自治区南宁市中级人民法院（</w:t>
      </w:r>
      <w:r>
        <w:rPr>
          <w:rFonts w:ascii="Times New Roman" w:hAnsi="Times New Roman" w:cs="Times New Roman" w:eastAsia="Times New Roman" w:hint="default"/>
        </w:rPr>
        <w:t>2012</w:t>
      </w:r>
      <w:r>
        <w:rPr/>
        <w:t>）南市民三初字第</w:t>
      </w:r>
      <w:r>
        <w:rPr>
          <w:rFonts w:ascii="Times New Roman" w:hAnsi="Times New Roman" w:cs="Times New Roman" w:eastAsia="Times New Roman" w:hint="default"/>
        </w:rPr>
        <w:t>59</w:t>
      </w:r>
      <w:r>
        <w:rPr/>
        <w:t>号《证据</w:t>
      </w:r>
      <w:r>
        <w:rPr>
          <w:spacing w:val="3"/>
        </w:rPr>
        <w:t> </w:t>
      </w:r>
      <w:r>
        <w:rPr>
          <w:spacing w:val="-1"/>
        </w:rPr>
        <w:t>交换通知书》和《传票》。按照《证据交换通知书》及《传票》的规定，南宁中院将于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日上</w:t>
      </w:r>
      <w:r>
        <w:rPr>
          <w:spacing w:val="-91"/>
        </w:rPr>
        <w:t> </w:t>
      </w:r>
      <w:r>
        <w:rPr/>
        <w:t>午组织本案各方当事人进行证据交换，并将于同日下午就本案进行开庭审理。</w:t>
      </w:r>
    </w:p>
    <w:p>
      <w:pPr>
        <w:spacing w:line="240" w:lineRule="auto" w:before="12"/>
        <w:rPr>
          <w:rFonts w:ascii="宋体" w:hAnsi="宋体" w:cs="宋体" w:eastAsia="宋体" w:hint="default"/>
          <w:sz w:val="16"/>
          <w:szCs w:val="16"/>
        </w:rPr>
      </w:pPr>
    </w:p>
    <w:p>
      <w:pPr>
        <w:pStyle w:val="BodyText"/>
        <w:spacing w:line="386" w:lineRule="auto"/>
        <w:ind w:left="154" w:right="211"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日上午，本案各方当事人在广西壮族自治区南宁市中级人民法院进行了证据交换，原定</w:t>
      </w:r>
      <w:r>
        <w:rPr/>
        <w:t> 于同日下午进行的庭审暂未举行。关于下一步程序，等待南宁中院的进一步通知。</w:t>
      </w:r>
    </w:p>
    <w:p>
      <w:pPr>
        <w:spacing w:line="240" w:lineRule="auto" w:before="4"/>
        <w:rPr>
          <w:rFonts w:ascii="宋体" w:hAnsi="宋体" w:cs="宋体" w:eastAsia="宋体" w:hint="default"/>
          <w:sz w:val="16"/>
          <w:szCs w:val="16"/>
        </w:rPr>
      </w:pPr>
    </w:p>
    <w:p>
      <w:pPr>
        <w:pStyle w:val="Heading4"/>
        <w:spacing w:line="369" w:lineRule="auto"/>
        <w:ind w:right="209"/>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日，南宁市中级人民法院根据公司申请，向国家知识产权局专利复审委员会和北京市</w:t>
      </w:r>
      <w:r>
        <w:rPr>
          <w:w w:val="99"/>
        </w:rPr>
        <w:t> </w:t>
      </w:r>
      <w:r>
        <w:rPr/>
        <w:t>第一中级人民法院调取了证据，用以证明涉案产品没有落入朗科公司的专利保护范围。</w:t>
      </w:r>
    </w:p>
    <w:p>
      <w:pPr>
        <w:spacing w:line="240" w:lineRule="auto" w:before="3"/>
        <w:rPr>
          <w:rFonts w:ascii="宋体" w:hAnsi="宋体" w:cs="宋体" w:eastAsia="宋体" w:hint="default"/>
          <w:sz w:val="17"/>
          <w:szCs w:val="17"/>
        </w:rPr>
      </w:pPr>
    </w:p>
    <w:p>
      <w:pPr>
        <w:pStyle w:val="BodyText"/>
        <w:spacing w:line="408" w:lineRule="auto"/>
        <w:ind w:left="154" w:right="211" w:firstLine="420"/>
        <w:jc w:val="both"/>
      </w:pPr>
      <w:r>
        <w:rPr>
          <w:spacing w:val="-1"/>
        </w:rPr>
        <w:t>针对本案，公司将积极应诉；同时，公司将对本次诉讼的进展情况进行持续、充分的信息披露，以保</w:t>
      </w:r>
      <w:r>
        <w:rPr/>
        <w:t> 证广大投资者权益。</w:t>
      </w:r>
    </w:p>
    <w:p>
      <w:pPr>
        <w:spacing w:line="240" w:lineRule="auto" w:before="1"/>
        <w:rPr>
          <w:rFonts w:ascii="宋体" w:hAnsi="宋体" w:cs="宋体" w:eastAsia="宋体" w:hint="default"/>
          <w:sz w:val="17"/>
          <w:szCs w:val="17"/>
        </w:rPr>
      </w:pPr>
    </w:p>
    <w:p>
      <w:pPr>
        <w:pStyle w:val="Heading2"/>
        <w:spacing w:line="240" w:lineRule="auto"/>
        <w:ind w:right="101"/>
        <w:jc w:val="left"/>
      </w:pPr>
      <w:r>
        <w:rPr/>
        <w:t>二、上市公司发生控股股东及其关联方非经营性占用资金情况</w:t>
      </w:r>
    </w:p>
    <w:p>
      <w:pPr>
        <w:pStyle w:val="BodyText"/>
        <w:spacing w:line="620" w:lineRule="atLeast" w:before="47"/>
        <w:ind w:left="573" w:right="101"/>
        <w:jc w:val="left"/>
      </w:pPr>
      <w:r>
        <w:rPr/>
        <w:t>会计师事务所对资金占用的专项审核意见 </w:t>
      </w:r>
      <w:r>
        <w:rPr>
          <w:spacing w:val="-1"/>
        </w:rPr>
        <w:t>根据中国证券监督管理委员会、国务院国有资产监督管理委员会《关于规范上市公司与关联方资金往</w:t>
      </w:r>
    </w:p>
    <w:p>
      <w:pPr>
        <w:spacing w:line="240" w:lineRule="auto" w:before="10"/>
        <w:rPr>
          <w:rFonts w:ascii="宋体" w:hAnsi="宋体" w:cs="宋体" w:eastAsia="宋体" w:hint="default"/>
          <w:sz w:val="14"/>
          <w:szCs w:val="14"/>
        </w:rPr>
      </w:pPr>
    </w:p>
    <w:p>
      <w:pPr>
        <w:pStyle w:val="BodyText"/>
        <w:spacing w:line="386" w:lineRule="auto"/>
        <w:ind w:left="153" w:right="203"/>
        <w:jc w:val="left"/>
      </w:pPr>
      <w:r>
        <w:rPr>
          <w:spacing w:val="-4"/>
        </w:rPr>
        <w:t>来及上市公司对外担保若干问题的通知》（证监发</w:t>
      </w:r>
      <w:r>
        <w:rPr>
          <w:rFonts w:ascii="Times New Roman" w:hAnsi="Times New Roman" w:cs="Times New Roman" w:eastAsia="Times New Roman" w:hint="default"/>
          <w:spacing w:val="-4"/>
        </w:rPr>
        <w:t>[2003]56</w:t>
      </w:r>
      <w:r>
        <w:rPr>
          <w:rFonts w:ascii="Times New Roman" w:hAnsi="Times New Roman" w:cs="Times New Roman" w:eastAsia="Times New Roman" w:hint="default"/>
          <w:spacing w:val="17"/>
        </w:rPr>
        <w:t> </w:t>
      </w:r>
      <w:r>
        <w:rPr>
          <w:spacing w:val="-6"/>
        </w:rPr>
        <w:t>号文），以及深圳证券交易所《信息披露工作备</w:t>
      </w:r>
      <w:r>
        <w:rPr>
          <w:spacing w:val="-100"/>
        </w:rPr>
        <w:t> </w:t>
      </w:r>
      <w:r>
        <w:rPr>
          <w:spacing w:val="-100"/>
        </w:rPr>
      </w:r>
      <w:r>
        <w:rPr/>
        <w:t>忘录</w:t>
      </w:r>
      <w:r>
        <w:rPr>
          <w:spacing w:val="-6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7"/>
        </w:rPr>
        <w:t> </w:t>
      </w:r>
      <w:r>
        <w:rPr/>
        <w:t>年第</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控股股东及其他关联资金占用及清欠方案的披露和报送要求》的要求，旋极信息公司</w:t>
      </w:r>
    </w:p>
    <w:p>
      <w:pPr>
        <w:pStyle w:val="BodyText"/>
        <w:spacing w:line="240" w:lineRule="auto" w:before="35"/>
        <w:ind w:left="153" w:right="101"/>
        <w:jc w:val="left"/>
      </w:pPr>
      <w:r>
        <w:rPr/>
        <w:t>编制了本专项说明所附的旋极信息公司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年度控股股东及其他关联方资金占用情况汇总表。详见《北</w:t>
      </w:r>
    </w:p>
    <w:p>
      <w:pPr>
        <w:pStyle w:val="BodyText"/>
        <w:spacing w:line="240" w:lineRule="auto" w:before="177"/>
        <w:ind w:left="153" w:right="101"/>
        <w:jc w:val="left"/>
      </w:pPr>
      <w:r>
        <w:rPr/>
        <w:t>京旋极信息技术股份有限公司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年度控股股东及其他关联方资金占用情况的专项说明》</w:t>
      </w:r>
    </w:p>
    <w:p>
      <w:pPr>
        <w:pStyle w:val="BodyText"/>
        <w:spacing w:line="240" w:lineRule="auto" w:before="177"/>
        <w:ind w:left="153" w:right="101"/>
        <w:jc w:val="left"/>
      </w:pPr>
      <w:r>
        <w:rPr/>
        <w:t>（</w:t>
      </w:r>
      <w:r>
        <w:rPr>
          <w:rFonts w:ascii="Times New Roman" w:hAnsi="Times New Roman" w:cs="Times New Roman" w:eastAsia="Times New Roman" w:hint="default"/>
          <w:spacing w:val="-1"/>
        </w:rPr>
        <w:t>XY</w:t>
      </w:r>
      <w:r>
        <w:rPr>
          <w:rFonts w:ascii="Times New Roman" w:hAnsi="Times New Roman" w:cs="Times New Roman" w:eastAsia="Times New Roman" w:hint="default"/>
        </w:rPr>
        <w:t>Z</w:t>
      </w:r>
      <w:r>
        <w:rPr>
          <w:rFonts w:ascii="Times New Roman" w:hAnsi="Times New Roman" w:cs="Times New Roman" w:eastAsia="Times New Roman" w:hint="default"/>
          <w:spacing w:val="-1"/>
        </w:rPr>
        <w:t>H</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2J</w:t>
      </w:r>
      <w:r>
        <w:rPr>
          <w:rFonts w:ascii="Times New Roman" w:hAnsi="Times New Roman" w:cs="Times New Roman" w:eastAsia="Times New Roman" w:hint="default"/>
          <w:spacing w:val="-1"/>
        </w:rPr>
        <w:t>NA</w:t>
      </w:r>
      <w:r>
        <w:rPr>
          <w:rFonts w:ascii="Times New Roman" w:hAnsi="Times New Roman" w:cs="Times New Roman" w:eastAsia="Times New Roman" w:hint="default"/>
        </w:rPr>
        <w:t>30</w:t>
      </w:r>
      <w:r>
        <w:rPr>
          <w:rFonts w:ascii="Times New Roman" w:hAnsi="Times New Roman" w:cs="Times New Roman" w:eastAsia="Times New Roman" w:hint="default"/>
          <w:spacing w:val="-1"/>
        </w:rPr>
        <w:t>2</w:t>
      </w:r>
      <w:r>
        <w:rPr>
          <w:rFonts w:ascii="Times New Roman" w:hAnsi="Times New Roman" w:cs="Times New Roman" w:eastAsia="Times New Roman" w:hint="default"/>
        </w:rPr>
        <w:t>9-1</w:t>
      </w:r>
      <w:r>
        <w:rPr>
          <w:spacing w:val="-106"/>
        </w:rPr>
        <w:t>）</w:t>
      </w:r>
      <w:r>
        <w:rPr/>
        <w:t>。</w:t>
      </w:r>
    </w:p>
    <w:p>
      <w:pPr>
        <w:spacing w:after="0" w:line="240" w:lineRule="auto"/>
        <w:jc w:val="left"/>
        <w:sectPr>
          <w:pgSz w:w="11910" w:h="16840"/>
          <w:pgMar w:header="0" w:footer="1252" w:top="1340" w:bottom="1440" w:left="980" w:right="920"/>
        </w:sectPr>
      </w:pPr>
    </w:p>
    <w:p>
      <w:pPr>
        <w:spacing w:line="240" w:lineRule="auto" w:before="8"/>
        <w:rPr>
          <w:rFonts w:ascii="宋体" w:hAnsi="宋体" w:cs="宋体" w:eastAsia="宋体" w:hint="default"/>
          <w:sz w:val="14"/>
          <w:szCs w:val="14"/>
        </w:rPr>
      </w:pPr>
    </w:p>
    <w:p>
      <w:pPr>
        <w:pStyle w:val="Heading2"/>
        <w:spacing w:line="240" w:lineRule="auto" w:before="13"/>
        <w:ind w:right="0"/>
        <w:jc w:val="left"/>
      </w:pPr>
      <w:r>
        <w:rPr/>
        <w:t>三、破产重整相关事项</w:t>
      </w:r>
    </w:p>
    <w:p>
      <w:pPr>
        <w:spacing w:line="240" w:lineRule="auto" w:before="13"/>
        <w:rPr>
          <w:rFonts w:ascii="黑体" w:hAnsi="黑体" w:cs="黑体" w:eastAsia="黑体" w:hint="default"/>
          <w:sz w:val="29"/>
          <w:szCs w:val="29"/>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四、资产交易事项</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、收购资产情况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、出售资产情况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、企业合并情况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336" w:lineRule="auto"/>
        <w:ind w:right="0"/>
        <w:jc w:val="left"/>
      </w:pPr>
      <w:r>
        <w:rPr>
          <w:rFonts w:ascii="Cambria" w:hAnsi="Cambria" w:cs="Cambria" w:eastAsia="Cambria" w:hint="default"/>
          <w:spacing w:val="-3"/>
        </w:rPr>
        <w:t>4</w:t>
      </w:r>
      <w:r>
        <w:rPr>
          <w:spacing w:val="-3"/>
        </w:rPr>
        <w:t>、自资产重组报告书或收购出售资产公告刊登后，该事项的进展情况及对报告期经营成果与</w:t>
      </w:r>
      <w:r>
        <w:rPr>
          <w:spacing w:val="-93"/>
        </w:rPr>
        <w:t> </w:t>
      </w:r>
      <w:r>
        <w:rPr>
          <w:spacing w:val="-93"/>
        </w:rPr>
      </w:r>
      <w:r>
        <w:rPr/>
        <w:t>财务状况的影响</w:t>
      </w:r>
    </w:p>
    <w:p>
      <w:pPr>
        <w:spacing w:line="240" w:lineRule="auto" w:before="1"/>
        <w:rPr>
          <w:rFonts w:ascii="黑体" w:hAnsi="黑体" w:cs="黑体" w:eastAsia="黑体" w:hint="default"/>
          <w:sz w:val="18"/>
          <w:szCs w:val="18"/>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五、公司股权激励的实施情况及其影响</w:t>
      </w:r>
    </w:p>
    <w:p>
      <w:pPr>
        <w:spacing w:line="240" w:lineRule="auto" w:before="13"/>
        <w:rPr>
          <w:rFonts w:ascii="黑体" w:hAnsi="黑体" w:cs="黑体" w:eastAsia="黑体" w:hint="default"/>
          <w:sz w:val="29"/>
          <w:szCs w:val="29"/>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六、重大关联交易</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、与日常经营相关的关联交易</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、资产收购、出售发生的关联交易</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、共同对外投资的重大关联交易</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after="0" w:line="240" w:lineRule="auto"/>
        <w:jc w:val="left"/>
        <w:sectPr>
          <w:pgSz w:w="11910" w:h="16840"/>
          <w:pgMar w:header="0"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4</w:t>
      </w:r>
      <w:r>
        <w:rPr/>
        <w:t>、关联债权债务往来</w:t>
      </w:r>
    </w:p>
    <w:p>
      <w:pPr>
        <w:spacing w:line="240" w:lineRule="auto" w:before="12"/>
        <w:rPr>
          <w:rFonts w:ascii="黑体" w:hAnsi="黑体" w:cs="黑体" w:eastAsia="黑体" w:hint="default"/>
          <w:sz w:val="23"/>
          <w:szCs w:val="23"/>
        </w:rPr>
      </w:pPr>
    </w:p>
    <w:p>
      <w:pPr>
        <w:pStyle w:val="BodyText"/>
        <w:spacing w:line="240" w:lineRule="auto"/>
        <w:ind w:right="0"/>
        <w:jc w:val="left"/>
      </w:pPr>
      <w:r>
        <w:rPr/>
        <w:t>是否存在非经营性关联债权债务往来</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9"/>
        <w:rPr>
          <w:rFonts w:ascii="宋体" w:hAnsi="宋体" w:cs="宋体" w:eastAsia="宋体" w:hint="default"/>
          <w:sz w:val="23"/>
          <w:szCs w:val="23"/>
        </w:rPr>
      </w:pPr>
    </w:p>
    <w:p>
      <w:pPr>
        <w:pStyle w:val="Heading3"/>
        <w:spacing w:line="240" w:lineRule="auto"/>
        <w:ind w:right="0"/>
        <w:jc w:val="left"/>
      </w:pPr>
      <w:r>
        <w:rPr>
          <w:rFonts w:ascii="Cambria" w:hAnsi="Cambria" w:cs="Cambria" w:eastAsia="Cambria" w:hint="default"/>
        </w:rPr>
        <w:t>5</w:t>
      </w:r>
      <w:r>
        <w:rPr/>
        <w:t>、其他重大关联交易</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七、重大合同及其履行情况</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、托管、承包、租赁事项情况</w:t>
      </w:r>
    </w:p>
    <w:p>
      <w:pPr>
        <w:spacing w:line="240" w:lineRule="auto" w:before="1"/>
        <w:rPr>
          <w:rFonts w:ascii="黑体" w:hAnsi="黑体" w:cs="黑体" w:eastAsia="黑体" w:hint="default"/>
          <w:sz w:val="29"/>
          <w:szCs w:val="29"/>
        </w:rPr>
      </w:pPr>
    </w:p>
    <w:p>
      <w:pPr>
        <w:pStyle w:val="Heading5"/>
        <w:spacing w:line="568" w:lineRule="auto"/>
        <w:ind w:left="574" w:right="8400"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）托管情况</w:t>
      </w:r>
      <w:r>
        <w:rPr>
          <w:w w:val="99"/>
        </w:rPr>
        <w:t> </w:t>
      </w:r>
      <w:r>
        <w:rPr>
          <w:rFonts w:ascii="宋体" w:hAnsi="宋体" w:cs="宋体" w:eastAsia="宋体" w:hint="default"/>
          <w:b w:val="0"/>
          <w:bCs w:val="0"/>
        </w:rPr>
        <w:t>无。</w:t>
      </w:r>
    </w:p>
    <w:p>
      <w:pPr>
        <w:pStyle w:val="BodyText"/>
        <w:spacing w:line="240" w:lineRule="auto" w:before="61"/>
        <w:ind w:right="0"/>
        <w:jc w:val="left"/>
      </w:pPr>
      <w:r>
        <w:rPr/>
        <w:t>为公司带来的损益达到公司报告期利润总额</w:t>
      </w:r>
      <w:r>
        <w:rPr>
          <w:spacing w:val="-54"/>
        </w:rPr>
        <w:t> </w:t>
      </w:r>
      <w:r>
        <w:rPr>
          <w:rFonts w:ascii="Times New Roman" w:hAnsi="Times New Roman" w:cs="Times New Roman" w:eastAsia="Times New Roman" w:hint="default"/>
        </w:rPr>
        <w:t>10%</w:t>
      </w:r>
      <w:r>
        <w:rPr/>
        <w:t>以上的项目</w:t>
      </w:r>
    </w:p>
    <w:p>
      <w:pPr>
        <w:spacing w:line="240" w:lineRule="auto" w:before="6"/>
        <w:rPr>
          <w:rFonts w:ascii="宋体" w:hAnsi="宋体" w:cs="宋体" w:eastAsia="宋体" w:hint="default"/>
          <w:sz w:val="25"/>
          <w:szCs w:val="25"/>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30"/>
          <w:szCs w:val="30"/>
        </w:rPr>
      </w:pPr>
    </w:p>
    <w:p>
      <w:pPr>
        <w:pStyle w:val="BodyText"/>
        <w:spacing w:line="544" w:lineRule="auto"/>
        <w:ind w:right="8090"/>
        <w:jc w:val="left"/>
      </w:pPr>
      <w:r>
        <w:rPr/>
        <w:t>承包情况说明 无。</w:t>
      </w:r>
    </w:p>
    <w:p>
      <w:pPr>
        <w:pStyle w:val="BodyText"/>
        <w:spacing w:line="240" w:lineRule="auto" w:before="82"/>
        <w:ind w:right="0"/>
        <w:jc w:val="left"/>
      </w:pPr>
      <w:r>
        <w:rPr/>
        <w:t>为公司带来的损益达到公司报告期利润总额</w:t>
      </w:r>
      <w:r>
        <w:rPr>
          <w:spacing w:val="-54"/>
        </w:rPr>
        <w:t> </w:t>
      </w:r>
      <w:r>
        <w:rPr>
          <w:rFonts w:ascii="Times New Roman" w:hAnsi="Times New Roman" w:cs="Times New Roman" w:eastAsia="Times New Roman" w:hint="default"/>
        </w:rPr>
        <w:t>10%</w:t>
      </w:r>
      <w:r>
        <w:rPr/>
        <w:t>以上的项目</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30"/>
          <w:szCs w:val="30"/>
        </w:rPr>
      </w:pPr>
    </w:p>
    <w:p>
      <w:pPr>
        <w:pStyle w:val="BodyText"/>
        <w:spacing w:line="544" w:lineRule="auto"/>
        <w:ind w:right="8090"/>
        <w:jc w:val="left"/>
      </w:pPr>
      <w:r>
        <w:rPr/>
        <w:t>租赁情况说明 无。</w:t>
      </w:r>
    </w:p>
    <w:p>
      <w:pPr>
        <w:pStyle w:val="BodyText"/>
        <w:spacing w:line="240" w:lineRule="auto" w:before="82"/>
        <w:ind w:right="0"/>
        <w:jc w:val="left"/>
      </w:pPr>
      <w:r>
        <w:rPr/>
        <w:t>为公司带来的损益达到公司报告期利润总额</w:t>
      </w:r>
      <w:r>
        <w:rPr>
          <w:spacing w:val="-54"/>
        </w:rPr>
        <w:t> </w:t>
      </w:r>
      <w:r>
        <w:rPr>
          <w:rFonts w:ascii="Times New Roman" w:hAnsi="Times New Roman" w:cs="Times New Roman" w:eastAsia="Times New Roman" w:hint="default"/>
        </w:rPr>
        <w:t>10%</w:t>
      </w:r>
      <w:r>
        <w:rPr/>
        <w:t>以上的项目</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0"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2</w:t>
      </w:r>
      <w:r>
        <w:rPr/>
        <w:t>、担保情况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、报告期内或报告期继续发生的委托理财情况</w:t>
      </w:r>
    </w:p>
    <w:p>
      <w:pPr>
        <w:spacing w:line="240" w:lineRule="auto" w:before="1"/>
        <w:rPr>
          <w:rFonts w:ascii="黑体" w:hAnsi="黑体" w:cs="黑体" w:eastAsia="黑体" w:hint="default"/>
          <w:sz w:val="29"/>
          <w:szCs w:val="29"/>
        </w:rPr>
      </w:pPr>
    </w:p>
    <w:p>
      <w:pPr>
        <w:pStyle w:val="Heading5"/>
        <w:spacing w:line="568" w:lineRule="auto"/>
        <w:ind w:left="574" w:right="7979" w:hanging="421"/>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）委托理财情况</w:t>
      </w:r>
      <w:r>
        <w:rPr>
          <w:spacing w:val="1"/>
          <w:w w:val="99"/>
        </w:rPr>
        <w:t> </w:t>
      </w:r>
      <w:r>
        <w:rPr>
          <w:rFonts w:ascii="宋体" w:hAnsi="宋体" w:cs="宋体" w:eastAsia="宋体" w:hint="default"/>
          <w:b w:val="0"/>
          <w:bCs w:val="0"/>
        </w:rPr>
        <w:t>无</w:t>
      </w:r>
    </w:p>
    <w:p>
      <w:pPr>
        <w:spacing w:line="568" w:lineRule="auto" w:before="128"/>
        <w:ind w:left="574" w:right="641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报告期末衍生品投资的持仓情况</w:t>
      </w:r>
    </w:p>
    <w:p>
      <w:pPr>
        <w:pStyle w:val="BodyText"/>
        <w:spacing w:line="240" w:lineRule="auto" w:before="6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568" w:lineRule="auto"/>
        <w:ind w:left="574" w:right="7979" w:hanging="42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）委托贷款情况</w:t>
      </w:r>
      <w:r>
        <w:rPr>
          <w:spacing w:val="1"/>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4</w:t>
      </w:r>
      <w:r>
        <w:rPr/>
        <w:t>、其他重大合同</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八、承诺事项履行情况</w:t>
      </w:r>
    </w:p>
    <w:p>
      <w:pPr>
        <w:spacing w:after="0" w:line="240" w:lineRule="auto"/>
        <w:jc w:val="left"/>
        <w:sectPr>
          <w:pgSz w:w="11910" w:h="16840"/>
          <w:pgMar w:header="0" w:footer="1252" w:top="1340" w:bottom="1440" w:left="980" w:right="980"/>
        </w:sectPr>
      </w:pPr>
    </w:p>
    <w:p>
      <w:pPr>
        <w:spacing w:line="240" w:lineRule="auto" w:before="3"/>
        <w:rPr>
          <w:rFonts w:ascii="黑体" w:hAnsi="黑体" w:cs="黑体" w:eastAsia="黑体" w:hint="default"/>
          <w:sz w:val="10"/>
          <w:szCs w:val="10"/>
        </w:rPr>
      </w:pPr>
      <w:r>
        <w:rPr/>
        <w:pict>
          <v:group style="position:absolute;margin-left:286.010986pt;margin-top:296.399994pt;width:294.9pt;height:35.9pt;mso-position-horizontal-relative:page;mso-position-vertical-relative:page;z-index:-728824" coordorigin="5720,5928" coordsize="5898,718">
            <v:group style="position:absolute;left:5720;top:5928;width:5898;height:359" coordorigin="5720,5928" coordsize="5898,359">
              <v:shape style="position:absolute;left:5720;top:5928;width:5898;height:359" coordorigin="5720,5928" coordsize="5898,359" path="m5720,5928l5720,6287,11618,6287,11618,5928,5720,5928xe" filled="true" fillcolor="#ffffff" stroked="false">
                <v:path arrowok="t"/>
                <v:fill type="solid"/>
              </v:shape>
            </v:group>
            <v:group style="position:absolute;left:5720;top:6287;width:5898;height:359" coordorigin="5720,6287" coordsize="5898,359">
              <v:shape style="position:absolute;left:5720;top:6287;width:5898;height:359" coordorigin="5720,6287" coordsize="5898,359" path="m5720,6287l5720,6646,11618,6646,11618,6287,5720,6287xe" filled="true" fillcolor="#ffffff" stroked="false">
                <v:path arrowok="t"/>
                <v:fill type="solid"/>
              </v:shape>
            </v:group>
            <w10:wrap type="none"/>
          </v:group>
        </w:pict>
      </w:r>
      <w:r>
        <w:rPr/>
        <w:pict>
          <v:group style="position:absolute;margin-left:286.010986pt;margin-top:359.640015pt;width:294.9pt;height:35.9pt;mso-position-horizontal-relative:page;mso-position-vertical-relative:page;z-index:-728800" coordorigin="5720,7193" coordsize="5898,718">
            <v:group style="position:absolute;left:5720;top:7193;width:5898;height:359" coordorigin="5720,7193" coordsize="5898,359">
              <v:shape style="position:absolute;left:5720;top:7193;width:5898;height:359" coordorigin="5720,7193" coordsize="5898,359" path="m5720,7193l5720,7552,11618,7552,11618,7193,5720,7193xe" filled="true" fillcolor="#ffffff" stroked="false">
                <v:path arrowok="t"/>
                <v:fill type="solid"/>
              </v:shape>
            </v:group>
            <v:group style="position:absolute;left:5720;top:7552;width:5898;height:359" coordorigin="5720,7552" coordsize="5898,359">
              <v:shape style="position:absolute;left:5720;top:7552;width:5898;height:359" coordorigin="5720,7552" coordsize="5898,359" path="m5720,7552l5720,7910,11618,7910,11618,7552,5720,7552xe" filled="true" fillcolor="#ffffff" stroked="false">
                <v:path arrowok="t"/>
                <v:fill type="solid"/>
              </v:shape>
            </v:group>
            <w10:wrap type="none"/>
          </v:group>
        </w:pict>
      </w:r>
    </w:p>
    <w:p>
      <w:pPr>
        <w:pStyle w:val="Heading3"/>
        <w:spacing w:line="240" w:lineRule="auto" w:before="26"/>
        <w:ind w:left="539" w:right="0"/>
        <w:jc w:val="left"/>
      </w:pPr>
      <w:r>
        <w:rPr>
          <w:rFonts w:ascii="Cambria" w:hAnsi="Cambria" w:cs="Cambria" w:eastAsia="Cambria" w:hint="default"/>
        </w:rPr>
        <w:t>1</w:t>
      </w:r>
      <w:r>
        <w:rPr/>
        <w:t>、公司或持股</w:t>
      </w:r>
      <w:r>
        <w:rPr>
          <w:spacing w:val="-61"/>
        </w:rPr>
        <w:t> </w:t>
      </w:r>
      <w:r>
        <w:rPr>
          <w:rFonts w:ascii="Cambria" w:hAnsi="Cambria" w:cs="Cambria" w:eastAsia="Cambria" w:hint="default"/>
        </w:rPr>
        <w:t>5%</w:t>
      </w:r>
      <w:r>
        <w:rPr/>
        <w:t>以上股东在报告期内或持续到报告期内的承诺事项</w:t>
      </w:r>
    </w:p>
    <w:p>
      <w:pPr>
        <w:spacing w:line="240" w:lineRule="auto" w:before="2"/>
        <w:rPr>
          <w:rFonts w:ascii="黑体" w:hAnsi="黑体" w:cs="黑体" w:eastAsia="黑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702"/>
        <w:gridCol w:w="2977"/>
        <w:gridCol w:w="5953"/>
        <w:gridCol w:w="994"/>
        <w:gridCol w:w="991"/>
        <w:gridCol w:w="2486"/>
      </w:tblGrid>
      <w:tr>
        <w:trPr>
          <w:trHeight w:val="368"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承诺事项</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b/>
                <w:bCs/>
                <w:sz w:val="18"/>
                <w:szCs w:val="18"/>
              </w:rPr>
              <w:t>承诺人</w:t>
            </w:r>
            <w:r>
              <w:rPr>
                <w:rFonts w:ascii="宋体" w:hAnsi="宋体" w:cs="宋体" w:eastAsia="宋体" w:hint="default"/>
                <w:sz w:val="18"/>
                <w:szCs w:val="18"/>
              </w:rPr>
            </w:r>
          </w:p>
        </w:tc>
        <w:tc>
          <w:tcPr>
            <w:tcW w:w="5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29" w:right="0"/>
              <w:jc w:val="left"/>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2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2977" w:type="dxa"/>
            <w:tcBorders>
              <w:top w:val="single" w:sz="4" w:space="0" w:color="000000"/>
              <w:left w:val="single" w:sz="4" w:space="0" w:color="000000"/>
              <w:bottom w:val="single" w:sz="4" w:space="0" w:color="000000"/>
              <w:right w:val="single" w:sz="4" w:space="0" w:color="000000"/>
            </w:tcBorders>
          </w:tcPr>
          <w:p>
            <w:pPr/>
          </w:p>
        </w:tc>
        <w:tc>
          <w:tcPr>
            <w:tcW w:w="595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35" w:right="34"/>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977" w:type="dxa"/>
            <w:tcBorders>
              <w:top w:val="single" w:sz="4" w:space="0" w:color="000000"/>
              <w:left w:val="single" w:sz="4" w:space="0" w:color="000000"/>
              <w:bottom w:val="single" w:sz="4" w:space="0" w:color="000000"/>
              <w:right w:val="single" w:sz="4" w:space="0" w:color="000000"/>
            </w:tcBorders>
          </w:tcPr>
          <w:p>
            <w:pPr/>
          </w:p>
        </w:tc>
        <w:tc>
          <w:tcPr>
            <w:tcW w:w="595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2977" w:type="dxa"/>
            <w:tcBorders>
              <w:top w:val="single" w:sz="4" w:space="0" w:color="000000"/>
              <w:left w:val="single" w:sz="4" w:space="0" w:color="000000"/>
              <w:bottom w:val="single" w:sz="4" w:space="0" w:color="000000"/>
              <w:right w:val="single" w:sz="4" w:space="0" w:color="000000"/>
            </w:tcBorders>
          </w:tcPr>
          <w:p>
            <w:pPr/>
          </w:p>
        </w:tc>
        <w:tc>
          <w:tcPr>
            <w:tcW w:w="595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702"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公司股东陈江涛、陈海涛、高宏良、</w:t>
            </w:r>
          </w:p>
        </w:tc>
        <w:tc>
          <w:tcPr>
            <w:tcW w:w="595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
        </w:tc>
      </w:tr>
      <w:tr>
        <w:trPr>
          <w:trHeight w:val="26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中天涌慧、刘明、刘希平、盖峰、李</w:t>
            </w:r>
          </w:p>
        </w:tc>
        <w:tc>
          <w:tcPr>
            <w:tcW w:w="595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90"/>
                <w:sz w:val="18"/>
                <w:szCs w:val="18"/>
              </w:rPr>
              <w:t>，</w:t>
            </w:r>
            <w:r>
              <w:rPr>
                <w:rFonts w:ascii="宋体" w:hAnsi="宋体" w:cs="宋体" w:eastAsia="宋体" w:hint="default"/>
                <w:sz w:val="18"/>
                <w:szCs w:val="18"/>
              </w:rPr>
              <w:t>承诺人均严格履行承</w:t>
            </w:r>
          </w:p>
        </w:tc>
      </w:tr>
      <w:tr>
        <w:trPr>
          <w:trHeight w:val="808"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居庸、张阳春、蔡厚富以及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pStyle w:val="TableParagraph"/>
              <w:spacing w:line="240" w:lineRule="auto" w:before="109"/>
              <w:ind w:left="44" w:right="0"/>
              <w:jc w:val="left"/>
              <w:rPr>
                <w:rFonts w:ascii="宋体" w:hAnsi="宋体" w:cs="宋体" w:eastAsia="宋体" w:hint="default"/>
                <w:sz w:val="18"/>
                <w:szCs w:val="18"/>
              </w:rPr>
            </w:pPr>
            <w:r>
              <w:rPr>
                <w:rFonts w:ascii="宋体" w:hAnsi="宋体" w:cs="宋体" w:eastAsia="宋体" w:hint="default"/>
                <w:sz w:val="18"/>
                <w:szCs w:val="18"/>
              </w:rPr>
              <w:t>月自陈江涛、中天涌慧受让公司股权</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91" w:right="0" w:hanging="69"/>
              <w:jc w:val="left"/>
              <w:rPr>
                <w:rFonts w:ascii="宋体" w:hAnsi="宋体" w:cs="宋体" w:eastAsia="宋体" w:hint="default"/>
                <w:sz w:val="18"/>
                <w:szCs w:val="18"/>
              </w:rPr>
            </w:pPr>
            <w:r>
              <w:rPr>
                <w:rFonts w:ascii="宋体" w:hAnsi="宋体" w:cs="宋体" w:eastAsia="宋体" w:hint="default"/>
                <w:spacing w:val="-2"/>
                <w:sz w:val="18"/>
                <w:szCs w:val="18"/>
              </w:rPr>
              <w:t>自公司股票在证券交易所上市交易之日起三十六个月内，不转让或者委托他</w:t>
            </w:r>
          </w:p>
          <w:p>
            <w:pPr>
              <w:pStyle w:val="TableParagraph"/>
              <w:spacing w:line="240" w:lineRule="auto" w:before="123"/>
              <w:ind w:left="91" w:right="0"/>
              <w:jc w:val="left"/>
              <w:rPr>
                <w:rFonts w:ascii="宋体" w:hAnsi="宋体" w:cs="宋体" w:eastAsia="宋体" w:hint="default"/>
                <w:sz w:val="18"/>
                <w:szCs w:val="18"/>
              </w:rPr>
            </w:pPr>
            <w:r>
              <w:rPr>
                <w:rFonts w:ascii="宋体" w:hAnsi="宋体" w:cs="宋体" w:eastAsia="宋体" w:hint="default"/>
                <w:sz w:val="18"/>
                <w:szCs w:val="18"/>
              </w:rPr>
              <w:t>人管理其本次发行前已持有的公司股份，也不由公司收购其持有的股份。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109"/>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364" w:lineRule="auto" w:before="124"/>
              <w:ind w:left="337" w:right="22" w:hanging="315"/>
              <w:jc w:val="left"/>
              <w:rPr>
                <w:rFonts w:ascii="宋体" w:hAnsi="宋体" w:cs="宋体" w:eastAsia="宋体" w:hint="default"/>
                <w:sz w:val="18"/>
                <w:szCs w:val="18"/>
              </w:rPr>
            </w:pPr>
            <w:r>
              <w:rPr>
                <w:rFonts w:ascii="宋体" w:hAnsi="宋体" w:cs="宋体" w:eastAsia="宋体" w:hint="default"/>
                <w:spacing w:val="-7"/>
                <w:sz w:val="18"/>
                <w:szCs w:val="18"/>
              </w:rPr>
              <w:t>诺，截至本报告期末，没有任何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违反承诺的事项发生。</w:t>
            </w:r>
          </w:p>
        </w:tc>
      </w:tr>
      <w:tr>
        <w:trPr>
          <w:trHeight w:val="364"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595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r>
        <w:trPr>
          <w:trHeight w:val="274"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33"/>
              <w:ind w:left="12" w:right="0"/>
              <w:jc w:val="center"/>
              <w:rPr>
                <w:rFonts w:ascii="宋体" w:hAnsi="宋体" w:cs="宋体" w:eastAsia="宋体" w:hint="default"/>
                <w:sz w:val="18"/>
                <w:szCs w:val="18"/>
              </w:rPr>
            </w:pPr>
            <w:r>
              <w:rPr>
                <w:rFonts w:ascii="宋体" w:hAnsi="宋体" w:cs="宋体" w:eastAsia="宋体" w:hint="default"/>
                <w:sz w:val="18"/>
                <w:szCs w:val="18"/>
              </w:rPr>
              <w:t>公司股东王凯、林靖、范坤芳、陈毅</w:t>
            </w:r>
          </w:p>
        </w:tc>
        <w:tc>
          <w:tcPr>
            <w:tcW w:w="5953" w:type="dxa"/>
            <w:tcBorders>
              <w:top w:val="single" w:sz="4" w:space="0" w:color="000000"/>
              <w:left w:val="single" w:sz="13" w:space="0" w:color="FFFFFF"/>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90"/>
                <w:sz w:val="18"/>
                <w:szCs w:val="18"/>
              </w:rPr>
              <w:t>，</w:t>
            </w:r>
            <w:r>
              <w:rPr>
                <w:rFonts w:ascii="宋体" w:hAnsi="宋体" w:cs="宋体" w:eastAsia="宋体" w:hint="default"/>
                <w:sz w:val="18"/>
                <w:szCs w:val="18"/>
              </w:rPr>
              <w:t>承诺人均严格履行承</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13" w:space="0" w:color="FFFFFF"/>
            </w:tcBorders>
          </w:tcPr>
          <w:p>
            <w:pPr>
              <w:pStyle w:val="TableParagraph"/>
              <w:spacing w:line="240" w:lineRule="auto" w:before="123"/>
              <w:ind w:right="74"/>
              <w:jc w:val="center"/>
              <w:rPr>
                <w:rFonts w:ascii="宋体" w:hAnsi="宋体" w:cs="宋体" w:eastAsia="宋体" w:hint="default"/>
                <w:sz w:val="18"/>
                <w:szCs w:val="18"/>
              </w:rPr>
            </w:pPr>
            <w:r>
              <w:rPr>
                <w:rFonts w:ascii="宋体" w:hAnsi="宋体" w:cs="宋体" w:eastAsia="宋体" w:hint="default"/>
                <w:spacing w:val="-3"/>
                <w:sz w:val="18"/>
                <w:szCs w:val="18"/>
              </w:rPr>
              <w:t>刚、任鲁豫、黄超、付景志、潘世杰</w:t>
            </w:r>
          </w:p>
        </w:tc>
        <w:tc>
          <w:tcPr>
            <w:tcW w:w="5953" w:type="dxa"/>
            <w:tcBorders>
              <w:top w:val="nil" w:sz="6" w:space="0" w:color="auto"/>
              <w:left w:val="single" w:sz="13" w:space="0" w:color="FFFFFF"/>
              <w:bottom w:val="nil" w:sz="6" w:space="0" w:color="auto"/>
              <w:right w:val="single" w:sz="4" w:space="0" w:color="000000"/>
            </w:tcBorders>
          </w:tcPr>
          <w:p>
            <w:pPr>
              <w:pStyle w:val="TableParagraph"/>
              <w:spacing w:line="152" w:lineRule="exact"/>
              <w:ind w:left="11" w:right="0"/>
              <w:jc w:val="left"/>
              <w:rPr>
                <w:rFonts w:ascii="宋体" w:hAnsi="宋体" w:cs="宋体" w:eastAsia="宋体" w:hint="default"/>
                <w:sz w:val="18"/>
                <w:szCs w:val="18"/>
              </w:rPr>
            </w:pPr>
            <w:r>
              <w:rPr>
                <w:rFonts w:ascii="宋体" w:hAnsi="宋体" w:cs="宋体" w:eastAsia="宋体" w:hint="default"/>
                <w:spacing w:val="-2"/>
                <w:sz w:val="18"/>
                <w:szCs w:val="18"/>
              </w:rPr>
              <w:t>自公司股票在证券交易所上市交易之日起十二个月内，不转让或者委托他人</w:t>
            </w:r>
          </w:p>
          <w:p>
            <w:pPr>
              <w:pStyle w:val="TableParagraph"/>
              <w:spacing w:line="207"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pacing w:val="-7"/>
                <w:sz w:val="18"/>
                <w:szCs w:val="18"/>
              </w:rPr>
              <w:t>诺，截至本报告期末，没有任何</w:t>
            </w:r>
          </w:p>
        </w:tc>
      </w:tr>
      <w:tr>
        <w:trPr>
          <w:trHeight w:val="453"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23"/>
              <w:ind w:left="12" w:right="0"/>
              <w:jc w:val="center"/>
              <w:rPr>
                <w:rFonts w:ascii="宋体" w:hAnsi="宋体" w:cs="宋体" w:eastAsia="宋体" w:hint="default"/>
                <w:sz w:val="18"/>
                <w:szCs w:val="18"/>
              </w:rPr>
            </w:pPr>
            <w:r>
              <w:rPr>
                <w:rFonts w:ascii="宋体" w:hAnsi="宋体" w:cs="宋体" w:eastAsia="宋体" w:hint="default"/>
                <w:sz w:val="18"/>
                <w:szCs w:val="18"/>
              </w:rPr>
              <w:t>王晓倩、盛桥创源</w:t>
            </w:r>
          </w:p>
        </w:tc>
        <w:tc>
          <w:tcPr>
            <w:tcW w:w="5953" w:type="dxa"/>
            <w:tcBorders>
              <w:top w:val="nil" w:sz="6" w:space="0" w:color="auto"/>
              <w:left w:val="single" w:sz="13" w:space="0" w:color="FFFFFF"/>
              <w:bottom w:val="single" w:sz="4" w:space="0" w:color="000000"/>
              <w:right w:val="single" w:sz="4" w:space="0" w:color="000000"/>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sz w:val="18"/>
                <w:szCs w:val="18"/>
              </w:rPr>
              <w:t>管理其本次发行前已持有的公司股份，也不由公司收购其持有的股份。</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违反承诺的事项发生。</w:t>
            </w:r>
          </w:p>
        </w:tc>
      </w:tr>
      <w:tr>
        <w:trPr>
          <w:trHeight w:val="274"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发行时所作承诺</w:t>
            </w:r>
          </w:p>
        </w:tc>
        <w:tc>
          <w:tcPr>
            <w:tcW w:w="2977" w:type="dxa"/>
            <w:tcBorders>
              <w:top w:val="single" w:sz="4" w:space="0" w:color="000000"/>
              <w:left w:val="single" w:sz="4" w:space="0" w:color="000000"/>
              <w:bottom w:val="nil" w:sz="6" w:space="0" w:color="auto"/>
              <w:right w:val="single" w:sz="9" w:space="0" w:color="FFFFFF"/>
            </w:tcBorders>
          </w:tcPr>
          <w:p>
            <w:pPr/>
          </w:p>
        </w:tc>
        <w:tc>
          <w:tcPr>
            <w:tcW w:w="5953"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spacing w:val="-2"/>
                <w:sz w:val="18"/>
                <w:szCs w:val="18"/>
              </w:rPr>
              <w:t>除前述锁定期外，在其任职期间每年转让的股份不得超过其所持有本公司股</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
        </w:tc>
      </w:tr>
      <w:tr>
        <w:trPr>
          <w:trHeight w:val="17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9" w:space="0" w:color="FFFFFF"/>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公司董事、监事、高级管理人员的自</w:t>
            </w:r>
          </w:p>
        </w:tc>
        <w:tc>
          <w:tcPr>
            <w:tcW w:w="5953" w:type="dxa"/>
            <w:tcBorders>
              <w:top w:val="nil" w:sz="6" w:space="0" w:color="auto"/>
              <w:left w:val="single" w:sz="9" w:space="0" w:color="FFFFFF"/>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
        </w:tc>
      </w:tr>
      <w:tr>
        <w:trPr>
          <w:trHeight w:val="17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9" w:space="0" w:color="FFFFFF"/>
            </w:tcBorders>
          </w:tcPr>
          <w:p>
            <w:pPr/>
          </w:p>
        </w:tc>
        <w:tc>
          <w:tcPr>
            <w:tcW w:w="5953" w:type="dxa"/>
            <w:tcBorders>
              <w:top w:val="nil" w:sz="6" w:space="0" w:color="auto"/>
              <w:left w:val="single" w:sz="9" w:space="0" w:color="FFFFFF"/>
              <w:bottom w:val="nil" w:sz="6" w:space="0" w:color="auto"/>
              <w:right w:val="single" w:sz="4" w:space="0" w:color="000000"/>
            </w:tcBorders>
          </w:tcPr>
          <w:p>
            <w:pPr>
              <w:pStyle w:val="TableParagraph"/>
              <w:spacing w:line="179" w:lineRule="exact"/>
              <w:ind w:right="5"/>
              <w:jc w:val="center"/>
              <w:rPr>
                <w:rFonts w:ascii="宋体" w:hAnsi="宋体" w:cs="宋体" w:eastAsia="宋体" w:hint="default"/>
                <w:sz w:val="18"/>
                <w:szCs w:val="18"/>
              </w:rPr>
            </w:pPr>
            <w:r>
              <w:rPr>
                <w:rFonts w:ascii="宋体" w:hAnsi="宋体" w:cs="宋体" w:eastAsia="宋体" w:hint="default"/>
                <w:spacing w:val="-2"/>
                <w:sz w:val="18"/>
                <w:szCs w:val="18"/>
              </w:rPr>
              <w:t>份总数的百分之二十五；若在首次公开发行股票上市之日起六个月内申报离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90"/>
                <w:sz w:val="18"/>
                <w:szCs w:val="18"/>
              </w:rPr>
              <w:t>，</w:t>
            </w:r>
            <w:r>
              <w:rPr>
                <w:rFonts w:ascii="宋体" w:hAnsi="宋体" w:cs="宋体" w:eastAsia="宋体" w:hint="default"/>
                <w:sz w:val="18"/>
                <w:szCs w:val="18"/>
              </w:rPr>
              <w:t>承诺人均严格履行承</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9" w:space="0" w:color="FFFFFF"/>
            </w:tcBorders>
          </w:tcPr>
          <w:p>
            <w:pPr>
              <w:pStyle w:val="TableParagraph"/>
              <w:spacing w:line="180" w:lineRule="exact"/>
              <w:ind w:right="80"/>
              <w:jc w:val="center"/>
              <w:rPr>
                <w:rFonts w:ascii="宋体" w:hAnsi="宋体" w:cs="宋体" w:eastAsia="宋体" w:hint="default"/>
                <w:sz w:val="18"/>
                <w:szCs w:val="18"/>
              </w:rPr>
            </w:pPr>
            <w:r>
              <w:rPr>
                <w:rFonts w:ascii="宋体" w:hAnsi="宋体" w:cs="宋体" w:eastAsia="宋体" w:hint="default"/>
                <w:spacing w:val="-4"/>
                <w:sz w:val="18"/>
                <w:szCs w:val="18"/>
              </w:rPr>
              <w:t>然人股东陈江涛（及其关联方刘希平</w:t>
            </w:r>
          </w:p>
        </w:tc>
        <w:tc>
          <w:tcPr>
            <w:tcW w:w="5953" w:type="dxa"/>
            <w:tcBorders>
              <w:top w:val="nil" w:sz="6" w:space="0" w:color="auto"/>
              <w:left w:val="single" w:sz="9" w:space="0" w:color="FFFFFF"/>
              <w:bottom w:val="nil" w:sz="6" w:space="0" w:color="auto"/>
              <w:right w:val="single" w:sz="4" w:space="0" w:color="000000"/>
            </w:tcBorders>
          </w:tcPr>
          <w:p>
            <w:pPr>
              <w:pStyle w:val="TableParagraph"/>
              <w:spacing w:line="152"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7" w:lineRule="exact"/>
              <w:ind w:left="16" w:right="0"/>
              <w:jc w:val="left"/>
              <w:rPr>
                <w:rFonts w:ascii="宋体" w:hAnsi="宋体" w:cs="宋体" w:eastAsia="宋体" w:hint="default"/>
                <w:sz w:val="18"/>
                <w:szCs w:val="18"/>
              </w:rPr>
            </w:pPr>
            <w:r>
              <w:rPr>
                <w:rFonts w:ascii="宋体" w:hAnsi="宋体" w:cs="宋体" w:eastAsia="宋体" w:hint="default"/>
                <w:spacing w:val="-2"/>
                <w:sz w:val="18"/>
                <w:szCs w:val="18"/>
              </w:rPr>
              <w:t>职的，自申报离职之日起十八个月内不得转让其直接持有的本公司股份；在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承诺期限内</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pacing w:val="-7"/>
                <w:sz w:val="18"/>
                <w:szCs w:val="18"/>
              </w:rPr>
              <w:t>诺，截至本报告期末，没有任何</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9" w:space="0" w:color="FFFFFF"/>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sz w:val="18"/>
                <w:szCs w:val="18"/>
              </w:rPr>
              <w:t>陈为群</w:t>
            </w:r>
            <w:r>
              <w:rPr>
                <w:rFonts w:ascii="宋体" w:hAnsi="宋体" w:cs="宋体" w:eastAsia="宋体" w:hint="default"/>
                <w:spacing w:val="-90"/>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刘明</w:t>
            </w:r>
            <w:r>
              <w:rPr>
                <w:rFonts w:ascii="宋体" w:hAnsi="宋体" w:cs="宋体" w:eastAsia="宋体" w:hint="default"/>
                <w:spacing w:val="-12"/>
                <w:sz w:val="18"/>
                <w:szCs w:val="18"/>
              </w:rPr>
              <w:t>、</w:t>
            </w:r>
            <w:r>
              <w:rPr>
                <w:rFonts w:ascii="宋体" w:hAnsi="宋体" w:cs="宋体" w:eastAsia="宋体" w:hint="default"/>
                <w:sz w:val="18"/>
                <w:szCs w:val="18"/>
              </w:rPr>
              <w:t>蔡厚富</w:t>
            </w:r>
            <w:r>
              <w:rPr>
                <w:rFonts w:ascii="宋体" w:hAnsi="宋体" w:cs="宋体" w:eastAsia="宋体" w:hint="default"/>
                <w:spacing w:val="-12"/>
                <w:sz w:val="18"/>
                <w:szCs w:val="18"/>
              </w:rPr>
              <w:t>、</w:t>
            </w:r>
            <w:r>
              <w:rPr>
                <w:rFonts w:ascii="宋体" w:hAnsi="宋体" w:cs="宋体" w:eastAsia="宋体" w:hint="default"/>
                <w:sz w:val="18"/>
                <w:szCs w:val="18"/>
              </w:rPr>
              <w:t>陈海涛</w:t>
            </w:r>
            <w:r>
              <w:rPr>
                <w:rFonts w:ascii="宋体" w:hAnsi="宋体" w:cs="宋体" w:eastAsia="宋体" w:hint="default"/>
                <w:spacing w:val="-12"/>
                <w:sz w:val="18"/>
                <w:szCs w:val="18"/>
              </w:rPr>
              <w:t>、</w:t>
            </w:r>
            <w:r>
              <w:rPr>
                <w:rFonts w:ascii="宋体" w:hAnsi="宋体" w:cs="宋体" w:eastAsia="宋体" w:hint="default"/>
                <w:sz w:val="18"/>
                <w:szCs w:val="18"/>
              </w:rPr>
              <w:t>李</w:t>
            </w:r>
          </w:p>
        </w:tc>
        <w:tc>
          <w:tcPr>
            <w:tcW w:w="5953" w:type="dxa"/>
            <w:tcBorders>
              <w:top w:val="nil" w:sz="6" w:space="0" w:color="auto"/>
              <w:left w:val="single" w:sz="9" w:space="0" w:color="FFFFFF"/>
              <w:bottom w:val="nil" w:sz="6" w:space="0" w:color="auto"/>
              <w:right w:val="single" w:sz="4" w:space="0" w:color="000000"/>
            </w:tcBorders>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pacing w:val="-2"/>
                <w:sz w:val="18"/>
                <w:szCs w:val="18"/>
              </w:rPr>
              <w:t>首次公开发行股票上市之日起第七个月至第十二个月之间申报离职的，自申</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违反承诺的事项发生。</w:t>
            </w:r>
          </w:p>
        </w:tc>
      </w:tr>
      <w:tr>
        <w:trPr>
          <w:trHeight w:val="17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9" w:space="0" w:color="FFFFFF"/>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居庸、阮亚占、吴匀、盖峰、黄海涛</w:t>
            </w:r>
          </w:p>
        </w:tc>
        <w:tc>
          <w:tcPr>
            <w:tcW w:w="5953" w:type="dxa"/>
            <w:tcBorders>
              <w:top w:val="nil" w:sz="6" w:space="0" w:color="auto"/>
              <w:left w:val="single" w:sz="9" w:space="0" w:color="FFFFFF"/>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single" w:sz="4" w:space="0" w:color="000000"/>
              <w:right w:val="single" w:sz="9" w:space="0" w:color="FFFFFF"/>
            </w:tcBorders>
          </w:tcPr>
          <w:p>
            <w:pPr/>
          </w:p>
        </w:tc>
        <w:tc>
          <w:tcPr>
            <w:tcW w:w="5953" w:type="dxa"/>
            <w:tcBorders>
              <w:top w:val="nil" w:sz="6" w:space="0" w:color="auto"/>
              <w:left w:val="single" w:sz="9" w:space="0" w:color="FFFFFF"/>
              <w:bottom w:val="single" w:sz="4" w:space="0" w:color="000000"/>
              <w:right w:val="single" w:sz="4" w:space="0" w:color="000000"/>
            </w:tcBorders>
          </w:tcPr>
          <w:p>
            <w:pPr>
              <w:pStyle w:val="TableParagraph"/>
              <w:spacing w:line="179" w:lineRule="exact"/>
              <w:ind w:right="5"/>
              <w:jc w:val="center"/>
              <w:rPr>
                <w:rFonts w:ascii="宋体" w:hAnsi="宋体" w:cs="宋体" w:eastAsia="宋体" w:hint="default"/>
                <w:sz w:val="18"/>
                <w:szCs w:val="18"/>
              </w:rPr>
            </w:pPr>
            <w:r>
              <w:rPr>
                <w:rFonts w:ascii="宋体" w:hAnsi="宋体" w:cs="宋体" w:eastAsia="宋体" w:hint="default"/>
                <w:sz w:val="18"/>
                <w:szCs w:val="18"/>
              </w:rPr>
              <w:t>报离职之日起十二个月内不得转让其直接持有的本公司股份。</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r>
        <w:trPr>
          <w:trHeight w:val="454"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
        </w:tc>
        <w:tc>
          <w:tcPr>
            <w:tcW w:w="59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年以前公司部分员工未在公司缴纳社保的情形，公司控股股东、</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90"/>
                <w:sz w:val="18"/>
                <w:szCs w:val="18"/>
              </w:rPr>
              <w:t>，</w:t>
            </w:r>
            <w:r>
              <w:rPr>
                <w:rFonts w:ascii="宋体" w:hAnsi="宋体" w:cs="宋体" w:eastAsia="宋体" w:hint="default"/>
                <w:sz w:val="18"/>
                <w:szCs w:val="18"/>
              </w:rPr>
              <w:t>承诺人均严格履行承</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实际控制人陈江涛先生出具《承诺函</w:t>
            </w:r>
            <w:r>
              <w:rPr>
                <w:rFonts w:ascii="宋体" w:hAnsi="宋体" w:cs="宋体" w:eastAsia="宋体" w:hint="default"/>
                <w:spacing w:val="-90"/>
                <w:sz w:val="18"/>
                <w:szCs w:val="18"/>
              </w:rPr>
              <w:t>》</w:t>
            </w:r>
            <w:r>
              <w:rPr>
                <w:rFonts w:ascii="宋体" w:hAnsi="宋体" w:cs="宋体" w:eastAsia="宋体" w:hint="default"/>
                <w:sz w:val="18"/>
                <w:szCs w:val="18"/>
              </w:rPr>
              <w:t>，承诺如果根据有权部门的要求或决</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8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pacing w:val="-7"/>
                <w:sz w:val="18"/>
                <w:szCs w:val="18"/>
              </w:rPr>
              <w:t>诺，截至本报告期末，没有任何</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pacing w:val="-2"/>
                <w:sz w:val="18"/>
                <w:szCs w:val="18"/>
              </w:rPr>
              <w:t>定，需要为员工补缴本承诺函签署之日前应缴未缴的社会保险金或住房公积</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违反承诺的事项发生。</w:t>
            </w:r>
          </w:p>
        </w:tc>
      </w:tr>
      <w:tr>
        <w:trPr>
          <w:trHeight w:val="275" w:hRule="exact"/>
        </w:trPr>
        <w:tc>
          <w:tcPr>
            <w:tcW w:w="1702"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
        </w:tc>
        <w:tc>
          <w:tcPr>
            <w:tcW w:w="5953"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pacing w:val="-2"/>
                <w:sz w:val="18"/>
                <w:szCs w:val="18"/>
              </w:rPr>
              <w:t>金，或因未足额缴纳需承担任何罚款或损失，将足额补偿公司因此发生的支</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997" w:footer="1249" w:top="1340" w:bottom="1440" w:left="900" w:right="600"/>
          <w:pgNumType w:start="54"/>
        </w:sectPr>
      </w:pPr>
    </w:p>
    <w:p>
      <w:pPr>
        <w:spacing w:line="240" w:lineRule="auto" w:before="5"/>
        <w:rPr>
          <w:rFonts w:ascii="Times New Roman" w:hAnsi="Times New Roman" w:cs="Times New Roman" w:eastAsia="Times New Roman" w:hint="default"/>
          <w:sz w:val="10"/>
          <w:szCs w:val="10"/>
        </w:rPr>
      </w:pPr>
      <w:r>
        <w:rPr/>
        <w:pict>
          <v:group style="position:absolute;margin-left:583.700012pt;margin-top:291.059998pt;width:48pt;height:26.95pt;mso-position-horizontal-relative:page;mso-position-vertical-relative:page;z-index:-728776" coordorigin="11674,5821" coordsize="960,539">
            <v:shape style="position:absolute;left:11674;top:5821;width:960;height:539" coordorigin="11674,5821" coordsize="960,539" path="m11674,5821l11674,6360,12634,6360,12634,5821,11674,5821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702"/>
        <w:gridCol w:w="2977"/>
        <w:gridCol w:w="5953"/>
        <w:gridCol w:w="994"/>
        <w:gridCol w:w="991"/>
        <w:gridCol w:w="2486"/>
      </w:tblGrid>
      <w:tr>
        <w:trPr>
          <w:trHeight w:val="368" w:hRule="exact"/>
        </w:trPr>
        <w:tc>
          <w:tcPr>
            <w:tcW w:w="1702" w:type="dxa"/>
            <w:tcBorders>
              <w:top w:val="nil" w:sz="6" w:space="0" w:color="auto"/>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出或所受损失。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702" w:type="dxa"/>
            <w:tcBorders>
              <w:top w:val="single" w:sz="4" w:space="0" w:color="000000"/>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
        </w:tc>
        <w:tc>
          <w:tcPr>
            <w:tcW w:w="59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pacing w:val="-2"/>
                <w:sz w:val="18"/>
                <w:szCs w:val="18"/>
              </w:rPr>
              <w:t>公司大股东、实际控制人陈江涛先生已针对朗科科技诉本公司侵权案件向本</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其他对公司中小股东</w:t>
            </w: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firstLine="27"/>
              <w:jc w:val="left"/>
              <w:rPr>
                <w:rFonts w:ascii="宋体" w:hAnsi="宋体" w:cs="宋体" w:eastAsia="宋体" w:hint="default"/>
                <w:sz w:val="18"/>
                <w:szCs w:val="18"/>
              </w:rPr>
            </w:pPr>
            <w:r>
              <w:rPr>
                <w:rFonts w:ascii="宋体" w:hAnsi="宋体" w:cs="宋体" w:eastAsia="宋体" w:hint="default"/>
                <w:sz w:val="18"/>
                <w:szCs w:val="18"/>
              </w:rPr>
              <w:t>公司做出书面承诺：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如果公司因本次侵权案件最终败诉，并因此需要支付</w:t>
            </w: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pacing w:val="-2"/>
                <w:sz w:val="18"/>
                <w:szCs w:val="18"/>
              </w:rPr>
              <w:t>任何侵权赔偿金、相关诉讼费用，或因本次诉讼导致公司的生产、经营遭受</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承诺日</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90"/>
                <w:sz w:val="18"/>
                <w:szCs w:val="18"/>
              </w:rPr>
              <w:t>，</w:t>
            </w:r>
            <w:r>
              <w:rPr>
                <w:rFonts w:ascii="宋体" w:hAnsi="宋体" w:cs="宋体" w:eastAsia="宋体" w:hint="default"/>
                <w:sz w:val="18"/>
                <w:szCs w:val="18"/>
              </w:rPr>
              <w:t>承诺人均严格履行承</w:t>
            </w: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pacing w:val="-7"/>
                <w:sz w:val="18"/>
                <w:szCs w:val="18"/>
              </w:rPr>
              <w:t>诺，截至本报告期末，没有任何</w:t>
            </w:r>
          </w:p>
        </w:tc>
      </w:tr>
      <w:tr>
        <w:trPr>
          <w:trHeight w:val="449"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所作承诺</w:t>
            </w:r>
          </w:p>
        </w:tc>
        <w:tc>
          <w:tcPr>
            <w:tcW w:w="2977" w:type="dxa"/>
            <w:tcBorders>
              <w:top w:val="nil" w:sz="6" w:space="0" w:color="auto"/>
              <w:left w:val="single" w:sz="4" w:space="0" w:color="000000"/>
              <w:bottom w:val="nil" w:sz="6" w:space="0" w:color="auto"/>
              <w:right w:val="single" w:sz="4" w:space="0" w:color="000000"/>
            </w:tcBorders>
          </w:tcPr>
          <w:p>
            <w:pP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损失，公司实际控制人陈江涛先生将承担公司因本次诉讼产生的侵权赔偿</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案结束</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违反承诺的事项发生。</w:t>
            </w:r>
          </w:p>
        </w:tc>
      </w:tr>
      <w:tr>
        <w:trPr>
          <w:trHeight w:val="364" w:hRule="exact"/>
        </w:trPr>
        <w:tc>
          <w:tcPr>
            <w:tcW w:w="1702"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
        </w:tc>
        <w:tc>
          <w:tcPr>
            <w:tcW w:w="59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金、案件费用及生产、经营损失。</w:t>
            </w:r>
            <w:r>
              <w:rPr>
                <w:rFonts w:ascii="Times New Roman" w:hAnsi="Times New Roman" w:cs="Times New Roman" w:eastAsia="Times New Roman" w:hint="default"/>
                <w:sz w:val="18"/>
                <w:szCs w:val="18"/>
              </w:rPr>
              <w:t>”</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702"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
        </w:tc>
        <w:tc>
          <w:tcPr>
            <w:tcW w:w="59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pacing w:val="-3"/>
                <w:sz w:val="18"/>
                <w:szCs w:val="18"/>
              </w:rPr>
              <w:t>关于公司不进行高风险投资的承诺：公司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486" w:type="dxa"/>
            <w:tcBorders>
              <w:top w:val="single" w:sz="4" w:space="0" w:color="000000"/>
              <w:left w:val="single" w:sz="4" w:space="0" w:color="000000"/>
              <w:bottom w:val="nil" w:sz="6" w:space="0" w:color="auto"/>
              <w:right w:val="single" w:sz="4" w:space="0" w:color="000000"/>
            </w:tcBorders>
          </w:tcPr>
          <w:p>
            <w:pPr/>
          </w:p>
        </w:tc>
      </w:tr>
      <w:tr>
        <w:trPr>
          <w:trHeight w:val="354" w:hRule="exact"/>
        </w:trPr>
        <w:tc>
          <w:tcPr>
            <w:tcW w:w="1702"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九次会议审议通过了《关于使用部分超募资金永久补充流动资金的议案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
        </w:tc>
      </w:tr>
      <w:tr>
        <w:trPr>
          <w:trHeight w:val="449" w:hRule="exact"/>
        </w:trPr>
        <w:tc>
          <w:tcPr>
            <w:tcW w:w="1702"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决定使用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万元超募资金永久性补充流动资金，并按照中国证券监督管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截至本报告期末</w:t>
            </w:r>
            <w:r>
              <w:rPr>
                <w:rFonts w:ascii="宋体" w:hAnsi="宋体" w:cs="宋体" w:eastAsia="宋体" w:hint="default"/>
                <w:spacing w:val="-90"/>
                <w:sz w:val="18"/>
                <w:szCs w:val="18"/>
              </w:rPr>
              <w:t>，</w:t>
            </w:r>
            <w:r>
              <w:rPr>
                <w:rFonts w:ascii="宋体" w:hAnsi="宋体" w:cs="宋体" w:eastAsia="宋体" w:hint="default"/>
                <w:sz w:val="18"/>
                <w:szCs w:val="18"/>
              </w:rPr>
              <w:t>没有任何违反</w:t>
            </w:r>
          </w:p>
        </w:tc>
      </w:tr>
      <w:tr>
        <w:trPr>
          <w:trHeight w:val="274" w:hRule="exact"/>
        </w:trPr>
        <w:tc>
          <w:tcPr>
            <w:tcW w:w="1702"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pacing w:val="-2"/>
                <w:sz w:val="18"/>
                <w:szCs w:val="18"/>
              </w:rPr>
              <w:t>理委员会和深圳证券交易所的有关规定，公司承诺使用超募资金永久性补充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承诺的事项发生。</w:t>
            </w:r>
          </w:p>
        </w:tc>
      </w:tr>
      <w:tr>
        <w:trPr>
          <w:trHeight w:val="354" w:hRule="exact"/>
        </w:trPr>
        <w:tc>
          <w:tcPr>
            <w:tcW w:w="1702"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nil" w:sz="6" w:space="0" w:color="auto"/>
              <w:right w:val="single" w:sz="4" w:space="0" w:color="000000"/>
            </w:tcBorders>
          </w:tcPr>
          <w:p>
            <w:pP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pacing w:val="-2"/>
                <w:sz w:val="18"/>
                <w:szCs w:val="18"/>
              </w:rPr>
              <w:t>流动资金后十二个月内不进行证券投资、委托理财、衍生品投资、创业投资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486" w:type="dxa"/>
            <w:tcBorders>
              <w:top w:val="nil" w:sz="6" w:space="0" w:color="auto"/>
              <w:left w:val="single" w:sz="4" w:space="0" w:color="000000"/>
              <w:bottom w:val="nil" w:sz="6" w:space="0" w:color="auto"/>
              <w:right w:val="single" w:sz="4" w:space="0" w:color="000000"/>
            </w:tcBorders>
          </w:tcPr>
          <w:p>
            <w:pPr/>
          </w:p>
        </w:tc>
      </w:tr>
      <w:tr>
        <w:trPr>
          <w:trHeight w:val="364" w:hRule="exact"/>
        </w:trPr>
        <w:tc>
          <w:tcPr>
            <w:tcW w:w="1702" w:type="dxa"/>
            <w:vMerge/>
            <w:tcBorders>
              <w:left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
        </w:tc>
        <w:tc>
          <w:tcPr>
            <w:tcW w:w="59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等高风险投资以及为他人提供财务资助等。</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r>
        <w:trPr>
          <w:trHeight w:val="1530" w:hRule="exact"/>
        </w:trPr>
        <w:tc>
          <w:tcPr>
            <w:tcW w:w="1702"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5953" w:type="dxa"/>
            <w:tcBorders>
              <w:top w:val="single" w:sz="4" w:space="0" w:color="000000"/>
              <w:left w:val="single" w:sz="4" w:space="0" w:color="000000"/>
              <w:bottom w:val="nil" w:sz="6" w:space="0" w:color="auto"/>
              <w:right w:val="single" w:sz="10" w:space="0" w:color="FFFFFF"/>
            </w:tcBorders>
          </w:tcPr>
          <w:p>
            <w:pPr>
              <w:pStyle w:val="TableParagraph"/>
              <w:spacing w:line="352" w:lineRule="auto" w:before="33"/>
              <w:ind w:left="22" w:right="14" w:hanging="9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陈江涛先生向公司董事会提交了公司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年度利润分配预案的提议及承诺 具体内容为： </w:t>
            </w:r>
            <w:r>
              <w:rPr>
                <w:rFonts w:ascii="Times New Roman" w:hAnsi="Times New Roman" w:cs="Times New Roman" w:eastAsia="Times New Roman" w:hint="default"/>
                <w:sz w:val="18"/>
                <w:szCs w:val="18"/>
              </w:rPr>
              <w:t>1.</w:t>
            </w:r>
            <w:r>
              <w:rPr>
                <w:rFonts w:ascii="宋体" w:hAnsi="宋体" w:cs="宋体" w:eastAsia="宋体" w:hint="default"/>
                <w:sz w:val="18"/>
                <w:szCs w:val="18"/>
              </w:rPr>
              <w:t>鉴于公司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年度盈利状况良好，为回报全体股东，同时 因目前公司股本规模较小，考虑到公司未来经营发展的需要，现提议公司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年度利润分配预案为：以截止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日公司总股本</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56,000,000</w:t>
            </w:r>
          </w:p>
        </w:tc>
        <w:tc>
          <w:tcPr>
            <w:tcW w:w="994"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33"/>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109"/>
              <w:ind w:left="16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358" w:lineRule="exact" w:before="137"/>
              <w:ind w:left="40" w:right="38" w:hanging="3"/>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 会审议投票 时止</w:t>
            </w:r>
          </w:p>
        </w:tc>
        <w:tc>
          <w:tcPr>
            <w:tcW w:w="248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274" w:hRule="exact"/>
        </w:trPr>
        <w:tc>
          <w:tcPr>
            <w:tcW w:w="1702" w:type="dxa"/>
            <w:vMerge/>
            <w:tcBorders>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
        </w:tc>
        <w:tc>
          <w:tcPr>
            <w:tcW w:w="5953" w:type="dxa"/>
            <w:tcBorders>
              <w:top w:val="nil" w:sz="6" w:space="0" w:color="auto"/>
              <w:left w:val="single" w:sz="4" w:space="0" w:color="000000"/>
              <w:bottom w:val="single" w:sz="4" w:space="0" w:color="000000"/>
              <w:right w:val="single" w:sz="10" w:space="0" w:color="FFFFFF"/>
            </w:tcBorders>
          </w:tcPr>
          <w:p>
            <w:pPr>
              <w:pStyle w:val="TableParagraph"/>
              <w:spacing w:line="193" w:lineRule="exact"/>
              <w:ind w:left="22" w:right="-27"/>
              <w:jc w:val="center"/>
              <w:rPr>
                <w:rFonts w:ascii="宋体" w:hAnsi="宋体" w:cs="宋体" w:eastAsia="宋体" w:hint="default"/>
                <w:sz w:val="18"/>
                <w:szCs w:val="18"/>
              </w:rPr>
            </w:pPr>
            <w:r>
              <w:rPr>
                <w:rFonts w:ascii="宋体" w:hAnsi="宋体" w:cs="宋体" w:eastAsia="宋体" w:hint="default"/>
                <w:sz w:val="18"/>
                <w:szCs w:val="18"/>
              </w:rPr>
              <w:t>股为基数，由资本公积向全体股东每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股，现金分配方案待定。</w:t>
            </w:r>
          </w:p>
        </w:tc>
        <w:tc>
          <w:tcPr>
            <w:tcW w:w="994" w:type="dxa"/>
            <w:tcBorders>
              <w:top w:val="nil" w:sz="6" w:space="0" w:color="auto"/>
              <w:left w:val="single" w:sz="10" w:space="0" w:color="FFFFFF"/>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486"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34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15" w:right="34" w:hanging="180"/>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134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3" w:hRule="exact"/>
        </w:trPr>
        <w:tc>
          <w:tcPr>
            <w:tcW w:w="17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是否就导致的同业竞</w:t>
            </w:r>
          </w:p>
        </w:tc>
        <w:tc>
          <w:tcPr>
            <w:tcW w:w="13402" w:type="dxa"/>
            <w:gridSpan w:val="5"/>
            <w:tcBorders>
              <w:top w:val="single" w:sz="4" w:space="0" w:color="000000"/>
              <w:left w:val="single" w:sz="4" w:space="0" w:color="000000"/>
              <w:bottom w:val="nil" w:sz="6" w:space="0" w:color="auto"/>
              <w:right w:val="single" w:sz="4" w:space="0" w:color="000000"/>
            </w:tcBorders>
          </w:tcPr>
          <w:p>
            <w:pPr/>
          </w:p>
        </w:tc>
      </w:tr>
      <w:tr>
        <w:trPr>
          <w:trHeight w:val="359"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争和关联交易问题作</w:t>
            </w:r>
          </w:p>
        </w:tc>
        <w:tc>
          <w:tcPr>
            <w:tcW w:w="13402"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4" w:hRule="exact"/>
        </w:trPr>
        <w:tc>
          <w:tcPr>
            <w:tcW w:w="17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出承诺</w:t>
            </w:r>
          </w:p>
        </w:tc>
        <w:tc>
          <w:tcPr>
            <w:tcW w:w="13402" w:type="dxa"/>
            <w:gridSpan w:val="5"/>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承诺的解决期限</w:t>
            </w:r>
          </w:p>
        </w:tc>
        <w:tc>
          <w:tcPr>
            <w:tcW w:w="134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997" w:footer="1249" w:top="1340" w:bottom="1440" w:left="90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spacing w:before="44"/>
        <w:ind w:left="0" w:right="99" w:firstLine="0"/>
        <w:jc w:val="right"/>
        <w:rPr>
          <w:rFonts w:ascii="宋体" w:hAnsi="宋体" w:cs="宋体" w:eastAsia="宋体" w:hint="default"/>
          <w:sz w:val="18"/>
          <w:szCs w:val="18"/>
        </w:rPr>
      </w:pPr>
      <w:r>
        <w:rPr/>
        <w:pict>
          <v:shape style="position:absolute;margin-left:50.451pt;margin-top:-89.648285pt;width:755.9pt;height:198.8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3402"/>
                  </w:tblGrid>
                  <w:tr>
                    <w:trPr>
                      <w:trHeight w:val="368" w:hRule="exact"/>
                    </w:trPr>
                    <w:tc>
                      <w:tcPr>
                        <w:tcW w:w="1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11"/>
                            <w:sz w:val="18"/>
                            <w:szCs w:val="18"/>
                          </w:rPr>
                          <w:t>、</w:t>
                        </w:r>
                        <w:r>
                          <w:rPr>
                            <w:rFonts w:ascii="宋体" w:hAnsi="宋体" w:cs="宋体" w:eastAsia="宋体" w:hint="default"/>
                            <w:sz w:val="18"/>
                            <w:szCs w:val="18"/>
                          </w:rPr>
                          <w:t>为了避免损害股份公司及其他股东利益</w:t>
                        </w:r>
                        <w:r>
                          <w:rPr>
                            <w:rFonts w:ascii="宋体" w:hAnsi="宋体" w:cs="宋体" w:eastAsia="宋体" w:hint="default"/>
                            <w:spacing w:val="-11"/>
                            <w:sz w:val="18"/>
                            <w:szCs w:val="18"/>
                          </w:rPr>
                          <w:t>，</w:t>
                        </w:r>
                        <w:r>
                          <w:rPr>
                            <w:rFonts w:ascii="宋体" w:hAnsi="宋体" w:cs="宋体" w:eastAsia="宋体" w:hint="default"/>
                            <w:sz w:val="18"/>
                            <w:szCs w:val="18"/>
                          </w:rPr>
                          <w:t>实际控制人陈江涛先生分别向公司及全体股东出具</w:t>
                        </w:r>
                        <w:r>
                          <w:rPr>
                            <w:rFonts w:ascii="宋体" w:hAnsi="宋体" w:cs="宋体" w:eastAsia="宋体" w:hint="default"/>
                            <w:spacing w:val="-11"/>
                            <w:sz w:val="18"/>
                            <w:szCs w:val="18"/>
                          </w:rPr>
                          <w:t>了</w:t>
                        </w:r>
                        <w:r>
                          <w:rPr>
                            <w:rFonts w:ascii="宋体" w:hAnsi="宋体" w:cs="宋体" w:eastAsia="宋体" w:hint="default"/>
                            <w:sz w:val="18"/>
                            <w:szCs w:val="18"/>
                          </w:rPr>
                          <w:t>《避免同业竞争承诺函</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承诺内容如下：</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为避免出现与旋极信息</w:t>
                        </w:r>
                      </w:p>
                    </w:tc>
                  </w:tr>
                  <w:tr>
                    <w:trPr>
                      <w:trHeight w:val="35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的同业竞争，本人不可撤销地承诺如下：</w:t>
                        </w:r>
                      </w:p>
                    </w:tc>
                  </w:tr>
                  <w:tr>
                    <w:trPr>
                      <w:trHeight w:val="36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）本人目前并没有直接或间接地从事任何与旋极信息所从事的业务构成同业竞争的任何业务活动；</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）本人保证今后的任何时间不会直接或间接地以任何方式（包括但不限于独资、合资、合作和联营）从事、参与或进行任何与旋极信息相同或类似的业务，以避免</w:t>
                        </w:r>
                      </w:p>
                    </w:tc>
                  </w:tr>
                  <w:tr>
                    <w:trPr>
                      <w:trHeight w:val="26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与旋极信息的生产经营构成可能的直接的或间接的业务竞争；</w:t>
                        </w:r>
                      </w:p>
                    </w:tc>
                  </w:tr>
                  <w:tr>
                    <w:trPr>
                      <w:trHeight w:val="179"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解决方式</w:t>
                        </w:r>
                      </w:p>
                    </w:tc>
                    <w:tc>
                      <w:tcPr>
                        <w:tcW w:w="13402"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11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）如果本人有同旋极信息主营业务相同或类似的业务机会，应立即通知旋极信息，并尽其最大努力，按旋极信息可接受的合理条款与条件向旋极信息提供上述机会</w:t>
                        </w:r>
                      </w:p>
                    </w:tc>
                  </w:tr>
                  <w:tr>
                    <w:trPr>
                      <w:trHeight w:val="35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无论旋极信息是否放弃该业务机会，本人均不会自行从事、发展、经营该等业务；</w:t>
                        </w:r>
                      </w:p>
                    </w:tc>
                  </w:tr>
                  <w:tr>
                    <w:trPr>
                      <w:trHeight w:val="36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本承诺函自出具之日起生效，并在本人作为旋极信息股东或关联方的整个期间持续有效。</w:t>
                        </w:r>
                        <w:r>
                          <w:rPr>
                            <w:rFonts w:ascii="Times New Roman" w:hAnsi="Times New Roman" w:cs="Times New Roman" w:eastAsia="Times New Roman" w:hint="default"/>
                            <w:sz w:val="18"/>
                            <w:szCs w:val="18"/>
                          </w:rPr>
                          <w:t>”</w:t>
                        </w:r>
                      </w:p>
                    </w:tc>
                  </w:tr>
                  <w:tr>
                    <w:trPr>
                      <w:trHeight w:val="359"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1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1"/>
                            <w:sz w:val="18"/>
                            <w:szCs w:val="18"/>
                          </w:rPr>
                          <w:t>公司董事、监事、高级管理人员及其他核心人员均承诺：严格遵守《公司法》等有关法律法规和公司章程的规定，不自营或者为他人经营与本公司同类的业务或</w:t>
                        </w:r>
                      </w:p>
                    </w:tc>
                  </w:tr>
                  <w:tr>
                    <w:trPr>
                      <w:trHeight w:val="359" w:hRule="exact"/>
                    </w:trPr>
                    <w:tc>
                      <w:tcPr>
                        <w:tcW w:w="17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者从事损害本公司利益的活动。</w:t>
                        </w: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承诺的履行情况</w:t>
                        </w:r>
                      </w:p>
                    </w:tc>
                    <w:tc>
                      <w:tcPr>
                        <w:tcW w:w="1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3" w:right="0"/>
                          <w:jc w:val="left"/>
                          <w:rPr>
                            <w:rFonts w:ascii="宋体" w:hAnsi="宋体" w:cs="宋体" w:eastAsia="宋体" w:hint="default"/>
                            <w:sz w:val="18"/>
                            <w:szCs w:val="18"/>
                          </w:rPr>
                        </w:pPr>
                        <w:r>
                          <w:rPr>
                            <w:rFonts w:ascii="宋体" w:hAnsi="宋体" w:cs="宋体" w:eastAsia="宋体" w:hint="default"/>
                            <w:sz w:val="18"/>
                            <w:szCs w:val="18"/>
                          </w:rPr>
                          <w:t>报告期内，承诺人均严格履行承诺，截至本报告期末，没有任何违反承诺的事项发生。</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997" w:footer="1249" w:top="1340" w:bottom="1440" w:left="900" w:right="560"/>
        </w:sectPr>
      </w:pPr>
    </w:p>
    <w:p>
      <w:pPr>
        <w:spacing w:line="240" w:lineRule="auto" w:before="3"/>
        <w:rPr>
          <w:rFonts w:ascii="宋体" w:hAnsi="宋体" w:cs="宋体" w:eastAsia="宋体" w:hint="default"/>
          <w:sz w:val="10"/>
          <w:szCs w:val="10"/>
        </w:rPr>
      </w:pPr>
    </w:p>
    <w:p>
      <w:pPr>
        <w:pStyle w:val="Heading3"/>
        <w:spacing w:line="336" w:lineRule="auto" w:before="26"/>
        <w:ind w:right="0"/>
        <w:jc w:val="left"/>
      </w:pPr>
      <w:r>
        <w:rPr>
          <w:rFonts w:ascii="Cambria" w:hAnsi="Cambria" w:cs="Cambria" w:eastAsia="Cambria" w:hint="default"/>
          <w:spacing w:val="-4"/>
        </w:rPr>
        <w:t>2</w:t>
      </w:r>
      <w:r>
        <w:rPr>
          <w:spacing w:val="-4"/>
        </w:rPr>
        <w:t>、公司资产或项目存在盈利预测，且报告期仍处在盈利预测期间，公司就资产或项目达到原</w:t>
      </w:r>
      <w:r>
        <w:rPr>
          <w:spacing w:val="-89"/>
        </w:rPr>
        <w:t> </w:t>
      </w:r>
      <w:r>
        <w:rPr>
          <w:spacing w:val="-89"/>
        </w:rPr>
      </w:r>
      <w:r>
        <w:rPr/>
        <w:t>盈利预测及其原因做出说明</w:t>
      </w:r>
    </w:p>
    <w:p>
      <w:pPr>
        <w:spacing w:line="240" w:lineRule="auto" w:before="1"/>
        <w:rPr>
          <w:rFonts w:ascii="黑体" w:hAnsi="黑体" w:cs="黑体" w:eastAsia="黑体" w:hint="default"/>
          <w:sz w:val="18"/>
          <w:szCs w:val="18"/>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九、聘任、解聘会计师事务所情况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现聘任的会计事务所</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56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b/>
                <w:bCs/>
                <w:sz w:val="18"/>
                <w:szCs w:val="18"/>
              </w:rPr>
              <w:t>境内会计师事务所名称</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56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b/>
                <w:bCs/>
                <w:sz w:val="18"/>
                <w:szCs w:val="18"/>
              </w:rPr>
              <w:t>境内会计师事务所报酬（万元）</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r>
      <w:tr>
        <w:trPr>
          <w:trHeight w:val="56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境内会计师事务所审计服务的连续年限</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r>
      <w:tr>
        <w:trPr>
          <w:trHeight w:val="56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b/>
                <w:bCs/>
                <w:sz w:val="18"/>
                <w:szCs w:val="18"/>
              </w:rPr>
              <w:t>境内会计师事务所注册会计师姓名</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王贡勇、张秀芹</w:t>
            </w:r>
          </w:p>
        </w:tc>
      </w:tr>
      <w:tr>
        <w:trPr>
          <w:trHeight w:val="56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b/>
                <w:bCs/>
                <w:sz w:val="18"/>
                <w:szCs w:val="18"/>
              </w:rPr>
              <w:t>境外会计师事务所名称</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56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b/>
                <w:bCs/>
                <w:sz w:val="18"/>
                <w:szCs w:val="18"/>
              </w:rPr>
              <w:t>境外会计师事务所报酬（万元）</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56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境外会计师事务所审计服务的连续年限</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56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b/>
                <w:bCs/>
                <w:sz w:val="18"/>
                <w:szCs w:val="18"/>
              </w:rPr>
              <w:t>境外会计师事务所注册会计师姓名</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是否改聘会计师事务所</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1"/>
        <w:rPr>
          <w:rFonts w:ascii="宋体" w:hAnsi="宋体" w:cs="宋体" w:eastAsia="宋体" w:hint="default"/>
          <w:sz w:val="27"/>
          <w:szCs w:val="27"/>
        </w:rPr>
      </w:pPr>
    </w:p>
    <w:p>
      <w:pPr>
        <w:pStyle w:val="Heading2"/>
        <w:spacing w:line="408" w:lineRule="auto"/>
        <w:ind w:left="153" w:right="149"/>
        <w:jc w:val="left"/>
      </w:pPr>
      <w:r>
        <w:rPr>
          <w:spacing w:val="3"/>
        </w:rPr>
        <w:t>十、上市公司及其董事、监事、高级管理人员、公司股东、实际控制人和收购</w:t>
      </w:r>
      <w:r>
        <w:rPr>
          <w:w w:val="99"/>
        </w:rPr>
        <w:t> </w:t>
      </w:r>
      <w:r>
        <w:rPr/>
        <w:t>人处罚及整改情况</w:t>
      </w:r>
    </w:p>
    <w:p>
      <w:pPr>
        <w:pStyle w:val="BodyText"/>
        <w:spacing w:line="516" w:lineRule="auto" w:before="196"/>
        <w:ind w:right="32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上市公司及其子公司是否被列入环保部门公布的污染严重企业名单</w:t>
      </w:r>
    </w:p>
    <w:p>
      <w:pPr>
        <w:pStyle w:val="BodyText"/>
        <w:spacing w:line="516" w:lineRule="auto" w:before="107"/>
        <w:ind w:right="452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上市公司及其子公司是否存在其他重大社会安全问题</w:t>
      </w:r>
    </w:p>
    <w:p>
      <w:pPr>
        <w:pStyle w:val="BodyText"/>
        <w:spacing w:line="240" w:lineRule="auto" w:before="10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headerReference w:type="default" r:id="rId25"/>
          <w:footerReference w:type="default" r:id="rId26"/>
          <w:pgSz w:w="11910" w:h="16840"/>
          <w:pgMar w:header="997" w:footer="1252" w:top="1340" w:bottom="1440" w:left="980" w:right="980"/>
          <w:pgNumType w:start="57"/>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报告期内是否被行政处罚</w:t>
      </w:r>
    </w:p>
    <w:p>
      <w:pPr>
        <w:spacing w:line="240" w:lineRule="auto" w:before="9"/>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1"/>
        <w:rPr>
          <w:rFonts w:ascii="宋体" w:hAnsi="宋体" w:cs="宋体" w:eastAsia="宋体" w:hint="default"/>
          <w:sz w:val="27"/>
          <w:szCs w:val="27"/>
        </w:rPr>
      </w:pPr>
    </w:p>
    <w:p>
      <w:pPr>
        <w:pStyle w:val="Heading2"/>
        <w:spacing w:line="240" w:lineRule="auto"/>
        <w:ind w:right="0"/>
        <w:jc w:val="left"/>
      </w:pPr>
      <w:r>
        <w:rPr/>
        <w:t>十一、公司股东及其一致行动人在报告期提出或实施股份增持计划的情况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386" w:lineRule="auto"/>
        <w:ind w:right="0" w:hanging="1"/>
        <w:jc w:val="left"/>
      </w:pPr>
      <w:r>
        <w:rPr>
          <w:spacing w:val="-5"/>
        </w:rPr>
        <w:t>十二、</w:t>
      </w:r>
      <w:r>
        <w:rPr>
          <w:rFonts w:ascii="Times New Roman" w:hAnsi="Times New Roman" w:cs="Times New Roman" w:eastAsia="Times New Roman" w:hint="default"/>
          <w:spacing w:val="-5"/>
        </w:rPr>
        <w:t>2012 </w:t>
      </w:r>
      <w:r>
        <w:rPr>
          <w:spacing w:val="-6"/>
        </w:rPr>
        <w:t>年董事、监事、高级管理人员、持股</w:t>
      </w:r>
      <w:r>
        <w:rPr>
          <w:spacing w:val="-65"/>
        </w:rPr>
        <w:t> </w:t>
      </w:r>
      <w:r>
        <w:rPr>
          <w:rFonts w:ascii="Times New Roman" w:hAnsi="Times New Roman" w:cs="Times New Roman" w:eastAsia="Times New Roman" w:hint="default"/>
        </w:rPr>
        <w:t>5%</w:t>
      </w:r>
      <w:r>
        <w:rPr/>
        <w:t>以上的股东违规买卖公司股</w:t>
      </w:r>
      <w:r>
        <w:rPr>
          <w:w w:val="99"/>
        </w:rPr>
        <w:t> </w:t>
      </w:r>
      <w:r>
        <w:rPr/>
        <w:t>票情况</w:t>
      </w:r>
    </w:p>
    <w:p>
      <w:pPr>
        <w:pStyle w:val="BodyText"/>
        <w:spacing w:line="240" w:lineRule="auto" w:before="221"/>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十三、违规对外担保情况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十四、年度报告披露后面临暂停上市和终止上市情况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十五、其他重大事项的说明</w:t>
      </w:r>
    </w:p>
    <w:p>
      <w:pPr>
        <w:spacing w:line="240" w:lineRule="auto" w:before="13"/>
        <w:rPr>
          <w:rFonts w:ascii="黑体" w:hAnsi="黑体" w:cs="黑体" w:eastAsia="黑体" w:hint="default"/>
          <w:sz w:val="29"/>
          <w:szCs w:val="29"/>
        </w:rPr>
      </w:pPr>
    </w:p>
    <w:p>
      <w:pPr>
        <w:pStyle w:val="BodyText"/>
        <w:spacing w:line="240" w:lineRule="auto"/>
        <w:ind w:right="0"/>
        <w:jc w:val="left"/>
      </w:pPr>
      <w:r>
        <w:rPr/>
        <w:t>无。</w:t>
      </w:r>
    </w:p>
    <w:p>
      <w:pPr>
        <w:spacing w:after="0" w:line="240" w:lineRule="auto"/>
        <w:jc w:val="left"/>
        <w:sectPr>
          <w:pgSz w:w="11910" w:h="16840"/>
          <w:pgMar w:header="997" w:footer="1252" w:top="1340" w:bottom="1440" w:left="980" w:right="980"/>
        </w:sectPr>
      </w:pPr>
    </w:p>
    <w:p>
      <w:pPr>
        <w:spacing w:line="240" w:lineRule="auto" w:before="1"/>
        <w:rPr>
          <w:rFonts w:ascii="宋体" w:hAnsi="宋体" w:cs="宋体" w:eastAsia="宋体" w:hint="default"/>
          <w:sz w:val="13"/>
          <w:szCs w:val="13"/>
        </w:rPr>
      </w:pPr>
    </w:p>
    <w:p>
      <w:pPr>
        <w:pStyle w:val="Heading1"/>
        <w:spacing w:line="240" w:lineRule="auto"/>
        <w:ind w:left="3673" w:right="0"/>
        <w:jc w:val="left"/>
      </w:pPr>
      <w:bookmarkStart w:name="_TOC_250004" w:id="5"/>
      <w:r>
        <w:rPr/>
        <w:t>第六节</w:t>
      </w:r>
      <w:r>
        <w:rPr>
          <w:spacing w:val="-7"/>
        </w:rPr>
        <w:t> </w:t>
      </w:r>
      <w:bookmarkEnd w:id="5"/>
      <w:r>
        <w:rPr/>
        <w:t>股份变动及股东情况</w:t>
      </w:r>
    </w:p>
    <w:p>
      <w:pPr>
        <w:spacing w:line="240" w:lineRule="auto" w:before="1"/>
        <w:rPr>
          <w:rFonts w:ascii="黑体" w:hAnsi="黑体" w:cs="黑体" w:eastAsia="黑体" w:hint="default"/>
          <w:sz w:val="29"/>
          <w:szCs w:val="29"/>
        </w:rPr>
      </w:pPr>
    </w:p>
    <w:p>
      <w:pPr>
        <w:pStyle w:val="Heading2"/>
        <w:spacing w:line="240" w:lineRule="auto" w:before="13"/>
        <w:ind w:left="534" w:right="0"/>
        <w:jc w:val="left"/>
      </w:pPr>
      <w:r>
        <w:rPr/>
        <w:t>一、股份变动情况</w:t>
      </w:r>
    </w:p>
    <w:p>
      <w:pPr>
        <w:spacing w:line="240" w:lineRule="auto" w:before="3"/>
        <w:rPr>
          <w:rFonts w:ascii="黑体" w:hAnsi="黑体" w:cs="黑体" w:eastAsia="黑体" w:hint="default"/>
          <w:sz w:val="28"/>
          <w:szCs w:val="28"/>
        </w:rPr>
      </w:pPr>
    </w:p>
    <w:p>
      <w:pPr>
        <w:pStyle w:val="Heading3"/>
        <w:spacing w:line="240" w:lineRule="auto"/>
        <w:ind w:left="534" w:right="0"/>
        <w:jc w:val="left"/>
      </w:pPr>
      <w:r>
        <w:rPr>
          <w:rFonts w:ascii="Cambria" w:hAnsi="Cambria" w:cs="Cambria" w:eastAsia="Cambria" w:hint="default"/>
        </w:rPr>
        <w:t>1</w:t>
      </w:r>
      <w:r>
        <w:rPr/>
        <w:t>、股份变动情况</w:t>
      </w:r>
    </w:p>
    <w:p>
      <w:pPr>
        <w:spacing w:line="240" w:lineRule="auto" w:before="2"/>
        <w:rPr>
          <w:rFonts w:ascii="黑体" w:hAnsi="黑体" w:cs="黑体" w:eastAsia="黑体"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1821"/>
        <w:gridCol w:w="1146"/>
        <w:gridCol w:w="850"/>
        <w:gridCol w:w="1162"/>
        <w:gridCol w:w="844"/>
        <w:gridCol w:w="842"/>
        <w:gridCol w:w="696"/>
        <w:gridCol w:w="990"/>
        <w:gridCol w:w="996"/>
        <w:gridCol w:w="850"/>
      </w:tblGrid>
      <w:tr>
        <w:trPr>
          <w:trHeight w:val="407" w:hRule="exact"/>
        </w:trPr>
        <w:tc>
          <w:tcPr>
            <w:tcW w:w="18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7"/>
              <w:ind w:left="547"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34"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7"/>
              <w:ind w:left="1268"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8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7"/>
              <w:ind w:left="466"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155" w:hRule="exact"/>
        </w:trPr>
        <w:tc>
          <w:tcPr>
            <w:tcW w:w="1821" w:type="dxa"/>
            <w:vMerge w:val="restart"/>
            <w:tcBorders>
              <w:top w:val="nil" w:sz="6" w:space="0" w:color="auto"/>
              <w:left w:val="single" w:sz="4" w:space="0" w:color="000000"/>
              <w:right w:val="single" w:sz="4" w:space="0" w:color="000000"/>
            </w:tcBorders>
            <w:shd w:val="clear" w:color="auto" w:fill="D3D3D3"/>
          </w:tcPr>
          <w:p>
            <w:pPr/>
          </w:p>
        </w:tc>
        <w:tc>
          <w:tcPr>
            <w:tcW w:w="1996" w:type="dxa"/>
            <w:gridSpan w:val="2"/>
            <w:vMerge/>
            <w:tcBorders>
              <w:left w:val="single" w:sz="4" w:space="0" w:color="000000"/>
              <w:bottom w:val="single" w:sz="4" w:space="0" w:color="000000"/>
              <w:right w:val="single" w:sz="4" w:space="0" w:color="000000"/>
            </w:tcBorders>
            <w:shd w:val="clear" w:color="auto" w:fill="D3D3D3"/>
          </w:tcPr>
          <w:p>
            <w:pPr/>
          </w:p>
        </w:tc>
        <w:tc>
          <w:tcPr>
            <w:tcW w:w="4534" w:type="dxa"/>
            <w:gridSpan w:val="5"/>
            <w:vMerge/>
            <w:tcBorders>
              <w:left w:val="single" w:sz="4" w:space="0" w:color="000000"/>
              <w:bottom w:val="single" w:sz="4" w:space="0" w:color="000000"/>
              <w:right w:val="single" w:sz="4" w:space="0" w:color="000000"/>
            </w:tcBorders>
            <w:shd w:val="clear" w:color="auto" w:fill="D3D3D3"/>
          </w:tcPr>
          <w:p>
            <w:pPr/>
          </w:p>
        </w:tc>
        <w:tc>
          <w:tcPr>
            <w:tcW w:w="1846" w:type="dxa"/>
            <w:gridSpan w:val="2"/>
            <w:vMerge/>
            <w:tcBorders>
              <w:left w:val="single" w:sz="4" w:space="0" w:color="000000"/>
              <w:bottom w:val="single" w:sz="4" w:space="0" w:color="000000"/>
              <w:right w:val="single" w:sz="4" w:space="0" w:color="000000"/>
            </w:tcBorders>
            <w:shd w:val="clear" w:color="auto" w:fill="D3D3D3"/>
          </w:tcPr>
          <w:p>
            <w:pPr/>
          </w:p>
        </w:tc>
      </w:tr>
      <w:tr>
        <w:trPr>
          <w:trHeight w:val="126" w:hRule="exact"/>
        </w:trPr>
        <w:tc>
          <w:tcPr>
            <w:tcW w:w="1821" w:type="dxa"/>
            <w:vMerge/>
            <w:tcBorders>
              <w:left w:val="single" w:sz="4" w:space="0" w:color="000000"/>
              <w:right w:val="single" w:sz="4" w:space="0" w:color="000000"/>
            </w:tcBorders>
            <w:shd w:val="clear" w:color="auto" w:fill="D3D3D3"/>
          </w:tcPr>
          <w:p>
            <w:pPr/>
          </w:p>
        </w:tc>
        <w:tc>
          <w:tcPr>
            <w:tcW w:w="1146"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39"/>
              <w:ind w:left="325" w:right="53" w:hanging="270"/>
              <w:jc w:val="left"/>
              <w:rPr>
                <w:rFonts w:ascii="宋体" w:hAnsi="宋体" w:cs="宋体" w:eastAsia="宋体" w:hint="default"/>
                <w:sz w:val="18"/>
                <w:szCs w:val="18"/>
              </w:rPr>
            </w:pPr>
            <w:r>
              <w:rPr>
                <w:rFonts w:ascii="宋体" w:hAnsi="宋体" w:cs="宋体" w:eastAsia="宋体" w:hint="default"/>
                <w:b/>
                <w:bCs/>
                <w:sz w:val="18"/>
                <w:szCs w:val="18"/>
              </w:rPr>
              <w:t>公积金转</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69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0" w:type="dxa"/>
            <w:tcBorders>
              <w:top w:val="single" w:sz="4" w:space="0" w:color="000000"/>
              <w:left w:val="single" w:sz="4" w:space="0" w:color="000000"/>
              <w:bottom w:val="nil" w:sz="6" w:space="0" w:color="auto"/>
              <w:right w:val="single" w:sz="4" w:space="0" w:color="000000"/>
            </w:tcBorders>
            <w:shd w:val="clear" w:color="auto" w:fill="D3D3D3"/>
          </w:tcPr>
          <w:p>
            <w:pPr/>
          </w:p>
        </w:tc>
        <w:tc>
          <w:tcPr>
            <w:tcW w:w="9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71" w:hRule="exact"/>
        </w:trPr>
        <w:tc>
          <w:tcPr>
            <w:tcW w:w="1821" w:type="dxa"/>
            <w:vMerge/>
            <w:tcBorders>
              <w:left w:val="single" w:sz="4" w:space="0" w:color="000000"/>
              <w:bottom w:val="nil" w:sz="6" w:space="0" w:color="auto"/>
              <w:right w:val="single" w:sz="4" w:space="0" w:color="000000"/>
            </w:tcBorders>
            <w:shd w:val="clear" w:color="auto" w:fill="D3D3D3"/>
          </w:tcPr>
          <w:p>
            <w:pPr/>
          </w:p>
        </w:tc>
        <w:tc>
          <w:tcPr>
            <w:tcW w:w="11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10"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8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214"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236"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42" w:type="dxa"/>
            <w:vMerge/>
            <w:tcBorders>
              <w:left w:val="single" w:sz="4" w:space="0" w:color="000000"/>
              <w:right w:val="single" w:sz="4" w:space="0" w:color="000000"/>
            </w:tcBorders>
            <w:shd w:val="clear" w:color="auto" w:fill="D3D3D3"/>
          </w:tcPr>
          <w:p>
            <w:pPr/>
          </w:p>
        </w:tc>
        <w:tc>
          <w:tcPr>
            <w:tcW w:w="6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16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9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312"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7"/>
              <w:ind w:left="8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5" w:hRule="exact"/>
        </w:trPr>
        <w:tc>
          <w:tcPr>
            <w:tcW w:w="18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6"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162"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990" w:type="dxa"/>
            <w:vMerge/>
            <w:tcBorders>
              <w:left w:val="single" w:sz="4" w:space="0" w:color="000000"/>
              <w:bottom w:val="single" w:sz="4" w:space="0" w:color="000000"/>
              <w:right w:val="single" w:sz="4" w:space="0" w:color="000000"/>
            </w:tcBorders>
            <w:shd w:val="clear" w:color="auto" w:fill="D3D3D3"/>
          </w:tcPr>
          <w:p>
            <w:pPr/>
          </w:p>
        </w:tc>
        <w:tc>
          <w:tcPr>
            <w:tcW w:w="996"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r>
      <w:tr>
        <w:trPr>
          <w:trHeight w:val="562"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52" w:space="0" w:color="D3D3D3"/>
              <w:left w:val="single" w:sz="13" w:space="0" w:color="D3D3D3"/>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42,000,000</w:t>
            </w:r>
          </w:p>
        </w:tc>
        <w:tc>
          <w:tcPr>
            <w:tcW w:w="850"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52" w:space="0" w:color="D3D3D3"/>
              <w:left w:val="single" w:sz="4" w:space="0" w:color="000000"/>
              <w:bottom w:val="single" w:sz="4" w:space="0" w:color="000000"/>
              <w:right w:val="single" w:sz="4" w:space="0" w:color="000000"/>
            </w:tcBorders>
          </w:tcPr>
          <w:p>
            <w:pPr/>
          </w:p>
        </w:tc>
        <w:tc>
          <w:tcPr>
            <w:tcW w:w="844" w:type="dxa"/>
            <w:tcBorders>
              <w:top w:val="single" w:sz="52" w:space="0" w:color="D3D3D3"/>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52" w:space="0" w:color="D3D3D3"/>
              <w:left w:val="single" w:sz="4" w:space="0" w:color="000000"/>
              <w:bottom w:val="single" w:sz="4" w:space="0" w:color="000000"/>
              <w:right w:val="single" w:sz="4" w:space="0" w:color="000000"/>
            </w:tcBorders>
          </w:tcPr>
          <w:p>
            <w:pPr/>
          </w:p>
        </w:tc>
        <w:tc>
          <w:tcPr>
            <w:tcW w:w="990" w:type="dxa"/>
            <w:tcBorders>
              <w:top w:val="single" w:sz="52" w:space="0" w:color="D3D3D3"/>
              <w:left w:val="single" w:sz="4" w:space="0" w:color="000000"/>
              <w:bottom w:val="single" w:sz="4" w:space="0" w:color="000000"/>
              <w:right w:val="single" w:sz="4" w:space="0" w:color="000000"/>
            </w:tcBorders>
          </w:tcPr>
          <w:p>
            <w:pPr/>
          </w:p>
        </w:tc>
        <w:tc>
          <w:tcPr>
            <w:tcW w:w="996"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42,000,000</w:t>
            </w:r>
          </w:p>
        </w:tc>
        <w:tc>
          <w:tcPr>
            <w:tcW w:w="850"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75%</w:t>
            </w:r>
          </w:p>
        </w:tc>
      </w:tr>
      <w:tr>
        <w:trPr>
          <w:trHeight w:val="562"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r>
      <w:tr>
        <w:trPr>
          <w:trHeight w:val="563"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9"/>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3,761,236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w:t>
            </w:r>
          </w:p>
        </w:tc>
        <w:tc>
          <w:tcPr>
            <w:tcW w:w="116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3,761,236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r>
      <w:tr>
        <w:trPr>
          <w:trHeight w:val="562"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38,238,764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91.04%</w:t>
            </w:r>
          </w:p>
        </w:tc>
        <w:tc>
          <w:tcPr>
            <w:tcW w:w="116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38,238,764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68.28%</w:t>
            </w:r>
          </w:p>
        </w:tc>
      </w:tr>
      <w:tr>
        <w:trPr>
          <w:trHeight w:val="562"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3D3D3"/>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r>
      <w:tr>
        <w:trPr>
          <w:trHeight w:val="563"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6" w:type="dxa"/>
            <w:tcBorders>
              <w:top w:val="single" w:sz="4" w:space="0" w:color="000000"/>
              <w:left w:val="single" w:sz="13" w:space="0" w:color="D3D3D3"/>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r>
      <w:tr>
        <w:trPr>
          <w:trHeight w:val="562" w:hRule="exact"/>
        </w:trPr>
        <w:tc>
          <w:tcPr>
            <w:tcW w:w="1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7"/>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黑体" w:hAnsi="黑体" w:cs="黑体" w:eastAsia="黑体" w:hint="default"/>
          <w:sz w:val="14"/>
          <w:szCs w:val="14"/>
        </w:rPr>
      </w:pPr>
    </w:p>
    <w:p>
      <w:pPr>
        <w:pStyle w:val="BodyText"/>
        <w:spacing w:line="544" w:lineRule="auto" w:before="35"/>
        <w:ind w:left="953" w:right="7581"/>
        <w:jc w:val="left"/>
      </w:pPr>
      <w:r>
        <w:rPr/>
        <w:t>股份变动的原因 不适用 股份变动的批准情况</w:t>
      </w:r>
    </w:p>
    <w:p>
      <w:pPr>
        <w:pStyle w:val="BodyText"/>
        <w:spacing w:line="530" w:lineRule="auto" w:before="82"/>
        <w:ind w:left="954" w:right="758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股份变动的过户情况 无</w:t>
      </w:r>
    </w:p>
    <w:p>
      <w:pPr>
        <w:pStyle w:val="BodyText"/>
        <w:spacing w:line="408" w:lineRule="auto" w:before="95"/>
        <w:ind w:left="534" w:right="0" w:firstLine="420"/>
        <w:jc w:val="left"/>
      </w:pPr>
      <w:r>
        <w:rPr>
          <w:spacing w:val="-1"/>
        </w:rPr>
        <w:t>股份变动对最近一年和最近一期基本每股收益和稀释每股收益、归属于公司普通股股东的每股净资产</w:t>
      </w:r>
      <w:r>
        <w:rPr/>
        <w:t> 等财务指标的影响</w:t>
      </w:r>
    </w:p>
    <w:p>
      <w:pPr>
        <w:spacing w:line="240" w:lineRule="auto" w:before="6"/>
        <w:rPr>
          <w:rFonts w:ascii="宋体" w:hAnsi="宋体" w:cs="宋体" w:eastAsia="宋体" w:hint="default"/>
          <w:sz w:val="15"/>
          <w:szCs w:val="15"/>
        </w:rPr>
      </w:pPr>
    </w:p>
    <w:p>
      <w:pPr>
        <w:pStyle w:val="BodyText"/>
        <w:spacing w:line="516" w:lineRule="auto"/>
        <w:ind w:left="954" w:right="48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公司认为必要或证券监管机构要求披露的其他内容</w:t>
      </w:r>
    </w:p>
    <w:p>
      <w:pPr>
        <w:spacing w:after="0" w:line="516" w:lineRule="auto"/>
        <w:jc w:val="left"/>
        <w:sectPr>
          <w:pgSz w:w="11910" w:h="16840"/>
          <w:pgMar w:header="997" w:footer="1252" w:top="1340" w:bottom="1440" w:left="600" w:right="860"/>
        </w:sectPr>
      </w:pPr>
    </w:p>
    <w:p>
      <w:pPr>
        <w:spacing w:line="240" w:lineRule="auto" w:before="4"/>
        <w:rPr>
          <w:rFonts w:ascii="宋体" w:hAnsi="宋体" w:cs="宋体" w:eastAsia="宋体" w:hint="default"/>
          <w:sz w:val="11"/>
          <w:szCs w:val="11"/>
        </w:rPr>
      </w:pPr>
    </w:p>
    <w:p>
      <w:pPr>
        <w:pStyle w:val="BodyText"/>
        <w:spacing w:line="240" w:lineRule="auto" w:before="35"/>
        <w:ind w:left="814"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2</w:t>
      </w:r>
      <w:r>
        <w:rPr/>
        <w:t>、限售股份变动情况</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left="394" w:right="0"/>
        <w:jc w:val="left"/>
      </w:pPr>
      <w:r>
        <w:rPr/>
        <w:t>二、证券发行与上市情况</w:t>
      </w:r>
    </w:p>
    <w:p>
      <w:pPr>
        <w:spacing w:line="240" w:lineRule="auto" w:before="3"/>
        <w:rPr>
          <w:rFonts w:ascii="黑体" w:hAnsi="黑体" w:cs="黑体" w:eastAsia="黑体" w:hint="default"/>
          <w:sz w:val="28"/>
          <w:szCs w:val="28"/>
        </w:rPr>
      </w:pPr>
    </w:p>
    <w:p>
      <w:pPr>
        <w:pStyle w:val="Heading3"/>
        <w:spacing w:line="240" w:lineRule="auto"/>
        <w:ind w:left="394" w:right="0"/>
        <w:jc w:val="left"/>
      </w:pPr>
      <w:r>
        <w:rPr>
          <w:rFonts w:ascii="Cambria" w:hAnsi="Cambria" w:cs="Cambria" w:eastAsia="Cambria" w:hint="default"/>
        </w:rPr>
        <w:t>1</w:t>
      </w:r>
      <w:r>
        <w:rPr/>
        <w:t>、报告期内证券发行情况</w:t>
      </w:r>
    </w:p>
    <w:p>
      <w:pPr>
        <w:spacing w:line="240" w:lineRule="auto" w:before="2"/>
        <w:rPr>
          <w:rFonts w:ascii="黑体" w:hAnsi="黑体" w:cs="黑体" w:eastAsia="黑体" w:hint="default"/>
          <w:sz w:val="19"/>
          <w:szCs w:val="19"/>
        </w:rPr>
      </w:pPr>
    </w:p>
    <w:tbl>
      <w:tblPr>
        <w:tblW w:w="0" w:type="auto"/>
        <w:jc w:val="left"/>
        <w:tblInd w:w="389" w:type="dxa"/>
        <w:tblLayout w:type="fixed"/>
        <w:tblCellMar>
          <w:top w:w="0" w:type="dxa"/>
          <w:left w:w="0" w:type="dxa"/>
          <w:bottom w:w="0" w:type="dxa"/>
          <w:right w:w="0" w:type="dxa"/>
        </w:tblCellMar>
        <w:tblLook w:val="01E0"/>
      </w:tblPr>
      <w:tblGrid>
        <w:gridCol w:w="1368"/>
        <w:gridCol w:w="1609"/>
        <w:gridCol w:w="1124"/>
        <w:gridCol w:w="1367"/>
        <w:gridCol w:w="1620"/>
        <w:gridCol w:w="1115"/>
        <w:gridCol w:w="1368"/>
      </w:tblGrid>
      <w:tr>
        <w:trPr>
          <w:trHeight w:val="7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406" w:right="47" w:hanging="362"/>
              <w:jc w:val="left"/>
              <w:rPr>
                <w:rFonts w:ascii="宋体" w:hAnsi="宋体" w:cs="宋体" w:eastAsia="宋体" w:hint="default"/>
                <w:sz w:val="18"/>
                <w:szCs w:val="18"/>
              </w:rPr>
            </w:pPr>
            <w:r>
              <w:rPr>
                <w:rFonts w:ascii="宋体" w:hAnsi="宋体" w:cs="宋体" w:eastAsia="宋体" w:hint="default"/>
                <w:b/>
                <w:bCs/>
                <w:sz w:val="18"/>
                <w:szCs w:val="18"/>
              </w:rPr>
              <w:t>股票及其衍生证</w:t>
            </w:r>
            <w:r>
              <w:rPr>
                <w:rFonts w:ascii="宋体" w:hAnsi="宋体" w:cs="宋体" w:eastAsia="宋体" w:hint="default"/>
                <w:b/>
                <w:bCs/>
                <w:w w:val="99"/>
                <w:sz w:val="18"/>
                <w:szCs w:val="18"/>
              </w:rPr>
              <w:t> </w:t>
            </w:r>
            <w:r>
              <w:rPr>
                <w:rFonts w:ascii="宋体" w:hAnsi="宋体" w:cs="宋体" w:eastAsia="宋体" w:hint="default"/>
                <w:b/>
                <w:bCs/>
                <w:sz w:val="18"/>
                <w:szCs w:val="18"/>
              </w:rPr>
              <w:t>券名称</w:t>
            </w:r>
            <w:r>
              <w:rPr>
                <w:rFonts w:ascii="宋体" w:hAnsi="宋体" w:cs="宋体" w:eastAsia="宋体" w:hint="default"/>
                <w:sz w:val="18"/>
                <w:szCs w:val="18"/>
              </w:rPr>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85" w:right="23" w:hanging="263"/>
              <w:jc w:val="left"/>
              <w:rPr>
                <w:rFonts w:ascii="宋体" w:hAnsi="宋体" w:cs="宋体" w:eastAsia="宋体" w:hint="default"/>
                <w:sz w:val="18"/>
                <w:szCs w:val="18"/>
              </w:rPr>
            </w:pPr>
            <w:r>
              <w:rPr>
                <w:rFonts w:ascii="宋体" w:hAnsi="宋体" w:cs="宋体" w:eastAsia="宋体" w:hint="default"/>
                <w:b/>
                <w:bCs/>
                <w:spacing w:val="-3"/>
                <w:sz w:val="18"/>
                <w:szCs w:val="18"/>
              </w:rPr>
              <w:t>发行价格（或</w:t>
            </w:r>
            <w:r>
              <w:rPr>
                <w:rFonts w:ascii="宋体" w:hAnsi="宋体" w:cs="宋体" w:eastAsia="宋体" w:hint="default"/>
                <w:b/>
                <w:bCs/>
                <w:w w:val="99"/>
                <w:sz w:val="18"/>
                <w:szCs w:val="18"/>
              </w:rPr>
              <w:t> </w:t>
            </w:r>
            <w:r>
              <w:rPr>
                <w:rFonts w:ascii="宋体" w:hAnsi="宋体" w:cs="宋体" w:eastAsia="宋体" w:hint="default"/>
                <w:b/>
                <w:bCs/>
                <w:sz w:val="18"/>
                <w:szCs w:val="18"/>
              </w:rPr>
              <w:t>利率）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发行数量</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80" w:right="98" w:hanging="182"/>
              <w:jc w:val="left"/>
              <w:rPr>
                <w:rFonts w:ascii="宋体" w:hAnsi="宋体" w:cs="宋体" w:eastAsia="宋体" w:hint="default"/>
                <w:sz w:val="18"/>
                <w:szCs w:val="18"/>
              </w:rPr>
            </w:pPr>
            <w:r>
              <w:rPr>
                <w:rFonts w:ascii="宋体" w:hAnsi="宋体" w:cs="宋体" w:eastAsia="宋体" w:hint="default"/>
                <w:b/>
                <w:bCs/>
                <w:sz w:val="18"/>
                <w:szCs w:val="18"/>
              </w:rPr>
              <w:t>获准上市交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易数量</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交易终止日期</w:t>
            </w:r>
            <w:r>
              <w:rPr>
                <w:rFonts w:ascii="宋体" w:hAnsi="宋体" w:cs="宋体" w:eastAsia="宋体" w:hint="default"/>
                <w:sz w:val="18"/>
                <w:szCs w:val="18"/>
              </w:rPr>
            </w:r>
          </w:p>
        </w:tc>
      </w:tr>
      <w:tr>
        <w:trPr>
          <w:trHeight w:val="369"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股票类</w:t>
            </w:r>
            <w:r>
              <w:rPr>
                <w:rFonts w:ascii="宋体" w:hAnsi="宋体" w:cs="宋体" w:eastAsia="宋体" w:hint="default"/>
                <w:sz w:val="18"/>
                <w:szCs w:val="18"/>
              </w:rPr>
            </w:r>
          </w:p>
        </w:tc>
      </w:tr>
      <w:tr>
        <w:trPr>
          <w:trHeight w:val="727" w:hRule="exact"/>
        </w:trPr>
        <w:tc>
          <w:tcPr>
            <w:tcW w:w="1368" w:type="dxa"/>
            <w:tcBorders>
              <w:top w:val="single" w:sz="4" w:space="0" w:color="000000"/>
              <w:left w:val="single" w:sz="4" w:space="0" w:color="000000"/>
              <w:bottom w:val="single" w:sz="4" w:space="0" w:color="000000"/>
              <w:right w:val="single" w:sz="13" w:space="0" w:color="FFFFFF"/>
            </w:tcBorders>
          </w:tcPr>
          <w:p>
            <w:pPr>
              <w:pStyle w:val="TableParagraph"/>
              <w:spacing w:line="364" w:lineRule="auto" w:before="33"/>
              <w:ind w:left="22" w:right="-47" w:firstLine="25"/>
              <w:jc w:val="left"/>
              <w:rPr>
                <w:rFonts w:ascii="宋体" w:hAnsi="宋体" w:cs="宋体" w:eastAsia="宋体" w:hint="default"/>
                <w:sz w:val="18"/>
                <w:szCs w:val="18"/>
              </w:rPr>
            </w:pPr>
            <w:r>
              <w:rPr>
                <w:rFonts w:ascii="宋体" w:hAnsi="宋体" w:cs="宋体" w:eastAsia="宋体" w:hint="default"/>
                <w:sz w:val="18"/>
                <w:szCs w:val="18"/>
              </w:rPr>
              <w:t>首次公开发行股 票并上市（</w:t>
            </w:r>
            <w:r>
              <w:rPr>
                <w:rFonts w:ascii="Times New Roman" w:hAnsi="Times New Roman" w:cs="Times New Roman" w:eastAsia="Times New Roman" w:hint="default"/>
                <w:sz w:val="18"/>
                <w:szCs w:val="18"/>
              </w:rPr>
              <w:t>IPO</w:t>
            </w:r>
            <w:r>
              <w:rPr>
                <w:rFonts w:ascii="宋体" w:hAnsi="宋体" w:cs="宋体" w:eastAsia="宋体" w:hint="default"/>
                <w:sz w:val="18"/>
                <w:szCs w:val="18"/>
              </w:rPr>
              <w:t>）</w:t>
            </w:r>
          </w:p>
        </w:tc>
        <w:tc>
          <w:tcPr>
            <w:tcW w:w="160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14,000,000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黑体" w:hAnsi="黑体" w:cs="黑体" w:eastAsia="黑体" w:hint="default"/>
          <w:sz w:val="14"/>
          <w:szCs w:val="14"/>
        </w:rPr>
      </w:pPr>
    </w:p>
    <w:p>
      <w:pPr>
        <w:pStyle w:val="BodyText"/>
        <w:spacing w:line="240" w:lineRule="auto" w:before="35"/>
        <w:ind w:left="814" w:right="0"/>
        <w:jc w:val="left"/>
      </w:pPr>
      <w:r>
        <w:rPr/>
        <w:pict>
          <v:group style="position:absolute;margin-left:125.339996pt;margin-top:-18.586023pt;width:80pt;height:8.9pt;mso-position-horizontal-relative:page;mso-position-vertical-relative:paragraph;z-index:-728728" coordorigin="2507,-372" coordsize="1600,178">
            <v:shape style="position:absolute;left:2507;top:-372;width:1600;height:178" coordorigin="2507,-372" coordsize="1600,178" path="m2507,-194l4106,-194,4106,-372,2507,-372,2507,-194xe" filled="true" fillcolor="#ffffff" stroked="false">
              <v:path arrowok="t"/>
              <v:fill type="solid"/>
            </v:shape>
            <w10:wrap type="none"/>
          </v:group>
        </w:pict>
      </w:r>
      <w:r>
        <w:rPr/>
        <w:t>证券发行情况的说明</w:t>
      </w:r>
    </w:p>
    <w:p>
      <w:pPr>
        <w:spacing w:line="240" w:lineRule="auto" w:before="9"/>
        <w:rPr>
          <w:rFonts w:ascii="宋体" w:hAnsi="宋体" w:cs="宋体" w:eastAsia="宋体" w:hint="default"/>
          <w:sz w:val="26"/>
          <w:szCs w:val="26"/>
        </w:rPr>
      </w:pPr>
    </w:p>
    <w:p>
      <w:pPr>
        <w:pStyle w:val="BodyText"/>
        <w:spacing w:line="240" w:lineRule="auto"/>
        <w:ind w:left="813" w:right="0"/>
        <w:jc w:val="left"/>
      </w:pPr>
      <w:r>
        <w:rPr/>
        <w:t>北京旋极信息技术股份有限公司（以下简称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）经中国证券监督管理委员会证监许可</w:t>
      </w:r>
      <w:r>
        <w:rPr>
          <w:rFonts w:ascii="Times New Roman" w:hAnsi="Times New Roman" w:cs="Times New Roman" w:eastAsia="Times New Roman" w:hint="default"/>
        </w:rPr>
        <w:t>[2012]593</w:t>
      </w:r>
      <w:r>
        <w:rPr/>
        <w:t>号</w:t>
      </w:r>
    </w:p>
    <w:p>
      <w:pPr>
        <w:pStyle w:val="BodyText"/>
        <w:spacing w:line="391" w:lineRule="auto" w:before="177"/>
        <w:ind w:left="393" w:right="0"/>
        <w:jc w:val="left"/>
      </w:pPr>
      <w:r>
        <w:rPr>
          <w:spacing w:val="-1"/>
        </w:rPr>
        <w:t>《关于核准北京旋极信息技术股份有限公司首次公开发行股票并在创业板上市的批复》核准，首次向社会</w:t>
      </w:r>
      <w:r>
        <w:rPr>
          <w:spacing w:val="-81"/>
        </w:rPr>
        <w:t> </w:t>
      </w:r>
      <w:r>
        <w:rPr>
          <w:spacing w:val="-81"/>
        </w:rPr>
      </w:r>
      <w:r>
        <w:rPr/>
        <w:t>公众发行人民币普通股（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1,400</w:t>
      </w:r>
      <w:r>
        <w:rPr/>
        <w:t>万股，每股面值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27.00</w:t>
      </w:r>
      <w:r>
        <w:rPr/>
        <w:t>元，募集资金 </w:t>
      </w:r>
      <w:r>
        <w:rPr>
          <w:spacing w:val="-1"/>
        </w:rPr>
        <w:t>总额为人民币</w:t>
      </w:r>
      <w:r>
        <w:rPr>
          <w:rFonts w:ascii="Times New Roman" w:hAnsi="Times New Roman" w:cs="Times New Roman" w:eastAsia="Times New Roman" w:hint="default"/>
          <w:spacing w:val="-1"/>
        </w:rPr>
        <w:t>378,000,000.00</w:t>
      </w:r>
      <w:r>
        <w:rPr>
          <w:spacing w:val="-1"/>
        </w:rPr>
        <w:t>元，扣除各项发行费用合计人民币</w:t>
      </w:r>
      <w:r>
        <w:rPr>
          <w:rFonts w:ascii="Times New Roman" w:hAnsi="Times New Roman" w:cs="Times New Roman" w:eastAsia="Times New Roman" w:hint="default"/>
          <w:spacing w:val="-1"/>
        </w:rPr>
        <w:t>40,159,827.02</w:t>
      </w:r>
      <w:r>
        <w:rPr>
          <w:spacing w:val="-1"/>
        </w:rPr>
        <w:t>元，实际募集资金净额为人民</w:t>
      </w:r>
      <w:r>
        <w:rPr>
          <w:spacing w:val="-83"/>
        </w:rPr>
        <w:t> </w:t>
      </w:r>
      <w:r>
        <w:rPr>
          <w:spacing w:val="-83"/>
        </w:rPr>
      </w:r>
      <w:r>
        <w:rPr/>
        <w:t>币</w:t>
      </w:r>
      <w:r>
        <w:rPr>
          <w:rFonts w:ascii="Times New Roman" w:hAnsi="Times New Roman" w:cs="Times New Roman" w:eastAsia="Times New Roman" w:hint="default"/>
        </w:rPr>
        <w:t>337,840,172.98</w:t>
      </w:r>
      <w:r>
        <w:rPr/>
        <w:t>元。上述募集资金到位情况业经信永中和会计师事务所有限责任公司验证，并出具 </w:t>
      </w:r>
      <w:r>
        <w:rPr>
          <w:rFonts w:ascii="Times New Roman" w:hAnsi="Times New Roman" w:cs="Times New Roman" w:eastAsia="Times New Roman" w:hint="default"/>
        </w:rPr>
        <w:t>XYZH/2011JNA3058</w:t>
      </w:r>
      <w:r>
        <w:rPr/>
        <w:t>号《验资报告》。公司对募集资金采取了专户存储制度。</w:t>
      </w:r>
    </w:p>
    <w:p>
      <w:pPr>
        <w:pStyle w:val="Heading3"/>
        <w:spacing w:line="240" w:lineRule="auto" w:before="163"/>
        <w:ind w:left="394" w:right="0"/>
        <w:jc w:val="left"/>
      </w:pPr>
      <w:r>
        <w:rPr>
          <w:rFonts w:ascii="Cambria" w:hAnsi="Cambria" w:cs="Cambria" w:eastAsia="Cambria" w:hint="default"/>
        </w:rPr>
        <w:t>2</w:t>
      </w:r>
      <w:r>
        <w:rPr/>
        <w:t>、公司股份总数及股东结构的变动、公司资产和负债结构的变动情况说明</w:t>
      </w:r>
    </w:p>
    <w:p>
      <w:pPr>
        <w:spacing w:line="240" w:lineRule="auto" w:before="12"/>
        <w:rPr>
          <w:rFonts w:ascii="黑体" w:hAnsi="黑体" w:cs="黑体" w:eastAsia="黑体" w:hint="default"/>
          <w:sz w:val="23"/>
          <w:szCs w:val="23"/>
        </w:rPr>
      </w:pPr>
    </w:p>
    <w:p>
      <w:pPr>
        <w:pStyle w:val="BodyText"/>
        <w:spacing w:line="386" w:lineRule="auto"/>
        <w:ind w:left="393" w:right="134" w:firstLine="420"/>
        <w:jc w:val="both"/>
      </w:pPr>
      <w:r>
        <w:rPr>
          <w:spacing w:val="-2"/>
        </w:rPr>
        <w:t>公司经中国证券监督管理委员会证监许可</w:t>
      </w:r>
      <w:r>
        <w:rPr>
          <w:rFonts w:ascii="Times New Roman" w:hAnsi="Times New Roman" w:cs="Times New Roman" w:eastAsia="Times New Roman" w:hint="default"/>
          <w:spacing w:val="-2"/>
        </w:rPr>
        <w:t>[2012]593</w:t>
      </w:r>
      <w:r>
        <w:rPr>
          <w:spacing w:val="-2"/>
        </w:rPr>
        <w:t>号《关于核准北京旋极信息技术股份有限公司首次</w:t>
      </w:r>
      <w:r>
        <w:rPr/>
        <w:t> 公开发行股票并在创业板上市的批复》核准，首次向社会公众发行人民币普通股（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1,400</w:t>
      </w:r>
      <w:r>
        <w:rPr/>
        <w:t>万股， 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27.00</w:t>
      </w:r>
      <w:r>
        <w:rPr/>
        <w:t>元，发行完成后公司总股本</w:t>
      </w:r>
      <w:r>
        <w:rPr>
          <w:rFonts w:ascii="Times New Roman" w:hAnsi="Times New Roman" w:cs="Times New Roman" w:eastAsia="Times New Roman" w:hint="default"/>
        </w:rPr>
        <w:t>5,600</w:t>
      </w:r>
      <w:r>
        <w:rPr/>
        <w:t>万。</w:t>
      </w:r>
    </w:p>
    <w:p>
      <w:pPr>
        <w:spacing w:line="240" w:lineRule="auto" w:before="3"/>
        <w:rPr>
          <w:rFonts w:ascii="宋体" w:hAnsi="宋体" w:cs="宋体" w:eastAsia="宋体" w:hint="default"/>
          <w:sz w:val="16"/>
          <w:szCs w:val="16"/>
        </w:rPr>
      </w:pPr>
    </w:p>
    <w:p>
      <w:pPr>
        <w:pStyle w:val="Heading2"/>
        <w:spacing w:line="240" w:lineRule="auto"/>
        <w:ind w:left="394" w:right="0"/>
        <w:jc w:val="left"/>
      </w:pPr>
      <w:r>
        <w:rPr/>
        <w:t>三、股东和实际控制人情况</w:t>
      </w:r>
    </w:p>
    <w:p>
      <w:pPr>
        <w:spacing w:line="240" w:lineRule="auto" w:before="3"/>
        <w:rPr>
          <w:rFonts w:ascii="黑体" w:hAnsi="黑体" w:cs="黑体" w:eastAsia="黑体" w:hint="default"/>
          <w:sz w:val="28"/>
          <w:szCs w:val="28"/>
        </w:rPr>
      </w:pPr>
    </w:p>
    <w:p>
      <w:pPr>
        <w:pStyle w:val="Heading3"/>
        <w:spacing w:line="240" w:lineRule="auto"/>
        <w:ind w:left="394" w:right="0"/>
        <w:jc w:val="left"/>
      </w:pPr>
      <w:r>
        <w:rPr>
          <w:rFonts w:ascii="Cambria" w:hAnsi="Cambria" w:cs="Cambria" w:eastAsia="Cambria" w:hint="default"/>
        </w:rPr>
        <w:t>1</w:t>
      </w:r>
      <w:r>
        <w:rPr/>
        <w:t>、公司股东数量及持股情况</w:t>
      </w:r>
    </w:p>
    <w:p>
      <w:pPr>
        <w:spacing w:line="240" w:lineRule="auto" w:before="2"/>
        <w:rPr>
          <w:rFonts w:ascii="黑体" w:hAnsi="黑体" w:cs="黑体" w:eastAsia="黑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991"/>
        <w:gridCol w:w="258"/>
        <w:gridCol w:w="1133"/>
        <w:gridCol w:w="427"/>
        <w:gridCol w:w="1134"/>
        <w:gridCol w:w="993"/>
        <w:gridCol w:w="992"/>
        <w:gridCol w:w="536"/>
        <w:gridCol w:w="1368"/>
      </w:tblGrid>
      <w:tr>
        <w:trPr>
          <w:trHeight w:val="479" w:hRule="exact"/>
        </w:trPr>
        <w:tc>
          <w:tcPr>
            <w:tcW w:w="2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857" w:right="0"/>
              <w:jc w:val="left"/>
              <w:rPr>
                <w:rFonts w:ascii="宋体" w:hAnsi="宋体" w:cs="宋体" w:eastAsia="宋体" w:hint="default"/>
                <w:sz w:val="18"/>
                <w:szCs w:val="18"/>
              </w:rPr>
            </w:pPr>
            <w:r>
              <w:rPr>
                <w:rFonts w:ascii="宋体" w:hAnsi="宋体" w:cs="宋体" w:eastAsia="宋体" w:hint="default"/>
                <w:b/>
                <w:bCs/>
                <w:sz w:val="18"/>
                <w:szCs w:val="18"/>
              </w:rPr>
              <w:t>报告期股东总数</w:t>
            </w:r>
            <w:r>
              <w:rPr>
                <w:rFonts w:ascii="宋体" w:hAnsi="宋体" w:cs="宋体" w:eastAsia="宋体" w:hint="default"/>
                <w:sz w:val="18"/>
                <w:szCs w:val="18"/>
              </w:rPr>
            </w:r>
          </w:p>
        </w:tc>
        <w:tc>
          <w:tcPr>
            <w:tcW w:w="1391"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4,492</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8" w:right="0"/>
              <w:jc w:val="left"/>
              <w:rPr>
                <w:rFonts w:ascii="宋体" w:hAnsi="宋体" w:cs="宋体" w:eastAsia="宋体" w:hint="default"/>
                <w:sz w:val="18"/>
                <w:szCs w:val="18"/>
              </w:rPr>
            </w:pPr>
            <w:r>
              <w:rPr>
                <w:rFonts w:ascii="宋体" w:hAnsi="宋体" w:cs="宋体" w:eastAsia="宋体" w:hint="default"/>
                <w:b/>
                <w:bCs/>
                <w:sz w:val="18"/>
                <w:szCs w:val="18"/>
              </w:rPr>
              <w:t>年度报告披露日前第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个交易日末的股东总数</w:t>
            </w:r>
            <w:r>
              <w:rPr>
                <w:rFonts w:ascii="宋体" w:hAnsi="宋体" w:cs="宋体" w:eastAsia="宋体" w:hint="default"/>
                <w:sz w:val="18"/>
                <w:szCs w:val="18"/>
              </w:rPr>
            </w:r>
          </w:p>
        </w:tc>
        <w:tc>
          <w:tcPr>
            <w:tcW w:w="13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left="16" w:right="0"/>
              <w:jc w:val="center"/>
              <w:rPr>
                <w:rFonts w:ascii="Times New Roman" w:hAnsi="Times New Roman" w:cs="Times New Roman" w:eastAsia="Times New Roman" w:hint="default"/>
                <w:sz w:val="18"/>
                <w:szCs w:val="18"/>
              </w:rPr>
            </w:pPr>
            <w:r>
              <w:rPr>
                <w:rFonts w:ascii="Times New Roman"/>
                <w:sz w:val="18"/>
              </w:rPr>
              <w:t>3,913</w:t>
            </w:r>
          </w:p>
        </w:tc>
      </w:tr>
      <w:tr>
        <w:trPr>
          <w:trHeight w:val="478" w:hRule="exact"/>
        </w:trPr>
        <w:tc>
          <w:tcPr>
            <w:tcW w:w="983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名股东持股情况</w:t>
            </w:r>
            <w:r>
              <w:rPr>
                <w:rFonts w:ascii="宋体" w:hAnsi="宋体" w:cs="宋体" w:eastAsia="宋体" w:hint="default"/>
                <w:sz w:val="18"/>
                <w:szCs w:val="18"/>
              </w:rPr>
            </w:r>
          </w:p>
        </w:tc>
      </w:tr>
      <w:tr>
        <w:trPr>
          <w:trHeight w:val="323" w:hRule="exact"/>
        </w:trPr>
        <w:tc>
          <w:tcPr>
            <w:tcW w:w="3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b/>
                <w:bCs/>
                <w:sz w:val="18"/>
                <w:szCs w:val="18"/>
              </w:rPr>
              <w:t>持股数量</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b/>
                <w:bCs/>
                <w:sz w:val="18"/>
                <w:szCs w:val="18"/>
              </w:rPr>
              <w:t>持有有限售</w:t>
            </w:r>
            <w:r>
              <w:rPr>
                <w:rFonts w:ascii="宋体" w:hAnsi="宋体" w:cs="宋体" w:eastAsia="宋体" w:hint="default"/>
                <w:sz w:val="18"/>
                <w:szCs w:val="18"/>
              </w:rPr>
            </w:r>
          </w:p>
        </w:tc>
        <w:tc>
          <w:tcPr>
            <w:tcW w:w="19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b/>
                <w:bCs/>
                <w:sz w:val="18"/>
                <w:szCs w:val="18"/>
              </w:rPr>
              <w:t>质押或冻结情况</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97" w:footer="1252" w:top="1340" w:bottom="1440" w:left="740" w:right="980"/>
        </w:sectPr>
      </w:pPr>
    </w:p>
    <w:p>
      <w:pPr>
        <w:spacing w:line="240" w:lineRule="auto" w:before="2"/>
        <w:rPr>
          <w:rFonts w:ascii="黑体" w:hAnsi="黑体" w:cs="黑体" w:eastAsia="黑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3262"/>
        <w:gridCol w:w="1559"/>
        <w:gridCol w:w="1134"/>
        <w:gridCol w:w="994"/>
        <w:gridCol w:w="170"/>
        <w:gridCol w:w="821"/>
        <w:gridCol w:w="547"/>
        <w:gridCol w:w="445"/>
        <w:gridCol w:w="923"/>
      </w:tblGrid>
      <w:tr>
        <w:trPr>
          <w:trHeight w:val="634"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09" w:right="36" w:hanging="272"/>
              <w:jc w:val="left"/>
              <w:rPr>
                <w:rFonts w:ascii="宋体" w:hAnsi="宋体" w:cs="宋体" w:eastAsia="宋体" w:hint="default"/>
                <w:sz w:val="18"/>
                <w:szCs w:val="18"/>
              </w:rPr>
            </w:pPr>
            <w:r>
              <w:rPr>
                <w:rFonts w:ascii="宋体" w:hAnsi="宋体" w:cs="宋体" w:eastAsia="宋体" w:hint="default"/>
                <w:b/>
                <w:bCs/>
                <w:sz w:val="18"/>
                <w:szCs w:val="18"/>
              </w:rPr>
              <w:t>条件的股份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股份状态</w:t>
            </w:r>
            <w:r>
              <w:rPr>
                <w:rFonts w:ascii="宋体" w:hAnsi="宋体" w:cs="宋体" w:eastAsia="宋体" w:hint="default"/>
                <w:sz w:val="18"/>
                <w:szCs w:val="18"/>
              </w:rPr>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47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23,855,248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8" w:right="0"/>
              <w:jc w:val="left"/>
              <w:rPr>
                <w:rFonts w:ascii="Times New Roman" w:hAnsi="Times New Roman" w:cs="Times New Roman" w:eastAsia="Times New Roman" w:hint="default"/>
                <w:sz w:val="18"/>
                <w:szCs w:val="18"/>
              </w:rPr>
            </w:pPr>
            <w:r>
              <w:rPr>
                <w:rFonts w:ascii="Times New Roman"/>
                <w:sz w:val="18"/>
              </w:rPr>
              <w:t>23,855,248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2,562,276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2,562,276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高宏良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2,277,963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2,277,963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1,961,236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8" w:right="0"/>
              <w:jc w:val="left"/>
              <w:rPr>
                <w:rFonts w:ascii="Times New Roman" w:hAnsi="Times New Roman" w:cs="Times New Roman" w:eastAsia="Times New Roman" w:hint="default"/>
                <w:sz w:val="18"/>
                <w:szCs w:val="18"/>
              </w:rPr>
            </w:pPr>
            <w:r>
              <w:rPr>
                <w:rFonts w:ascii="Times New Roman"/>
                <w:sz w:val="18"/>
              </w:rPr>
              <w:t>1,961,236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深圳市盛桥创源投资合伙企业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1,800,000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1,800,000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1,504,068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1,504,068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1,504,068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8" w:right="0"/>
              <w:jc w:val="left"/>
              <w:rPr>
                <w:rFonts w:ascii="Times New Roman" w:hAnsi="Times New Roman" w:cs="Times New Roman" w:eastAsia="Times New Roman" w:hint="default"/>
                <w:sz w:val="18"/>
                <w:szCs w:val="18"/>
              </w:rPr>
            </w:pPr>
            <w:r>
              <w:rPr>
                <w:rFonts w:ascii="Times New Roman"/>
                <w:sz w:val="18"/>
              </w:rPr>
              <w:t>1,504,068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盖峰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1,202,217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1,202,217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882,581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74" w:right="0"/>
              <w:jc w:val="left"/>
              <w:rPr>
                <w:rFonts w:ascii="Times New Roman" w:hAnsi="Times New Roman" w:cs="Times New Roman" w:eastAsia="Times New Roman" w:hint="default"/>
                <w:sz w:val="18"/>
                <w:szCs w:val="18"/>
              </w:rPr>
            </w:pPr>
            <w:r>
              <w:rPr>
                <w:rFonts w:ascii="Times New Roman"/>
                <w:sz w:val="18"/>
              </w:rPr>
              <w:t>882,581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中国银行－银华优质增长股票型证券投</w:t>
            </w:r>
          </w:p>
          <w:p>
            <w:pPr>
              <w:pStyle w:val="TableParagraph"/>
              <w:spacing w:line="240" w:lineRule="auto" w:before="10"/>
              <w:ind w:right="0"/>
              <w:jc w:val="left"/>
              <w:rPr>
                <w:rFonts w:ascii="黑体" w:hAnsi="黑体" w:cs="黑体" w:eastAsia="黑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85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tc>
      </w:tr>
      <w:tr>
        <w:trPr>
          <w:trHeight w:val="477" w:hRule="exact"/>
        </w:trPr>
        <w:tc>
          <w:tcPr>
            <w:tcW w:w="48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29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b/>
                <w:bCs/>
                <w:sz w:val="18"/>
                <w:szCs w:val="18"/>
              </w:rPr>
              <w:t>持有无限售条件股份数量</w:t>
            </w:r>
            <w:r>
              <w:rPr>
                <w:rFonts w:ascii="宋体" w:hAnsi="宋体" w:cs="宋体" w:eastAsia="宋体" w:hint="default"/>
                <w:sz w:val="18"/>
                <w:szCs w:val="18"/>
              </w:rPr>
            </w:r>
          </w:p>
        </w:tc>
        <w:tc>
          <w:tcPr>
            <w:tcW w:w="27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r>
      <w:tr>
        <w:trPr>
          <w:trHeight w:val="479" w:hRule="exact"/>
        </w:trPr>
        <w:tc>
          <w:tcPr>
            <w:tcW w:w="4820" w:type="dxa"/>
            <w:gridSpan w:val="2"/>
            <w:vMerge/>
            <w:tcBorders>
              <w:left w:val="single" w:sz="4" w:space="0" w:color="000000"/>
              <w:bottom w:val="single" w:sz="4" w:space="0" w:color="000000"/>
              <w:right w:val="single" w:sz="4" w:space="0" w:color="000000"/>
            </w:tcBorders>
            <w:shd w:val="clear" w:color="auto" w:fill="D3D3D3"/>
          </w:tcPr>
          <w:p>
            <w:pPr/>
          </w:p>
        </w:tc>
        <w:tc>
          <w:tcPr>
            <w:tcW w:w="2298" w:type="dxa"/>
            <w:gridSpan w:val="3"/>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16" w:right="0"/>
              <w:jc w:val="left"/>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5" w:right="0"/>
              <w:jc w:val="left"/>
              <w:rPr>
                <w:rFonts w:ascii="宋体" w:hAnsi="宋体" w:cs="宋体" w:eastAsia="宋体" w:hint="default"/>
                <w:sz w:val="18"/>
                <w:szCs w:val="18"/>
              </w:rPr>
            </w:pPr>
            <w:r>
              <w:rPr>
                <w:rFonts w:ascii="宋体" w:hAnsi="宋体" w:cs="宋体" w:eastAsia="宋体" w:hint="default"/>
                <w:sz w:val="18"/>
                <w:szCs w:val="18"/>
              </w:rPr>
              <w:t>中国银行－银华优质增长股票型证券投资基金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800,000</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5" w:right="0"/>
              <w:jc w:val="left"/>
              <w:rPr>
                <w:rFonts w:ascii="宋体" w:hAnsi="宋体" w:cs="宋体" w:eastAsia="宋体" w:hint="default"/>
                <w:sz w:val="18"/>
                <w:szCs w:val="18"/>
              </w:rPr>
            </w:pPr>
            <w:r>
              <w:rPr>
                <w:rFonts w:ascii="宋体" w:hAnsi="宋体" w:cs="宋体" w:eastAsia="宋体" w:hint="default"/>
                <w:sz w:val="18"/>
                <w:szCs w:val="18"/>
              </w:rPr>
              <w:t>中国民生银行－华商策略精选灵活配置混合型证券投资基金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716,948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716,948</w:t>
            </w:r>
          </w:p>
        </w:tc>
      </w:tr>
      <w:tr>
        <w:trPr>
          <w:trHeight w:val="479"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赵建平</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50" w:right="0"/>
              <w:jc w:val="left"/>
              <w:rPr>
                <w:rFonts w:ascii="Times New Roman" w:hAnsi="Times New Roman" w:cs="Times New Roman" w:eastAsia="Times New Roman" w:hint="default"/>
                <w:sz w:val="18"/>
                <w:szCs w:val="18"/>
              </w:rPr>
            </w:pPr>
            <w:r>
              <w:rPr>
                <w:rFonts w:ascii="Times New Roman"/>
                <w:sz w:val="18"/>
              </w:rPr>
              <w:t>700,000</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5" w:right="0"/>
              <w:jc w:val="left"/>
              <w:rPr>
                <w:rFonts w:ascii="宋体" w:hAnsi="宋体" w:cs="宋体" w:eastAsia="宋体" w:hint="default"/>
                <w:sz w:val="18"/>
                <w:szCs w:val="18"/>
              </w:rPr>
            </w:pPr>
            <w:r>
              <w:rPr>
                <w:rFonts w:ascii="宋体" w:hAnsi="宋体" w:cs="宋体" w:eastAsia="宋体" w:hint="default"/>
                <w:sz w:val="18"/>
                <w:szCs w:val="18"/>
              </w:rPr>
              <w:t>中国农业银行－中邮核心优选股票型证券投资基金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405,651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405,651</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5" w:right="0"/>
              <w:jc w:val="left"/>
              <w:rPr>
                <w:rFonts w:ascii="宋体" w:hAnsi="宋体" w:cs="宋体" w:eastAsia="宋体" w:hint="default"/>
                <w:sz w:val="18"/>
                <w:szCs w:val="18"/>
              </w:rPr>
            </w:pPr>
            <w:r>
              <w:rPr>
                <w:rFonts w:ascii="宋体" w:hAnsi="宋体" w:cs="宋体" w:eastAsia="宋体" w:hint="default"/>
                <w:sz w:val="18"/>
                <w:szCs w:val="18"/>
              </w:rPr>
              <w:t>中国建设银行－华商盛世成长股票型证券投资基金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321,796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321,796</w:t>
            </w:r>
          </w:p>
        </w:tc>
      </w:tr>
      <w:tr>
        <w:trPr>
          <w:trHeight w:val="479"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5" w:right="0"/>
              <w:jc w:val="left"/>
              <w:rPr>
                <w:rFonts w:ascii="宋体" w:hAnsi="宋体" w:cs="宋体" w:eastAsia="宋体" w:hint="default"/>
                <w:sz w:val="18"/>
                <w:szCs w:val="18"/>
              </w:rPr>
            </w:pPr>
            <w:r>
              <w:rPr>
                <w:rFonts w:ascii="宋体" w:hAnsi="宋体" w:cs="宋体" w:eastAsia="宋体" w:hint="default"/>
                <w:sz w:val="18"/>
                <w:szCs w:val="18"/>
              </w:rPr>
              <w:t>中国建设银行－华商主题精选股票型证券投资基金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302,882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50" w:right="0"/>
              <w:jc w:val="left"/>
              <w:rPr>
                <w:rFonts w:ascii="Times New Roman" w:hAnsi="Times New Roman" w:cs="Times New Roman" w:eastAsia="Times New Roman" w:hint="default"/>
                <w:sz w:val="18"/>
                <w:szCs w:val="18"/>
              </w:rPr>
            </w:pPr>
            <w:r>
              <w:rPr>
                <w:rFonts w:ascii="Times New Roman"/>
                <w:sz w:val="18"/>
              </w:rPr>
              <w:t>302,882</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5" w:right="0"/>
              <w:jc w:val="left"/>
              <w:rPr>
                <w:rFonts w:ascii="宋体" w:hAnsi="宋体" w:cs="宋体" w:eastAsia="宋体" w:hint="default"/>
                <w:sz w:val="18"/>
                <w:szCs w:val="18"/>
              </w:rPr>
            </w:pPr>
            <w:r>
              <w:rPr>
                <w:rFonts w:ascii="宋体" w:hAnsi="宋体" w:cs="宋体" w:eastAsia="宋体" w:hint="default"/>
                <w:sz w:val="18"/>
                <w:szCs w:val="18"/>
              </w:rPr>
              <w:t>中国建设银行－华商产业升级股票型证券投资基金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279,356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279,356</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5" w:right="0"/>
              <w:jc w:val="left"/>
              <w:rPr>
                <w:rFonts w:ascii="宋体" w:hAnsi="宋体" w:cs="宋体" w:eastAsia="宋体" w:hint="default"/>
                <w:sz w:val="18"/>
                <w:szCs w:val="18"/>
              </w:rPr>
            </w:pPr>
            <w:r>
              <w:rPr>
                <w:rFonts w:ascii="宋体" w:hAnsi="宋体" w:cs="宋体" w:eastAsia="宋体" w:hint="default"/>
                <w:sz w:val="18"/>
                <w:szCs w:val="18"/>
              </w:rPr>
              <w:t>招商银行－中邮核心主题股票型证券投资基金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260,250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260,250</w:t>
            </w:r>
          </w:p>
        </w:tc>
      </w:tr>
      <w:tr>
        <w:trPr>
          <w:trHeight w:val="479"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25"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231,503</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50" w:right="0"/>
              <w:jc w:val="left"/>
              <w:rPr>
                <w:rFonts w:ascii="Times New Roman" w:hAnsi="Times New Roman" w:cs="Times New Roman" w:eastAsia="Times New Roman" w:hint="default"/>
                <w:sz w:val="18"/>
                <w:szCs w:val="18"/>
              </w:rPr>
            </w:pPr>
            <w:r>
              <w:rPr>
                <w:rFonts w:ascii="Times New Roman"/>
                <w:sz w:val="18"/>
              </w:rPr>
              <w:t>231,503</w:t>
            </w:r>
          </w:p>
        </w:tc>
      </w:tr>
      <w:tr>
        <w:trPr>
          <w:trHeight w:val="478" w:hRule="exact"/>
        </w:trPr>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兴和证券投资基金</w:t>
            </w:r>
          </w:p>
        </w:tc>
        <w:tc>
          <w:tcPr>
            <w:tcW w:w="2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225,012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0" w:right="0"/>
              <w:jc w:val="left"/>
              <w:rPr>
                <w:rFonts w:ascii="Times New Roman" w:hAnsi="Times New Roman" w:cs="Times New Roman" w:eastAsia="Times New Roman" w:hint="default"/>
                <w:sz w:val="18"/>
                <w:szCs w:val="18"/>
              </w:rPr>
            </w:pPr>
            <w:r>
              <w:rPr>
                <w:rFonts w:ascii="Times New Roman"/>
                <w:sz w:val="18"/>
              </w:rPr>
              <w:t>225,012</w:t>
            </w:r>
          </w:p>
        </w:tc>
      </w:tr>
      <w:tr>
        <w:trPr>
          <w:trHeight w:val="479" w:hRule="exact"/>
        </w:trPr>
        <w:tc>
          <w:tcPr>
            <w:tcW w:w="48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6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81" w:right="0"/>
              <w:jc w:val="left"/>
              <w:rPr>
                <w:rFonts w:ascii="宋体" w:hAnsi="宋体" w:cs="宋体" w:eastAsia="宋体" w:hint="default"/>
                <w:sz w:val="18"/>
                <w:szCs w:val="18"/>
              </w:rPr>
            </w:pPr>
            <w:r>
              <w:rPr>
                <w:rFonts w:ascii="宋体" w:hAnsi="宋体" w:cs="宋体" w:eastAsia="宋体" w:hint="default"/>
                <w:sz w:val="18"/>
                <w:szCs w:val="18"/>
              </w:rPr>
              <w:t>陈江涛先生与刘希平女士为夫妻关系。</w:t>
            </w:r>
          </w:p>
        </w:tc>
      </w:tr>
    </w:tbl>
    <w:p>
      <w:pPr>
        <w:spacing w:line="240" w:lineRule="auto" w:before="0"/>
        <w:rPr>
          <w:rFonts w:ascii="黑体" w:hAnsi="黑体" w:cs="黑体" w:eastAsia="黑体" w:hint="default"/>
          <w:sz w:val="13"/>
          <w:szCs w:val="13"/>
        </w:rPr>
      </w:pPr>
    </w:p>
    <w:p>
      <w:pPr>
        <w:pStyle w:val="Heading3"/>
        <w:spacing w:line="240" w:lineRule="auto" w:before="26"/>
        <w:ind w:left="394" w:right="0"/>
        <w:jc w:val="left"/>
      </w:pPr>
      <w:r>
        <w:rPr>
          <w:rFonts w:ascii="Cambria" w:hAnsi="Cambria" w:cs="Cambria" w:eastAsia="Cambria" w:hint="default"/>
        </w:rPr>
        <w:t>2</w:t>
      </w:r>
      <w:r>
        <w:rPr/>
        <w:t>、公司控股股东情况</w:t>
      </w:r>
    </w:p>
    <w:p>
      <w:pPr>
        <w:spacing w:line="240" w:lineRule="auto" w:before="12"/>
        <w:rPr>
          <w:rFonts w:ascii="黑体" w:hAnsi="黑体" w:cs="黑体" w:eastAsia="黑体" w:hint="default"/>
          <w:sz w:val="23"/>
          <w:szCs w:val="23"/>
        </w:rPr>
      </w:pPr>
    </w:p>
    <w:p>
      <w:pPr>
        <w:pStyle w:val="BodyText"/>
        <w:spacing w:line="240" w:lineRule="auto"/>
        <w:ind w:left="814" w:right="0"/>
        <w:jc w:val="left"/>
        <w:rPr>
          <w:rFonts w:ascii="Times New Roman" w:hAnsi="Times New Roman" w:cs="Times New Roman" w:eastAsia="Times New Roman" w:hint="default"/>
        </w:rPr>
      </w:pPr>
      <w:r>
        <w:rPr>
          <w:spacing w:val="-3"/>
        </w:rPr>
        <w:t>公司控股股东为陈江涛先生。陈江涛先生直接持有公司</w:t>
      </w:r>
      <w:r>
        <w:rPr>
          <w:rFonts w:ascii="Times New Roman" w:hAnsi="Times New Roman" w:cs="Times New Roman" w:eastAsia="Times New Roman" w:hint="default"/>
          <w:spacing w:val="-3"/>
        </w:rPr>
        <w:t>23,855,248</w:t>
      </w:r>
      <w:r>
        <w:rPr>
          <w:spacing w:val="-3"/>
        </w:rPr>
        <w:t>股，通过中天涌慧间接持有</w:t>
      </w:r>
      <w:r>
        <w:rPr>
          <w:rFonts w:ascii="Times New Roman" w:hAnsi="Times New Roman" w:cs="Times New Roman" w:eastAsia="Times New Roman" w:hint="default"/>
          <w:spacing w:val="-3"/>
        </w:rPr>
        <w:t>1,410,913</w:t>
      </w:r>
    </w:p>
    <w:p>
      <w:pPr>
        <w:spacing w:after="0" w:line="240" w:lineRule="auto"/>
        <w:jc w:val="left"/>
        <w:rPr>
          <w:rFonts w:ascii="Times New Roman" w:hAnsi="Times New Roman" w:cs="Times New Roman" w:eastAsia="Times New Roman" w:hint="default"/>
        </w:rPr>
        <w:sectPr>
          <w:pgSz w:w="11910" w:h="16840"/>
          <w:pgMar w:header="997" w:footer="1252" w:top="1340" w:bottom="1440" w:left="740" w:right="980"/>
        </w:sectPr>
      </w:pPr>
    </w:p>
    <w:p>
      <w:pPr>
        <w:spacing w:line="240" w:lineRule="auto" w:before="10"/>
        <w:rPr>
          <w:rFonts w:ascii="Times New Roman" w:hAnsi="Times New Roman" w:cs="Times New Roman" w:eastAsia="Times New Roman" w:hint="default"/>
          <w:sz w:val="12"/>
          <w:szCs w:val="12"/>
        </w:rPr>
      </w:pPr>
    </w:p>
    <w:p>
      <w:pPr>
        <w:pStyle w:val="BodyText"/>
        <w:spacing w:line="386" w:lineRule="auto" w:before="35"/>
        <w:ind w:left="674" w:right="257"/>
        <w:jc w:val="left"/>
      </w:pPr>
      <w:r>
        <w:rPr/>
        <w:t>股，合计共持有公司</w:t>
      </w:r>
      <w:r>
        <w:rPr>
          <w:rFonts w:ascii="Times New Roman" w:hAnsi="Times New Roman" w:cs="Times New Roman" w:eastAsia="Times New Roman" w:hint="default"/>
        </w:rPr>
        <w:t>25,266,161</w:t>
      </w:r>
      <w:r>
        <w:rPr/>
        <w:t>股，占公司总股本的</w:t>
      </w:r>
      <w:r>
        <w:rPr>
          <w:rFonts w:ascii="Times New Roman" w:hAnsi="Times New Roman" w:cs="Times New Roman" w:eastAsia="Times New Roman" w:hint="default"/>
        </w:rPr>
        <w:t>45.12%</w:t>
      </w:r>
      <w:r>
        <w:rPr/>
        <w:t>。陈江涛先生之妻刘希平女士直接持有公司股 份</w:t>
      </w:r>
      <w:r>
        <w:rPr>
          <w:rFonts w:ascii="Times New Roman" w:hAnsi="Times New Roman" w:cs="Times New Roman" w:eastAsia="Times New Roman" w:hint="default"/>
        </w:rPr>
        <w:t>1,504,068</w:t>
      </w:r>
      <w:r>
        <w:rPr/>
        <w:t>股，占公司总股本的</w:t>
      </w:r>
      <w:r>
        <w:rPr>
          <w:rFonts w:ascii="Times New Roman" w:hAnsi="Times New Roman" w:cs="Times New Roman" w:eastAsia="Times New Roman" w:hint="default"/>
        </w:rPr>
        <w:t>2.69%</w:t>
      </w:r>
      <w:r>
        <w:rPr/>
        <w:t>，二人累计持有公司</w:t>
      </w:r>
      <w:r>
        <w:rPr>
          <w:rFonts w:ascii="Times New Roman" w:hAnsi="Times New Roman" w:cs="Times New Roman" w:eastAsia="Times New Roman" w:hint="default"/>
        </w:rPr>
        <w:t>26,770,229</w:t>
      </w:r>
      <w:r>
        <w:rPr/>
        <w:t>股，占公司总股本的</w:t>
      </w:r>
      <w:r>
        <w:rPr>
          <w:rFonts w:ascii="Times New Roman" w:hAnsi="Times New Roman" w:cs="Times New Roman" w:eastAsia="Times New Roman" w:hint="default"/>
        </w:rPr>
        <w:t>47.80%</w:t>
      </w:r>
      <w:r>
        <w:rPr/>
        <w:t>。</w:t>
      </w:r>
    </w:p>
    <w:p>
      <w:pPr>
        <w:pStyle w:val="BodyText"/>
        <w:spacing w:line="386" w:lineRule="auto" w:before="191"/>
        <w:ind w:left="674" w:right="117" w:firstLine="420"/>
        <w:jc w:val="left"/>
      </w:pPr>
      <w:r>
        <w:rPr/>
        <w:t>陈江涛先生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11</w:t>
      </w:r>
      <w:r>
        <w:rPr/>
        <w:t>月出生，中国国籍，无境外永久居留权，硕士，高级工程师。</w:t>
      </w:r>
      <w:r>
        <w:rPr>
          <w:rFonts w:ascii="Times New Roman" w:hAnsi="Times New Roman" w:cs="Times New Roman" w:eastAsia="Times New Roman" w:hint="default"/>
        </w:rPr>
        <w:t>1983</w:t>
      </w:r>
      <w:r>
        <w:rPr/>
        <w:t>年毕业于南昌 </w:t>
      </w:r>
      <w:r>
        <w:rPr>
          <w:spacing w:val="-2"/>
        </w:rPr>
        <w:t>大学电子技术专业，并获得学士学位。</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-1986</w:t>
      </w:r>
      <w:r>
        <w:rPr>
          <w:spacing w:val="-2"/>
        </w:rPr>
        <w:t>年，在总参通信部直属单位任工程师，随后在哈尔滨工</w:t>
      </w:r>
      <w:r>
        <w:rPr>
          <w:spacing w:val="-102"/>
        </w:rPr>
        <w:t> </w:t>
      </w:r>
      <w:r>
        <w:rPr>
          <w:spacing w:val="-102"/>
        </w:rPr>
      </w:r>
      <w:r>
        <w:rPr>
          <w:spacing w:val="-2"/>
        </w:rPr>
        <w:t>业大学通信与电子系统专业攻读硕士学位，</w:t>
      </w:r>
      <w:r>
        <w:rPr>
          <w:rFonts w:ascii="Times New Roman" w:hAnsi="Times New Roman" w:cs="Times New Roman" w:eastAsia="Times New Roman" w:hint="default"/>
          <w:spacing w:val="-2"/>
        </w:rPr>
        <w:t>1989</w:t>
      </w:r>
      <w:r>
        <w:rPr>
          <w:spacing w:val="-2"/>
        </w:rPr>
        <w:t>年毕业。</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-1992</w:t>
      </w:r>
      <w:r>
        <w:rPr>
          <w:spacing w:val="-2"/>
        </w:rPr>
        <w:t>年，在航天部第三研究院北京航星机</w:t>
      </w:r>
      <w:r>
        <w:rPr>
          <w:spacing w:val="-103"/>
        </w:rPr>
        <w:t> </w:t>
      </w:r>
      <w:r>
        <w:rPr>
          <w:spacing w:val="-103"/>
        </w:rPr>
      </w:r>
      <w:r>
        <w:rPr/>
        <w:t>器制造公司工作；</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-1996</w:t>
      </w:r>
      <w:r>
        <w:rPr/>
        <w:t>年在北京星河电子总公司负责程控交换机技术工作，任总工程师；</w:t>
      </w:r>
      <w:r>
        <w:rPr>
          <w:rFonts w:ascii="Times New Roman" w:hAnsi="Times New Roman" w:cs="Times New Roman" w:eastAsia="Times New Roman" w:hint="default"/>
        </w:rPr>
        <w:t>1997</w:t>
      </w:r>
      <w:r>
        <w:rPr/>
        <w:t>年， 创建北京旋极信息技术有限公司，现任公司董事长兼总经理。</w:t>
      </w:r>
    </w:p>
    <w:p>
      <w:pPr>
        <w:spacing w:line="240" w:lineRule="auto" w:before="2"/>
        <w:rPr>
          <w:rFonts w:ascii="宋体" w:hAnsi="宋体" w:cs="宋体" w:eastAsia="宋体" w:hint="default"/>
          <w:sz w:val="15"/>
          <w:szCs w:val="15"/>
        </w:rPr>
      </w:pPr>
    </w:p>
    <w:p>
      <w:pPr>
        <w:pStyle w:val="Heading3"/>
        <w:spacing w:line="240" w:lineRule="auto"/>
        <w:ind w:left="674" w:right="257"/>
        <w:jc w:val="left"/>
      </w:pPr>
      <w:r>
        <w:rPr>
          <w:rFonts w:ascii="Cambria" w:hAnsi="Cambria" w:cs="Cambria" w:eastAsia="Cambria" w:hint="default"/>
        </w:rPr>
        <w:t>3</w:t>
      </w:r>
      <w:r>
        <w:rPr/>
        <w:t>、公司实际控制人情况</w:t>
      </w:r>
    </w:p>
    <w:p>
      <w:pPr>
        <w:spacing w:line="240" w:lineRule="auto" w:before="12"/>
        <w:rPr>
          <w:rFonts w:ascii="黑体" w:hAnsi="黑体" w:cs="黑体" w:eastAsia="黑体" w:hint="default"/>
          <w:sz w:val="23"/>
          <w:szCs w:val="23"/>
        </w:rPr>
      </w:pPr>
    </w:p>
    <w:p>
      <w:pPr>
        <w:pStyle w:val="BodyText"/>
        <w:spacing w:line="544" w:lineRule="auto"/>
        <w:ind w:left="1093" w:right="1891"/>
        <w:jc w:val="left"/>
      </w:pPr>
      <w:r>
        <w:rPr/>
        <w:t>公司实际控制人为陈江涛先生。 公司与实际控制人之间的产权及控制关系的方框图</w:t>
      </w:r>
    </w:p>
    <w:p>
      <w:pPr>
        <w:spacing w:line="240" w:lineRule="auto" w:before="10"/>
        <w:rPr>
          <w:rFonts w:ascii="宋体" w:hAnsi="宋体" w:cs="宋体" w:eastAsia="宋体" w:hint="default"/>
          <w:sz w:val="2"/>
          <w:szCs w:val="2"/>
        </w:rPr>
      </w:pPr>
    </w:p>
    <w:p>
      <w:pPr>
        <w:spacing w:line="2462" w:lineRule="exact"/>
        <w:ind w:left="3779"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480310" cy="1563624"/>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27" cstate="print"/>
                    <a:stretch>
                      <a:fillRect/>
                    </a:stretch>
                  </pic:blipFill>
                  <pic:spPr>
                    <a:xfrm>
                      <a:off x="0" y="0"/>
                      <a:ext cx="2480310" cy="1563624"/>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4"/>
        <w:rPr>
          <w:rFonts w:ascii="宋体" w:hAnsi="宋体" w:cs="宋体" w:eastAsia="宋体" w:hint="default"/>
          <w:sz w:val="16"/>
          <w:szCs w:val="16"/>
        </w:rPr>
      </w:pPr>
    </w:p>
    <w:p>
      <w:pPr>
        <w:pStyle w:val="Heading3"/>
        <w:spacing w:line="240" w:lineRule="auto"/>
        <w:ind w:left="1153" w:right="257"/>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6"/>
        <w:rPr>
          <w:rFonts w:ascii="宋体" w:hAnsi="宋体" w:cs="宋体" w:eastAsia="宋体" w:hint="default"/>
          <w:sz w:val="25"/>
          <w:szCs w:val="25"/>
        </w:rPr>
      </w:pPr>
    </w:p>
    <w:p>
      <w:pPr>
        <w:pStyle w:val="BodyText"/>
        <w:spacing w:line="240" w:lineRule="auto"/>
        <w:ind w:left="1094" w:right="2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3"/>
          <w:szCs w:val="23"/>
        </w:rPr>
      </w:pPr>
    </w:p>
    <w:p>
      <w:pPr>
        <w:pStyle w:val="Heading3"/>
        <w:spacing w:line="240" w:lineRule="auto"/>
        <w:ind w:left="674" w:right="257"/>
        <w:jc w:val="left"/>
      </w:pPr>
      <w:r>
        <w:rPr>
          <w:rFonts w:ascii="Cambria" w:hAnsi="Cambria" w:cs="Cambria" w:eastAsia="Cambria" w:hint="default"/>
        </w:rPr>
        <w:t>4</w:t>
      </w:r>
      <w:r>
        <w:rPr/>
        <w:t>、其他持股在</w:t>
      </w:r>
      <w:r>
        <w:rPr>
          <w:spacing w:val="-62"/>
        </w:rPr>
        <w:t> </w:t>
      </w:r>
      <w:r>
        <w:rPr>
          <w:rFonts w:ascii="Cambria" w:hAnsi="Cambria" w:cs="Cambria" w:eastAsia="Cambria" w:hint="default"/>
        </w:rPr>
        <w:t>10%</w:t>
      </w:r>
      <w:r>
        <w:rPr/>
        <w:t>以上的法人股东</w:t>
      </w:r>
    </w:p>
    <w:p>
      <w:pPr>
        <w:spacing w:line="240" w:lineRule="auto" w:before="12"/>
        <w:rPr>
          <w:rFonts w:ascii="黑体" w:hAnsi="黑体" w:cs="黑体" w:eastAsia="黑体" w:hint="default"/>
          <w:sz w:val="23"/>
          <w:szCs w:val="23"/>
        </w:rPr>
      </w:pPr>
    </w:p>
    <w:p>
      <w:pPr>
        <w:pStyle w:val="BodyText"/>
        <w:spacing w:line="240" w:lineRule="auto"/>
        <w:ind w:left="1094" w:right="257"/>
        <w:jc w:val="left"/>
      </w:pPr>
      <w:r>
        <w:rPr/>
        <w:t>无</w:t>
      </w:r>
    </w:p>
    <w:p>
      <w:pPr>
        <w:spacing w:line="240" w:lineRule="auto" w:before="12"/>
        <w:rPr>
          <w:rFonts w:ascii="宋体" w:hAnsi="宋体" w:cs="宋体" w:eastAsia="宋体" w:hint="default"/>
          <w:sz w:val="24"/>
          <w:szCs w:val="24"/>
        </w:rPr>
      </w:pPr>
    </w:p>
    <w:p>
      <w:pPr>
        <w:pStyle w:val="Heading3"/>
        <w:spacing w:line="240" w:lineRule="auto"/>
        <w:ind w:left="674" w:right="257"/>
        <w:jc w:val="left"/>
      </w:pPr>
      <w:r>
        <w:rPr>
          <w:rFonts w:ascii="Cambria" w:hAnsi="Cambria" w:cs="Cambria" w:eastAsia="Cambria" w:hint="default"/>
        </w:rPr>
        <w:t>5</w:t>
      </w:r>
      <w:r>
        <w:rPr/>
        <w:t>、前</w:t>
      </w:r>
      <w:r>
        <w:rPr>
          <w:spacing w:val="-60"/>
        </w:rPr>
        <w:t> </w:t>
      </w:r>
      <w:r>
        <w:rPr>
          <w:rFonts w:ascii="Cambria" w:hAnsi="Cambria" w:cs="Cambria" w:eastAsia="Cambria" w:hint="default"/>
        </w:rPr>
        <w:t>10</w:t>
      </w:r>
      <w:r>
        <w:rPr>
          <w:rFonts w:ascii="Cambria" w:hAnsi="Cambria" w:cs="Cambria" w:eastAsia="Cambria" w:hint="default"/>
          <w:spacing w:val="6"/>
        </w:rPr>
        <w:t> </w:t>
      </w:r>
      <w:r>
        <w:rPr/>
        <w:t>名有限售条件股东持股数量及限售条件</w:t>
      </w:r>
    </w:p>
    <w:p>
      <w:pPr>
        <w:spacing w:line="240" w:lineRule="auto" w:before="2"/>
        <w:rPr>
          <w:rFonts w:ascii="黑体" w:hAnsi="黑体" w:cs="黑体" w:eastAsia="黑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977"/>
        <w:gridCol w:w="2268"/>
        <w:gridCol w:w="2268"/>
        <w:gridCol w:w="1418"/>
        <w:gridCol w:w="1206"/>
      </w:tblGrid>
      <w:tr>
        <w:trPr>
          <w:trHeight w:val="727"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有限售条件股东名称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持有的有限售条件股份数量</w:t>
            </w:r>
            <w:r>
              <w:rPr>
                <w:rFonts w:ascii="宋体" w:hAnsi="宋体" w:cs="宋体" w:eastAsia="宋体" w:hint="default"/>
                <w:sz w:val="18"/>
                <w:szCs w:val="18"/>
              </w:rPr>
            </w: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可上市交易时间</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2" w:right="71"/>
              <w:jc w:val="left"/>
              <w:rPr>
                <w:rFonts w:ascii="宋体" w:hAnsi="宋体" w:cs="宋体" w:eastAsia="宋体" w:hint="default"/>
                <w:sz w:val="18"/>
                <w:szCs w:val="18"/>
              </w:rPr>
            </w:pPr>
            <w:r>
              <w:rPr>
                <w:rFonts w:ascii="宋体" w:hAnsi="宋体" w:cs="宋体" w:eastAsia="宋体" w:hint="default"/>
                <w:b/>
                <w:bCs/>
                <w:sz w:val="18"/>
                <w:szCs w:val="18"/>
              </w:rPr>
              <w:t>新增可上市交易</w:t>
            </w:r>
            <w:r>
              <w:rPr>
                <w:rFonts w:ascii="宋体" w:hAnsi="宋体" w:cs="宋体" w:eastAsia="宋体" w:hint="default"/>
                <w:b/>
                <w:bCs/>
                <w:w w:val="99"/>
                <w:sz w:val="18"/>
                <w:szCs w:val="18"/>
              </w:rPr>
              <w:t> </w:t>
            </w:r>
            <w:r>
              <w:rPr>
                <w:rFonts w:ascii="宋体" w:hAnsi="宋体" w:cs="宋体" w:eastAsia="宋体" w:hint="default"/>
                <w:b/>
                <w:bCs/>
                <w:sz w:val="18"/>
                <w:szCs w:val="18"/>
              </w:rPr>
              <w:t>股份数量（股）</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限售条件</w:t>
            </w:r>
            <w:r>
              <w:rPr>
                <w:rFonts w:ascii="宋体" w:hAnsi="宋体" w:cs="宋体" w:eastAsia="宋体" w:hint="default"/>
                <w:sz w:val="18"/>
                <w:szCs w:val="18"/>
              </w:rPr>
            </w:r>
          </w:p>
        </w:tc>
      </w:tr>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23,855,248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2,562,276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高宏良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2,277,963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center"/>
        <w:rPr>
          <w:rFonts w:ascii="宋体" w:hAnsi="宋体" w:cs="宋体" w:eastAsia="宋体" w:hint="default"/>
          <w:sz w:val="18"/>
          <w:szCs w:val="18"/>
        </w:rPr>
        <w:sectPr>
          <w:pgSz w:w="11910" w:h="16840"/>
          <w:pgMar w:header="997" w:footer="1252" w:top="1340" w:bottom="1440" w:left="460" w:right="920"/>
        </w:sectPr>
      </w:pPr>
    </w:p>
    <w:p>
      <w:pPr>
        <w:spacing w:line="240" w:lineRule="auto" w:before="5"/>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977"/>
        <w:gridCol w:w="2268"/>
        <w:gridCol w:w="2268"/>
        <w:gridCol w:w="1418"/>
        <w:gridCol w:w="1206"/>
      </w:tblGrid>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1,961,236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深圳市盛桥创源投资合伙企业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1,800,000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1,504,068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1,504,068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盖峰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1,202,217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882,581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776,973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center"/>
        <w:rPr>
          <w:rFonts w:ascii="宋体" w:hAnsi="宋体" w:cs="宋体" w:eastAsia="宋体" w:hint="default"/>
          <w:sz w:val="18"/>
          <w:szCs w:val="18"/>
        </w:rPr>
        <w:sectPr>
          <w:pgSz w:w="11910" w:h="16840"/>
          <w:pgMar w:header="997" w:footer="1252" w:top="1340" w:bottom="1440" w:left="460" w:right="980"/>
        </w:sectPr>
      </w:pPr>
    </w:p>
    <w:p>
      <w:pPr>
        <w:spacing w:line="240" w:lineRule="auto" w:before="10"/>
        <w:rPr>
          <w:rFonts w:ascii="Times New Roman" w:hAnsi="Times New Roman" w:cs="Times New Roman" w:eastAsia="Times New Roman" w:hint="default"/>
          <w:sz w:val="14"/>
          <w:szCs w:val="14"/>
        </w:rPr>
      </w:pPr>
    </w:p>
    <w:p>
      <w:pPr>
        <w:pStyle w:val="Heading1"/>
        <w:spacing w:line="240" w:lineRule="auto"/>
        <w:ind w:left="2692" w:right="0"/>
        <w:jc w:val="left"/>
      </w:pPr>
      <w:bookmarkStart w:name="_TOC_250003" w:id="6"/>
      <w:r>
        <w:rPr/>
        <w:t>第七节</w:t>
      </w:r>
      <w:r>
        <w:rPr>
          <w:spacing w:val="-11"/>
        </w:rPr>
        <w:t> </w:t>
      </w:r>
      <w:bookmarkEnd w:id="6"/>
      <w:r>
        <w:rPr/>
        <w:t>董事、监事、高级管理人员和员工情况</w:t>
      </w:r>
    </w:p>
    <w:p>
      <w:pPr>
        <w:spacing w:line="240" w:lineRule="auto" w:before="1"/>
        <w:rPr>
          <w:rFonts w:ascii="黑体" w:hAnsi="黑体" w:cs="黑体" w:eastAsia="黑体" w:hint="default"/>
          <w:sz w:val="30"/>
          <w:szCs w:val="30"/>
        </w:rPr>
      </w:pPr>
    </w:p>
    <w:p>
      <w:pPr>
        <w:pStyle w:val="Heading2"/>
        <w:spacing w:line="240" w:lineRule="auto"/>
        <w:ind w:left="834" w:right="0"/>
        <w:jc w:val="left"/>
      </w:pPr>
      <w:r>
        <w:rPr/>
        <w:t>一、董事、监事和高级管理人员持股变动</w:t>
      </w:r>
    </w:p>
    <w:p>
      <w:pPr>
        <w:spacing w:line="240" w:lineRule="auto" w:before="2"/>
        <w:rPr>
          <w:rFonts w:ascii="黑体" w:hAnsi="黑体" w:cs="黑体" w:eastAsia="黑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709"/>
        <w:gridCol w:w="992"/>
        <w:gridCol w:w="566"/>
        <w:gridCol w:w="568"/>
        <w:gridCol w:w="851"/>
        <w:gridCol w:w="992"/>
        <w:gridCol w:w="991"/>
        <w:gridCol w:w="709"/>
        <w:gridCol w:w="709"/>
        <w:gridCol w:w="992"/>
        <w:gridCol w:w="851"/>
        <w:gridCol w:w="850"/>
        <w:gridCol w:w="709"/>
        <w:gridCol w:w="568"/>
      </w:tblGrid>
      <w:tr>
        <w:trPr>
          <w:trHeight w:val="1445"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364" w:lineRule="auto" w:before="156"/>
              <w:ind w:left="240" w:right="59" w:hanging="182"/>
              <w:jc w:val="left"/>
              <w:rPr>
                <w:rFonts w:ascii="宋体" w:hAnsi="宋体" w:cs="宋体" w:eastAsia="宋体" w:hint="default"/>
                <w:sz w:val="18"/>
                <w:szCs w:val="18"/>
              </w:rPr>
            </w:pPr>
            <w:r>
              <w:rPr>
                <w:rFonts w:ascii="宋体" w:hAnsi="宋体" w:cs="宋体" w:eastAsia="宋体" w:hint="default"/>
                <w:b/>
                <w:bCs/>
                <w:sz w:val="18"/>
                <w:szCs w:val="18"/>
              </w:rPr>
              <w:t>任期起始</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364" w:lineRule="auto" w:before="156"/>
              <w:ind w:left="399" w:right="37" w:hanging="362"/>
              <w:jc w:val="left"/>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期初持股数</w:t>
            </w:r>
            <w:r>
              <w:rPr>
                <w:rFonts w:ascii="宋体" w:hAnsi="宋体" w:cs="宋体" w:eastAsia="宋体" w:hint="default"/>
                <w:sz w:val="18"/>
                <w:szCs w:val="18"/>
              </w:rPr>
            </w: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9" w:right="74"/>
              <w:jc w:val="both"/>
              <w:rPr>
                <w:rFonts w:ascii="宋体" w:hAnsi="宋体" w:cs="宋体" w:eastAsia="宋体" w:hint="default"/>
                <w:sz w:val="18"/>
                <w:szCs w:val="18"/>
              </w:rPr>
            </w:pPr>
            <w:r>
              <w:rPr>
                <w:rFonts w:ascii="宋体" w:hAnsi="宋体" w:cs="宋体" w:eastAsia="宋体" w:hint="default"/>
                <w:b/>
                <w:bCs/>
                <w:sz w:val="18"/>
                <w:szCs w:val="18"/>
              </w:rPr>
              <w:t>本期增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p>
            <w:pPr>
              <w:pStyle w:val="TableParagraph"/>
              <w:spacing w:line="240" w:lineRule="auto" w:before="29"/>
              <w:ind w:left="79" w:right="0"/>
              <w:jc w:val="both"/>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77" w:right="77"/>
              <w:jc w:val="both"/>
              <w:rPr>
                <w:rFonts w:ascii="宋体" w:hAnsi="宋体" w:cs="宋体" w:eastAsia="宋体" w:hint="default"/>
                <w:sz w:val="18"/>
                <w:szCs w:val="18"/>
              </w:rPr>
            </w:pPr>
            <w:r>
              <w:rPr>
                <w:rFonts w:ascii="宋体" w:hAnsi="宋体" w:cs="宋体" w:eastAsia="宋体" w:hint="default"/>
                <w:b/>
                <w:bCs/>
                <w:sz w:val="18"/>
                <w:szCs w:val="18"/>
              </w:rPr>
              <w:t>本期减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p>
            <w:pPr>
              <w:pStyle w:val="TableParagraph"/>
              <w:spacing w:line="240" w:lineRule="auto" w:before="29"/>
              <w:ind w:left="77" w:right="0"/>
              <w:jc w:val="both"/>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b/>
                <w:bCs/>
                <w:sz w:val="18"/>
                <w:szCs w:val="18"/>
              </w:rPr>
              <w:t>期末持股数</w:t>
            </w:r>
            <w:r>
              <w:rPr>
                <w:rFonts w:ascii="宋体" w:hAnsi="宋体" w:cs="宋体" w:eastAsia="宋体" w:hint="default"/>
                <w:sz w:val="18"/>
                <w:szCs w:val="18"/>
              </w:rPr>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黑体" w:hAnsi="黑体" w:cs="黑体" w:eastAsia="黑体" w:hint="default"/>
                <w:sz w:val="16"/>
                <w:szCs w:val="16"/>
              </w:rPr>
            </w:pPr>
          </w:p>
          <w:p>
            <w:pPr>
              <w:pStyle w:val="TableParagraph"/>
              <w:spacing w:line="364" w:lineRule="auto"/>
              <w:ind w:left="22" w:right="59" w:firstLine="36"/>
              <w:jc w:val="both"/>
              <w:rPr>
                <w:rFonts w:ascii="宋体" w:hAnsi="宋体" w:cs="宋体" w:eastAsia="宋体" w:hint="default"/>
                <w:sz w:val="18"/>
                <w:szCs w:val="18"/>
              </w:rPr>
            </w:pPr>
            <w:r>
              <w:rPr>
                <w:rFonts w:ascii="宋体" w:hAnsi="宋体" w:cs="宋体" w:eastAsia="宋体" w:hint="default"/>
                <w:b/>
                <w:bCs/>
                <w:sz w:val="18"/>
                <w:szCs w:val="18"/>
              </w:rPr>
              <w:t>期初持有</w:t>
            </w:r>
            <w:r>
              <w:rPr>
                <w:rFonts w:ascii="宋体" w:hAnsi="宋体" w:cs="宋体" w:eastAsia="宋体" w:hint="default"/>
                <w:b/>
                <w:bCs/>
                <w:w w:val="99"/>
                <w:sz w:val="18"/>
                <w:szCs w:val="18"/>
              </w:rPr>
              <w:t> </w:t>
            </w:r>
            <w:r>
              <w:rPr>
                <w:rFonts w:ascii="宋体" w:hAnsi="宋体" w:cs="宋体" w:eastAsia="宋体" w:hint="default"/>
                <w:b/>
                <w:bCs/>
                <w:sz w:val="18"/>
                <w:szCs w:val="18"/>
              </w:rPr>
              <w:t>股票期权</w:t>
            </w:r>
            <w:r>
              <w:rPr>
                <w:rFonts w:ascii="宋体" w:hAnsi="宋体" w:cs="宋体" w:eastAsia="宋体" w:hint="default"/>
                <w:b/>
                <w:bCs/>
                <w:w w:val="99"/>
                <w:sz w:val="18"/>
                <w:szCs w:val="18"/>
              </w:rPr>
              <w:t> </w:t>
            </w:r>
            <w:r>
              <w:rPr>
                <w:rFonts w:ascii="宋体" w:hAnsi="宋体" w:cs="宋体" w:eastAsia="宋体" w:hint="default"/>
                <w:b/>
                <w:bCs/>
                <w:spacing w:val="-5"/>
                <w:sz w:val="18"/>
                <w:szCs w:val="18"/>
              </w:rPr>
              <w:t>数量（股</w:t>
            </w:r>
            <w:r>
              <w:rPr>
                <w:rFonts w:ascii="宋体" w:hAnsi="宋体" w:cs="宋体" w:eastAsia="宋体" w:hint="default"/>
                <w:spacing w:val="-5"/>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58" w:right="56"/>
              <w:jc w:val="left"/>
              <w:rPr>
                <w:rFonts w:ascii="宋体" w:hAnsi="宋体" w:cs="宋体" w:eastAsia="宋体" w:hint="default"/>
                <w:sz w:val="18"/>
                <w:szCs w:val="18"/>
              </w:rPr>
            </w:pPr>
            <w:r>
              <w:rPr>
                <w:rFonts w:ascii="宋体" w:hAnsi="宋体" w:cs="宋体" w:eastAsia="宋体" w:hint="default"/>
                <w:b/>
                <w:bCs/>
                <w:sz w:val="18"/>
                <w:szCs w:val="18"/>
              </w:rPr>
              <w:t>其中：被</w:t>
            </w:r>
            <w:r>
              <w:rPr>
                <w:rFonts w:ascii="宋体" w:hAnsi="宋体" w:cs="宋体" w:eastAsia="宋体" w:hint="default"/>
                <w:b/>
                <w:bCs/>
                <w:w w:val="99"/>
                <w:sz w:val="18"/>
                <w:szCs w:val="18"/>
              </w:rPr>
              <w:t> </w:t>
            </w:r>
            <w:r>
              <w:rPr>
                <w:rFonts w:ascii="宋体" w:hAnsi="宋体" w:cs="宋体" w:eastAsia="宋体" w:hint="default"/>
                <w:b/>
                <w:bCs/>
                <w:sz w:val="18"/>
                <w:szCs w:val="18"/>
              </w:rPr>
              <w:t>授予的限</w:t>
            </w:r>
            <w:r>
              <w:rPr>
                <w:rFonts w:ascii="宋体" w:hAnsi="宋体" w:cs="宋体" w:eastAsia="宋体" w:hint="default"/>
                <w:sz w:val="18"/>
                <w:szCs w:val="18"/>
              </w:rPr>
            </w:r>
          </w:p>
          <w:p>
            <w:pPr>
              <w:pStyle w:val="TableParagraph"/>
              <w:spacing w:line="208" w:lineRule="exact" w:before="29"/>
              <w:ind w:left="58" w:right="0"/>
              <w:jc w:val="left"/>
              <w:rPr>
                <w:rFonts w:ascii="宋体" w:hAnsi="宋体" w:cs="宋体" w:eastAsia="宋体" w:hint="default"/>
                <w:sz w:val="18"/>
                <w:szCs w:val="18"/>
              </w:rPr>
            </w:pPr>
            <w:r>
              <w:rPr>
                <w:rFonts w:ascii="宋体" w:hAnsi="宋体" w:cs="宋体" w:eastAsia="宋体" w:hint="default"/>
                <w:b/>
                <w:bCs/>
                <w:sz w:val="18"/>
                <w:szCs w:val="18"/>
              </w:rPr>
              <w:t>制性股票</w:t>
            </w:r>
            <w:r>
              <w:rPr>
                <w:rFonts w:ascii="宋体" w:hAnsi="宋体" w:cs="宋体" w:eastAsia="宋体" w:hint="default"/>
                <w:sz w:val="18"/>
                <w:szCs w:val="18"/>
              </w:rPr>
            </w:r>
          </w:p>
          <w:p>
            <w:pPr>
              <w:pStyle w:val="TableParagraph"/>
              <w:spacing w:line="179" w:lineRule="exact"/>
              <w:ind w:left="-124"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pStyle w:val="TableParagraph"/>
              <w:spacing w:line="207" w:lineRule="exact"/>
              <w:ind w:left="22" w:right="-33"/>
              <w:jc w:val="left"/>
              <w:rPr>
                <w:rFonts w:ascii="宋体" w:hAnsi="宋体" w:cs="宋体" w:eastAsia="宋体" w:hint="default"/>
                <w:sz w:val="18"/>
                <w:szCs w:val="18"/>
              </w:rPr>
            </w:pPr>
            <w:r>
              <w:rPr>
                <w:rFonts w:ascii="宋体" w:hAnsi="宋体" w:cs="宋体" w:eastAsia="宋体" w:hint="default"/>
                <w:b/>
                <w:bCs/>
                <w:spacing w:val="-11"/>
                <w:sz w:val="18"/>
                <w:szCs w:val="18"/>
              </w:rPr>
              <w:t>数量（股）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2" w:right="-46" w:hanging="69"/>
              <w:jc w:val="center"/>
              <w:rPr>
                <w:rFonts w:ascii="宋体" w:hAnsi="宋体" w:cs="宋体" w:eastAsia="宋体" w:hint="default"/>
                <w:sz w:val="18"/>
                <w:szCs w:val="18"/>
              </w:rPr>
            </w:pPr>
            <w:r>
              <w:rPr>
                <w:rFonts w:ascii="宋体" w:hAnsi="宋体" w:cs="宋体" w:eastAsia="宋体" w:hint="default"/>
                <w:b/>
                <w:bCs/>
                <w:sz w:val="18"/>
                <w:szCs w:val="18"/>
              </w:rPr>
              <w:t>期末持</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有股票</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期权数</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黑体" w:hAnsi="黑体" w:cs="黑体" w:eastAsia="黑体" w:hint="default"/>
                <w:sz w:val="18"/>
                <w:szCs w:val="18"/>
              </w:rPr>
            </w:pPr>
          </w:p>
          <w:p>
            <w:pPr>
              <w:pStyle w:val="TableParagraph"/>
              <w:spacing w:line="364" w:lineRule="auto" w:before="156"/>
              <w:ind w:left="97" w:right="96"/>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7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310" w:right="104" w:hanging="206"/>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23,855,248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23,855,248</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3"/>
              <w:ind w:left="310" w:right="104" w:hanging="20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1,504,068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1,504,068</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3"/>
              <w:ind w:left="310" w:right="104" w:hanging="20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776,973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776,973</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储珺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2,562,276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2,562,276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882,581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882,581</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盖峰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1,202,217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1,202,217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吴匀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4"/>
              <w:ind w:left="40" w:right="41" w:firstLine="64"/>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09"/>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31,223,363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31,223,363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3"/>
              <w:ind w:left="9" w:right="0"/>
              <w:jc w:val="center"/>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300" w:right="300"/>
        </w:sectPr>
      </w:pPr>
    </w:p>
    <w:p>
      <w:pPr>
        <w:spacing w:line="240" w:lineRule="auto" w:before="8"/>
        <w:rPr>
          <w:rFonts w:ascii="黑体" w:hAnsi="黑体" w:cs="黑体" w:eastAsia="黑体" w:hint="default"/>
          <w:sz w:val="14"/>
          <w:szCs w:val="14"/>
        </w:rPr>
      </w:pPr>
    </w:p>
    <w:p>
      <w:pPr>
        <w:pStyle w:val="Heading2"/>
        <w:spacing w:line="240" w:lineRule="auto" w:before="13"/>
        <w:ind w:right="0"/>
        <w:jc w:val="both"/>
      </w:pPr>
      <w:r>
        <w:rPr/>
        <w:t>二、任职情况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9"/>
        <w:rPr>
          <w:rFonts w:ascii="宋体" w:hAnsi="宋体" w:cs="宋体" w:eastAsia="宋体" w:hint="default"/>
          <w:sz w:val="23"/>
          <w:szCs w:val="23"/>
        </w:rPr>
      </w:pPr>
    </w:p>
    <w:p>
      <w:pPr>
        <w:pStyle w:val="Heading3"/>
        <w:spacing w:line="240" w:lineRule="auto"/>
        <w:ind w:right="0"/>
        <w:jc w:val="both"/>
      </w:pPr>
      <w:r>
        <w:rPr>
          <w:rFonts w:ascii="Cambria" w:hAnsi="Cambria" w:cs="Cambria" w:eastAsia="Cambria" w:hint="default"/>
        </w:rPr>
        <w:t>1</w:t>
      </w:r>
      <w:r>
        <w:rPr/>
        <w:t>、董事会成员</w:t>
      </w:r>
    </w:p>
    <w:p>
      <w:pPr>
        <w:spacing w:line="240" w:lineRule="auto" w:before="12"/>
        <w:rPr>
          <w:rFonts w:ascii="黑体" w:hAnsi="黑体" w:cs="黑体" w:eastAsia="黑体" w:hint="default"/>
          <w:sz w:val="23"/>
          <w:szCs w:val="23"/>
        </w:rPr>
      </w:pPr>
    </w:p>
    <w:p>
      <w:pPr>
        <w:pStyle w:val="BodyText"/>
        <w:spacing w:line="386" w:lineRule="auto"/>
        <w:ind w:left="154" w:right="0" w:firstLine="419"/>
        <w:jc w:val="left"/>
      </w:pPr>
      <w:r>
        <w:rPr>
          <w:spacing w:val="-1"/>
        </w:rPr>
        <w:t>公司本届董事会由</w:t>
      </w:r>
      <w:r>
        <w:rPr>
          <w:rFonts w:ascii="Times New Roman" w:hAnsi="Times New Roman" w:cs="Times New Roman" w:eastAsia="Times New Roman" w:hint="default"/>
          <w:spacing w:val="-1"/>
        </w:rPr>
        <w:t>7</w:t>
      </w:r>
      <w:r>
        <w:rPr>
          <w:spacing w:val="-1"/>
        </w:rPr>
        <w:t>人组成，其中独立董事</w:t>
      </w:r>
      <w:r>
        <w:rPr>
          <w:rFonts w:ascii="Times New Roman" w:hAnsi="Times New Roman" w:cs="Times New Roman" w:eastAsia="Times New Roman" w:hint="default"/>
          <w:spacing w:val="-1"/>
        </w:rPr>
        <w:t>3</w:t>
      </w:r>
      <w:r>
        <w:rPr>
          <w:spacing w:val="-1"/>
        </w:rPr>
        <w:t>名，各成员全部由公司股东大会选举产生，无由关联人直</w:t>
      </w:r>
      <w:r>
        <w:rPr/>
        <w:t> 接或间接委派的情况，每届任期三年。本届董事会聘任期限为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w:t>
      </w:r>
    </w:p>
    <w:p>
      <w:pPr>
        <w:pStyle w:val="BodyText"/>
        <w:spacing w:line="240" w:lineRule="auto" w:before="191"/>
        <w:ind w:right="0"/>
        <w:jc w:val="left"/>
      </w:pPr>
      <w:r>
        <w:rPr/>
        <w:t>公司董事基本情况如下：</w:t>
      </w:r>
    </w:p>
    <w:p>
      <w:pPr>
        <w:tabs>
          <w:tab w:pos="1524" w:val="left" w:leader="none"/>
        </w:tabs>
        <w:spacing w:line="690" w:lineRule="atLeast" w:before="17"/>
        <w:ind w:left="574" w:right="151"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）陈江涛</w:t>
        <w:tab/>
      </w:r>
      <w:r>
        <w:rPr>
          <w:rFonts w:ascii="宋体" w:hAnsi="宋体" w:cs="宋体" w:eastAsia="宋体" w:hint="default"/>
          <w:b/>
          <w:bCs/>
          <w:sz w:val="21"/>
          <w:szCs w:val="21"/>
        </w:rPr>
        <w:t>董事长兼总经理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男，</w:t>
      </w:r>
      <w:r>
        <w:rPr>
          <w:rFonts w:ascii="Times New Roman" w:hAnsi="Times New Roman" w:cs="Times New Roman" w:eastAsia="Times New Roman" w:hint="default"/>
          <w:spacing w:val="-1"/>
          <w:sz w:val="21"/>
          <w:szCs w:val="21"/>
        </w:rPr>
        <w:t>1961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月出生，中国国籍，无境外永久居留权，硕士，高级工程师。</w:t>
      </w:r>
      <w:r>
        <w:rPr>
          <w:rFonts w:ascii="Times New Roman" w:hAnsi="Times New Roman" w:cs="Times New Roman" w:eastAsia="Times New Roman" w:hint="default"/>
          <w:spacing w:val="-1"/>
          <w:sz w:val="21"/>
          <w:szCs w:val="21"/>
        </w:rPr>
        <w:t>1983</w:t>
      </w:r>
      <w:r>
        <w:rPr>
          <w:rFonts w:ascii="宋体" w:hAnsi="宋体" w:cs="宋体" w:eastAsia="宋体" w:hint="default"/>
          <w:spacing w:val="-1"/>
          <w:sz w:val="21"/>
          <w:szCs w:val="21"/>
        </w:rPr>
        <w:t>年毕业于南昌大学电</w:t>
      </w:r>
    </w:p>
    <w:p>
      <w:pPr>
        <w:pStyle w:val="BodyText"/>
        <w:spacing w:line="386" w:lineRule="auto" w:before="177"/>
        <w:ind w:left="154" w:right="149"/>
        <w:jc w:val="both"/>
      </w:pPr>
      <w:r>
        <w:rPr>
          <w:spacing w:val="-2"/>
        </w:rPr>
        <w:t>子技术专业，并获得学士学位。</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-1986</w:t>
      </w:r>
      <w:r>
        <w:rPr>
          <w:spacing w:val="-2"/>
        </w:rPr>
        <w:t>年，在总参通信部直属单位工作任工程师，随后在哈尔滨工业</w:t>
      </w:r>
      <w:r>
        <w:rPr>
          <w:spacing w:val="-98"/>
        </w:rPr>
        <w:t> </w:t>
      </w:r>
      <w:r>
        <w:rPr>
          <w:spacing w:val="-98"/>
        </w:rPr>
      </w:r>
      <w:r>
        <w:rPr>
          <w:spacing w:val="-2"/>
        </w:rPr>
        <w:t>大学通信与电子系统专业攻读硕士学位，</w:t>
      </w:r>
      <w:r>
        <w:rPr>
          <w:rFonts w:ascii="Times New Roman" w:hAnsi="Times New Roman" w:cs="Times New Roman" w:eastAsia="Times New Roman" w:hint="default"/>
          <w:spacing w:val="-2"/>
        </w:rPr>
        <w:t>1989</w:t>
      </w:r>
      <w:r>
        <w:rPr>
          <w:spacing w:val="-2"/>
        </w:rPr>
        <w:t>年毕业。</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-1992</w:t>
      </w:r>
      <w:r>
        <w:rPr>
          <w:spacing w:val="-2"/>
        </w:rPr>
        <w:t>年，在航天部第三研究院北京航星机器</w:t>
      </w:r>
      <w:r>
        <w:rPr>
          <w:spacing w:val="-99"/>
        </w:rPr>
        <w:t> </w:t>
      </w:r>
      <w:r>
        <w:rPr>
          <w:spacing w:val="-99"/>
        </w:rPr>
      </w:r>
      <w:r>
        <w:rPr>
          <w:spacing w:val="-2"/>
        </w:rPr>
        <w:t>制造公司工作；</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-1996</w:t>
      </w:r>
      <w:r>
        <w:rPr>
          <w:spacing w:val="-2"/>
        </w:rPr>
        <w:t>年在北京星河电子总公司负责程控交换机技术工作，任总工程师；</w:t>
      </w:r>
      <w:r>
        <w:rPr>
          <w:rFonts w:ascii="Times New Roman" w:hAnsi="Times New Roman" w:cs="Times New Roman" w:eastAsia="Times New Roman" w:hint="default"/>
          <w:spacing w:val="-2"/>
        </w:rPr>
        <w:t>1997</w:t>
      </w:r>
      <w:r>
        <w:rPr>
          <w:spacing w:val="-2"/>
        </w:rPr>
        <w:t>年创建</w:t>
      </w:r>
      <w:r>
        <w:rPr>
          <w:spacing w:val="-102"/>
        </w:rPr>
        <w:t> </w:t>
      </w:r>
      <w:r>
        <w:rPr>
          <w:spacing w:val="-102"/>
        </w:rPr>
      </w:r>
      <w:r>
        <w:rPr/>
        <w:t>北京旋极信息技术有限公司，现任公司董事长兼总经理。</w:t>
      </w:r>
    </w:p>
    <w:p>
      <w:pPr>
        <w:spacing w:line="240" w:lineRule="auto" w:before="0"/>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）刘明</w:t>
      </w:r>
      <w:r>
        <w:rPr>
          <w:spacing w:val="101"/>
        </w:rPr>
        <w:t> </w:t>
      </w:r>
      <w:r>
        <w:rPr/>
        <w:t>董事兼副总经理</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150" w:firstLine="420"/>
        <w:jc w:val="left"/>
      </w:pPr>
      <w:r>
        <w:rPr/>
        <w:t>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w:t>
      </w:r>
      <w:r>
        <w:rPr/>
        <w:t>月出生，中国国籍，无境外永久居留权，工学学士。</w:t>
      </w:r>
      <w:r>
        <w:rPr>
          <w:rFonts w:ascii="Times New Roman" w:hAnsi="Times New Roman" w:cs="Times New Roman" w:eastAsia="Times New Roman" w:hint="default"/>
        </w:rPr>
        <w:t>1989</w:t>
      </w:r>
      <w:r>
        <w:rPr/>
        <w:t>年毕业于北京清华大学无线电 </w:t>
      </w:r>
      <w:r>
        <w:rPr>
          <w:spacing w:val="-2"/>
        </w:rPr>
        <w:t>电子学系图像专业，获学士学位。</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-1991</w:t>
      </w:r>
      <w:r>
        <w:rPr>
          <w:spacing w:val="-2"/>
        </w:rPr>
        <w:t>年任航天部第三研究院北京航星机器制造公司工程师；</w:t>
      </w:r>
      <w:r>
        <w:rPr>
          <w:rFonts w:ascii="Times New Roman" w:hAnsi="Times New Roman" w:cs="Times New Roman" w:eastAsia="Times New Roman" w:hint="default"/>
          <w:spacing w:val="-2"/>
        </w:rPr>
        <w:t>1991</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w:t>
      </w:r>
      <w:r>
        <w:rPr>
          <w:rFonts w:ascii="Times New Roman" w:hAnsi="Times New Roman" w:cs="Times New Roman" w:eastAsia="Times New Roman" w:hint="default"/>
        </w:rPr>
        <w:t>-1993</w:t>
      </w:r>
      <w:r>
        <w:rPr/>
        <w:t>年任北京清华紫光集团工程师；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-1996</w:t>
      </w:r>
      <w:r>
        <w:rPr/>
        <w:t>年在上海中晶电脑公司北京办事处任高级专员，负责 </w:t>
      </w:r>
      <w:r>
        <w:rPr>
          <w:spacing w:val="-1"/>
        </w:rPr>
        <w:t>技术支持、市场和销售工作；</w:t>
      </w:r>
      <w:r>
        <w:rPr>
          <w:rFonts w:ascii="Times New Roman" w:hAnsi="Times New Roman" w:cs="Times New Roman" w:eastAsia="Times New Roman" w:hint="default"/>
          <w:spacing w:val="-1"/>
        </w:rPr>
        <w:t>1997</w:t>
      </w:r>
      <w:r>
        <w:rPr>
          <w:spacing w:val="-1"/>
        </w:rPr>
        <w:t>年至今，就职于北京旋极信息技术股份有限公司，现任公司董事、副总</w:t>
      </w:r>
      <w:r>
        <w:rPr>
          <w:spacing w:val="-83"/>
        </w:rPr>
        <w:t> </w:t>
      </w:r>
      <w:r>
        <w:rPr>
          <w:spacing w:val="-83"/>
        </w:rPr>
      </w:r>
      <w:r>
        <w:rPr/>
        <w:t>经理。</w:t>
      </w:r>
    </w:p>
    <w:p>
      <w:pPr>
        <w:spacing w:line="240" w:lineRule="auto" w:before="12"/>
        <w:rPr>
          <w:rFonts w:ascii="宋体" w:hAnsi="宋体" w:cs="宋体" w:eastAsia="宋体" w:hint="default"/>
          <w:sz w:val="16"/>
          <w:szCs w:val="16"/>
        </w:rPr>
      </w:pPr>
    </w:p>
    <w:p>
      <w:pPr>
        <w:pStyle w:val="BodyText"/>
        <w:spacing w:line="386" w:lineRule="auto"/>
        <w:ind w:left="153" w:right="150" w:firstLine="420"/>
        <w:jc w:val="both"/>
      </w:pPr>
      <w:r>
        <w:rPr>
          <w:spacing w:val="-2"/>
        </w:rPr>
        <w:t>刘明先生拥有十多年嵌入式系统技术和市场经验。对嵌入式市场和低功耗的</w:t>
      </w:r>
      <w:r>
        <w:rPr>
          <w:rFonts w:ascii="Times New Roman" w:hAnsi="Times New Roman" w:cs="Times New Roman" w:eastAsia="Times New Roman" w:hint="default"/>
          <w:spacing w:val="-2"/>
        </w:rPr>
        <w:t>ARM</w:t>
      </w:r>
      <w:r>
        <w:rPr>
          <w:spacing w:val="-2"/>
        </w:rPr>
        <w:t>处理器及其应用有深</w:t>
      </w:r>
      <w:r>
        <w:rPr/>
        <w:t> </w:t>
      </w:r>
      <w:r>
        <w:rPr>
          <w:spacing w:val="-2"/>
        </w:rPr>
        <w:t>入的研究和认识，曾发表</w:t>
      </w:r>
      <w:r>
        <w:rPr>
          <w:rFonts w:ascii="Times New Roman" w:hAnsi="Times New Roman" w:cs="Times New Roman" w:eastAsia="Times New Roman" w:hint="default"/>
          <w:spacing w:val="-2"/>
        </w:rPr>
        <w:t>“ARM</w:t>
      </w:r>
      <w:r>
        <w:rPr>
          <w:spacing w:val="-2"/>
        </w:rPr>
        <w:t>开发和应用指南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“ARM</w:t>
      </w:r>
      <w:r>
        <w:rPr>
          <w:spacing w:val="-2"/>
        </w:rPr>
        <w:t>技术推动智能手持终端发展</w:t>
      </w:r>
      <w:r>
        <w:rPr>
          <w:rFonts w:ascii="Times New Roman" w:hAnsi="Times New Roman" w:cs="Times New Roman" w:eastAsia="Times New Roman" w:hint="default"/>
          <w:spacing w:val="-2"/>
        </w:rPr>
        <w:t>”</w:t>
      </w:r>
      <w:r>
        <w:rPr>
          <w:spacing w:val="-2"/>
        </w:rPr>
        <w:t>等文章。</w:t>
      </w:r>
      <w:r>
        <w:rPr>
          <w:rFonts w:ascii="Times New Roman" w:hAnsi="Times New Roman" w:cs="Times New Roman" w:eastAsia="Times New Roman" w:hint="default"/>
          <w:spacing w:val="-2"/>
        </w:rPr>
        <w:t>2001</w:t>
      </w:r>
      <w:r>
        <w:rPr>
          <w:spacing w:val="-2"/>
        </w:rPr>
        <w:t>年，组</w:t>
      </w:r>
      <w:r>
        <w:rPr>
          <w:spacing w:val="-99"/>
        </w:rPr>
        <w:t> </w:t>
      </w:r>
      <w:r>
        <w:rPr>
          <w:spacing w:val="-99"/>
        </w:rPr>
      </w:r>
      <w:r>
        <w:rPr/>
        <w:t>织公司相关技术人员申请中关村高企协</w:t>
      </w:r>
      <w:r>
        <w:rPr>
          <w:rFonts w:ascii="Times New Roman" w:hAnsi="Times New Roman" w:cs="Times New Roman" w:eastAsia="Times New Roman" w:hint="default"/>
        </w:rPr>
        <w:t>“</w:t>
      </w:r>
      <w:r>
        <w:rPr/>
        <w:t>嵌入式操作系统创新基金</w:t>
      </w:r>
      <w:r>
        <w:rPr>
          <w:rFonts w:ascii="Times New Roman" w:hAnsi="Times New Roman" w:cs="Times New Roman" w:eastAsia="Times New Roman" w:hint="default"/>
        </w:rPr>
        <w:t>”</w:t>
      </w:r>
      <w:r>
        <w:rPr/>
        <w:t>并完成自主知识产权的支持汉字功能的 嵌入式操作系统研究。</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月，组织公司申请国家</w:t>
      </w:r>
      <w:r>
        <w:rPr>
          <w:rFonts w:ascii="Times New Roman" w:hAnsi="Times New Roman" w:cs="Times New Roman" w:eastAsia="Times New Roman" w:hint="default"/>
        </w:rPr>
        <w:t>863</w:t>
      </w:r>
      <w:r>
        <w:rPr/>
        <w:t>计划的</w:t>
      </w:r>
      <w:r>
        <w:rPr>
          <w:rFonts w:ascii="Times New Roman" w:hAnsi="Times New Roman" w:cs="Times New Roman" w:eastAsia="Times New Roman" w:hint="default"/>
        </w:rPr>
        <w:t>“</w:t>
      </w:r>
      <w:r>
        <w:rPr/>
        <w:t>支持无线自组织网络的全内置掌上电脑</w:t>
      </w:r>
      <w:r>
        <w:rPr>
          <w:rFonts w:ascii="Times New Roman" w:hAnsi="Times New Roman" w:cs="Times New Roman" w:eastAsia="Times New Roman" w:hint="default"/>
        </w:rPr>
        <w:t>” </w:t>
      </w:r>
      <w:r>
        <w:rPr/>
        <w:t>项目。</w:t>
      </w:r>
    </w:p>
    <w:p>
      <w:pPr>
        <w:spacing w:after="0" w:line="386" w:lineRule="auto"/>
        <w:jc w:val="both"/>
        <w:sectPr>
          <w:pgSz w:w="11910" w:h="16840"/>
          <w:pgMar w:header="997" w:footer="1252" w:top="1340" w:bottom="1440" w:left="980" w:right="980"/>
        </w:sectPr>
      </w:pPr>
    </w:p>
    <w:p>
      <w:pPr>
        <w:pStyle w:val="Heading5"/>
        <w:tabs>
          <w:tab w:pos="1524" w:val="left" w:leader="none"/>
        </w:tabs>
        <w:spacing w:line="240" w:lineRule="auto" w:before="106"/>
        <w:ind w:right="101"/>
        <w:jc w:val="left"/>
        <w:rPr>
          <w:b w:val="0"/>
          <w:bCs w:val="0"/>
        </w:rPr>
      </w:pPr>
      <w:r>
        <w:rPr>
          <w:w w:val="95"/>
        </w:rPr>
        <w:t>（</w:t>
      </w:r>
      <w:r>
        <w:rPr>
          <w:rFonts w:ascii="Times New Roman" w:hAnsi="Times New Roman" w:cs="Times New Roman" w:eastAsia="Times New Roman" w:hint="default"/>
          <w:w w:val="95"/>
        </w:rPr>
        <w:t>3</w:t>
      </w:r>
      <w:r>
        <w:rPr>
          <w:w w:val="95"/>
        </w:rPr>
        <w:t>）蔡厚富</w:t>
        <w:tab/>
      </w:r>
      <w:r>
        <w:rPr/>
        <w:t>董事兼副总经理</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left"/>
      </w:pPr>
      <w:r>
        <w:rPr>
          <w:spacing w:val="-2"/>
        </w:rPr>
        <w:t>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5</w:t>
      </w:r>
      <w:r>
        <w:rPr>
          <w:spacing w:val="-2"/>
        </w:rPr>
        <w:t>月出生，中国国籍，无境外永久居留权。</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-1996</w:t>
      </w:r>
      <w:r>
        <w:rPr>
          <w:spacing w:val="-2"/>
        </w:rPr>
        <w:t>年，就读于北京明园大学计算机系；</w:t>
      </w:r>
    </w:p>
    <w:p>
      <w:pPr>
        <w:pStyle w:val="BodyText"/>
        <w:spacing w:line="240" w:lineRule="auto" w:before="177"/>
        <w:ind w:left="154" w:right="101"/>
        <w:jc w:val="left"/>
      </w:pPr>
      <w:r>
        <w:rPr>
          <w:rFonts w:ascii="Times New Roman" w:hAnsi="Times New Roman" w:cs="Times New Roman" w:eastAsia="Times New Roman" w:hint="default"/>
        </w:rPr>
        <w:t>1997</w:t>
      </w:r>
      <w:r>
        <w:rPr/>
        <w:t>年至今，就职于北京旋极信息技术股份有限公司，现任公司董事、副总经理。</w:t>
      </w:r>
    </w:p>
    <w:p>
      <w:pPr>
        <w:spacing w:line="240" w:lineRule="auto" w:before="8"/>
        <w:rPr>
          <w:rFonts w:ascii="宋体" w:hAnsi="宋体" w:cs="宋体" w:eastAsia="宋体" w:hint="default"/>
          <w:sz w:val="30"/>
          <w:szCs w:val="30"/>
        </w:rPr>
      </w:pPr>
    </w:p>
    <w:p>
      <w:pPr>
        <w:pStyle w:val="Heading5"/>
        <w:tabs>
          <w:tab w:pos="1524" w:val="left" w:leader="none"/>
        </w:tabs>
        <w:spacing w:line="240" w:lineRule="auto"/>
        <w:ind w:right="101"/>
        <w:jc w:val="left"/>
        <w:rPr>
          <w:b w:val="0"/>
          <w:bCs w:val="0"/>
        </w:rPr>
      </w:pPr>
      <w:r>
        <w:rPr>
          <w:w w:val="95"/>
        </w:rPr>
        <w:t>（</w:t>
      </w:r>
      <w:r>
        <w:rPr>
          <w:rFonts w:ascii="Times New Roman" w:hAnsi="Times New Roman" w:cs="Times New Roman" w:eastAsia="Times New Roman" w:hint="default"/>
          <w:w w:val="95"/>
        </w:rPr>
        <w:t>4</w:t>
      </w:r>
      <w:r>
        <w:rPr>
          <w:w w:val="95"/>
        </w:rPr>
        <w:t>）金春保</w:t>
        <w:tab/>
      </w:r>
      <w:r>
        <w:rPr/>
        <w:t>董事</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left="153" w:right="105" w:firstLine="420"/>
        <w:jc w:val="left"/>
      </w:pPr>
      <w:r>
        <w:rPr/>
        <w:t>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2</w:t>
      </w:r>
      <w:r>
        <w:rPr/>
        <w:t>月出生，中国国籍，无境外永久居留权，硕士。</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-1995</w:t>
      </w:r>
      <w:r>
        <w:rPr/>
        <w:t>年，在君安证券有限公司投 </w:t>
      </w:r>
      <w:r>
        <w:rPr>
          <w:spacing w:val="-2"/>
        </w:rPr>
        <w:t>资银行部工作，任项目经理；自</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-1999</w:t>
      </w:r>
      <w:r>
        <w:rPr>
          <w:spacing w:val="-2"/>
        </w:rPr>
        <w:t>年，在国泰证券有限公司投资银行部工作，任高级经理；</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2"/>
        </w:rPr>
        <w:t>年</w:t>
      </w:r>
      <w:r>
        <w:rPr>
          <w:rFonts w:ascii="Times New Roman" w:hAnsi="Times New Roman" w:cs="Times New Roman" w:eastAsia="Times New Roman" w:hint="default"/>
          <w:spacing w:val="-2"/>
        </w:rPr>
        <w:t>-2004</w:t>
      </w:r>
      <w:r>
        <w:rPr>
          <w:spacing w:val="-2"/>
        </w:rPr>
        <w:t>年，在国泰君安证券股份有限公司企业融资总部工作，任常务董事、董事总经理；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-2007</w:t>
      </w:r>
      <w:r>
        <w:rPr>
          <w:spacing w:val="-2"/>
        </w:rPr>
        <w:t>年，</w:t>
      </w:r>
      <w:r>
        <w:rPr>
          <w:spacing w:val="-64"/>
        </w:rPr>
        <w:t> </w:t>
      </w:r>
      <w:r>
        <w:rPr>
          <w:spacing w:val="-1"/>
        </w:rPr>
        <w:t>在联合证券有限公司投资银行总部工作，任副总监。</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月起，在深圳市盛桥投资管理有限公司工作，</w:t>
      </w:r>
      <w:r>
        <w:rPr>
          <w:spacing w:val="-84"/>
        </w:rPr>
        <w:t> </w:t>
      </w:r>
      <w:r>
        <w:rPr>
          <w:spacing w:val="-84"/>
        </w:rPr>
      </w:r>
      <w:r>
        <w:rPr/>
        <w:t>现任董事长、总经理，兼任安徽惊天液压智控股份有限公司董事、雷诺尔科技股份有限公司董事、今天国</w:t>
      </w:r>
      <w:r>
        <w:rPr/>
        <w:t> 际物流技术股份有限公司监事会主席。</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月起，任北京旋极信息技术股份有限公司董事。</w:t>
      </w:r>
    </w:p>
    <w:p>
      <w:pPr>
        <w:spacing w:line="240" w:lineRule="auto" w:before="5"/>
        <w:rPr>
          <w:rFonts w:ascii="宋体" w:hAnsi="宋体" w:cs="宋体" w:eastAsia="宋体" w:hint="default"/>
          <w:sz w:val="19"/>
          <w:szCs w:val="19"/>
        </w:rPr>
      </w:pPr>
    </w:p>
    <w:p>
      <w:pPr>
        <w:pStyle w:val="Heading5"/>
        <w:tabs>
          <w:tab w:pos="1524" w:val="left" w:leader="none"/>
        </w:tabs>
        <w:spacing w:line="240" w:lineRule="auto"/>
        <w:ind w:left="153" w:right="101"/>
        <w:jc w:val="left"/>
        <w:rPr>
          <w:b w:val="0"/>
          <w:bCs w:val="0"/>
        </w:rPr>
      </w:pPr>
      <w:r>
        <w:rPr>
          <w:w w:val="95"/>
        </w:rPr>
        <w:t>（</w:t>
      </w:r>
      <w:r>
        <w:rPr>
          <w:rFonts w:ascii="Times New Roman" w:hAnsi="Times New Roman" w:cs="Times New Roman" w:eastAsia="Times New Roman" w:hint="default"/>
          <w:w w:val="95"/>
        </w:rPr>
        <w:t>5</w:t>
      </w:r>
      <w:r>
        <w:rPr>
          <w:w w:val="95"/>
        </w:rPr>
        <w:t>）马海涛</w:t>
        <w:tab/>
      </w:r>
      <w:r>
        <w:rPr/>
        <w:t>独立董事</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left="153" w:right="171" w:firstLine="420"/>
        <w:jc w:val="left"/>
      </w:pPr>
      <w:r>
        <w:rPr>
          <w:spacing w:val="-1"/>
        </w:rPr>
        <w:t>男，</w:t>
      </w:r>
      <w:r>
        <w:rPr>
          <w:rFonts w:ascii="Times New Roman" w:hAnsi="Times New Roman" w:cs="Times New Roman" w:eastAsia="Times New Roman" w:hint="default"/>
          <w:spacing w:val="-1"/>
        </w:rPr>
        <w:t>1966</w:t>
      </w:r>
      <w:r>
        <w:rPr>
          <w:spacing w:val="-1"/>
        </w:rPr>
        <w:t>年出生，中国国籍，无境外永久居留权，现任中央财经大学财政学院院长，教授，博士生导</w:t>
      </w:r>
      <w:r>
        <w:rPr/>
        <w:t> 师。研究领域：财税理论与政策。出版专著</w:t>
      </w:r>
      <w:r>
        <w:rPr>
          <w:rFonts w:ascii="Times New Roman" w:hAnsi="Times New Roman" w:cs="Times New Roman" w:eastAsia="Times New Roman" w:hint="default"/>
        </w:rPr>
        <w:t>6</w:t>
      </w:r>
      <w:r>
        <w:rPr/>
        <w:t>部，教材</w:t>
      </w:r>
      <w:r>
        <w:rPr>
          <w:rFonts w:ascii="Times New Roman" w:hAnsi="Times New Roman" w:cs="Times New Roman" w:eastAsia="Times New Roman" w:hint="default"/>
        </w:rPr>
        <w:t>20</w:t>
      </w:r>
      <w:r>
        <w:rPr/>
        <w:t>余部，发表学术论文</w:t>
      </w:r>
      <w:r>
        <w:rPr>
          <w:rFonts w:ascii="Times New Roman" w:hAnsi="Times New Roman" w:cs="Times New Roman" w:eastAsia="Times New Roman" w:hint="default"/>
        </w:rPr>
        <w:t>120</w:t>
      </w:r>
      <w:r>
        <w:rPr/>
        <w:t>余篇，主持</w:t>
      </w:r>
      <w:r>
        <w:rPr>
          <w:rFonts w:ascii="Times New Roman" w:hAnsi="Times New Roman" w:cs="Times New Roman" w:eastAsia="Times New Roman" w:hint="default"/>
        </w:rPr>
        <w:t>10</w:t>
      </w:r>
      <w:r>
        <w:rPr/>
        <w:t>多项国家、 </w:t>
      </w:r>
      <w:r>
        <w:rPr>
          <w:spacing w:val="-1"/>
        </w:rPr>
        <w:t>省部级课题，</w:t>
      </w:r>
      <w:r>
        <w:rPr>
          <w:rFonts w:ascii="Times New Roman" w:hAnsi="Times New Roman" w:cs="Times New Roman" w:eastAsia="Times New Roman" w:hint="default"/>
          <w:spacing w:val="-1"/>
        </w:rPr>
        <w:t>12</w:t>
      </w:r>
      <w:r>
        <w:rPr>
          <w:spacing w:val="-1"/>
        </w:rPr>
        <w:t>项研究成果获省部级奖。主编的《中国税制》一书获得北京市哲学社会科学优秀成果二等</w:t>
      </w:r>
      <w:r>
        <w:rPr>
          <w:spacing w:val="-83"/>
        </w:rPr>
        <w:t> </w:t>
      </w:r>
      <w:r>
        <w:rPr>
          <w:spacing w:val="-83"/>
        </w:rPr>
      </w:r>
      <w:r>
        <w:rPr>
          <w:spacing w:val="-1"/>
        </w:rPr>
        <w:t>奖，被评为国家级精品教材。荣获北京市教学名师，教育部新世纪优秀人才，财政部跨世纪青年学科带头</w:t>
      </w:r>
      <w:r>
        <w:rPr>
          <w:spacing w:val="-82"/>
        </w:rPr>
        <w:t> </w:t>
      </w:r>
      <w:r>
        <w:rPr>
          <w:spacing w:val="-82"/>
        </w:rPr>
      </w:r>
      <w:r>
        <w:rPr/>
        <w:t>人、北京市优秀教师，新世纪百千万人才工程国家级人选。</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月起，任北京旋极信息技术股份有限 公司董事。</w:t>
      </w:r>
    </w:p>
    <w:p>
      <w:pPr>
        <w:spacing w:line="240" w:lineRule="auto" w:before="9"/>
        <w:rPr>
          <w:rFonts w:ascii="宋体" w:hAnsi="宋体" w:cs="宋体" w:eastAsia="宋体" w:hint="default"/>
          <w:sz w:val="21"/>
          <w:szCs w:val="21"/>
        </w:rPr>
      </w:pPr>
    </w:p>
    <w:p>
      <w:pPr>
        <w:pStyle w:val="Heading5"/>
        <w:tabs>
          <w:tab w:pos="1313" w:val="left" w:leader="none"/>
        </w:tabs>
        <w:spacing w:line="240" w:lineRule="auto"/>
        <w:ind w:left="153" w:right="101"/>
        <w:jc w:val="left"/>
        <w:rPr>
          <w:b w:val="0"/>
          <w:bCs w:val="0"/>
        </w:rPr>
      </w:pPr>
      <w:r>
        <w:rPr>
          <w:w w:val="95"/>
        </w:rPr>
        <w:t>（</w:t>
      </w:r>
      <w:r>
        <w:rPr>
          <w:rFonts w:ascii="Times New Roman" w:hAnsi="Times New Roman" w:cs="Times New Roman" w:eastAsia="Times New Roman" w:hint="default"/>
          <w:w w:val="95"/>
        </w:rPr>
        <w:t>6</w:t>
      </w:r>
      <w:r>
        <w:rPr>
          <w:w w:val="95"/>
        </w:rPr>
        <w:t>）熊焰</w:t>
        <w:tab/>
      </w:r>
      <w:r>
        <w:rPr/>
        <w:t>独立董事</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left="153" w:right="102" w:firstLine="420"/>
        <w:jc w:val="left"/>
      </w:pPr>
      <w:r>
        <w:rPr/>
        <w:t>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8</w:t>
      </w:r>
      <w:r>
        <w:rPr/>
        <w:t>月出生，中国国籍，无境外永久居留权，硕士。毕业于哈尔滨工业大学。历任中国技术 </w:t>
      </w:r>
      <w:r>
        <w:rPr>
          <w:spacing w:val="-3"/>
        </w:rPr>
        <w:t>交易所、北京产权交易所、北京环境交易所、北京金融资产交易所董事长。北京股权投资基金协会副会长、</w:t>
      </w:r>
      <w:r>
        <w:rPr>
          <w:spacing w:val="-95"/>
        </w:rPr>
        <w:t> </w:t>
      </w:r>
      <w:r>
        <w:rPr>
          <w:spacing w:val="-95"/>
        </w:rPr>
      </w:r>
      <w:r>
        <w:rPr/>
        <w:t>秘书长，全国工商联并购公会第三届轮值主席，中央党校、哈尔滨工业大学、中央财经大学兼职教授，中</w:t>
      </w:r>
      <w:r>
        <w:rPr/>
        <w:t> 国产权市场创新联盟常务理事，亚杰商会常务理事、百人会常务理事。曾任哈尔滨工业大学校团委书记、 副教授，团中央高新技术产业中心主任，中关村技术产权交易所总经理，北京产权交易所总经理。</w:t>
      </w:r>
      <w:r>
        <w:rPr>
          <w:rFonts w:ascii="Times New Roman" w:hAnsi="Times New Roman" w:cs="Times New Roman" w:eastAsia="Times New Roman" w:hint="default"/>
        </w:rPr>
        <w:t>2010</w:t>
      </w:r>
      <w:r>
        <w:rPr/>
        <w:t>年 </w:t>
      </w:r>
      <w:r>
        <w:rPr>
          <w:rFonts w:ascii="Times New Roman" w:hAnsi="Times New Roman" w:cs="Times New Roman" w:eastAsia="Times New Roman" w:hint="default"/>
        </w:rPr>
        <w:t>6</w:t>
      </w:r>
      <w:r>
        <w:rPr/>
        <w:t>月起，任北京旋极信息技术股份有限公司董事。</w:t>
      </w:r>
    </w:p>
    <w:p>
      <w:pPr>
        <w:spacing w:after="0" w:line="400" w:lineRule="auto"/>
        <w:jc w:val="left"/>
        <w:sectPr>
          <w:pgSz w:w="11910" w:h="16840"/>
          <w:pgMar w:header="997" w:footer="1252" w:top="1340" w:bottom="1440" w:left="980" w:right="920"/>
        </w:sectPr>
      </w:pPr>
    </w:p>
    <w:p>
      <w:pPr>
        <w:pStyle w:val="Heading5"/>
        <w:tabs>
          <w:tab w:pos="1313" w:val="left" w:leader="none"/>
        </w:tabs>
        <w:spacing w:line="240" w:lineRule="auto" w:before="106"/>
        <w:ind w:right="101"/>
        <w:jc w:val="left"/>
        <w:rPr>
          <w:b w:val="0"/>
          <w:bCs w:val="0"/>
        </w:rPr>
      </w:pPr>
      <w:r>
        <w:rPr>
          <w:w w:val="95"/>
        </w:rPr>
        <w:t>（</w:t>
      </w:r>
      <w:r>
        <w:rPr>
          <w:rFonts w:ascii="Times New Roman" w:hAnsi="Times New Roman" w:cs="Times New Roman" w:eastAsia="Times New Roman" w:hint="default"/>
          <w:w w:val="95"/>
        </w:rPr>
        <w:t>7</w:t>
      </w:r>
      <w:r>
        <w:rPr>
          <w:w w:val="95"/>
        </w:rPr>
        <w:t>）储珺</w:t>
        <w:tab/>
      </w:r>
      <w:r>
        <w:rPr/>
        <w:t>独立董事</w:t>
      </w:r>
      <w:r>
        <w:rPr>
          <w:b w:val="0"/>
          <w:bCs w:val="0"/>
        </w:rPr>
      </w:r>
    </w:p>
    <w:p>
      <w:pPr>
        <w:spacing w:line="240" w:lineRule="auto" w:before="7"/>
        <w:rPr>
          <w:rFonts w:ascii="宋体" w:hAnsi="宋体" w:cs="宋体" w:eastAsia="宋体" w:hint="default"/>
          <w:b/>
          <w:bCs/>
          <w:sz w:val="30"/>
          <w:szCs w:val="30"/>
        </w:rPr>
      </w:pPr>
    </w:p>
    <w:p>
      <w:pPr>
        <w:pStyle w:val="BodyText"/>
        <w:spacing w:line="396" w:lineRule="auto"/>
        <w:ind w:left="153" w:right="101" w:firstLine="420"/>
        <w:jc w:val="left"/>
      </w:pPr>
      <w:r>
        <w:rPr/>
        <w:t>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月出生，中国国籍，无境外永久居留权，教授，博士生导师。</w:t>
      </w:r>
      <w:r>
        <w:rPr>
          <w:rFonts w:ascii="Times New Roman" w:hAnsi="Times New Roman" w:cs="Times New Roman" w:eastAsia="Times New Roman" w:hint="default"/>
        </w:rPr>
        <w:t>2002</w:t>
      </w:r>
      <w:r>
        <w:rPr/>
        <w:t>年和</w:t>
      </w:r>
      <w:r>
        <w:rPr>
          <w:rFonts w:ascii="Times New Roman" w:hAnsi="Times New Roman" w:cs="Times New Roman" w:eastAsia="Times New Roman" w:hint="default"/>
        </w:rPr>
        <w:t>2005</w:t>
      </w:r>
      <w:r>
        <w:rPr/>
        <w:t>年分别获得 </w:t>
      </w:r>
      <w:r>
        <w:rPr>
          <w:spacing w:val="-1"/>
        </w:rPr>
        <w:t>西北工业大学硕士和博士学位，</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月进入中国探月工程地面应用系统从事博士后研究，师从欧阳自</w:t>
      </w:r>
      <w:r>
        <w:rPr>
          <w:spacing w:val="-83"/>
        </w:rPr>
        <w:t> </w:t>
      </w:r>
      <w:r>
        <w:rPr>
          <w:spacing w:val="-83"/>
        </w:rPr>
      </w:r>
      <w:r>
        <w:rPr>
          <w:spacing w:val="-1"/>
        </w:rPr>
        <w:t>远院士和地面应用系统总指挥李春来研究员。现为中国工程图学学会理论图学专业委员会副主任委员，江</w:t>
      </w:r>
      <w:r>
        <w:rPr>
          <w:spacing w:val="-81"/>
        </w:rPr>
        <w:t> </w:t>
      </w:r>
      <w:r>
        <w:rPr>
          <w:spacing w:val="-81"/>
        </w:rPr>
      </w:r>
      <w:r>
        <w:rPr>
          <w:spacing w:val="-1"/>
        </w:rPr>
        <w:t>西省工程图学学会常务理事，中国计算机学会高级会员。长期从事图形图像理论与应用方面的教学和研究</w:t>
      </w:r>
      <w:r>
        <w:rPr>
          <w:spacing w:val="-81"/>
        </w:rPr>
        <w:t> </w:t>
      </w:r>
      <w:r>
        <w:rPr>
          <w:spacing w:val="-81"/>
        </w:rPr>
      </w:r>
      <w:r>
        <w:rPr/>
        <w:t>工作，主要的研究领域为计算机图形学、图像处理、计算机视觉、模式识别。</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月起，任北京旋极 信息技术股份有限公司董事。</w:t>
      </w:r>
    </w:p>
    <w:p>
      <w:pPr>
        <w:spacing w:line="240" w:lineRule="auto" w:before="6"/>
        <w:rPr>
          <w:rFonts w:ascii="宋体" w:hAnsi="宋体" w:cs="宋体" w:eastAsia="宋体" w:hint="default"/>
          <w:sz w:val="14"/>
          <w:szCs w:val="14"/>
        </w:rPr>
      </w:pPr>
    </w:p>
    <w:p>
      <w:pPr>
        <w:pStyle w:val="Heading3"/>
        <w:spacing w:line="240" w:lineRule="auto"/>
        <w:ind w:right="101"/>
        <w:jc w:val="left"/>
      </w:pPr>
      <w:r>
        <w:rPr>
          <w:rFonts w:ascii="Cambria" w:hAnsi="Cambria" w:cs="Cambria" w:eastAsia="Cambria" w:hint="default"/>
        </w:rPr>
        <w:t>2</w:t>
      </w:r>
      <w:r>
        <w:rPr/>
        <w:t>、监事会成员（</w:t>
      </w:r>
      <w:r>
        <w:rPr>
          <w:rFonts w:ascii="Cambria" w:hAnsi="Cambria" w:cs="Cambria" w:eastAsia="Cambria" w:hint="default"/>
        </w:rPr>
        <w:t>3 </w:t>
      </w:r>
      <w:r>
        <w:rPr>
          <w:rFonts w:ascii="Cambria" w:hAnsi="Cambria" w:cs="Cambria" w:eastAsia="Cambria" w:hint="default"/>
          <w:spacing w:val="42"/>
        </w:rPr>
        <w:t> </w:t>
      </w:r>
      <w:r>
        <w:rPr/>
        <w:t>人）</w:t>
      </w:r>
    </w:p>
    <w:p>
      <w:pPr>
        <w:spacing w:line="240" w:lineRule="auto" w:before="12"/>
        <w:rPr>
          <w:rFonts w:ascii="黑体" w:hAnsi="黑体" w:cs="黑体" w:eastAsia="黑体" w:hint="default"/>
          <w:sz w:val="23"/>
          <w:szCs w:val="23"/>
        </w:rPr>
      </w:pPr>
    </w:p>
    <w:p>
      <w:pPr>
        <w:pStyle w:val="BodyText"/>
        <w:spacing w:line="386" w:lineRule="auto"/>
        <w:ind w:left="154" w:right="211" w:firstLine="419"/>
        <w:jc w:val="both"/>
      </w:pPr>
      <w:r>
        <w:rPr/>
        <w:t>本公司监事会由</w:t>
      </w:r>
      <w:r>
        <w:rPr>
          <w:rFonts w:ascii="Times New Roman" w:hAnsi="Times New Roman" w:cs="Times New Roman" w:eastAsia="Times New Roman" w:hint="default"/>
        </w:rPr>
        <w:t>3 </w:t>
      </w:r>
      <w:r>
        <w:rPr/>
        <w:t>名监事组成，其中阮亚占由职工代表大会选举产生，另外</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名监事由公司股东大会 </w:t>
      </w:r>
      <w:r>
        <w:rPr>
          <w:spacing w:val="-1"/>
        </w:rPr>
        <w:t>选举产生，无由关联人直接或间接委派的情况。本届监事会各成员的聘任期限均为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w:t>
      </w:r>
    </w:p>
    <w:p>
      <w:pPr>
        <w:spacing w:line="240" w:lineRule="auto" w:before="10"/>
        <w:rPr>
          <w:rFonts w:ascii="宋体" w:hAnsi="宋体" w:cs="宋体" w:eastAsia="宋体" w:hint="default"/>
          <w:sz w:val="19"/>
          <w:szCs w:val="19"/>
        </w:rPr>
      </w:pPr>
    </w:p>
    <w:p>
      <w:pPr>
        <w:pStyle w:val="Heading5"/>
        <w:tabs>
          <w:tab w:pos="1524" w:val="left" w:leader="none"/>
        </w:tabs>
        <w:spacing w:line="240" w:lineRule="auto"/>
        <w:ind w:right="101"/>
        <w:jc w:val="left"/>
        <w:rPr>
          <w:b w:val="0"/>
          <w:bCs w:val="0"/>
        </w:rPr>
      </w:pPr>
      <w:r>
        <w:rPr>
          <w:w w:val="95"/>
        </w:rPr>
        <w:t>（</w:t>
      </w:r>
      <w:r>
        <w:rPr>
          <w:rFonts w:ascii="Times New Roman" w:hAnsi="Times New Roman" w:cs="Times New Roman" w:eastAsia="Times New Roman" w:hint="default"/>
          <w:w w:val="95"/>
        </w:rPr>
        <w:t>1</w:t>
      </w:r>
      <w:r>
        <w:rPr>
          <w:w w:val="95"/>
        </w:rPr>
        <w:t>）陈海涛</w:t>
        <w:tab/>
      </w:r>
      <w:r>
        <w:rPr/>
        <w:t>监事会主席</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105" w:firstLine="420"/>
        <w:jc w:val="left"/>
      </w:pPr>
      <w:r>
        <w:rPr/>
        <w:t>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12</w:t>
      </w:r>
      <w:r>
        <w:rPr/>
        <w:t>月出生，中国国籍，无境外永久居留权，硕士。毕业于哈尔滨工业大学信号与信息处理 </w:t>
      </w:r>
      <w:r>
        <w:rPr>
          <w:spacing w:val="-2"/>
        </w:rPr>
        <w:t>专业。</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-1987</w:t>
      </w:r>
      <w:r>
        <w:rPr>
          <w:spacing w:val="-2"/>
        </w:rPr>
        <w:t>年，在南昌水利水电专科学校任教；</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-1992</w:t>
      </w:r>
      <w:r>
        <w:rPr>
          <w:spacing w:val="-2"/>
        </w:rPr>
        <w:t>年，在江西省微波通信局技术科工作；</w:t>
      </w:r>
      <w:r>
        <w:rPr>
          <w:spacing w:val="-59"/>
        </w:rPr>
        <w:t> </w:t>
      </w:r>
      <w:r>
        <w:rPr>
          <w:spacing w:val="-59"/>
        </w:rPr>
      </w:r>
      <w:r>
        <w:rPr>
          <w:rFonts w:ascii="Times New Roman" w:hAnsi="Times New Roman" w:cs="Times New Roman" w:eastAsia="Times New Roman" w:hint="default"/>
          <w:spacing w:val="-4"/>
        </w:rPr>
        <w:t>1992</w:t>
      </w:r>
      <w:r>
        <w:rPr>
          <w:spacing w:val="-4"/>
        </w:rPr>
        <w:t>年</w:t>
      </w:r>
      <w:r>
        <w:rPr>
          <w:rFonts w:ascii="Times New Roman" w:hAnsi="Times New Roman" w:cs="Times New Roman" w:eastAsia="Times New Roman" w:hint="default"/>
          <w:spacing w:val="-4"/>
        </w:rPr>
        <w:t>-1998</w:t>
      </w:r>
      <w:r>
        <w:rPr>
          <w:spacing w:val="-4"/>
        </w:rPr>
        <w:t>年，在北京星河电子总公司任副总经理；</w:t>
      </w:r>
      <w:r>
        <w:rPr>
          <w:rFonts w:ascii="Times New Roman" w:hAnsi="Times New Roman" w:cs="Times New Roman" w:eastAsia="Times New Roman" w:hint="default"/>
          <w:spacing w:val="-4"/>
        </w:rPr>
        <w:t>1998</w:t>
      </w:r>
      <w:r>
        <w:rPr>
          <w:spacing w:val="-4"/>
        </w:rPr>
        <w:t>年至今，任职于北京旋极信息技术股份有限公司。</w:t>
      </w:r>
    </w:p>
    <w:p>
      <w:pPr>
        <w:spacing w:line="240" w:lineRule="auto" w:before="10"/>
        <w:rPr>
          <w:rFonts w:ascii="宋体" w:hAnsi="宋体" w:cs="宋体" w:eastAsia="宋体" w:hint="default"/>
          <w:sz w:val="19"/>
          <w:szCs w:val="19"/>
        </w:rPr>
      </w:pPr>
    </w:p>
    <w:p>
      <w:pPr>
        <w:pStyle w:val="Heading5"/>
        <w:tabs>
          <w:tab w:pos="1524" w:val="left" w:leader="none"/>
        </w:tabs>
        <w:spacing w:line="240" w:lineRule="auto"/>
        <w:ind w:left="153" w:right="101"/>
        <w:jc w:val="left"/>
        <w:rPr>
          <w:b w:val="0"/>
          <w:bCs w:val="0"/>
        </w:rPr>
      </w:pPr>
      <w:r>
        <w:rPr>
          <w:w w:val="95"/>
        </w:rPr>
        <w:t>（</w:t>
      </w:r>
      <w:r>
        <w:rPr>
          <w:rFonts w:ascii="Times New Roman" w:hAnsi="Times New Roman" w:cs="Times New Roman" w:eastAsia="Times New Roman" w:hint="default"/>
          <w:w w:val="95"/>
        </w:rPr>
        <w:t>2</w:t>
      </w:r>
      <w:r>
        <w:rPr>
          <w:w w:val="95"/>
        </w:rPr>
        <w:t>）李居庸</w:t>
        <w:tab/>
      </w:r>
      <w:r>
        <w:rPr/>
        <w:t>监事</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207" w:firstLine="420"/>
        <w:jc w:val="left"/>
      </w:pPr>
      <w:r>
        <w:rPr>
          <w:spacing w:val="-5"/>
        </w:rPr>
        <w:t>男，</w:t>
      </w:r>
      <w:r>
        <w:rPr>
          <w:rFonts w:ascii="Times New Roman" w:hAnsi="Times New Roman" w:cs="Times New Roman" w:eastAsia="Times New Roman" w:hint="default"/>
          <w:spacing w:val="-5"/>
        </w:rPr>
        <w:t>1958</w:t>
      </w:r>
      <w:r>
        <w:rPr>
          <w:spacing w:val="-5"/>
        </w:rPr>
        <w:t>年</w:t>
      </w:r>
      <w:r>
        <w:rPr>
          <w:rFonts w:ascii="Times New Roman" w:hAnsi="Times New Roman" w:cs="Times New Roman" w:eastAsia="Times New Roman" w:hint="default"/>
          <w:spacing w:val="-5"/>
        </w:rPr>
        <w:t>11</w:t>
      </w:r>
      <w:r>
        <w:rPr>
          <w:spacing w:val="-5"/>
        </w:rPr>
        <w:t>月出生，中国国籍，无境外永久居留权，学士。毕业于哈尔滨工业大学无线电专业。</w:t>
      </w:r>
      <w:r>
        <w:rPr>
          <w:rFonts w:ascii="Times New Roman" w:hAnsi="Times New Roman" w:cs="Times New Roman" w:eastAsia="Times New Roman" w:hint="default"/>
          <w:spacing w:val="-5"/>
        </w:rPr>
        <w:t>1982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-1989</w:t>
      </w:r>
      <w:r>
        <w:rPr/>
        <w:t>年在北京</w:t>
      </w:r>
      <w:r>
        <w:rPr>
          <w:rFonts w:ascii="Times New Roman" w:hAnsi="Times New Roman" w:cs="Times New Roman" w:eastAsia="Times New Roman" w:hint="default"/>
        </w:rPr>
        <w:t>768</w:t>
      </w:r>
      <w:r>
        <w:rPr/>
        <w:t>厂工作；</w:t>
      </w:r>
      <w:r>
        <w:rPr>
          <w:rFonts w:ascii="Times New Roman" w:hAnsi="Times New Roman" w:cs="Times New Roman" w:eastAsia="Times New Roman" w:hint="default"/>
        </w:rPr>
        <w:t>1989</w:t>
      </w:r>
      <w:r>
        <w:rPr/>
        <w:t>年至今，自由职业者。</w:t>
      </w:r>
    </w:p>
    <w:p>
      <w:pPr>
        <w:spacing w:line="240" w:lineRule="auto" w:before="10"/>
        <w:rPr>
          <w:rFonts w:ascii="宋体" w:hAnsi="宋体" w:cs="宋体" w:eastAsia="宋体" w:hint="default"/>
          <w:sz w:val="19"/>
          <w:szCs w:val="19"/>
        </w:rPr>
      </w:pPr>
    </w:p>
    <w:p>
      <w:pPr>
        <w:pStyle w:val="Heading5"/>
        <w:tabs>
          <w:tab w:pos="1524" w:val="left" w:leader="none"/>
        </w:tabs>
        <w:spacing w:line="240" w:lineRule="auto"/>
        <w:ind w:left="153" w:right="101"/>
        <w:jc w:val="left"/>
        <w:rPr>
          <w:b w:val="0"/>
          <w:bCs w:val="0"/>
        </w:rPr>
      </w:pPr>
      <w:r>
        <w:rPr>
          <w:w w:val="95"/>
        </w:rPr>
        <w:t>（</w:t>
      </w:r>
      <w:r>
        <w:rPr>
          <w:rFonts w:ascii="Times New Roman" w:hAnsi="Times New Roman" w:cs="Times New Roman" w:eastAsia="Times New Roman" w:hint="default"/>
          <w:w w:val="95"/>
        </w:rPr>
        <w:t>3</w:t>
      </w:r>
      <w:r>
        <w:rPr>
          <w:w w:val="95"/>
        </w:rPr>
        <w:t>）阮亚占</w:t>
        <w:tab/>
      </w:r>
      <w:r>
        <w:rPr/>
        <w:t>职工监事</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left="153" w:right="210" w:firstLine="420"/>
        <w:jc w:val="left"/>
      </w:pPr>
      <w:r>
        <w:rPr/>
        <w:t>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月出生，中国国籍，无境外永久居留权，学士，工程师、经济师。毕业于华中理工大学 </w:t>
      </w:r>
      <w:r>
        <w:rPr>
          <w:spacing w:val="-2"/>
        </w:rPr>
        <w:t>船舶与海洋工程系内燃机专业。</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-1998</w:t>
      </w:r>
      <w:r>
        <w:rPr>
          <w:spacing w:val="-2"/>
        </w:rPr>
        <w:t>年，任湖南省交通厅公路运输管理局副主任科员、工程师、经</w:t>
      </w:r>
      <w:r>
        <w:rPr>
          <w:spacing w:val="-98"/>
        </w:rPr>
        <w:t> </w:t>
      </w:r>
      <w:r>
        <w:rPr>
          <w:spacing w:val="-98"/>
        </w:rPr>
      </w:r>
      <w:r>
        <w:rPr/>
        <w:t>济师。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-1999</w:t>
      </w:r>
      <w:r>
        <w:rPr/>
        <w:t>年，任泰克计算机系统集团公司人力资源部经理。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-2000</w:t>
      </w:r>
      <w:r>
        <w:rPr/>
        <w:t>年，任上海金陵泰克计 </w:t>
      </w:r>
      <w:r>
        <w:rPr>
          <w:spacing w:val="-1"/>
        </w:rPr>
        <w:t>算机科技发展股份有限公司人力资源部经理、行政部经理、市场部经理；</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10</w:t>
      </w:r>
      <w:r>
        <w:rPr>
          <w:spacing w:val="-1"/>
        </w:rPr>
        <w:t>月至今，历任北京旋极</w:t>
      </w:r>
      <w:r>
        <w:rPr>
          <w:spacing w:val="-82"/>
        </w:rPr>
        <w:t> </w:t>
      </w:r>
      <w:r>
        <w:rPr>
          <w:spacing w:val="-82"/>
        </w:rPr>
      </w:r>
      <w:r>
        <w:rPr>
          <w:spacing w:val="-1"/>
        </w:rPr>
        <w:t>信息技术股份有限公司人事行政部经理、质量部经理。现任公司保密委员会副主任、人力资源、行政、企</w:t>
      </w:r>
      <w:r>
        <w:rPr>
          <w:spacing w:val="-83"/>
        </w:rPr>
        <w:t> </w:t>
      </w:r>
      <w:r>
        <w:rPr>
          <w:spacing w:val="-83"/>
        </w:rPr>
      </w:r>
      <w:r>
        <w:rPr/>
        <w:t>划总监。</w:t>
      </w:r>
    </w:p>
    <w:p>
      <w:pPr>
        <w:spacing w:after="0" w:line="391" w:lineRule="auto"/>
        <w:jc w:val="left"/>
        <w:sectPr>
          <w:pgSz w:w="11910" w:h="16840"/>
          <w:pgMar w:header="997" w:footer="1252" w:top="1340" w:bottom="1440" w:left="980" w:right="920"/>
        </w:sectPr>
      </w:pPr>
    </w:p>
    <w:p>
      <w:pPr>
        <w:spacing w:line="240" w:lineRule="auto" w:before="3"/>
        <w:rPr>
          <w:rFonts w:ascii="宋体" w:hAnsi="宋体" w:cs="宋体" w:eastAsia="宋体" w:hint="default"/>
          <w:sz w:val="10"/>
          <w:szCs w:val="10"/>
        </w:rPr>
      </w:pPr>
    </w:p>
    <w:p>
      <w:pPr>
        <w:pStyle w:val="Heading3"/>
        <w:spacing w:line="240" w:lineRule="auto" w:before="26"/>
        <w:ind w:right="101"/>
        <w:jc w:val="left"/>
      </w:pPr>
      <w:r>
        <w:rPr>
          <w:rFonts w:ascii="Cambria" w:hAnsi="Cambria" w:cs="Cambria" w:eastAsia="Cambria" w:hint="default"/>
        </w:rPr>
        <w:t>3</w:t>
      </w:r>
      <w:r>
        <w:rPr/>
        <w:t>、高级管理人员（</w:t>
      </w:r>
      <w:r>
        <w:rPr>
          <w:rFonts w:ascii="Cambria" w:hAnsi="Cambria" w:cs="Cambria" w:eastAsia="Cambria" w:hint="default"/>
        </w:rPr>
        <w:t>6 </w:t>
      </w:r>
      <w:r>
        <w:rPr>
          <w:rFonts w:ascii="Cambria" w:hAnsi="Cambria" w:cs="Cambria" w:eastAsia="Cambria" w:hint="default"/>
          <w:spacing w:val="42"/>
        </w:rPr>
        <w:t> </w:t>
      </w:r>
      <w:r>
        <w:rPr/>
        <w:t>人）</w:t>
      </w:r>
    </w:p>
    <w:p>
      <w:pPr>
        <w:spacing w:line="240" w:lineRule="auto" w:before="12"/>
        <w:rPr>
          <w:rFonts w:ascii="黑体" w:hAnsi="黑体" w:cs="黑体" w:eastAsia="黑体" w:hint="default"/>
          <w:sz w:val="23"/>
          <w:szCs w:val="23"/>
        </w:rPr>
      </w:pPr>
    </w:p>
    <w:p>
      <w:pPr>
        <w:pStyle w:val="BodyText"/>
        <w:spacing w:line="240" w:lineRule="auto"/>
        <w:ind w:right="101"/>
        <w:jc w:val="left"/>
      </w:pPr>
      <w:r>
        <w:rPr/>
        <w:t>董事会聘请的高级管理人员任期为三年。</w:t>
      </w:r>
    </w:p>
    <w:p>
      <w:pPr>
        <w:spacing w:line="240" w:lineRule="auto" w:before="0"/>
        <w:rPr>
          <w:rFonts w:ascii="宋体" w:hAnsi="宋体" w:cs="宋体" w:eastAsia="宋体" w:hint="default"/>
          <w:sz w:val="20"/>
          <w:szCs w:val="20"/>
        </w:rPr>
      </w:pPr>
    </w:p>
    <w:p>
      <w:pPr>
        <w:tabs>
          <w:tab w:pos="1524" w:val="left" w:leader="none"/>
        </w:tabs>
        <w:spacing w:line="568" w:lineRule="auto" w:before="154"/>
        <w:ind w:left="574" w:right="6908"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）陈江涛</w:t>
        <w:tab/>
      </w:r>
      <w:r>
        <w:rPr>
          <w:rFonts w:ascii="宋体" w:hAnsi="宋体" w:cs="宋体" w:eastAsia="宋体" w:hint="default"/>
          <w:b/>
          <w:bCs/>
          <w:sz w:val="21"/>
          <w:szCs w:val="21"/>
        </w:rPr>
        <w:t>总经理</w:t>
      </w:r>
      <w:r>
        <w:rPr>
          <w:rFonts w:ascii="宋体" w:hAnsi="宋体" w:cs="宋体" w:eastAsia="宋体" w:hint="default"/>
          <w:b/>
          <w:bCs/>
          <w:spacing w:val="1"/>
          <w:w w:val="99"/>
          <w:sz w:val="21"/>
          <w:szCs w:val="21"/>
        </w:rPr>
        <w:t> </w:t>
      </w:r>
      <w:r>
        <w:rPr>
          <w:rFonts w:ascii="宋体" w:hAnsi="宋体" w:cs="宋体" w:eastAsia="宋体" w:hint="default"/>
          <w:sz w:val="21"/>
          <w:szCs w:val="21"/>
        </w:rPr>
        <w:t>简历参见公司董事会成员。</w:t>
      </w:r>
    </w:p>
    <w:p>
      <w:pPr>
        <w:tabs>
          <w:tab w:pos="1313" w:val="left" w:leader="none"/>
        </w:tabs>
        <w:spacing w:line="568" w:lineRule="auto" w:before="128"/>
        <w:ind w:left="574" w:right="6908"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）刘明</w:t>
        <w:tab/>
      </w:r>
      <w:r>
        <w:rPr>
          <w:rFonts w:ascii="宋体" w:hAnsi="宋体" w:cs="宋体" w:eastAsia="宋体" w:hint="default"/>
          <w:b/>
          <w:bCs/>
          <w:sz w:val="21"/>
          <w:szCs w:val="21"/>
        </w:rPr>
        <w:t>副总经理</w:t>
      </w:r>
      <w:r>
        <w:rPr>
          <w:rFonts w:ascii="宋体" w:hAnsi="宋体" w:cs="宋体" w:eastAsia="宋体" w:hint="default"/>
          <w:b/>
          <w:bCs/>
          <w:spacing w:val="1"/>
          <w:w w:val="99"/>
          <w:sz w:val="21"/>
          <w:szCs w:val="21"/>
        </w:rPr>
        <w:t> </w:t>
      </w:r>
      <w:r>
        <w:rPr>
          <w:rFonts w:ascii="宋体" w:hAnsi="宋体" w:cs="宋体" w:eastAsia="宋体" w:hint="default"/>
          <w:sz w:val="21"/>
          <w:szCs w:val="21"/>
        </w:rPr>
        <w:t>简历参见公司董事会成员。</w:t>
      </w:r>
    </w:p>
    <w:p>
      <w:pPr>
        <w:tabs>
          <w:tab w:pos="1524" w:val="left" w:leader="none"/>
        </w:tabs>
        <w:spacing w:line="568" w:lineRule="auto" w:before="128"/>
        <w:ind w:left="574" w:right="6908"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）蔡厚富</w:t>
        <w:tab/>
      </w:r>
      <w:r>
        <w:rPr>
          <w:rFonts w:ascii="宋体" w:hAnsi="宋体" w:cs="宋体" w:eastAsia="宋体" w:hint="default"/>
          <w:b/>
          <w:bCs/>
          <w:sz w:val="21"/>
          <w:szCs w:val="21"/>
        </w:rPr>
        <w:t>副总经理</w:t>
      </w:r>
      <w:r>
        <w:rPr>
          <w:rFonts w:ascii="宋体" w:hAnsi="宋体" w:cs="宋体" w:eastAsia="宋体" w:hint="default"/>
          <w:b/>
          <w:bCs/>
          <w:w w:val="99"/>
          <w:sz w:val="21"/>
          <w:szCs w:val="21"/>
        </w:rPr>
        <w:t> </w:t>
      </w:r>
      <w:r>
        <w:rPr>
          <w:rFonts w:ascii="宋体" w:hAnsi="宋体" w:cs="宋体" w:eastAsia="宋体" w:hint="default"/>
          <w:sz w:val="21"/>
          <w:szCs w:val="21"/>
        </w:rPr>
        <w:t>简历参见公司董事会成员。</w:t>
      </w:r>
    </w:p>
    <w:p>
      <w:pPr>
        <w:pStyle w:val="Heading5"/>
        <w:tabs>
          <w:tab w:pos="1313" w:val="left" w:leader="none"/>
        </w:tabs>
        <w:spacing w:line="240" w:lineRule="auto" w:before="128"/>
        <w:ind w:left="153" w:right="101"/>
        <w:jc w:val="left"/>
        <w:rPr>
          <w:b w:val="0"/>
          <w:bCs w:val="0"/>
        </w:rPr>
      </w:pPr>
      <w:r>
        <w:rPr>
          <w:w w:val="95"/>
        </w:rPr>
        <w:t>（</w:t>
      </w:r>
      <w:r>
        <w:rPr>
          <w:rFonts w:ascii="Times New Roman" w:hAnsi="Times New Roman" w:cs="Times New Roman" w:eastAsia="Times New Roman" w:hint="default"/>
          <w:w w:val="95"/>
        </w:rPr>
        <w:t>4</w:t>
      </w:r>
      <w:r>
        <w:rPr>
          <w:w w:val="95"/>
        </w:rPr>
        <w:t>）盖峰</w:t>
        <w:tab/>
      </w:r>
      <w:r>
        <w:rPr/>
        <w:t>副总经理</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211" w:firstLine="420"/>
        <w:jc w:val="both"/>
      </w:pPr>
      <w:r>
        <w:rPr>
          <w:spacing w:val="-1"/>
        </w:rPr>
        <w:t>男，</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11</w:t>
      </w:r>
      <w:r>
        <w:rPr>
          <w:spacing w:val="-1"/>
        </w:rPr>
        <w:t>月出生，中国国籍，无境外永久居留权，硕士。</w:t>
      </w:r>
      <w:r>
        <w:rPr>
          <w:rFonts w:ascii="Times New Roman" w:hAnsi="Times New Roman" w:cs="Times New Roman" w:eastAsia="Times New Roman" w:hint="default"/>
          <w:spacing w:val="-1"/>
        </w:rPr>
        <w:t>1995</w:t>
      </w:r>
      <w:r>
        <w:rPr>
          <w:spacing w:val="-1"/>
        </w:rPr>
        <w:t>年毕业于清华大学计算机科学与技</w:t>
      </w:r>
      <w:r>
        <w:rPr/>
        <w:t> </w:t>
      </w:r>
      <w:r>
        <w:rPr>
          <w:spacing w:val="-2"/>
        </w:rPr>
        <w:t>术专业，获学士学位；</w:t>
      </w:r>
      <w:r>
        <w:rPr>
          <w:rFonts w:ascii="Times New Roman" w:hAnsi="Times New Roman" w:cs="Times New Roman" w:eastAsia="Times New Roman" w:hint="default"/>
          <w:spacing w:val="-2"/>
        </w:rPr>
        <w:t>1997</w:t>
      </w:r>
      <w:r>
        <w:rPr>
          <w:spacing w:val="-2"/>
        </w:rPr>
        <w:t>年毕业于清华大学，获硕士学位。</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-1998</w:t>
      </w:r>
      <w:r>
        <w:rPr>
          <w:spacing w:val="-2"/>
        </w:rPr>
        <w:t>年，在深圳桑达电信公司任工程</w:t>
      </w:r>
      <w:r>
        <w:rPr>
          <w:spacing w:val="-99"/>
        </w:rPr>
        <w:t> </w:t>
      </w:r>
      <w:r>
        <w:rPr>
          <w:spacing w:val="-99"/>
        </w:rPr>
      </w:r>
      <w:r>
        <w:rPr/>
        <w:t>师、项目主管；</w:t>
      </w:r>
      <w:r>
        <w:rPr>
          <w:rFonts w:ascii="Times New Roman" w:hAnsi="Times New Roman" w:cs="Times New Roman" w:eastAsia="Times New Roman" w:hint="default"/>
        </w:rPr>
        <w:t>1998</w:t>
      </w:r>
      <w:r>
        <w:rPr/>
        <w:t>年至今，任职于北京旋极信息技术股份有限公司，现任副总经理兼研发中心主任。</w:t>
      </w:r>
    </w:p>
    <w:p>
      <w:pPr>
        <w:spacing w:line="240" w:lineRule="auto" w:before="10"/>
        <w:rPr>
          <w:rFonts w:ascii="宋体" w:hAnsi="宋体" w:cs="宋体" w:eastAsia="宋体" w:hint="default"/>
          <w:sz w:val="19"/>
          <w:szCs w:val="19"/>
        </w:rPr>
      </w:pPr>
    </w:p>
    <w:p>
      <w:pPr>
        <w:pStyle w:val="Heading5"/>
        <w:tabs>
          <w:tab w:pos="1313" w:val="left" w:leader="none"/>
        </w:tabs>
        <w:spacing w:line="240" w:lineRule="auto"/>
        <w:ind w:right="101"/>
        <w:jc w:val="left"/>
        <w:rPr>
          <w:b w:val="0"/>
          <w:bCs w:val="0"/>
        </w:rPr>
      </w:pPr>
      <w:r>
        <w:rPr>
          <w:w w:val="95"/>
        </w:rPr>
        <w:t>（</w:t>
      </w:r>
      <w:r>
        <w:rPr>
          <w:rFonts w:ascii="Times New Roman" w:hAnsi="Times New Roman" w:cs="Times New Roman" w:eastAsia="Times New Roman" w:hint="default"/>
          <w:w w:val="95"/>
        </w:rPr>
        <w:t>5</w:t>
      </w:r>
      <w:r>
        <w:rPr>
          <w:w w:val="95"/>
        </w:rPr>
        <w:t>）吴匀</w:t>
        <w:tab/>
      </w:r>
      <w:r>
        <w:rPr/>
        <w:t>副总经理</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4" w:right="208" w:firstLine="420"/>
        <w:jc w:val="left"/>
      </w:pPr>
      <w:r>
        <w:rPr/>
        <w:t>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2</w:t>
      </w:r>
      <w:r>
        <w:rPr/>
        <w:t>月出生，中国国籍，无境外永久居留权，学士。毕业于武汉汽车工业大学（现武汉理工 </w:t>
      </w:r>
      <w:r>
        <w:rPr>
          <w:spacing w:val="-2"/>
        </w:rPr>
        <w:t>大学）工业管理工程专业。</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-2003</w:t>
      </w:r>
      <w:r>
        <w:rPr>
          <w:spacing w:val="-2"/>
        </w:rPr>
        <w:t>年，在江苏恒宝股份有限公司历任销售代表、中南大区经理、北京</w:t>
      </w:r>
      <w:r>
        <w:rPr>
          <w:spacing w:val="-101"/>
        </w:rPr>
        <w:t> </w:t>
      </w:r>
      <w:r>
        <w:rPr>
          <w:spacing w:val="-101"/>
        </w:rPr>
      </w:r>
      <w:r>
        <w:rPr>
          <w:spacing w:val="-2"/>
        </w:rPr>
        <w:t>分公司总经理；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-2007</w:t>
      </w:r>
      <w:r>
        <w:rPr>
          <w:spacing w:val="-2"/>
        </w:rPr>
        <w:t>年，任深圳德诚信用咭制造有限公司北京运营中心总经理、总经理助理；</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w:t>
      </w:r>
      <w:r>
        <w:rPr>
          <w:rFonts w:ascii="Times New Roman" w:hAnsi="Times New Roman" w:cs="Times New Roman" w:eastAsia="Times New Roman" w:hint="default"/>
        </w:rPr>
        <w:t>2</w:t>
      </w:r>
      <w:r>
        <w:rPr/>
        <w:t>月至今任职于北京旋极信息技术股份有限公司，现任副总经理。</w:t>
      </w:r>
    </w:p>
    <w:p>
      <w:pPr>
        <w:spacing w:line="240" w:lineRule="auto" w:before="10"/>
        <w:rPr>
          <w:rFonts w:ascii="宋体" w:hAnsi="宋体" w:cs="宋体" w:eastAsia="宋体" w:hint="default"/>
          <w:sz w:val="19"/>
          <w:szCs w:val="19"/>
        </w:rPr>
      </w:pPr>
    </w:p>
    <w:p>
      <w:pPr>
        <w:pStyle w:val="Heading5"/>
        <w:tabs>
          <w:tab w:pos="1524" w:val="left" w:leader="none"/>
        </w:tabs>
        <w:spacing w:line="240" w:lineRule="auto"/>
        <w:ind w:right="101"/>
        <w:jc w:val="left"/>
        <w:rPr>
          <w:b w:val="0"/>
          <w:bCs w:val="0"/>
        </w:rPr>
      </w:pPr>
      <w:r>
        <w:rPr>
          <w:w w:val="95"/>
        </w:rPr>
        <w:t>（</w:t>
      </w:r>
      <w:r>
        <w:rPr>
          <w:rFonts w:ascii="Times New Roman" w:hAnsi="Times New Roman" w:cs="Times New Roman" w:eastAsia="Times New Roman" w:hint="default"/>
          <w:w w:val="95"/>
        </w:rPr>
        <w:t>6</w:t>
      </w:r>
      <w:r>
        <w:rPr>
          <w:w w:val="95"/>
        </w:rPr>
        <w:t>）黄海涛</w:t>
        <w:tab/>
      </w:r>
      <w:r>
        <w:rPr/>
        <w:t>财务总监、董事会秘书</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4" w:right="106" w:firstLine="420"/>
        <w:jc w:val="left"/>
      </w:pPr>
      <w:r>
        <w:rPr/>
        <w:t>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10</w:t>
      </w:r>
      <w:r>
        <w:rPr/>
        <w:t>月出生，中国国籍，无境外永久居留权，学士，会计师。</w:t>
      </w:r>
      <w:r>
        <w:rPr>
          <w:rFonts w:ascii="Times New Roman" w:hAnsi="Times New Roman" w:cs="Times New Roman" w:eastAsia="Times New Roman" w:hint="default"/>
        </w:rPr>
        <w:t>1999</w:t>
      </w:r>
      <w:r>
        <w:rPr/>
        <w:t>年毕业于中央财经大学。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-2001</w:t>
      </w:r>
      <w:r>
        <w:rPr/>
        <w:t>年，在北京金麦士科技有限公司任会计；</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-2002</w:t>
      </w:r>
      <w:r>
        <w:rPr/>
        <w:t>年，在福建创识科技股份有限公司北京 </w:t>
      </w:r>
      <w:r>
        <w:rPr>
          <w:spacing w:val="-1"/>
        </w:rPr>
        <w:t>分公司任主管会计；</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spacing w:val="-1"/>
        </w:rPr>
        <w:t>月至今，任职于北京旋极信息技术股份有限公司，历任财务部副经理、经理、</w:t>
      </w:r>
      <w:r>
        <w:rPr>
          <w:spacing w:val="-83"/>
        </w:rPr>
        <w:t> </w:t>
      </w:r>
      <w:r>
        <w:rPr>
          <w:spacing w:val="-83"/>
        </w:rPr>
      </w:r>
      <w:r>
        <w:rPr/>
        <w:t>财务总监。</w:t>
      </w:r>
    </w:p>
    <w:p>
      <w:pPr>
        <w:spacing w:line="240" w:lineRule="auto" w:before="12"/>
        <w:rPr>
          <w:rFonts w:ascii="宋体" w:hAnsi="宋体" w:cs="宋体" w:eastAsia="宋体" w:hint="default"/>
          <w:sz w:val="16"/>
          <w:szCs w:val="16"/>
        </w:rPr>
      </w:pPr>
    </w:p>
    <w:p>
      <w:pPr>
        <w:pStyle w:val="BodyText"/>
        <w:spacing w:line="240" w:lineRule="auto"/>
        <w:ind w:right="101"/>
        <w:jc w:val="left"/>
      </w:pPr>
      <w:r>
        <w:rPr/>
        <w:t>在股东单位任职情况</w:t>
      </w:r>
    </w:p>
    <w:p>
      <w:pPr>
        <w:spacing w:after="0" w:line="240" w:lineRule="auto"/>
        <w:jc w:val="left"/>
        <w:sectPr>
          <w:pgSz w:w="11910" w:h="16840"/>
          <w:pgMar w:header="997" w:footer="1252" w:top="1340" w:bottom="1440" w:left="980" w:right="920"/>
        </w:sectPr>
      </w:pPr>
    </w:p>
    <w:p>
      <w:pPr>
        <w:spacing w:line="240" w:lineRule="auto" w:before="4"/>
        <w:rPr>
          <w:rFonts w:ascii="宋体" w:hAnsi="宋体" w:cs="宋体" w:eastAsia="宋体" w:hint="default"/>
          <w:sz w:val="11"/>
          <w:szCs w:val="11"/>
        </w:rPr>
      </w:pPr>
    </w:p>
    <w:p>
      <w:pPr>
        <w:pStyle w:val="BodyText"/>
        <w:spacing w:line="240" w:lineRule="auto" w:before="35"/>
        <w:ind w:left="8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389" w:type="dxa"/>
        <w:tblLayout w:type="fixed"/>
        <w:tblCellMar>
          <w:top w:w="0" w:type="dxa"/>
          <w:left w:w="0" w:type="dxa"/>
          <w:bottom w:w="0" w:type="dxa"/>
          <w:right w:w="0" w:type="dxa"/>
        </w:tblCellMar>
        <w:tblLook w:val="01E0"/>
      </w:tblPr>
      <w:tblGrid>
        <w:gridCol w:w="1201"/>
        <w:gridCol w:w="1351"/>
        <w:gridCol w:w="1984"/>
        <w:gridCol w:w="1702"/>
        <w:gridCol w:w="1560"/>
        <w:gridCol w:w="2550"/>
      </w:tblGrid>
      <w:tr>
        <w:trPr>
          <w:trHeight w:val="478"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在股东单位担任的职务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在股东单位是否领取报酬津贴</w:t>
            </w:r>
            <w:r>
              <w:rPr>
                <w:rFonts w:ascii="宋体" w:hAnsi="宋体" w:cs="宋体" w:eastAsia="宋体" w:hint="default"/>
                <w:sz w:val="18"/>
                <w:szCs w:val="18"/>
              </w:rPr>
            </w:r>
          </w:p>
        </w:tc>
      </w:tr>
      <w:tr>
        <w:trPr>
          <w:trHeight w:val="47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中天涌慧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5"/>
        <w:ind w:left="814" w:right="0"/>
        <w:jc w:val="left"/>
      </w:pPr>
      <w:r>
        <w:rPr/>
        <w:t>在其他单位任职情况</w:t>
      </w:r>
    </w:p>
    <w:p>
      <w:pPr>
        <w:spacing w:line="240" w:lineRule="auto" w:before="9"/>
        <w:rPr>
          <w:rFonts w:ascii="宋体" w:hAnsi="宋体" w:cs="宋体" w:eastAsia="宋体" w:hint="default"/>
          <w:sz w:val="26"/>
          <w:szCs w:val="26"/>
        </w:rPr>
      </w:pPr>
    </w:p>
    <w:p>
      <w:pPr>
        <w:pStyle w:val="BodyText"/>
        <w:spacing w:line="240" w:lineRule="auto"/>
        <w:ind w:left="8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78"/>
        <w:gridCol w:w="3118"/>
        <w:gridCol w:w="1343"/>
        <w:gridCol w:w="1634"/>
        <w:gridCol w:w="1559"/>
        <w:gridCol w:w="1418"/>
      </w:tblGrid>
      <w:tr>
        <w:trPr>
          <w:trHeight w:val="727" w:hRule="exact"/>
        </w:trPr>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394" w:right="35" w:hanging="362"/>
              <w:jc w:val="left"/>
              <w:rPr>
                <w:rFonts w:ascii="宋体" w:hAnsi="宋体" w:cs="宋体" w:eastAsia="宋体" w:hint="default"/>
                <w:sz w:val="18"/>
                <w:szCs w:val="18"/>
              </w:rPr>
            </w:pPr>
            <w:r>
              <w:rPr>
                <w:rFonts w:ascii="宋体" w:hAnsi="宋体" w:cs="宋体" w:eastAsia="宋体" w:hint="default"/>
                <w:b/>
                <w:bCs/>
                <w:sz w:val="18"/>
                <w:szCs w:val="18"/>
              </w:rPr>
              <w:t>在其他单位担任</w:t>
            </w:r>
            <w:r>
              <w:rPr>
                <w:rFonts w:ascii="宋体" w:hAnsi="宋体" w:cs="宋体" w:eastAsia="宋体" w:hint="default"/>
                <w:b/>
                <w:bCs/>
                <w:w w:val="99"/>
                <w:sz w:val="18"/>
                <w:szCs w:val="18"/>
              </w:rPr>
              <w:t> </w:t>
            </w:r>
            <w:r>
              <w:rPr>
                <w:rFonts w:ascii="宋体" w:hAnsi="宋体" w:cs="宋体" w:eastAsia="宋体" w:hint="default"/>
                <w:b/>
                <w:bCs/>
                <w:sz w:val="18"/>
                <w:szCs w:val="18"/>
              </w:rPr>
              <w:t>的职务</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61" w:right="72" w:hanging="92"/>
              <w:jc w:val="left"/>
              <w:rPr>
                <w:rFonts w:ascii="宋体" w:hAnsi="宋体" w:cs="宋体" w:eastAsia="宋体" w:hint="default"/>
                <w:sz w:val="18"/>
                <w:szCs w:val="18"/>
              </w:rPr>
            </w:pPr>
            <w:r>
              <w:rPr>
                <w:rFonts w:ascii="宋体" w:hAnsi="宋体" w:cs="宋体" w:eastAsia="宋体" w:hint="default"/>
                <w:b/>
                <w:bCs/>
                <w:sz w:val="18"/>
                <w:szCs w:val="18"/>
              </w:rPr>
              <w:t>在其他单位是否</w:t>
            </w:r>
            <w:r>
              <w:rPr>
                <w:rFonts w:ascii="宋体" w:hAnsi="宋体" w:cs="宋体" w:eastAsia="宋体" w:hint="default"/>
                <w:b/>
                <w:bCs/>
                <w:w w:val="99"/>
                <w:sz w:val="18"/>
                <w:szCs w:val="18"/>
              </w:rPr>
              <w:t> </w:t>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深圳旋极</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旋极汉荣</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深圳市盛桥投资管理有限公司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安徽惊天液压智控股份有限公司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上海雷诺尔科技股份有限公司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深圳今天国际物流技术股份有限公司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烟台新潮实业股份有限公司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青岛啤酒股份有限公司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中央财经大学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财政学院院长</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北京产权交易所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305" w:right="35" w:hanging="270"/>
              <w:jc w:val="left"/>
              <w:rPr>
                <w:rFonts w:ascii="宋体" w:hAnsi="宋体" w:cs="宋体" w:eastAsia="宋体" w:hint="default"/>
                <w:sz w:val="18"/>
                <w:szCs w:val="18"/>
              </w:rPr>
            </w:pPr>
            <w:r>
              <w:rPr>
                <w:rFonts w:ascii="宋体" w:hAnsi="宋体" w:cs="宋体" w:eastAsia="宋体" w:hint="default"/>
                <w:sz w:val="18"/>
                <w:szCs w:val="18"/>
              </w:rPr>
              <w:t>党委书记、董事 长、总裁</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北京金融资产交易所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中国技术交易所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北京金马甲产权网络产权交易有限公司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储珺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南昌航空大学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福建百旺</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天津百望</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麦禾信通</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97" w:footer="1252" w:top="1340" w:bottom="1440" w:left="740" w:right="300"/>
        </w:sectPr>
      </w:pPr>
    </w:p>
    <w:p>
      <w:pPr>
        <w:spacing w:line="240" w:lineRule="auto" w:before="8"/>
        <w:rPr>
          <w:rFonts w:ascii="宋体" w:hAnsi="宋体" w:cs="宋体" w:eastAsia="宋体" w:hint="default"/>
          <w:sz w:val="14"/>
          <w:szCs w:val="14"/>
        </w:rPr>
      </w:pPr>
    </w:p>
    <w:p>
      <w:pPr>
        <w:pStyle w:val="Heading2"/>
        <w:spacing w:line="240" w:lineRule="auto" w:before="13"/>
        <w:ind w:left="394" w:right="0"/>
        <w:jc w:val="left"/>
      </w:pPr>
      <w:r>
        <w:rPr/>
        <w:t>三、董事、监事、高级管理人员报酬情况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spacing w:before="44"/>
        <w:ind w:left="0" w:right="159" w:firstLine="0"/>
        <w:jc w:val="right"/>
        <w:rPr>
          <w:rFonts w:ascii="宋体" w:hAnsi="宋体" w:cs="宋体" w:eastAsia="宋体" w:hint="default"/>
          <w:sz w:val="18"/>
          <w:szCs w:val="18"/>
        </w:rPr>
      </w:pPr>
      <w:r>
        <w:rPr/>
        <w:pict>
          <v:shape style="position:absolute;margin-left:42.269997pt;margin-top:-72.727943pt;width:493.3pt;height:91.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9"/>
                    <w:gridCol w:w="5972"/>
                  </w:tblGrid>
                  <w:tr>
                    <w:trPr>
                      <w:trHeight w:val="1086" w:hRule="exact"/>
                    </w:trPr>
                    <w:tc>
                      <w:tcPr>
                        <w:tcW w:w="3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w:t>
                        </w:r>
                        <w:r>
                          <w:rPr>
                            <w:rFonts w:ascii="宋体" w:hAnsi="宋体" w:cs="宋体" w:eastAsia="宋体" w:hint="default"/>
                            <w:sz w:val="18"/>
                            <w:szCs w:val="18"/>
                          </w:rPr>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19"/>
                          <w:jc w:val="center"/>
                          <w:rPr>
                            <w:rFonts w:ascii="宋体" w:hAnsi="宋体" w:cs="宋体" w:eastAsia="宋体" w:hint="default"/>
                            <w:sz w:val="18"/>
                            <w:szCs w:val="18"/>
                          </w:rPr>
                        </w:pPr>
                        <w:r>
                          <w:rPr>
                            <w:rFonts w:ascii="宋体" w:hAnsi="宋体" w:cs="宋体" w:eastAsia="宋体" w:hint="default"/>
                            <w:spacing w:val="-1"/>
                            <w:sz w:val="18"/>
                            <w:szCs w:val="18"/>
                          </w:rPr>
                          <w:t>薪酬与考核委员会提出的公司董事（含独立董事）的薪酬计划，须报经董事</w:t>
                        </w:r>
                        <w:r>
                          <w:rPr>
                            <w:rFonts w:ascii="宋体" w:hAnsi="宋体" w:cs="宋体" w:eastAsia="宋体" w:hint="default"/>
                            <w:sz w:val="18"/>
                            <w:szCs w:val="18"/>
                          </w:rPr>
                          <w:t> </w:t>
                        </w:r>
                        <w:r>
                          <w:rPr>
                            <w:rFonts w:ascii="宋体" w:hAnsi="宋体" w:cs="宋体" w:eastAsia="宋体" w:hint="default"/>
                            <w:spacing w:val="-1"/>
                            <w:sz w:val="18"/>
                            <w:szCs w:val="18"/>
                          </w:rPr>
                          <w:t>会同意，提交股东大会审议通过后方可实施；公司经理人员的薪酬分配方案</w:t>
                        </w:r>
                        <w:r>
                          <w:rPr>
                            <w:rFonts w:ascii="宋体" w:hAnsi="宋体" w:cs="宋体" w:eastAsia="宋体" w:hint="default"/>
                            <w:sz w:val="18"/>
                            <w:szCs w:val="18"/>
                          </w:rPr>
                          <w:t> 须报董事会批准。</w:t>
                        </w:r>
                      </w:p>
                    </w:tc>
                  </w:tr>
                  <w:tr>
                    <w:trPr>
                      <w:trHeight w:val="370" w:hRule="exact"/>
                    </w:trPr>
                    <w:tc>
                      <w:tcPr>
                        <w:tcW w:w="3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董事、监事、高级管理人员报酬确定依据</w:t>
                        </w:r>
                        <w:r>
                          <w:rPr>
                            <w:rFonts w:ascii="宋体" w:hAnsi="宋体" w:cs="宋体" w:eastAsia="宋体" w:hint="default"/>
                            <w:sz w:val="18"/>
                            <w:szCs w:val="18"/>
                          </w:rPr>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1"/>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依据公司盈利水平及各董事、监事、高级管理人员的分工及履行情况确定。</w:t>
                        </w:r>
                      </w:p>
                    </w:tc>
                  </w:tr>
                  <w:tr>
                    <w:trPr>
                      <w:trHeight w:val="368" w:hRule="exact"/>
                    </w:trPr>
                    <w:tc>
                      <w:tcPr>
                        <w:tcW w:w="3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董事、监事和高级管理人员报酬的实际支付情况</w:t>
                        </w:r>
                        <w:r>
                          <w:rPr>
                            <w:rFonts w:ascii="宋体" w:hAnsi="宋体" w:cs="宋体" w:eastAsia="宋体" w:hint="default"/>
                            <w:sz w:val="18"/>
                            <w:szCs w:val="18"/>
                          </w:rPr>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pacing w:val="-7"/>
                            <w:sz w:val="18"/>
                            <w:szCs w:val="18"/>
                          </w:rPr>
                          <w:t>公司现有董事、监事、高级管理人员共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人，</w:t>
                        </w:r>
                        <w:r>
                          <w:rPr>
                            <w:rFonts w:ascii="Times New Roman" w:hAnsi="Times New Roman" w:cs="Times New Roman" w:eastAsia="Times New Roman" w:hint="default"/>
                            <w:spacing w:val="-9"/>
                            <w:sz w:val="18"/>
                            <w:szCs w:val="18"/>
                          </w:rPr>
                          <w:t>2012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年实际支付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310.64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9"/>
        <w:rPr>
          <w:rFonts w:ascii="宋体" w:hAnsi="宋体" w:cs="宋体" w:eastAsia="宋体" w:hint="default"/>
          <w:sz w:val="21"/>
          <w:szCs w:val="21"/>
        </w:rPr>
      </w:pPr>
    </w:p>
    <w:p>
      <w:pPr>
        <w:pStyle w:val="BodyText"/>
        <w:spacing w:line="240" w:lineRule="auto" w:before="35"/>
        <w:ind w:left="814" w:right="0"/>
        <w:jc w:val="left"/>
      </w:pPr>
      <w:r>
        <w:rPr/>
        <w:t>公司报告期内董事、监事和高级管理人员报酬情况</w:t>
      </w:r>
    </w:p>
    <w:p>
      <w:pPr>
        <w:spacing w:line="240" w:lineRule="auto" w:before="12"/>
        <w:rPr>
          <w:rFonts w:ascii="宋体" w:hAnsi="宋体" w:cs="宋体" w:eastAsia="宋体" w:hint="default"/>
          <w:sz w:val="21"/>
          <w:szCs w:val="21"/>
        </w:rPr>
      </w:pPr>
    </w:p>
    <w:tbl>
      <w:tblPr>
        <w:tblW w:w="0" w:type="auto"/>
        <w:jc w:val="left"/>
        <w:tblInd w:w="38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28"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232" w:right="49" w:hanging="182"/>
              <w:jc w:val="left"/>
              <w:rPr>
                <w:rFonts w:ascii="宋体" w:hAnsi="宋体" w:cs="宋体" w:eastAsia="宋体" w:hint="default"/>
                <w:sz w:val="18"/>
                <w:szCs w:val="18"/>
              </w:rPr>
            </w:pPr>
            <w:r>
              <w:rPr>
                <w:rFonts w:ascii="宋体" w:hAnsi="宋体" w:cs="宋体" w:eastAsia="宋体" w:hint="default"/>
                <w:b/>
                <w:bCs/>
                <w:sz w:val="18"/>
                <w:szCs w:val="18"/>
              </w:rPr>
              <w:t>从公司获得的</w:t>
            </w:r>
            <w:r>
              <w:rPr>
                <w:rFonts w:ascii="宋体" w:hAnsi="宋体" w:cs="宋体" w:eastAsia="宋体" w:hint="default"/>
                <w:b/>
                <w:bCs/>
                <w:w w:val="99"/>
                <w:sz w:val="18"/>
                <w:szCs w:val="18"/>
              </w:rPr>
              <w:t> </w:t>
            </w:r>
            <w:r>
              <w:rPr>
                <w:rFonts w:ascii="宋体" w:hAnsi="宋体" w:cs="宋体" w:eastAsia="宋体" w:hint="default"/>
                <w:b/>
                <w:bCs/>
                <w:sz w:val="18"/>
                <w:szCs w:val="18"/>
              </w:rPr>
              <w:t>报酬总额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50" w:right="50"/>
              <w:jc w:val="left"/>
              <w:rPr>
                <w:rFonts w:ascii="宋体" w:hAnsi="宋体" w:cs="宋体" w:eastAsia="宋体" w:hint="default"/>
                <w:sz w:val="18"/>
                <w:szCs w:val="18"/>
              </w:rPr>
            </w:pPr>
            <w:r>
              <w:rPr>
                <w:rFonts w:ascii="宋体" w:hAnsi="宋体" w:cs="宋体" w:eastAsia="宋体" w:hint="default"/>
                <w:b/>
                <w:bCs/>
                <w:sz w:val="18"/>
                <w:szCs w:val="18"/>
              </w:rPr>
              <w:t>从股东单位获</w:t>
            </w:r>
            <w:r>
              <w:rPr>
                <w:rFonts w:ascii="宋体" w:hAnsi="宋体" w:cs="宋体" w:eastAsia="宋体" w:hint="default"/>
                <w:b/>
                <w:bCs/>
                <w:w w:val="99"/>
                <w:sz w:val="18"/>
                <w:szCs w:val="18"/>
              </w:rPr>
              <w:t> </w:t>
            </w:r>
            <w:r>
              <w:rPr>
                <w:rFonts w:ascii="宋体" w:hAnsi="宋体" w:cs="宋体" w:eastAsia="宋体" w:hint="default"/>
                <w:b/>
                <w:bCs/>
                <w:sz w:val="18"/>
                <w:szCs w:val="18"/>
              </w:rPr>
              <w:t>得的报酬总额</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231" w:right="49" w:hanging="182"/>
              <w:jc w:val="left"/>
              <w:rPr>
                <w:rFonts w:ascii="宋体" w:hAnsi="宋体" w:cs="宋体" w:eastAsia="宋体" w:hint="default"/>
                <w:sz w:val="18"/>
                <w:szCs w:val="18"/>
              </w:rPr>
            </w:pPr>
            <w:r>
              <w:rPr>
                <w:rFonts w:ascii="宋体" w:hAnsi="宋体" w:cs="宋体" w:eastAsia="宋体" w:hint="default"/>
                <w:b/>
                <w:bCs/>
                <w:sz w:val="18"/>
                <w:szCs w:val="18"/>
              </w:rPr>
              <w:t>报告期末实际</w:t>
            </w:r>
            <w:r>
              <w:rPr>
                <w:rFonts w:ascii="宋体" w:hAnsi="宋体" w:cs="宋体" w:eastAsia="宋体" w:hint="default"/>
                <w:b/>
                <w:bCs/>
                <w:w w:val="99"/>
                <w:sz w:val="18"/>
                <w:szCs w:val="18"/>
              </w:rPr>
              <w:t> </w:t>
            </w:r>
            <w:r>
              <w:rPr>
                <w:rFonts w:ascii="宋体" w:hAnsi="宋体" w:cs="宋体" w:eastAsia="宋体" w:hint="default"/>
                <w:b/>
                <w:bCs/>
                <w:sz w:val="18"/>
                <w:szCs w:val="18"/>
              </w:rPr>
              <w:t>所得报酬</w:t>
            </w:r>
            <w:r>
              <w:rPr>
                <w:rFonts w:ascii="宋体" w:hAnsi="宋体" w:cs="宋体" w:eastAsia="宋体" w:hint="default"/>
                <w:sz w:val="18"/>
                <w:szCs w:val="18"/>
              </w:rPr>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46.87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46.87</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33.25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33.25</w:t>
            </w:r>
          </w:p>
        </w:tc>
      </w:tr>
      <w:tr>
        <w:trPr>
          <w:trHeight w:val="4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40.10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40.10</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6.12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6.12</w:t>
            </w:r>
          </w:p>
        </w:tc>
      </w:tr>
      <w:tr>
        <w:trPr>
          <w:trHeight w:val="4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6.12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6.12</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储珺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6.12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6.12</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10.87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10.87</w:t>
            </w:r>
          </w:p>
        </w:tc>
      </w:tr>
      <w:tr>
        <w:trPr>
          <w:trHeight w:val="4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6.00</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25.99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25.99</w:t>
            </w:r>
          </w:p>
        </w:tc>
      </w:tr>
      <w:tr>
        <w:trPr>
          <w:trHeight w:val="47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盖峰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39.26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39.26</w:t>
            </w:r>
          </w:p>
        </w:tc>
      </w:tr>
      <w:tr>
        <w:trPr>
          <w:trHeight w:val="4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吴匀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64.07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64.07</w:t>
            </w:r>
          </w:p>
        </w:tc>
      </w:tr>
      <w:tr>
        <w:trPr>
          <w:trHeight w:val="7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33"/>
              <w:ind w:left="321" w:right="25" w:hanging="296"/>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25.87</w:t>
            </w:r>
          </w:p>
        </w:tc>
      </w:tr>
      <w:tr>
        <w:trPr>
          <w:trHeight w:val="479"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310.64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310.64</w:t>
            </w:r>
          </w:p>
        </w:tc>
      </w:tr>
    </w:tbl>
    <w:p>
      <w:pPr>
        <w:spacing w:line="240" w:lineRule="auto" w:before="1"/>
        <w:rPr>
          <w:rFonts w:ascii="宋体" w:hAnsi="宋体" w:cs="宋体" w:eastAsia="宋体" w:hint="default"/>
          <w:sz w:val="14"/>
          <w:szCs w:val="14"/>
        </w:rPr>
      </w:pPr>
    </w:p>
    <w:p>
      <w:pPr>
        <w:pStyle w:val="BodyText"/>
        <w:spacing w:line="240" w:lineRule="auto" w:before="35"/>
        <w:ind w:left="814" w:right="0"/>
        <w:jc w:val="left"/>
      </w:pPr>
      <w:r>
        <w:rPr/>
        <w:t>公司董事、监事、高级管理人员报告期内被授予的股权激励情况</w:t>
      </w:r>
    </w:p>
    <w:p>
      <w:pPr>
        <w:spacing w:line="240" w:lineRule="auto" w:before="9"/>
        <w:rPr>
          <w:rFonts w:ascii="宋体" w:hAnsi="宋体" w:cs="宋体" w:eastAsia="宋体" w:hint="default"/>
          <w:sz w:val="26"/>
          <w:szCs w:val="26"/>
        </w:rPr>
      </w:pPr>
    </w:p>
    <w:p>
      <w:pPr>
        <w:pStyle w:val="BodyText"/>
        <w:spacing w:line="240" w:lineRule="auto"/>
        <w:ind w:left="8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
        <w:rPr>
          <w:rFonts w:ascii="宋体" w:hAnsi="宋体" w:cs="宋体" w:eastAsia="宋体" w:hint="default"/>
          <w:sz w:val="27"/>
          <w:szCs w:val="27"/>
        </w:rPr>
      </w:pPr>
    </w:p>
    <w:p>
      <w:pPr>
        <w:pStyle w:val="Heading2"/>
        <w:spacing w:line="240" w:lineRule="auto"/>
        <w:ind w:left="394" w:right="0"/>
        <w:jc w:val="left"/>
      </w:pPr>
      <w:r>
        <w:rPr/>
        <w:t>四、公司董事、监事、高级管理人员变动情况</w:t>
      </w:r>
    </w:p>
    <w:p>
      <w:pPr>
        <w:spacing w:line="240" w:lineRule="auto" w:before="13"/>
        <w:rPr>
          <w:rFonts w:ascii="黑体" w:hAnsi="黑体" w:cs="黑体" w:eastAsia="黑体" w:hint="default"/>
          <w:sz w:val="29"/>
          <w:szCs w:val="29"/>
        </w:rPr>
      </w:pPr>
    </w:p>
    <w:p>
      <w:pPr>
        <w:pStyle w:val="BodyText"/>
        <w:spacing w:line="240" w:lineRule="auto"/>
        <w:ind w:left="814" w:right="0"/>
        <w:jc w:val="left"/>
      </w:pPr>
      <w:r>
        <w:rPr/>
        <w:t>无</w:t>
      </w:r>
    </w:p>
    <w:p>
      <w:pPr>
        <w:spacing w:after="0" w:line="240" w:lineRule="auto"/>
        <w:jc w:val="left"/>
        <w:sectPr>
          <w:pgSz w:w="11910" w:h="16840"/>
          <w:pgMar w:header="997" w:footer="1252" w:top="1340" w:bottom="1440" w:left="740" w:right="980"/>
        </w:sectPr>
      </w:pPr>
    </w:p>
    <w:p>
      <w:pPr>
        <w:spacing w:line="240" w:lineRule="auto" w:before="8"/>
        <w:rPr>
          <w:rFonts w:ascii="宋体" w:hAnsi="宋体" w:cs="宋体" w:eastAsia="宋体" w:hint="default"/>
          <w:sz w:val="14"/>
          <w:szCs w:val="14"/>
        </w:rPr>
      </w:pPr>
    </w:p>
    <w:p>
      <w:pPr>
        <w:pStyle w:val="Heading2"/>
        <w:spacing w:line="408" w:lineRule="auto" w:before="13"/>
        <w:ind w:left="153" w:right="149"/>
        <w:jc w:val="left"/>
      </w:pPr>
      <w:r>
        <w:rPr>
          <w:spacing w:val="3"/>
        </w:rPr>
        <w:t>五、报告期核心技术团队或关键技术人员变动情况（非董事、监事、高级管理</w:t>
      </w:r>
      <w:r>
        <w:rPr>
          <w:w w:val="99"/>
        </w:rPr>
        <w:t> </w:t>
      </w:r>
      <w:r>
        <w:rPr/>
        <w:t>人员）</w:t>
      </w:r>
    </w:p>
    <w:p>
      <w:pPr>
        <w:pStyle w:val="BodyText"/>
        <w:spacing w:line="240" w:lineRule="auto" w:before="196"/>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六、公司员工情况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日，公司共有登记在册员工</w:t>
      </w:r>
      <w:r>
        <w:rPr>
          <w:rFonts w:ascii="Times New Roman" w:hAnsi="Times New Roman" w:cs="Times New Roman" w:eastAsia="Times New Roman" w:hint="default"/>
        </w:rPr>
        <w:t>503</w:t>
      </w:r>
      <w:r>
        <w:rPr/>
        <w:t>人，其中各类人员构成情况如下：</w:t>
      </w:r>
    </w:p>
    <w:p>
      <w:pPr>
        <w:spacing w:line="240" w:lineRule="auto" w:before="9"/>
        <w:rPr>
          <w:rFonts w:ascii="宋体" w:hAnsi="宋体" w:cs="宋体" w:eastAsia="宋体" w:hint="default"/>
          <w:sz w:val="23"/>
          <w:szCs w:val="23"/>
        </w:rPr>
      </w:pPr>
    </w:p>
    <w:p>
      <w:pPr>
        <w:pStyle w:val="Heading3"/>
        <w:spacing w:line="240" w:lineRule="auto"/>
        <w:ind w:right="0"/>
        <w:jc w:val="left"/>
      </w:pPr>
      <w:r>
        <w:rPr>
          <w:rFonts w:ascii="Cambria" w:hAnsi="Cambria" w:cs="Cambria" w:eastAsia="Cambria" w:hint="default"/>
        </w:rPr>
        <w:t>1</w:t>
      </w:r>
      <w:r>
        <w:rPr/>
        <w:t>、专业结构</w:t>
      </w:r>
    </w:p>
    <w:p>
      <w:pPr>
        <w:spacing w:line="240" w:lineRule="auto" w:before="2"/>
        <w:rPr>
          <w:rFonts w:ascii="黑体" w:hAnsi="黑体" w:cs="黑体" w:eastAsia="黑体" w:hint="default"/>
          <w:sz w:val="20"/>
          <w:szCs w:val="20"/>
        </w:rPr>
      </w:pPr>
    </w:p>
    <w:tbl>
      <w:tblPr>
        <w:tblW w:w="0" w:type="auto"/>
        <w:jc w:val="left"/>
        <w:tblInd w:w="1122" w:type="dxa"/>
        <w:tblLayout w:type="fixed"/>
        <w:tblCellMar>
          <w:top w:w="0" w:type="dxa"/>
          <w:left w:w="0" w:type="dxa"/>
          <w:bottom w:w="0" w:type="dxa"/>
          <w:right w:w="0" w:type="dxa"/>
        </w:tblCellMar>
        <w:tblLook w:val="01E0"/>
      </w:tblPr>
      <w:tblGrid>
        <w:gridCol w:w="2158"/>
        <w:gridCol w:w="2269"/>
        <w:gridCol w:w="3259"/>
      </w:tblGrid>
      <w:tr>
        <w:trPr>
          <w:trHeight w:val="490"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right="943"/>
              <w:jc w:val="righ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3"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269"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33"/>
              <w:ind w:right="1035"/>
              <w:jc w:val="right"/>
              <w:rPr>
                <w:rFonts w:ascii="Times New Roman" w:hAnsi="Times New Roman" w:cs="Times New Roman" w:eastAsia="Times New Roman" w:hint="default"/>
                <w:sz w:val="18"/>
                <w:szCs w:val="18"/>
              </w:rPr>
            </w:pPr>
            <w:r>
              <w:rPr>
                <w:rFonts w:ascii="Times New Roman"/>
                <w:sz w:val="18"/>
              </w:rPr>
              <w:t>15</w:t>
            </w:r>
          </w:p>
        </w:tc>
        <w:tc>
          <w:tcPr>
            <w:tcW w:w="32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2.98</w:t>
            </w:r>
          </w:p>
        </w:tc>
      </w:tr>
      <w:tr>
        <w:trPr>
          <w:trHeight w:val="504"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26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035"/>
              <w:jc w:val="right"/>
              <w:rPr>
                <w:rFonts w:ascii="Times New Roman" w:hAnsi="Times New Roman" w:cs="Times New Roman" w:eastAsia="Times New Roman" w:hint="default"/>
                <w:sz w:val="18"/>
                <w:szCs w:val="18"/>
              </w:rPr>
            </w:pPr>
            <w:r>
              <w:rPr>
                <w:rFonts w:ascii="Times New Roman"/>
                <w:sz w:val="18"/>
              </w:rPr>
              <w:t>45</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8.95</w:t>
            </w:r>
          </w:p>
        </w:tc>
      </w:tr>
      <w:tr>
        <w:trPr>
          <w:trHeight w:val="503"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26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8"/>
              <w:ind w:right="990"/>
              <w:jc w:val="right"/>
              <w:rPr>
                <w:rFonts w:ascii="Times New Roman" w:hAnsi="Times New Roman" w:cs="Times New Roman" w:eastAsia="Times New Roman" w:hint="default"/>
                <w:sz w:val="18"/>
                <w:szCs w:val="18"/>
              </w:rPr>
            </w:pPr>
            <w:r>
              <w:rPr>
                <w:rFonts w:ascii="Times New Roman"/>
                <w:sz w:val="18"/>
              </w:rPr>
              <w:t>313</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62.23</w:t>
            </w:r>
          </w:p>
        </w:tc>
      </w:tr>
      <w:tr>
        <w:trPr>
          <w:trHeight w:val="503"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26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035"/>
              <w:jc w:val="right"/>
              <w:rPr>
                <w:rFonts w:ascii="Times New Roman" w:hAnsi="Times New Roman" w:cs="Times New Roman" w:eastAsia="Times New Roman" w:hint="default"/>
                <w:sz w:val="18"/>
                <w:szCs w:val="18"/>
              </w:rPr>
            </w:pPr>
            <w:r>
              <w:rPr>
                <w:rFonts w:ascii="Times New Roman"/>
                <w:sz w:val="18"/>
              </w:rPr>
              <w:t>28</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5.57</w:t>
            </w:r>
          </w:p>
        </w:tc>
      </w:tr>
      <w:tr>
        <w:trPr>
          <w:trHeight w:val="503"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26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990"/>
              <w:jc w:val="right"/>
              <w:rPr>
                <w:rFonts w:ascii="Times New Roman" w:hAnsi="Times New Roman" w:cs="Times New Roman" w:eastAsia="Times New Roman" w:hint="default"/>
                <w:sz w:val="18"/>
                <w:szCs w:val="18"/>
              </w:rPr>
            </w:pPr>
            <w:r>
              <w:rPr>
                <w:rFonts w:ascii="Times New Roman"/>
                <w:sz w:val="18"/>
              </w:rPr>
              <w:t>102</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20.27</w:t>
            </w:r>
          </w:p>
        </w:tc>
      </w:tr>
      <w:tr>
        <w:trPr>
          <w:trHeight w:val="504" w:hRule="exact"/>
        </w:trPr>
        <w:tc>
          <w:tcPr>
            <w:tcW w:w="21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990"/>
              <w:jc w:val="right"/>
              <w:rPr>
                <w:rFonts w:ascii="Times New Roman" w:hAnsi="Times New Roman" w:cs="Times New Roman" w:eastAsia="Times New Roman" w:hint="default"/>
                <w:sz w:val="18"/>
                <w:szCs w:val="18"/>
              </w:rPr>
            </w:pPr>
            <w:r>
              <w:rPr>
                <w:rFonts w:ascii="Times New Roman"/>
                <w:sz w:val="18"/>
              </w:rPr>
              <w:t>503</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黑体" w:hAnsi="黑体" w:cs="黑体" w:eastAsia="黑体" w:hint="default"/>
          <w:sz w:val="13"/>
          <w:szCs w:val="13"/>
        </w:rPr>
      </w:pPr>
    </w:p>
    <w:p>
      <w:pPr>
        <w:pStyle w:val="Heading3"/>
        <w:spacing w:line="240" w:lineRule="auto" w:before="26"/>
        <w:ind w:right="0"/>
        <w:jc w:val="left"/>
      </w:pPr>
      <w:r>
        <w:rPr>
          <w:rFonts w:ascii="Cambria" w:hAnsi="Cambria" w:cs="Cambria" w:eastAsia="Cambria" w:hint="default"/>
        </w:rPr>
        <w:t>2</w:t>
      </w:r>
      <w:r>
        <w:rPr/>
        <w:t>、教育程度</w:t>
      </w:r>
    </w:p>
    <w:p>
      <w:pPr>
        <w:spacing w:line="240" w:lineRule="auto" w:before="7"/>
        <w:rPr>
          <w:rFonts w:ascii="黑体" w:hAnsi="黑体" w:cs="黑体" w:eastAsia="黑体" w:hint="default"/>
          <w:sz w:val="19"/>
          <w:szCs w:val="19"/>
        </w:rPr>
      </w:pPr>
    </w:p>
    <w:tbl>
      <w:tblPr>
        <w:tblW w:w="0" w:type="auto"/>
        <w:jc w:val="left"/>
        <w:tblInd w:w="1133" w:type="dxa"/>
        <w:tblLayout w:type="fixed"/>
        <w:tblCellMar>
          <w:top w:w="0" w:type="dxa"/>
          <w:left w:w="0" w:type="dxa"/>
          <w:bottom w:w="0" w:type="dxa"/>
          <w:right w:w="0" w:type="dxa"/>
        </w:tblCellMar>
        <w:tblLook w:val="01E0"/>
      </w:tblPr>
      <w:tblGrid>
        <w:gridCol w:w="2175"/>
        <w:gridCol w:w="2175"/>
        <w:gridCol w:w="3314"/>
      </w:tblGrid>
      <w:tr>
        <w:trPr>
          <w:trHeight w:val="497"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3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3"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博士及以上</w:t>
            </w:r>
          </w:p>
        </w:tc>
        <w:tc>
          <w:tcPr>
            <w:tcW w:w="217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0.39</w:t>
            </w:r>
          </w:p>
        </w:tc>
      </w:tr>
      <w:tr>
        <w:trPr>
          <w:trHeight w:val="503"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17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83</w:t>
            </w:r>
          </w:p>
        </w:tc>
        <w:tc>
          <w:tcPr>
            <w:tcW w:w="3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16.50</w:t>
            </w:r>
          </w:p>
        </w:tc>
      </w:tr>
      <w:tr>
        <w:trPr>
          <w:trHeight w:val="503"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17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265</w:t>
            </w:r>
          </w:p>
        </w:tc>
        <w:tc>
          <w:tcPr>
            <w:tcW w:w="3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52.69</w:t>
            </w:r>
          </w:p>
        </w:tc>
      </w:tr>
      <w:tr>
        <w:trPr>
          <w:trHeight w:val="504"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17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pacing w:val="-3"/>
                <w:sz w:val="18"/>
              </w:rPr>
              <w:t>119</w:t>
            </w:r>
          </w:p>
        </w:tc>
        <w:tc>
          <w:tcPr>
            <w:tcW w:w="3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23.66</w:t>
            </w:r>
          </w:p>
        </w:tc>
      </w:tr>
      <w:tr>
        <w:trPr>
          <w:trHeight w:val="503"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专科及以下</w:t>
            </w:r>
          </w:p>
        </w:tc>
        <w:tc>
          <w:tcPr>
            <w:tcW w:w="217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34</w:t>
            </w:r>
          </w:p>
        </w:tc>
        <w:tc>
          <w:tcPr>
            <w:tcW w:w="3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 w:right="0"/>
              <w:jc w:val="center"/>
              <w:rPr>
                <w:rFonts w:ascii="Times New Roman" w:hAnsi="Times New Roman" w:cs="Times New Roman" w:eastAsia="Times New Roman" w:hint="default"/>
                <w:sz w:val="18"/>
                <w:szCs w:val="18"/>
              </w:rPr>
            </w:pPr>
            <w:r>
              <w:rPr>
                <w:rFonts w:ascii="Times New Roman"/>
                <w:sz w:val="18"/>
              </w:rPr>
              <w:t>6.76</w:t>
            </w:r>
          </w:p>
        </w:tc>
      </w:tr>
      <w:tr>
        <w:trPr>
          <w:trHeight w:val="503" w:hRule="exact"/>
        </w:trPr>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503</w:t>
            </w:r>
          </w:p>
        </w:tc>
        <w:tc>
          <w:tcPr>
            <w:tcW w:w="3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黑体" w:hAnsi="黑体" w:cs="黑体" w:eastAsia="黑体" w:hint="default"/>
          <w:sz w:val="13"/>
          <w:szCs w:val="13"/>
        </w:rPr>
      </w:pPr>
    </w:p>
    <w:p>
      <w:pPr>
        <w:pStyle w:val="Heading3"/>
        <w:spacing w:line="240" w:lineRule="auto" w:before="26"/>
        <w:ind w:right="0"/>
        <w:jc w:val="left"/>
      </w:pPr>
      <w:r>
        <w:rPr>
          <w:rFonts w:ascii="Cambria" w:hAnsi="Cambria" w:cs="Cambria" w:eastAsia="Cambria" w:hint="default"/>
        </w:rPr>
        <w:t>3</w:t>
      </w:r>
      <w:r>
        <w:rPr/>
        <w:t>、年龄分布</w:t>
      </w:r>
    </w:p>
    <w:p>
      <w:pPr>
        <w:spacing w:line="240" w:lineRule="auto" w:before="7"/>
        <w:rPr>
          <w:rFonts w:ascii="黑体" w:hAnsi="黑体" w:cs="黑体" w:eastAsia="黑体" w:hint="default"/>
          <w:sz w:val="19"/>
          <w:szCs w:val="19"/>
        </w:rPr>
      </w:pPr>
    </w:p>
    <w:tbl>
      <w:tblPr>
        <w:tblW w:w="0" w:type="auto"/>
        <w:jc w:val="left"/>
        <w:tblInd w:w="1079" w:type="dxa"/>
        <w:tblLayout w:type="fixed"/>
        <w:tblCellMar>
          <w:top w:w="0" w:type="dxa"/>
          <w:left w:w="0" w:type="dxa"/>
          <w:bottom w:w="0" w:type="dxa"/>
          <w:right w:w="0" w:type="dxa"/>
        </w:tblCellMar>
        <w:tblLook w:val="01E0"/>
      </w:tblPr>
      <w:tblGrid>
        <w:gridCol w:w="2246"/>
        <w:gridCol w:w="2246"/>
        <w:gridCol w:w="3282"/>
      </w:tblGrid>
      <w:tr>
        <w:trPr>
          <w:trHeight w:val="498" w:hRule="exact"/>
        </w:trPr>
        <w:tc>
          <w:tcPr>
            <w:tcW w:w="2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3" w:hRule="exact"/>
        </w:trPr>
        <w:tc>
          <w:tcPr>
            <w:tcW w:w="2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岁及以上</w:t>
            </w:r>
          </w:p>
        </w:tc>
        <w:tc>
          <w:tcPr>
            <w:tcW w:w="22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17</w:t>
            </w:r>
          </w:p>
        </w:tc>
        <w:tc>
          <w:tcPr>
            <w:tcW w:w="32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3.38</w:t>
            </w:r>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黑体" w:hAnsi="黑体" w:cs="黑体" w:eastAsia="黑体" w:hint="default"/>
          <w:sz w:val="9"/>
          <w:szCs w:val="9"/>
        </w:rPr>
      </w:pPr>
    </w:p>
    <w:tbl>
      <w:tblPr>
        <w:tblW w:w="0" w:type="auto"/>
        <w:jc w:val="left"/>
        <w:tblInd w:w="1079" w:type="dxa"/>
        <w:tblLayout w:type="fixed"/>
        <w:tblCellMar>
          <w:top w:w="0" w:type="dxa"/>
          <w:left w:w="0" w:type="dxa"/>
          <w:bottom w:w="0" w:type="dxa"/>
          <w:right w:w="0" w:type="dxa"/>
        </w:tblCellMar>
        <w:tblLook w:val="01E0"/>
      </w:tblPr>
      <w:tblGrid>
        <w:gridCol w:w="2245"/>
        <w:gridCol w:w="2246"/>
        <w:gridCol w:w="3282"/>
      </w:tblGrid>
      <w:tr>
        <w:trPr>
          <w:trHeight w:val="503" w:hRule="exact"/>
        </w:trPr>
        <w:tc>
          <w:tcPr>
            <w:tcW w:w="2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026" w:right="0"/>
              <w:jc w:val="left"/>
              <w:rPr>
                <w:rFonts w:ascii="Times New Roman" w:hAnsi="Times New Roman" w:cs="Times New Roman" w:eastAsia="Times New Roman" w:hint="default"/>
                <w:sz w:val="18"/>
                <w:szCs w:val="18"/>
              </w:rPr>
            </w:pPr>
            <w:r>
              <w:rPr>
                <w:rFonts w:ascii="Times New Roman"/>
                <w:sz w:val="18"/>
              </w:rPr>
              <w:t>38</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7.55</w:t>
            </w:r>
          </w:p>
        </w:tc>
      </w:tr>
      <w:tr>
        <w:trPr>
          <w:trHeight w:val="503" w:hRule="exact"/>
        </w:trPr>
        <w:tc>
          <w:tcPr>
            <w:tcW w:w="2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981" w:right="0"/>
              <w:jc w:val="left"/>
              <w:rPr>
                <w:rFonts w:ascii="Times New Roman" w:hAnsi="Times New Roman" w:cs="Times New Roman" w:eastAsia="Times New Roman" w:hint="default"/>
                <w:sz w:val="18"/>
                <w:szCs w:val="18"/>
              </w:rPr>
            </w:pPr>
            <w:r>
              <w:rPr>
                <w:rFonts w:ascii="Times New Roman"/>
                <w:sz w:val="18"/>
              </w:rPr>
              <w:t>153</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30.42</w:t>
            </w:r>
          </w:p>
        </w:tc>
      </w:tr>
      <w:tr>
        <w:trPr>
          <w:trHeight w:val="504" w:hRule="exact"/>
        </w:trPr>
        <w:tc>
          <w:tcPr>
            <w:tcW w:w="2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岁以下</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981" w:right="0"/>
              <w:jc w:val="left"/>
              <w:rPr>
                <w:rFonts w:ascii="Times New Roman" w:hAnsi="Times New Roman" w:cs="Times New Roman" w:eastAsia="Times New Roman" w:hint="default"/>
                <w:sz w:val="18"/>
                <w:szCs w:val="18"/>
              </w:rPr>
            </w:pPr>
            <w:r>
              <w:rPr>
                <w:rFonts w:ascii="Times New Roman"/>
                <w:sz w:val="18"/>
              </w:rPr>
              <w:t>295</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58.65</w:t>
            </w:r>
          </w:p>
        </w:tc>
      </w:tr>
      <w:tr>
        <w:trPr>
          <w:trHeight w:val="503" w:hRule="exact"/>
        </w:trPr>
        <w:tc>
          <w:tcPr>
            <w:tcW w:w="2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981" w:right="0"/>
              <w:jc w:val="left"/>
              <w:rPr>
                <w:rFonts w:ascii="Times New Roman" w:hAnsi="Times New Roman" w:cs="Times New Roman" w:eastAsia="Times New Roman" w:hint="default"/>
                <w:sz w:val="18"/>
                <w:szCs w:val="18"/>
              </w:rPr>
            </w:pPr>
            <w:r>
              <w:rPr>
                <w:rFonts w:ascii="Times New Roman"/>
                <w:sz w:val="18"/>
              </w:rPr>
              <w:t>503</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黑体" w:hAnsi="黑体" w:cs="黑体" w:eastAsia="黑体" w:hint="default"/>
          <w:sz w:val="14"/>
          <w:szCs w:val="14"/>
        </w:rPr>
      </w:pPr>
    </w:p>
    <w:p>
      <w:pPr>
        <w:pStyle w:val="BodyText"/>
        <w:spacing w:line="408" w:lineRule="auto" w:before="35"/>
        <w:ind w:left="154" w:right="128" w:firstLine="504"/>
        <w:jc w:val="both"/>
      </w:pPr>
      <w:r>
        <w:rPr/>
        <w:t>报告期内，公司人员增加，一方面因公司加大了研发投入，研发人员、技术支持人员有所增加；另 一方面，报告期内，尤其是第四季度，各地税控销售服务公司相继设立完成，为便于业务业务顺利开展， 人员方面相应增加。</w:t>
      </w:r>
    </w:p>
    <w:p>
      <w:pPr>
        <w:spacing w:after="0" w:line="408" w:lineRule="auto"/>
        <w:jc w:val="both"/>
        <w:sectPr>
          <w:pgSz w:w="11910" w:h="16840"/>
          <w:pgMar w:header="997" w:footer="1252" w:top="1340" w:bottom="1440" w:left="980" w:right="980"/>
        </w:sectPr>
      </w:pPr>
    </w:p>
    <w:p>
      <w:pPr>
        <w:spacing w:line="240" w:lineRule="auto" w:before="1"/>
        <w:rPr>
          <w:rFonts w:ascii="宋体" w:hAnsi="宋体" w:cs="宋体" w:eastAsia="宋体" w:hint="default"/>
          <w:sz w:val="13"/>
          <w:szCs w:val="13"/>
        </w:rPr>
      </w:pPr>
    </w:p>
    <w:p>
      <w:pPr>
        <w:pStyle w:val="Heading1"/>
        <w:spacing w:line="240" w:lineRule="auto"/>
        <w:ind w:right="3834"/>
        <w:jc w:val="center"/>
      </w:pPr>
      <w:bookmarkStart w:name="_TOC_250002" w:id="7"/>
      <w:r>
        <w:rPr/>
        <w:t>第八节</w:t>
      </w:r>
      <w:r>
        <w:rPr>
          <w:spacing w:val="-4"/>
        </w:rPr>
        <w:t> </w:t>
      </w:r>
      <w:bookmarkEnd w:id="7"/>
      <w:r>
        <w:rPr/>
        <w:t>公司治理</w:t>
      </w:r>
    </w:p>
    <w:p>
      <w:pPr>
        <w:spacing w:line="240" w:lineRule="auto" w:before="1"/>
        <w:rPr>
          <w:rFonts w:ascii="黑体" w:hAnsi="黑体" w:cs="黑体" w:eastAsia="黑体" w:hint="default"/>
          <w:sz w:val="29"/>
          <w:szCs w:val="29"/>
        </w:rPr>
      </w:pPr>
    </w:p>
    <w:p>
      <w:pPr>
        <w:pStyle w:val="Heading2"/>
        <w:spacing w:line="240" w:lineRule="auto" w:before="13"/>
        <w:ind w:right="0"/>
        <w:jc w:val="left"/>
      </w:pPr>
      <w:r>
        <w:rPr/>
        <w:t>一、公司治理的基本状况</w:t>
      </w:r>
    </w:p>
    <w:p>
      <w:pPr>
        <w:spacing w:line="240" w:lineRule="auto" w:before="13"/>
        <w:rPr>
          <w:rFonts w:ascii="黑体" w:hAnsi="黑体" w:cs="黑体" w:eastAsia="黑体" w:hint="default"/>
          <w:sz w:val="29"/>
          <w:szCs w:val="29"/>
        </w:rPr>
      </w:pPr>
    </w:p>
    <w:p>
      <w:pPr>
        <w:pStyle w:val="BodyText"/>
        <w:spacing w:line="408" w:lineRule="auto"/>
        <w:ind w:left="153" w:right="528" w:firstLine="420"/>
        <w:jc w:val="both"/>
      </w:pPr>
      <w:r>
        <w:rPr/>
        <w:t>公司根据《公司法》、《上市公司治理准则》、《上市公司章程指引》、《上市公司股东大会规则》 及其他相关法律、法规的要求，确立了由股东大会、董事会、监事会和经营管理层组成的公司治理结构， </w:t>
      </w:r>
      <w:r>
        <w:rPr>
          <w:spacing w:val="-1"/>
        </w:rPr>
        <w:t>建立健全了股东大会、董事会、监事会、独立董事、董事会秘书等相关制度，并在公司董事会下设立了战</w:t>
      </w:r>
      <w:r>
        <w:rPr>
          <w:spacing w:val="-83"/>
        </w:rPr>
        <w:t> </w:t>
      </w:r>
      <w:r>
        <w:rPr>
          <w:spacing w:val="-83"/>
        </w:rPr>
      </w:r>
      <w:r>
        <w:rPr>
          <w:spacing w:val="-1"/>
        </w:rPr>
        <w:t>略、审计、提名、薪酬与考核等专门委员会。报告期内，公司建立了规范的公司治理结构，股东大会、董</w:t>
      </w:r>
      <w:r>
        <w:rPr>
          <w:spacing w:val="-85"/>
        </w:rPr>
        <w:t> </w:t>
      </w:r>
      <w:r>
        <w:rPr>
          <w:spacing w:val="-85"/>
        </w:rPr>
      </w:r>
      <w:r>
        <w:rPr>
          <w:spacing w:val="-1"/>
        </w:rPr>
        <w:t>事会及专门委员会、监事会、独立董事、董事会秘书和管理层均严格按照《公司法》、《证券法》、《上</w:t>
      </w:r>
      <w:r>
        <w:rPr>
          <w:spacing w:val="-86"/>
        </w:rPr>
        <w:t> </w:t>
      </w:r>
      <w:r>
        <w:rPr>
          <w:spacing w:val="-86"/>
        </w:rPr>
      </w:r>
      <w:r>
        <w:rPr>
          <w:spacing w:val="-1"/>
        </w:rPr>
        <w:t>市公司治理准则》、《深圳证券交易所创业板股票上市规则》、《深圳证券交易所创业板上市公司规范运</w:t>
      </w:r>
      <w:r>
        <w:rPr>
          <w:spacing w:val="-83"/>
        </w:rPr>
        <w:t> </w:t>
      </w:r>
      <w:r>
        <w:rPr>
          <w:spacing w:val="-83"/>
        </w:rPr>
      </w:r>
      <w:r>
        <w:rPr>
          <w:spacing w:val="-1"/>
        </w:rPr>
        <w:t>作指引》等法律、法规和中国证监会有关法律法规等的要求，履行各自的权利和义务，公司重大生产经营</w:t>
      </w:r>
      <w:r>
        <w:rPr>
          <w:spacing w:val="-82"/>
        </w:rPr>
        <w:t> </w:t>
      </w:r>
      <w:r>
        <w:rPr>
          <w:spacing w:val="-82"/>
        </w:rPr>
      </w:r>
      <w:r>
        <w:rPr/>
        <w:t>决策、投资决策及财务决策均按照《公司章程》及有关内控制度规定的程序和规则进行，截至报告期末， </w:t>
      </w:r>
      <w:r>
        <w:rPr>
          <w:spacing w:val="-1"/>
        </w:rPr>
        <w:t>上述机构和人员依法运作，未出现违法、违规现象，能够切实履行应尽的职责和义务，公司治理的实际状</w:t>
      </w:r>
      <w:r>
        <w:rPr>
          <w:spacing w:val="-82"/>
        </w:rPr>
        <w:t> </w:t>
      </w:r>
      <w:r>
        <w:rPr>
          <w:spacing w:val="-82"/>
        </w:rPr>
      </w:r>
      <w:r>
        <w:rPr/>
        <w:t>况符合《上市公司治理准则》和《深圳证券交易所创业板上市公司规范运作指引》的要求。</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公司治理与《公司法》和中国证监会相关规定的要求是否存在差异</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1"/>
        <w:rPr>
          <w:rFonts w:ascii="宋体" w:hAnsi="宋体" w:cs="宋体" w:eastAsia="宋体" w:hint="default"/>
          <w:sz w:val="27"/>
          <w:szCs w:val="27"/>
        </w:rPr>
      </w:pPr>
    </w:p>
    <w:p>
      <w:pPr>
        <w:pStyle w:val="Heading2"/>
        <w:spacing w:line="240" w:lineRule="auto"/>
        <w:ind w:right="0"/>
        <w:jc w:val="left"/>
      </w:pPr>
      <w:r>
        <w:rPr/>
        <w:t>二、报告期内召开的年度股东大会和临时股东大会的有关情况</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、本报告期年度股东大会情况</w:t>
      </w:r>
    </w:p>
    <w:p>
      <w:pPr>
        <w:spacing w:line="240" w:lineRule="auto" w:before="2"/>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392"/>
        <w:gridCol w:w="2286"/>
        <w:gridCol w:w="2836"/>
        <w:gridCol w:w="2410"/>
      </w:tblGrid>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会议决议刊登的指定网站查询索引</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b/>
                <w:bCs/>
                <w:sz w:val="18"/>
                <w:szCs w:val="18"/>
              </w:rPr>
              <w:t>会议决议刊登的信息披露日期</w:t>
            </w:r>
            <w:r>
              <w:rPr>
                <w:rFonts w:ascii="宋体" w:hAnsi="宋体" w:cs="宋体" w:eastAsia="宋体" w:hint="default"/>
                <w:sz w:val="18"/>
                <w:szCs w:val="18"/>
              </w:rPr>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sz w:val="13"/>
          <w:szCs w:val="13"/>
        </w:rPr>
      </w:pPr>
    </w:p>
    <w:p>
      <w:pPr>
        <w:pStyle w:val="Heading3"/>
        <w:spacing w:line="240" w:lineRule="auto" w:before="26"/>
        <w:ind w:right="0"/>
        <w:jc w:val="left"/>
      </w:pPr>
      <w:r>
        <w:rPr>
          <w:rFonts w:ascii="Cambria" w:hAnsi="Cambria" w:cs="Cambria" w:eastAsia="Cambria" w:hint="default"/>
        </w:rPr>
        <w:t>2</w:t>
      </w:r>
      <w:r>
        <w:rPr/>
        <w:t>、本报告期临时股东大会情况</w:t>
      </w:r>
    </w:p>
    <w:p>
      <w:pPr>
        <w:spacing w:line="240" w:lineRule="auto" w:before="2"/>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392"/>
        <w:gridCol w:w="2144"/>
        <w:gridCol w:w="3119"/>
        <w:gridCol w:w="2411"/>
      </w:tblGrid>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会议决议刊登的指定网站查询索引</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会议决议刊登的信息披露日期</w:t>
            </w:r>
            <w:r>
              <w:rPr>
                <w:rFonts w:ascii="宋体" w:hAnsi="宋体" w:cs="宋体" w:eastAsia="宋体" w:hint="default"/>
                <w:sz w:val="18"/>
                <w:szCs w:val="18"/>
              </w:rPr>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997" w:footer="1252" w:top="1340" w:bottom="1440" w:left="980" w:right="580"/>
        </w:sectPr>
      </w:pPr>
    </w:p>
    <w:p>
      <w:pPr>
        <w:spacing w:line="240" w:lineRule="auto" w:before="8"/>
        <w:rPr>
          <w:rFonts w:ascii="黑体" w:hAnsi="黑体" w:cs="黑体" w:eastAsia="黑体" w:hint="default"/>
          <w:sz w:val="14"/>
          <w:szCs w:val="14"/>
        </w:rPr>
      </w:pPr>
    </w:p>
    <w:p>
      <w:pPr>
        <w:pStyle w:val="Heading2"/>
        <w:spacing w:line="240" w:lineRule="auto" w:before="13"/>
        <w:ind w:right="0"/>
        <w:jc w:val="left"/>
      </w:pPr>
      <w:r>
        <w:rPr/>
        <w:t>三、报告期董事会召开情况</w:t>
      </w:r>
    </w:p>
    <w:p>
      <w:pPr>
        <w:spacing w:line="240" w:lineRule="auto" w:before="2"/>
        <w:rPr>
          <w:rFonts w:ascii="黑体" w:hAnsi="黑体" w:cs="黑体" w:eastAsia="黑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004"/>
        <w:gridCol w:w="2780"/>
        <w:gridCol w:w="2605"/>
      </w:tblGrid>
      <w:tr>
        <w:trPr>
          <w:trHeight w:val="478"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会议决议刊登的指定网站查询索引</w:t>
            </w:r>
            <w:r>
              <w:rPr>
                <w:rFonts w:ascii="宋体" w:hAnsi="宋体" w:cs="宋体" w:eastAsia="宋体" w:hint="default"/>
                <w:sz w:val="18"/>
                <w:szCs w:val="18"/>
              </w:rPr>
            </w:r>
          </w:p>
        </w:tc>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会议决议刊登的信息披露日期</w:t>
            </w:r>
            <w:r>
              <w:rPr>
                <w:rFonts w:ascii="宋体" w:hAnsi="宋体" w:cs="宋体" w:eastAsia="宋体" w:hint="default"/>
                <w:sz w:val="18"/>
                <w:szCs w:val="18"/>
              </w:rPr>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5"/>
        <w:rPr>
          <w:rFonts w:ascii="黑体" w:hAnsi="黑体" w:cs="黑体" w:eastAsia="黑体" w:hint="default"/>
          <w:sz w:val="17"/>
          <w:szCs w:val="17"/>
        </w:rPr>
      </w:pPr>
    </w:p>
    <w:p>
      <w:pPr>
        <w:pStyle w:val="Heading2"/>
        <w:spacing w:line="240" w:lineRule="auto" w:before="13"/>
        <w:ind w:right="0"/>
        <w:jc w:val="left"/>
      </w:pPr>
      <w:r>
        <w:rPr/>
        <w:t>四、年度报告重大差错责任追究制度的建立与执行情况</w:t>
      </w:r>
    </w:p>
    <w:p>
      <w:pPr>
        <w:spacing w:line="240" w:lineRule="auto" w:before="13"/>
        <w:rPr>
          <w:rFonts w:ascii="黑体" w:hAnsi="黑体" w:cs="黑体" w:eastAsia="黑体" w:hint="default"/>
          <w:sz w:val="29"/>
          <w:szCs w:val="29"/>
        </w:rPr>
      </w:pPr>
    </w:p>
    <w:p>
      <w:pPr>
        <w:pStyle w:val="BodyText"/>
        <w:spacing w:line="408" w:lineRule="auto"/>
        <w:ind w:left="153" w:right="0" w:firstLine="420"/>
        <w:jc w:val="left"/>
      </w:pPr>
      <w:r>
        <w:rPr>
          <w:spacing w:val="-3"/>
        </w:rPr>
        <w:t>公司已制定《年报信息披露重大差错责任追究制度》。报告期内公司未发生重大会计差错更正、重大</w:t>
      </w:r>
      <w:r>
        <w:rPr/>
        <w:t> 遗漏信息补充以及业绩预告修正等情况。</w:t>
      </w:r>
    </w:p>
    <w:p>
      <w:pPr>
        <w:spacing w:line="240" w:lineRule="auto" w:before="1"/>
        <w:rPr>
          <w:rFonts w:ascii="宋体" w:hAnsi="宋体" w:cs="宋体" w:eastAsia="宋体" w:hint="default"/>
          <w:sz w:val="17"/>
          <w:szCs w:val="17"/>
        </w:rPr>
      </w:pPr>
    </w:p>
    <w:p>
      <w:pPr>
        <w:pStyle w:val="Heading2"/>
        <w:spacing w:line="240" w:lineRule="auto"/>
        <w:ind w:right="0"/>
        <w:jc w:val="left"/>
      </w:pPr>
      <w:r>
        <w:rPr/>
        <w:t>五、监事会工作情况</w:t>
      </w:r>
    </w:p>
    <w:p>
      <w:pPr>
        <w:spacing w:line="240" w:lineRule="auto" w:before="13"/>
        <w:rPr>
          <w:rFonts w:ascii="黑体" w:hAnsi="黑体" w:cs="黑体" w:eastAsia="黑体" w:hint="default"/>
          <w:sz w:val="29"/>
          <w:szCs w:val="29"/>
        </w:rPr>
      </w:pPr>
    </w:p>
    <w:p>
      <w:pPr>
        <w:pStyle w:val="BodyText"/>
        <w:spacing w:line="240" w:lineRule="auto"/>
        <w:ind w:right="0"/>
        <w:jc w:val="left"/>
      </w:pPr>
      <w:r>
        <w:rPr/>
        <w:t>监事会在报告期内的监督活动是否发现公司存在风险</w:t>
      </w:r>
    </w:p>
    <w:p>
      <w:pPr>
        <w:spacing w:line="240" w:lineRule="auto" w:before="9"/>
        <w:rPr>
          <w:rFonts w:ascii="宋体" w:hAnsi="宋体" w:cs="宋体" w:eastAsia="宋体" w:hint="default"/>
          <w:sz w:val="26"/>
          <w:szCs w:val="26"/>
        </w:rPr>
      </w:pPr>
    </w:p>
    <w:p>
      <w:pPr>
        <w:pStyle w:val="BodyText"/>
        <w:spacing w:line="516" w:lineRule="auto"/>
        <w:ind w:right="548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公司监事会对报告期内的监督事项无异议。</w:t>
      </w:r>
    </w:p>
    <w:p>
      <w:pPr>
        <w:spacing w:after="0" w:line="516" w:lineRule="auto"/>
        <w:jc w:val="left"/>
        <w:sectPr>
          <w:pgSz w:w="11910" w:h="16840"/>
          <w:pgMar w:header="997" w:footer="1252" w:top="1340" w:bottom="1440" w:left="980" w:right="860"/>
        </w:sectPr>
      </w:pPr>
    </w:p>
    <w:p>
      <w:pPr>
        <w:spacing w:line="240" w:lineRule="auto" w:before="1"/>
        <w:rPr>
          <w:rFonts w:ascii="宋体" w:hAnsi="宋体" w:cs="宋体" w:eastAsia="宋体" w:hint="default"/>
          <w:sz w:val="13"/>
          <w:szCs w:val="13"/>
        </w:rPr>
      </w:pPr>
    </w:p>
    <w:p>
      <w:pPr>
        <w:pStyle w:val="Heading1"/>
        <w:spacing w:line="240" w:lineRule="auto"/>
        <w:ind w:left="4454" w:right="3434"/>
        <w:jc w:val="center"/>
      </w:pPr>
      <w:bookmarkStart w:name="_TOC_250001" w:id="8"/>
      <w:r>
        <w:rPr/>
        <w:t>第九节</w:t>
      </w:r>
      <w:r>
        <w:rPr>
          <w:spacing w:val="-4"/>
        </w:rPr>
        <w:t> </w:t>
      </w:r>
      <w:bookmarkEnd w:id="8"/>
      <w:r>
        <w:rPr/>
        <w:t>财务报告</w:t>
      </w:r>
    </w:p>
    <w:p>
      <w:pPr>
        <w:spacing w:line="240" w:lineRule="auto" w:before="1"/>
        <w:rPr>
          <w:rFonts w:ascii="黑体" w:hAnsi="黑体" w:cs="黑体" w:eastAsia="黑体" w:hint="default"/>
          <w:sz w:val="29"/>
          <w:szCs w:val="29"/>
        </w:rPr>
      </w:pPr>
    </w:p>
    <w:p>
      <w:pPr>
        <w:pStyle w:val="Heading2"/>
        <w:spacing w:line="240" w:lineRule="auto" w:before="13"/>
        <w:ind w:left="534" w:right="133"/>
        <w:jc w:val="left"/>
      </w:pPr>
      <w:r>
        <w:rPr/>
        <w:t>一、审计报告</w:t>
      </w:r>
    </w:p>
    <w:p>
      <w:pPr>
        <w:spacing w:line="240" w:lineRule="auto" w:before="2"/>
        <w:rPr>
          <w:rFonts w:ascii="黑体" w:hAnsi="黑体" w:cs="黑体" w:eastAsia="黑体" w:hint="default"/>
          <w:sz w:val="25"/>
          <w:szCs w:val="25"/>
        </w:rPr>
      </w:pPr>
    </w:p>
    <w:tbl>
      <w:tblPr>
        <w:tblW w:w="0" w:type="auto"/>
        <w:jc w:val="left"/>
        <w:tblInd w:w="529" w:type="dxa"/>
        <w:tblLayout w:type="fixed"/>
        <w:tblCellMar>
          <w:top w:w="0" w:type="dxa"/>
          <w:left w:w="0" w:type="dxa"/>
          <w:bottom w:w="0" w:type="dxa"/>
          <w:right w:w="0" w:type="dxa"/>
        </w:tblCellMar>
        <w:tblLook w:val="01E0"/>
      </w:tblPr>
      <w:tblGrid>
        <w:gridCol w:w="4783"/>
        <w:gridCol w:w="4784"/>
      </w:tblGrid>
      <w:tr>
        <w:trPr>
          <w:trHeight w:val="36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审计意见类型</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70"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审计报告签署日期</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审计机构名称</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370"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审计报告文号</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XYZH/2012JNA3029</w:t>
            </w:r>
          </w:p>
        </w:tc>
      </w:tr>
    </w:tbl>
    <w:p>
      <w:pPr>
        <w:spacing w:line="240" w:lineRule="auto" w:before="1"/>
        <w:rPr>
          <w:rFonts w:ascii="黑体" w:hAnsi="黑体" w:cs="黑体" w:eastAsia="黑体" w:hint="default"/>
          <w:sz w:val="14"/>
          <w:szCs w:val="14"/>
        </w:rPr>
      </w:pPr>
    </w:p>
    <w:p>
      <w:pPr>
        <w:pStyle w:val="BodyText"/>
        <w:spacing w:line="240" w:lineRule="auto" w:before="35"/>
        <w:ind w:left="974" w:right="133" w:firstLine="3958"/>
        <w:jc w:val="left"/>
      </w:pPr>
      <w:r>
        <w:rPr/>
        <w:t>审计报告正文</w:t>
      </w:r>
    </w:p>
    <w:p>
      <w:pPr>
        <w:spacing w:line="240" w:lineRule="auto" w:before="1"/>
        <w:rPr>
          <w:rFonts w:ascii="宋体" w:hAnsi="宋体" w:cs="宋体" w:eastAsia="宋体" w:hint="default"/>
          <w:sz w:val="26"/>
          <w:szCs w:val="26"/>
        </w:rPr>
      </w:pPr>
    </w:p>
    <w:p>
      <w:pPr>
        <w:pStyle w:val="Heading4"/>
        <w:spacing w:line="379" w:lineRule="auto"/>
        <w:ind w:left="533" w:right="133"/>
        <w:jc w:val="left"/>
      </w:pPr>
      <w:r>
        <w:rPr>
          <w:spacing w:val="-1"/>
        </w:rPr>
        <w:t>我们认为，旋极信息公司财务报表在所有重大方面按照企业会计准则的规定编制，公允反映了旋</w:t>
      </w:r>
      <w:r>
        <w:rPr>
          <w:w w:val="99"/>
        </w:rPr>
        <w:t> </w:t>
      </w:r>
      <w:r>
        <w:rPr/>
        <w:t>极信息公司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w:t>
      </w:r>
      <w:r>
        <w:rPr>
          <w:w w:val="99"/>
        </w:rPr>
        <w:t> </w:t>
      </w:r>
      <w:r>
        <w:rPr/>
        <w:t>流量。</w:t>
      </w:r>
    </w:p>
    <w:p>
      <w:pPr>
        <w:spacing w:line="240" w:lineRule="auto" w:before="3"/>
        <w:rPr>
          <w:rFonts w:ascii="宋体" w:hAnsi="宋体" w:cs="宋体" w:eastAsia="宋体" w:hint="default"/>
          <w:sz w:val="18"/>
          <w:szCs w:val="18"/>
        </w:rPr>
      </w:pPr>
    </w:p>
    <w:p>
      <w:pPr>
        <w:pStyle w:val="Heading2"/>
        <w:spacing w:line="240" w:lineRule="auto"/>
        <w:ind w:left="534" w:right="133"/>
        <w:jc w:val="left"/>
      </w:pPr>
      <w:r>
        <w:rPr/>
        <w:t>二、财务报表</w:t>
      </w:r>
    </w:p>
    <w:p>
      <w:pPr>
        <w:spacing w:line="240" w:lineRule="auto" w:before="13"/>
        <w:rPr>
          <w:rFonts w:ascii="黑体" w:hAnsi="黑体" w:cs="黑体" w:eastAsia="黑体" w:hint="default"/>
          <w:sz w:val="29"/>
          <w:szCs w:val="29"/>
        </w:rPr>
      </w:pPr>
    </w:p>
    <w:p>
      <w:pPr>
        <w:pStyle w:val="BodyText"/>
        <w:spacing w:line="240" w:lineRule="auto"/>
        <w:ind w:left="954" w:right="133"/>
        <w:jc w:val="left"/>
      </w:pPr>
      <w:r>
        <w:rPr/>
        <w:t>财务附注中报表的单位为：人民币元</w:t>
      </w:r>
    </w:p>
    <w:p>
      <w:pPr>
        <w:spacing w:line="240" w:lineRule="auto" w:before="12"/>
        <w:rPr>
          <w:rFonts w:ascii="宋体" w:hAnsi="宋体" w:cs="宋体" w:eastAsia="宋体" w:hint="default"/>
          <w:sz w:val="24"/>
          <w:szCs w:val="24"/>
        </w:rPr>
      </w:pPr>
    </w:p>
    <w:p>
      <w:pPr>
        <w:pStyle w:val="Heading3"/>
        <w:spacing w:line="240" w:lineRule="auto"/>
        <w:ind w:left="534" w:right="133"/>
        <w:jc w:val="left"/>
      </w:pPr>
      <w:r>
        <w:rPr>
          <w:rFonts w:ascii="Cambria" w:hAnsi="Cambria" w:cs="Cambria" w:eastAsia="Cambria" w:hint="default"/>
        </w:rPr>
        <w:t>1</w:t>
      </w:r>
      <w:r>
        <w:rPr/>
        <w:t>、合并资产负债表</w:t>
      </w:r>
    </w:p>
    <w:p>
      <w:pPr>
        <w:spacing w:line="240" w:lineRule="auto" w:before="12"/>
        <w:rPr>
          <w:rFonts w:ascii="黑体" w:hAnsi="黑体" w:cs="黑体" w:eastAsia="黑体" w:hint="default"/>
          <w:sz w:val="23"/>
          <w:szCs w:val="23"/>
        </w:rPr>
      </w:pPr>
    </w:p>
    <w:p>
      <w:pPr>
        <w:pStyle w:val="BodyText"/>
        <w:spacing w:line="240" w:lineRule="auto"/>
        <w:ind w:left="954" w:right="133"/>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3370"/>
        <w:gridCol w:w="3312"/>
        <w:gridCol w:w="3300"/>
      </w:tblGrid>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473,511,246.05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169,841,463.38</w:t>
            </w: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1,977,120.00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4,212,700.00</w:t>
            </w: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72,674,628.50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46,240,905.04</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10,240,780.15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8,092,361.77</w:t>
            </w: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3,660,182.02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600" w:right="980"/>
        </w:sect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365"/>
        <w:gridCol w:w="3317"/>
        <w:gridCol w:w="3300"/>
      </w:tblGrid>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10,422,298.58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7,220,913.99</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39,707,348.04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43,144,990.49</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612,193,603.34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278,753,334.67</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2,679,543.59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1,343,037.05</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16,184,401.42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12,987,288.73</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1,585,476.32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851,432.70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348,668.15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720,441.43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811,610.68</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2,435,738.26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1,491,696.35</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23,954,269.17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17,485,065.51</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636,147,872.51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296,238,400.18</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46,624,316.22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55,398,610.68</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8,554,925.34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14,630,650.60</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600" w:right="980"/>
        </w:sect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365"/>
        <w:gridCol w:w="3317"/>
        <w:gridCol w:w="3300"/>
      </w:tblGrid>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2,590,616.28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1,937,024.68</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12,913,317.24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14,961,556.89</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15,832.33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70,155.56</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1,768,973.00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3,726,588.97</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83,967,980.41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135,224,587.38</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83,967,980.41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135,224,587.38</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345,978,413.01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22,138,240.03</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11,929,032.67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8,091,876.19</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130,277,176.16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87,224,056.63</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-62,488.27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-64,406.43</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544,122,133.57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159,389,766.42</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8,057,758.53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1,624,046.38</w:t>
            </w:r>
          </w:p>
        </w:tc>
      </w:tr>
      <w:tr>
        <w:trPr>
          <w:trHeight w:val="368"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552,179,892.10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161,013,812.80</w:t>
            </w:r>
          </w:p>
        </w:tc>
      </w:tr>
      <w:tr>
        <w:trPr>
          <w:trHeight w:val="370" w:hRule="exact"/>
        </w:trPr>
        <w:tc>
          <w:tcPr>
            <w:tcW w:w="3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636,147,872.51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296,238,400.18</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600" w:right="980"/>
        </w:sectPr>
      </w:pPr>
    </w:p>
    <w:p>
      <w:pPr>
        <w:spacing w:line="240" w:lineRule="auto" w:before="10"/>
        <w:rPr>
          <w:rFonts w:ascii="Times New Roman" w:hAnsi="Times New Roman" w:cs="Times New Roman" w:eastAsia="Times New Roman" w:hint="default"/>
          <w:sz w:val="12"/>
          <w:szCs w:val="12"/>
        </w:rPr>
      </w:pPr>
    </w:p>
    <w:p>
      <w:pPr>
        <w:pStyle w:val="BodyText"/>
        <w:tabs>
          <w:tab w:pos="3543" w:val="left" w:leader="none"/>
          <w:tab w:pos="7427" w:val="left" w:leader="none"/>
        </w:tabs>
        <w:spacing w:line="240" w:lineRule="auto" w:before="35"/>
        <w:ind w:left="814" w:right="0"/>
        <w:jc w:val="left"/>
      </w:pPr>
      <w:r>
        <w:rPr/>
        <w:t>法定代表人：陈江涛</w:t>
        <w:tab/>
      </w:r>
      <w:r>
        <w:rPr>
          <w:spacing w:val="-1"/>
        </w:rPr>
        <w:t>主管会计工作负责人：黄海涛</w:t>
        <w:tab/>
      </w:r>
      <w:r>
        <w:rPr/>
        <w:t>会计机构负责人：陈湘宁</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2</w:t>
      </w:r>
      <w:r>
        <w:rPr/>
        <w:t>、母公司资产负债表</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226"/>
        <w:gridCol w:w="3314"/>
        <w:gridCol w:w="3300"/>
      </w:tblGrid>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413,716,409.30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133,059,396.09</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856,000.00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3,862,700.00</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88,659,394.54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60,728,692.72</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8,369,095.20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7,720,581.43</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3,660,182.02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8,965,752.42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6,854,207.44</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22,740,022.32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31,961,040.59</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546,966,855.80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244,186,618.27</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35,373,211.07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11,241,938.05</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9,247,487.62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7,128,132.38</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1,250,238.13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851,432.70</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740" w:right="980"/>
        </w:sectPr>
      </w:pPr>
    </w:p>
    <w:p>
      <w:pPr>
        <w:spacing w:line="240" w:lineRule="auto" w:before="5"/>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221"/>
        <w:gridCol w:w="3319"/>
        <w:gridCol w:w="3300"/>
      </w:tblGrid>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1,372,168.20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915,278.99</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47,243,105.02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20,136,782.12</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594,209,960.82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264,323,400.39</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40,446,012.93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54,636,455.49</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7,507,262.55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8,587,964.49</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1,542,224.16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1,199,705.24</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12,880,073.26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12,295,252.59</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15,832.33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70,155.56</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3,131,767.80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2,058,817.05</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77,023,173.03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123,348,350.42</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77,023,173.03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123,348,350.42</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345,805,077.99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21,964,905.01</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11,929,032.67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8,091,876.19</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103,452,677.13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68,918,268.77</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740" w:right="980"/>
        </w:sectPr>
      </w:pPr>
    </w:p>
    <w:p>
      <w:pPr>
        <w:spacing w:line="240" w:lineRule="auto" w:before="5"/>
        <w:rPr>
          <w:rFonts w:ascii="Times New Roman" w:hAnsi="Times New Roman" w:cs="Times New Roman" w:eastAsia="Times New Roman" w:hint="default"/>
          <w:sz w:val="10"/>
          <w:szCs w:val="10"/>
        </w:rPr>
      </w:pPr>
      <w:r>
        <w:rPr/>
        <w:pict>
          <v:group style="position:absolute;margin-left:205.320007pt;margin-top:721.650024pt;width:163.35pt;height:19.1pt;mso-position-horizontal-relative:page;mso-position-vertical-relative:page;z-index:-728680" coordorigin="4106,14433" coordsize="3267,382">
            <v:group style="position:absolute;left:4118;top:14444;width:2;height:359" coordorigin="4118,14444" coordsize="2,359">
              <v:shape style="position:absolute;left:4118;top:14444;width:2;height:359" coordorigin="4118,14444" coordsize="0,359" path="m4118,14444l4118,14803e" filled="false" stroked="true" strokeweight="1.140pt" strokecolor="#ffffff">
                <v:path arrowok="t"/>
              </v:shape>
            </v:group>
            <v:group style="position:absolute;left:4129;top:14444;width:3244;height:359" coordorigin="4129,14444" coordsize="3244,359">
              <v:shape style="position:absolute;left:4129;top:14444;width:3244;height:359" coordorigin="4129,14444" coordsize="3244,359" path="m4129,14803l7373,14803,7373,14444,4129,14444,4129,14803xe" filled="true" fillcolor="#ffffff" stroked="false">
                <v:path arrowok="t"/>
                <v:fill type="solid"/>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3237"/>
        <w:gridCol w:w="3314"/>
        <w:gridCol w:w="3300"/>
      </w:tblGrid>
      <w:tr>
        <w:trPr>
          <w:trHeight w:val="368" w:hRule="exact"/>
        </w:trPr>
        <w:tc>
          <w:tcPr>
            <w:tcW w:w="3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517,186,787.79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140,975,049.97</w:t>
            </w:r>
          </w:p>
        </w:tc>
      </w:tr>
      <w:tr>
        <w:trPr>
          <w:trHeight w:val="370" w:hRule="exact"/>
        </w:trPr>
        <w:tc>
          <w:tcPr>
            <w:tcW w:w="3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594,209,960.82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264,323,400.39</w:t>
            </w:r>
          </w:p>
        </w:tc>
      </w:tr>
    </w:tbl>
    <w:p>
      <w:pPr>
        <w:spacing w:line="240" w:lineRule="auto" w:before="11"/>
        <w:rPr>
          <w:rFonts w:ascii="Times New Roman" w:hAnsi="Times New Roman" w:cs="Times New Roman" w:eastAsia="Times New Roman" w:hint="default"/>
          <w:sz w:val="15"/>
          <w:szCs w:val="15"/>
        </w:rPr>
      </w:pPr>
    </w:p>
    <w:p>
      <w:pPr>
        <w:pStyle w:val="BodyText"/>
        <w:tabs>
          <w:tab w:pos="2939" w:val="left" w:leader="none"/>
          <w:tab w:pos="6824" w:val="left" w:leader="none"/>
        </w:tabs>
        <w:spacing w:line="240" w:lineRule="auto" w:before="35"/>
        <w:ind w:left="0" w:right="235"/>
        <w:jc w:val="right"/>
      </w:pPr>
      <w:r>
        <w:rPr/>
        <w:t>法定代表人：陈江涛</w:t>
        <w:tab/>
      </w:r>
      <w:r>
        <w:rPr>
          <w:spacing w:val="-1"/>
        </w:rPr>
        <w:t>主管会计工作负责人：黄海涛</w:t>
        <w:tab/>
        <w:t>会计机构负责人：陈湘宁</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3</w:t>
      </w:r>
      <w:r>
        <w:rPr/>
        <w:t>、合并利润表</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228"/>
        <w:gridCol w:w="3312"/>
        <w:gridCol w:w="3300"/>
      </w:tblGrid>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281,796,893.72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298,665,994.74</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281,796,893.72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298,665,994.74</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229,606,544.42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249,863,974.17</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173,708,253.42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201,900,433.34</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2,898,427.74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2,687,759.99</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27,015,174.26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21,890,102.23</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27,258,765.32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19,470,591.87</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-4,843,450.89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1,202,632.83</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3,569,374.57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2,712,453.91</w:t>
            </w:r>
          </w:p>
        </w:tc>
      </w:tr>
      <w:tr>
        <w:trPr>
          <w:trHeight w:val="727"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1" w:right="9"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09"/>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-1,782,861.34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334,846.22</w:t>
            </w:r>
          </w:p>
        </w:tc>
      </w:tr>
      <w:tr>
        <w:trPr>
          <w:trHeight w:val="72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10" w:firstLine="90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w:t>
            </w:r>
            <w:r>
              <w:rPr>
                <w:rFonts w:ascii="宋体" w:hAnsi="宋体" w:cs="宋体" w:eastAsia="宋体" w:hint="default"/>
                <w:sz w:val="18"/>
                <w:szCs w:val="18"/>
              </w:rPr>
              <w:t> 的投资收益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-587,926.98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-34,796.37</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50,407,487.96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49,136,866.79</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740" w:right="980"/>
        </w:sectPr>
      </w:pPr>
    </w:p>
    <w:p>
      <w:pPr>
        <w:spacing w:line="240" w:lineRule="auto" w:before="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3228"/>
        <w:gridCol w:w="3312"/>
        <w:gridCol w:w="3300"/>
      </w:tblGrid>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5,908,841.90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1,796,841.37</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208,274.17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6,386.74</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7,924.17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6,320.04</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1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56,108,055.69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50,927,321.42</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8,302,480.25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7,702,964.15</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47,805,575.44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43,224,357.27</w:t>
            </w:r>
          </w:p>
        </w:tc>
      </w:tr>
      <w:tr>
        <w:trPr>
          <w:trHeight w:val="727"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其中：被合并方在合并前实现的净利</w:t>
            </w:r>
          </w:p>
          <w:p>
            <w:pPr>
              <w:pStyle w:val="TableParagraph"/>
              <w:spacing w:line="240" w:lineRule="auto" w:before="123"/>
              <w:ind w:left="11" w:right="0"/>
              <w:jc w:val="left"/>
              <w:rPr>
                <w:rFonts w:ascii="宋体" w:hAnsi="宋体" w:cs="宋体" w:eastAsia="宋体" w:hint="default"/>
                <w:sz w:val="18"/>
                <w:szCs w:val="18"/>
              </w:rPr>
            </w:pPr>
            <w:r>
              <w:rPr>
                <w:rFonts w:ascii="宋体" w:hAnsi="宋体" w:cs="宋体" w:eastAsia="宋体" w:hint="default"/>
                <w:sz w:val="18"/>
                <w:szCs w:val="18"/>
              </w:rPr>
              <w:t>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46,890,276.01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42,687,674.19</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915,299.43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536,683.08</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1.02</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1.02</w:t>
            </w:r>
          </w:p>
        </w:tc>
      </w:tr>
      <w:tr>
        <w:trPr>
          <w:trHeight w:val="368"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1,918.16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-64,406.43</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47,807,493.60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43,159,950.84</w:t>
            </w:r>
          </w:p>
        </w:tc>
      </w:tr>
      <w:tr>
        <w:trPr>
          <w:trHeight w:val="727"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w:t>
            </w:r>
          </w:p>
          <w:p>
            <w:pPr>
              <w:pStyle w:val="TableParagraph"/>
              <w:spacing w:line="240" w:lineRule="auto" w:before="12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46,892,194.17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42,623,267.76</w:t>
            </w:r>
          </w:p>
        </w:tc>
      </w:tr>
      <w:tr>
        <w:trPr>
          <w:trHeight w:val="370"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915,299.43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536,683.08</w:t>
            </w:r>
          </w:p>
        </w:tc>
      </w:tr>
    </w:tbl>
    <w:p>
      <w:pPr>
        <w:spacing w:line="240" w:lineRule="auto" w:before="1"/>
        <w:rPr>
          <w:rFonts w:ascii="宋体" w:hAnsi="宋体" w:cs="宋体" w:eastAsia="宋体" w:hint="default"/>
          <w:sz w:val="14"/>
          <w:szCs w:val="14"/>
        </w:rPr>
      </w:pPr>
    </w:p>
    <w:p>
      <w:pPr>
        <w:pStyle w:val="BodyText"/>
        <w:spacing w:line="240" w:lineRule="auto" w:before="35"/>
        <w:ind w:left="814" w:right="0"/>
        <w:jc w:val="left"/>
      </w:pPr>
      <w:r>
        <w:rPr/>
        <w:t>本期发生同一控制下企业合并的，被合并方在合并前实现的净利润为：元。</w:t>
      </w:r>
    </w:p>
    <w:p>
      <w:pPr>
        <w:spacing w:line="240" w:lineRule="auto" w:before="9"/>
        <w:rPr>
          <w:rFonts w:ascii="宋体" w:hAnsi="宋体" w:cs="宋体" w:eastAsia="宋体" w:hint="default"/>
          <w:sz w:val="26"/>
          <w:szCs w:val="26"/>
        </w:rPr>
      </w:pPr>
    </w:p>
    <w:p>
      <w:pPr>
        <w:pStyle w:val="BodyText"/>
        <w:tabs>
          <w:tab w:pos="3956" w:val="left" w:leader="none"/>
          <w:tab w:pos="7728" w:val="left" w:leader="none"/>
        </w:tabs>
        <w:spacing w:line="240" w:lineRule="auto"/>
        <w:ind w:left="813" w:right="0"/>
        <w:jc w:val="left"/>
      </w:pPr>
      <w:r>
        <w:rPr>
          <w:spacing w:val="-1"/>
        </w:rPr>
        <w:t>法定代表人：陈江涛</w:t>
        <w:tab/>
        <w:t>主管会计工作负责人：黄海涛</w:t>
        <w:tab/>
        <w:t>会计机构负责人：陈湘宁</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4</w:t>
      </w:r>
      <w:r>
        <w:rPr/>
        <w:t>、母公司利润表</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226"/>
        <w:gridCol w:w="3314"/>
        <w:gridCol w:w="3300"/>
      </w:tblGrid>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253,461,203.20</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117,194,160.49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179,792,873.07</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2,660,433.58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2,351,438.97</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18,738,596.84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16,030,173.97</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16,892,272.26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13,666,933.43</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-4,891,803.95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1,236,780.60</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3,132,528.46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2,409,968.86</w:t>
            </w:r>
          </w:p>
        </w:tc>
      </w:tr>
      <w:tr>
        <w:trPr>
          <w:trHeight w:val="72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4"/>
              <w:ind w:left="11" w:right="9"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740" w:right="980"/>
        </w:sectPr>
      </w:pPr>
    </w:p>
    <w:p>
      <w:pPr>
        <w:spacing w:line="240" w:lineRule="auto" w:before="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3226"/>
        <w:gridCol w:w="3314"/>
        <w:gridCol w:w="3300"/>
      </w:tblGrid>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17"/>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-587,926.98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3,503,030.57</w:t>
            </w:r>
          </w:p>
        </w:tc>
      </w:tr>
      <w:tr>
        <w:trPr>
          <w:trHeight w:val="72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8"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其中：对联营企业和合营企业的</w:t>
            </w:r>
            <w:r>
              <w:rPr>
                <w:rFonts w:ascii="宋体" w:hAnsi="宋体" w:cs="宋体" w:eastAsia="宋体" w:hint="default"/>
                <w:sz w:val="18"/>
                <w:szCs w:val="18"/>
              </w:rPr>
              <w:t> 投资收益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-587,926.98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-34,796.37</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39,338,047.58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41,476,064.87</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5,205,303.25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1,552,158.51</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205,869.92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5,869.92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17"/>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44,337,480.91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43,028,223.38</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5,965,916.07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5,336,635.96</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38,371,564.84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37,691,587.42</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0.90</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0.90</w:t>
            </w:r>
          </w:p>
        </w:tc>
      </w:tr>
      <w:tr>
        <w:trPr>
          <w:trHeight w:val="368"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38,371,564.84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37,691,587.42</w:t>
            </w:r>
          </w:p>
        </w:tc>
      </w:tr>
    </w:tbl>
    <w:p>
      <w:pPr>
        <w:spacing w:line="240" w:lineRule="auto" w:before="1"/>
        <w:rPr>
          <w:rFonts w:ascii="宋体" w:hAnsi="宋体" w:cs="宋体" w:eastAsia="宋体" w:hint="default"/>
          <w:sz w:val="14"/>
          <w:szCs w:val="14"/>
        </w:rPr>
      </w:pPr>
    </w:p>
    <w:p>
      <w:pPr>
        <w:pStyle w:val="BodyText"/>
        <w:tabs>
          <w:tab w:pos="3045" w:val="left" w:leader="none"/>
          <w:tab w:pos="6824" w:val="left" w:leader="none"/>
        </w:tabs>
        <w:spacing w:line="240" w:lineRule="auto" w:before="35"/>
        <w:ind w:left="0" w:right="235"/>
        <w:jc w:val="right"/>
      </w:pPr>
      <w:r>
        <w:rPr/>
        <w:t>法定代表人：陈江涛</w:t>
        <w:tab/>
      </w:r>
      <w:r>
        <w:rPr>
          <w:spacing w:val="-1"/>
        </w:rPr>
        <w:t>主管会计工作负责人：黄海涛</w:t>
        <w:tab/>
        <w:t>会计机构负责人：陈湘宁</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5</w:t>
      </w:r>
      <w:r>
        <w:rPr/>
        <w:t>、合并现金流量表</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227"/>
        <w:gridCol w:w="3313"/>
        <w:gridCol w:w="3300"/>
      </w:tblGrid>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279,843,701.59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316,061,191.62</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4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4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3,185,835.64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203,172.58</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9,230,865.16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4,963,086.15</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740" w:right="980"/>
        </w:sectPr>
      </w:pPr>
    </w:p>
    <w:p>
      <w:pPr>
        <w:spacing w:line="240" w:lineRule="auto" w:before="5"/>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222"/>
        <w:gridCol w:w="3318"/>
        <w:gridCol w:w="3300"/>
      </w:tblGrid>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292,260,402.39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321,227,450.35</w:t>
            </w: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168,480,107.56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191,116,416.19</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38"/>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38"/>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49,439,455.36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34,135,923.42</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28,085,558.25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19,786,226.81</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39,345,817.83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26,676,034.72</w:t>
            </w: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285,350,939.00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271,714,601.14</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6,909,463.39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49,512,849.21</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97,319.58</w:t>
            </w:r>
          </w:p>
        </w:tc>
      </w:tr>
      <w:tr>
        <w:trPr>
          <w:trHeight w:val="727"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5"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29,423.08</w:t>
            </w:r>
          </w:p>
        </w:tc>
      </w:tr>
      <w:tr>
        <w:trPr>
          <w:trHeight w:val="72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1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412,510.40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412,560.40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10,126,742.66</w:t>
            </w:r>
          </w:p>
        </w:tc>
      </w:tr>
      <w:tr>
        <w:trPr>
          <w:trHeight w:val="72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5"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5,656,881.13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5,974,682.04</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1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1,868,446.71</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8,856,881.13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17,843,128.75</w:t>
            </w: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-8,444,320.73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-7,716,386.09</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341,980,172.98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11" w:right="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r>
              <w:rPr>
                <w:rFonts w:ascii="宋体" w:hAnsi="宋体" w:cs="宋体" w:eastAsia="宋体" w:hint="default"/>
                <w:sz w:val="18"/>
                <w:szCs w:val="18"/>
              </w:rPr>
              <w:t>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68"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740" w:right="980"/>
        </w:sectPr>
      </w:pPr>
    </w:p>
    <w:p>
      <w:pPr>
        <w:spacing w:line="240" w:lineRule="auto" w:before="5"/>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1"/>
        <w:gridCol w:w="3330"/>
        <w:gridCol w:w="3300"/>
      </w:tblGrid>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351,480,172.98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727"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83" w:right="-7"/>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1,777,667.77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2,273,913.68</w:t>
            </w:r>
          </w:p>
        </w:tc>
      </w:tr>
      <w:tr>
        <w:trPr>
          <w:trHeight w:val="727"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3" w:right="126"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46,277,667.77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18,273,913.68</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305,202,505.21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26,226,086.32</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3" w:right="-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2,134.80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-53,184.29</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303,669,782.67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67,969,365.15</w:t>
            </w:r>
          </w:p>
        </w:tc>
      </w:tr>
      <w:tr>
        <w:trPr>
          <w:trHeight w:val="368"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169,841,463.38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101,872,098.23</w:t>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473,511,246.05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169,841,463.38</w:t>
            </w:r>
          </w:p>
        </w:tc>
      </w:tr>
    </w:tbl>
    <w:p>
      <w:pPr>
        <w:spacing w:line="240" w:lineRule="auto" w:before="11"/>
        <w:rPr>
          <w:rFonts w:ascii="Times New Roman" w:hAnsi="Times New Roman" w:cs="Times New Roman" w:eastAsia="Times New Roman" w:hint="default"/>
          <w:sz w:val="15"/>
          <w:szCs w:val="15"/>
        </w:rPr>
      </w:pPr>
    </w:p>
    <w:p>
      <w:pPr>
        <w:pStyle w:val="BodyText"/>
        <w:tabs>
          <w:tab w:pos="3649" w:val="left" w:leader="none"/>
          <w:tab w:pos="7533" w:val="left" w:leader="none"/>
        </w:tabs>
        <w:spacing w:line="240" w:lineRule="auto" w:before="35"/>
        <w:ind w:left="814" w:right="0"/>
        <w:jc w:val="left"/>
      </w:pPr>
      <w:r>
        <w:rPr/>
        <w:t>法定代表人：陈江涛</w:t>
        <w:tab/>
      </w:r>
      <w:r>
        <w:rPr>
          <w:spacing w:val="-1"/>
        </w:rPr>
        <w:t>主管会计工作负责人：黄海涛</w:t>
        <w:tab/>
        <w:t>会计机构负责人：陈湘宁</w:t>
      </w:r>
    </w:p>
    <w:p>
      <w:pPr>
        <w:spacing w:line="240" w:lineRule="auto" w:before="12"/>
        <w:rPr>
          <w:rFonts w:ascii="宋体" w:hAnsi="宋体" w:cs="宋体" w:eastAsia="宋体" w:hint="default"/>
          <w:sz w:val="24"/>
          <w:szCs w:val="24"/>
        </w:rPr>
      </w:pPr>
    </w:p>
    <w:p>
      <w:pPr>
        <w:pStyle w:val="Heading3"/>
        <w:spacing w:line="240" w:lineRule="auto"/>
        <w:ind w:left="394" w:right="0"/>
        <w:jc w:val="left"/>
      </w:pPr>
      <w:r>
        <w:rPr>
          <w:rFonts w:ascii="Cambria" w:hAnsi="Cambria" w:cs="Cambria" w:eastAsia="Cambria" w:hint="default"/>
        </w:rPr>
        <w:t>6</w:t>
      </w:r>
      <w:r>
        <w:rPr/>
        <w:t>、母公司现金流量表</w:t>
      </w:r>
    </w:p>
    <w:p>
      <w:pPr>
        <w:spacing w:line="240" w:lineRule="auto" w:before="12"/>
        <w:rPr>
          <w:rFonts w:ascii="黑体" w:hAnsi="黑体" w:cs="黑体" w:eastAsia="黑体" w:hint="default"/>
          <w:sz w:val="23"/>
          <w:szCs w:val="23"/>
        </w:rPr>
      </w:pPr>
    </w:p>
    <w:p>
      <w:pPr>
        <w:pStyle w:val="BodyText"/>
        <w:spacing w:line="240" w:lineRule="auto"/>
        <w:ind w:left="814" w:right="0"/>
        <w:jc w:val="left"/>
      </w:pPr>
      <w:r>
        <w:rPr/>
        <w:t>编制单位：北京旋极信息技术股份有限公司</w:t>
      </w:r>
    </w:p>
    <w:p>
      <w:pPr>
        <w:spacing w:line="240" w:lineRule="auto" w:before="9"/>
        <w:rPr>
          <w:rFonts w:ascii="宋体" w:hAnsi="宋体" w:cs="宋体" w:eastAsia="宋体" w:hint="default"/>
          <w:sz w:val="26"/>
          <w:szCs w:val="26"/>
        </w:rPr>
      </w:pPr>
    </w:p>
    <w:p>
      <w:pPr>
        <w:pStyle w:val="BodyText"/>
        <w:spacing w:line="240" w:lineRule="auto"/>
        <w:ind w:left="0" w:right="150"/>
        <w:jc w:val="right"/>
      </w:pPr>
      <w:r>
        <w:rPr/>
        <w:t>单位：元</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227"/>
        <w:gridCol w:w="3313"/>
        <w:gridCol w:w="3300"/>
      </w:tblGrid>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191,677,384.21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254,445,100.25</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2,841,173.42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185,523.01</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8,456,727.06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2,307,569.53</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202,975,284.69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256,938,192.79</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108,147,950.91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158,518,977.12</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41,046,806.05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28,573,715.69</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21,907,241.33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17,047,974.17</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23,593,103.16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19,502,201.98</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194,695,101.45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223,642,868.96</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8,280,183.24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33,295,323.83</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97,319.58</w:t>
            </w:r>
          </w:p>
        </w:tc>
      </w:tr>
      <w:tr>
        <w:trPr>
          <w:trHeight w:val="72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8"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740" w:right="980"/>
        </w:sectPr>
      </w:pPr>
    </w:p>
    <w:p>
      <w:pPr>
        <w:spacing w:line="240" w:lineRule="auto" w:before="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3227"/>
        <w:gridCol w:w="3313"/>
        <w:gridCol w:w="3300"/>
      </w:tblGrid>
      <w:tr>
        <w:trPr>
          <w:trHeight w:val="727"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14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171,190.16</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10,268,509.74</w:t>
            </w:r>
          </w:p>
        </w:tc>
      </w:tr>
      <w:tr>
        <w:trPr>
          <w:trHeight w:val="727"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8"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3,966,691.88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1,841,039.59</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24,719,200.00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27"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14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1,868,446.71</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28,685,891.88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13,709,486.30</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-28,685,891.88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-3,440,976.56</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337,840,172.98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347,340,172.98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72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123"/>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1,777,667.77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2,273,913.68</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46,277,667.77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18,273,913.68</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301,062,505.21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26,226,086.32</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216.64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-3,077.87</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280,657,013.21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56,077,355.72</w:t>
            </w:r>
          </w:p>
        </w:tc>
      </w:tr>
      <w:tr>
        <w:trPr>
          <w:trHeight w:val="370"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133,059,396.09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76,982,040.37</w:t>
            </w:r>
          </w:p>
        </w:tc>
      </w:tr>
      <w:tr>
        <w:trPr>
          <w:trHeight w:val="368"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413,716,409.30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133,059,396.09</w:t>
            </w:r>
          </w:p>
        </w:tc>
      </w:tr>
    </w:tbl>
    <w:p>
      <w:pPr>
        <w:spacing w:line="240" w:lineRule="auto" w:before="1"/>
        <w:rPr>
          <w:rFonts w:ascii="宋体" w:hAnsi="宋体" w:cs="宋体" w:eastAsia="宋体" w:hint="default"/>
          <w:sz w:val="14"/>
          <w:szCs w:val="14"/>
        </w:rPr>
      </w:pPr>
    </w:p>
    <w:p>
      <w:pPr>
        <w:pStyle w:val="BodyText"/>
        <w:tabs>
          <w:tab w:pos="3956" w:val="left" w:leader="none"/>
          <w:tab w:pos="7728" w:val="left" w:leader="none"/>
        </w:tabs>
        <w:spacing w:line="240" w:lineRule="auto" w:before="35"/>
        <w:ind w:left="814" w:right="0"/>
        <w:jc w:val="left"/>
      </w:pPr>
      <w:r>
        <w:rPr>
          <w:spacing w:val="-1"/>
        </w:rPr>
        <w:t>法定代表人：陈江涛</w:t>
        <w:tab/>
        <w:t>主管会计工作负责人：黄海涛</w:t>
        <w:tab/>
        <w:t>会计机构负责人：陈湘宁</w:t>
      </w:r>
    </w:p>
    <w:p>
      <w:pPr>
        <w:spacing w:after="0" w:line="240" w:lineRule="auto"/>
        <w:jc w:val="left"/>
        <w:sectPr>
          <w:pgSz w:w="11910" w:h="16840"/>
          <w:pgMar w:header="997" w:footer="1252" w:top="1340" w:bottom="1440" w:left="740" w:right="980"/>
        </w:sectPr>
      </w:pPr>
    </w:p>
    <w:p>
      <w:pPr>
        <w:spacing w:line="240" w:lineRule="auto" w:before="3"/>
        <w:rPr>
          <w:rFonts w:ascii="宋体" w:hAnsi="宋体" w:cs="宋体" w:eastAsia="宋体" w:hint="default"/>
          <w:sz w:val="10"/>
          <w:szCs w:val="10"/>
        </w:rPr>
      </w:pPr>
    </w:p>
    <w:p>
      <w:pPr>
        <w:pStyle w:val="Heading3"/>
        <w:spacing w:line="240" w:lineRule="auto" w:before="26"/>
        <w:ind w:left="959" w:right="9731"/>
        <w:jc w:val="left"/>
      </w:pPr>
      <w:r>
        <w:rPr>
          <w:rFonts w:ascii="Cambria" w:hAnsi="Cambria" w:cs="Cambria" w:eastAsia="Cambria" w:hint="default"/>
        </w:rPr>
        <w:t>7</w:t>
      </w:r>
      <w:r>
        <w:rPr/>
        <w:t>、合并所有者权益变动表</w:t>
      </w:r>
    </w:p>
    <w:p>
      <w:pPr>
        <w:spacing w:line="240" w:lineRule="auto" w:before="12"/>
        <w:rPr>
          <w:rFonts w:ascii="黑体" w:hAnsi="黑体" w:cs="黑体" w:eastAsia="黑体" w:hint="default"/>
          <w:sz w:val="23"/>
          <w:szCs w:val="23"/>
        </w:rPr>
      </w:pPr>
    </w:p>
    <w:p>
      <w:pPr>
        <w:pStyle w:val="BodyText"/>
        <w:spacing w:line="544" w:lineRule="auto"/>
        <w:ind w:left="1379" w:right="9731"/>
        <w:jc w:val="left"/>
      </w:pPr>
      <w:r>
        <w:rPr/>
        <w:t>编制单位：北京旋极信息技术股份有限公司 本期金额</w:t>
      </w:r>
    </w:p>
    <w:p>
      <w:pPr>
        <w:pStyle w:val="BodyText"/>
        <w:spacing w:line="240" w:lineRule="auto" w:before="82"/>
        <w:ind w:left="0" w:right="199"/>
        <w:jc w:val="right"/>
      </w:pPr>
      <w:r>
        <w:rPr/>
        <w:t>单位：元</w:t>
      </w:r>
    </w:p>
    <w:p>
      <w:pPr>
        <w:spacing w:line="240" w:lineRule="auto" w:before="11"/>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246"/>
        <w:gridCol w:w="1571"/>
        <w:gridCol w:w="1276"/>
        <w:gridCol w:w="992"/>
        <w:gridCol w:w="851"/>
        <w:gridCol w:w="1276"/>
        <w:gridCol w:w="1276"/>
        <w:gridCol w:w="1418"/>
        <w:gridCol w:w="1134"/>
        <w:gridCol w:w="1274"/>
        <w:gridCol w:w="1560"/>
      </w:tblGrid>
      <w:tr>
        <w:trPr>
          <w:trHeight w:val="369" w:hRule="exact"/>
        </w:trPr>
        <w:tc>
          <w:tcPr>
            <w:tcW w:w="224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2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189" w:hRule="exact"/>
        </w:trPr>
        <w:tc>
          <w:tcPr>
            <w:tcW w:w="22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793"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4"/>
              <w:ind w:left="12"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2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5" w:hRule="exact"/>
        </w:trPr>
        <w:tc>
          <w:tcPr>
            <w:tcW w:w="2246" w:type="dxa"/>
            <w:vMerge/>
            <w:tcBorders>
              <w:left w:val="single" w:sz="4" w:space="0" w:color="000000"/>
              <w:bottom w:val="nil" w:sz="6" w:space="0" w:color="auto"/>
              <w:right w:val="single" w:sz="4" w:space="0" w:color="000000"/>
            </w:tcBorders>
            <w:shd w:val="clear" w:color="auto" w:fill="D3D3D3"/>
          </w:tcPr>
          <w:p>
            <w:pPr/>
          </w:p>
        </w:tc>
        <w:tc>
          <w:tcPr>
            <w:tcW w:w="9793" w:type="dxa"/>
            <w:gridSpan w:val="8"/>
            <w:vMerge/>
            <w:tcBorders>
              <w:left w:val="single" w:sz="4" w:space="0" w:color="000000"/>
              <w:bottom w:val="single" w:sz="4" w:space="0" w:color="000000"/>
              <w:right w:val="single" w:sz="4" w:space="0" w:color="000000"/>
            </w:tcBorders>
            <w:shd w:val="clear" w:color="auto" w:fill="D3D3D3"/>
          </w:tcPr>
          <w:p>
            <w:pPr/>
          </w:p>
        </w:tc>
        <w:tc>
          <w:tcPr>
            <w:tcW w:w="12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90"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14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184" w:hRule="exact"/>
        </w:trPr>
        <w:tc>
          <w:tcPr>
            <w:tcW w:w="2246" w:type="dxa"/>
            <w:vMerge w:val="restart"/>
            <w:tcBorders>
              <w:top w:val="nil" w:sz="6" w:space="0" w:color="auto"/>
              <w:left w:val="single" w:sz="4" w:space="0" w:color="000000"/>
              <w:right w:val="single" w:sz="4" w:space="0" w:color="000000"/>
            </w:tcBorders>
            <w:shd w:val="clear" w:color="auto" w:fill="D3D3D3"/>
          </w:tcPr>
          <w:p>
            <w:pPr/>
          </w:p>
        </w:tc>
        <w:tc>
          <w:tcPr>
            <w:tcW w:w="15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34" w:right="0"/>
              <w:jc w:val="left"/>
              <w:rPr>
                <w:rFonts w:ascii="宋体" w:hAnsi="宋体" w:cs="宋体" w:eastAsia="宋体" w:hint="default"/>
                <w:sz w:val="18"/>
                <w:szCs w:val="18"/>
              </w:rPr>
            </w:pPr>
            <w:r>
              <w:rPr>
                <w:rFonts w:ascii="宋体" w:hAnsi="宋体" w:cs="宋体" w:eastAsia="宋体" w:hint="default"/>
                <w:b/>
                <w:bCs/>
                <w:spacing w:val="-4"/>
                <w:sz w:val="18"/>
                <w:szCs w:val="18"/>
              </w:rPr>
              <w:t>实收资本（或股本</w:t>
            </w:r>
            <w:r>
              <w:rPr>
                <w:rFonts w:ascii="宋体" w:hAnsi="宋体" w:cs="宋体" w:eastAsia="宋体" w:hint="default"/>
                <w:spacing w:val="-4"/>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tabs>
                <w:tab w:pos="271" w:val="left" w:leader="none"/>
              </w:tabs>
              <w:spacing w:line="240" w:lineRule="auto" w:before="38"/>
              <w:ind w:left="-124" w:right="0"/>
              <w:jc w:val="left"/>
              <w:rPr>
                <w:rFonts w:ascii="宋体" w:hAnsi="宋体" w:cs="宋体" w:eastAsia="宋体" w:hint="default"/>
                <w:sz w:val="18"/>
                <w:szCs w:val="18"/>
              </w:rPr>
            </w:pPr>
            <w:r>
              <w:rPr>
                <w:rFonts w:ascii="宋体" w:hAnsi="宋体" w:cs="宋体" w:eastAsia="宋体" w:hint="default"/>
                <w:b/>
                <w:bCs/>
                <w:w w:val="95"/>
                <w:sz w:val="18"/>
                <w:szCs w:val="18"/>
              </w:rPr>
              <w:t>）</w:t>
              <w:tab/>
            </w:r>
            <w:r>
              <w:rPr>
                <w:rFonts w:ascii="宋体" w:hAnsi="宋体" w:cs="宋体" w:eastAsia="宋体" w:hint="default"/>
                <w:b/>
                <w:bCs/>
                <w:sz w:val="18"/>
                <w:szCs w:val="18"/>
              </w:rPr>
              <w:t>资本公积</w:t>
            </w:r>
            <w:r>
              <w:rPr>
                <w:rFonts w:ascii="宋体" w:hAnsi="宋体" w:cs="宋体" w:eastAsia="宋体" w:hint="default"/>
                <w:sz w:val="18"/>
                <w:szCs w:val="18"/>
              </w:rPr>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3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5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27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91"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left="25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74" w:type="dxa"/>
            <w:vMerge/>
            <w:tcBorders>
              <w:left w:val="single" w:sz="4" w:space="0" w:color="000000"/>
              <w:bottom w:val="nil" w:sz="6" w:space="0" w:color="auto"/>
              <w:right w:val="single" w:sz="4" w:space="0" w:color="000000"/>
            </w:tcBorders>
            <w:shd w:val="clear" w:color="auto" w:fill="D3D3D3"/>
          </w:tcPr>
          <w:p>
            <w:pPr/>
          </w:p>
        </w:tc>
        <w:tc>
          <w:tcPr>
            <w:tcW w:w="1560" w:type="dxa"/>
            <w:vMerge/>
            <w:tcBorders>
              <w:left w:val="single" w:sz="4" w:space="0" w:color="000000"/>
              <w:bottom w:val="nil" w:sz="6" w:space="0" w:color="auto"/>
              <w:right w:val="single" w:sz="4" w:space="0" w:color="000000"/>
            </w:tcBorders>
            <w:shd w:val="clear" w:color="auto" w:fill="D3D3D3"/>
          </w:tcPr>
          <w:p>
            <w:pPr/>
          </w:p>
        </w:tc>
      </w:tr>
      <w:tr>
        <w:trPr>
          <w:trHeight w:val="190" w:hRule="exact"/>
        </w:trPr>
        <w:tc>
          <w:tcPr>
            <w:tcW w:w="2246" w:type="dxa"/>
            <w:vMerge/>
            <w:tcBorders>
              <w:left w:val="single" w:sz="4" w:space="0" w:color="000000"/>
              <w:bottom w:val="single" w:sz="4" w:space="0" w:color="000000"/>
              <w:right w:val="single" w:sz="4" w:space="0" w:color="000000"/>
            </w:tcBorders>
            <w:shd w:val="clear" w:color="auto" w:fill="D3D3D3"/>
          </w:tcPr>
          <w:p>
            <w:pPr/>
          </w:p>
        </w:tc>
        <w:tc>
          <w:tcPr>
            <w:tcW w:w="1571"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22,138,240.03</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8,091,876.19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87,224,056.63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-64,406.43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1,624,046.38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161,013,812.80</w:t>
            </w:r>
          </w:p>
        </w:tc>
      </w:tr>
      <w:tr>
        <w:trPr>
          <w:trHeight w:val="370"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22,138,240.03</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8,091,876.19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87,224,056.63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-64,406.43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1,624,046.38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161,013,812.80</w:t>
            </w:r>
          </w:p>
        </w:tc>
      </w:tr>
      <w:tr>
        <w:trPr>
          <w:trHeight w:val="727"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62"/>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323,840,172.98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43,053,119.53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1,918.16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6,433,712.15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391,166,079.30</w:t>
            </w: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46,890,276.01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915,299.43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47,805,575.44</w:t>
            </w:r>
          </w:p>
        </w:tc>
      </w:tr>
      <w:tr>
        <w:trPr>
          <w:trHeight w:val="370"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1,918.16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1,918.16</w:t>
            </w: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46,890,276.01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1,918.16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915,299.43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47,807,493.60</w:t>
            </w:r>
          </w:p>
        </w:tc>
      </w:tr>
      <w:tr>
        <w:trPr>
          <w:trHeight w:val="727"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1" w:right="62"/>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323,840,172.98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5,518,412.72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343,358,585.70</w:t>
            </w:r>
          </w:p>
        </w:tc>
      </w:tr>
      <w:tr>
        <w:trPr>
          <w:trHeight w:val="370"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323,840,172.98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5,518,412.72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343,358,585.70</w:t>
            </w:r>
          </w:p>
        </w:tc>
      </w:tr>
      <w:tr>
        <w:trPr>
          <w:trHeight w:val="368"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997" w:footer="1249" w:top="1340" w:bottom="1440" w:left="480" w:right="1240"/>
          <w:pgNumType w:start="86"/>
        </w:sectPr>
      </w:pPr>
    </w:p>
    <w:p>
      <w:pPr>
        <w:spacing w:line="240" w:lineRule="auto" w:before="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269"/>
        <w:gridCol w:w="1559"/>
        <w:gridCol w:w="1276"/>
        <w:gridCol w:w="992"/>
        <w:gridCol w:w="851"/>
        <w:gridCol w:w="1276"/>
        <w:gridCol w:w="1276"/>
        <w:gridCol w:w="1418"/>
        <w:gridCol w:w="1134"/>
        <w:gridCol w:w="1274"/>
        <w:gridCol w:w="1560"/>
      </w:tblGrid>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w:t>
            </w:r>
            <w:r>
              <w:rPr>
                <w:rFonts w:ascii="宋体" w:hAnsi="宋体" w:cs="宋体" w:eastAsia="宋体" w:hint="default"/>
                <w:sz w:val="18"/>
                <w:szCs w:val="18"/>
              </w:rPr>
              <w:t> 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1" w:right="0"/>
              <w:jc w:val="left"/>
              <w:rPr>
                <w:rFonts w:ascii="Times New Roman" w:hAnsi="Times New Roman" w:cs="Times New Roman" w:eastAsia="Times New Roman" w:hint="default"/>
                <w:sz w:val="18"/>
                <w:szCs w:val="18"/>
              </w:rPr>
            </w:pPr>
            <w:r>
              <w:rPr>
                <w:rFonts w:ascii="Times New Roman"/>
                <w:sz w:val="18"/>
              </w:rPr>
              <w:t>56,000,000.00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8" w:right="0"/>
              <w:jc w:val="left"/>
              <w:rPr>
                <w:rFonts w:ascii="Times New Roman" w:hAnsi="Times New Roman" w:cs="Times New Roman" w:eastAsia="Times New Roman" w:hint="default"/>
                <w:sz w:val="18"/>
                <w:szCs w:val="18"/>
              </w:rPr>
            </w:pPr>
            <w:r>
              <w:rPr>
                <w:rFonts w:ascii="Times New Roman"/>
                <w:sz w:val="18"/>
              </w:rPr>
              <w:t>345,978,413.01</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11,929,032.67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130,277,176.16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0" w:right="0"/>
              <w:jc w:val="left"/>
              <w:rPr>
                <w:rFonts w:ascii="Times New Roman" w:hAnsi="Times New Roman" w:cs="Times New Roman" w:eastAsia="Times New Roman" w:hint="default"/>
                <w:sz w:val="18"/>
                <w:szCs w:val="18"/>
              </w:rPr>
            </w:pPr>
            <w:r>
              <w:rPr>
                <w:rFonts w:ascii="Times New Roman"/>
                <w:sz w:val="18"/>
              </w:rPr>
              <w:t>-62,488.27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Times New Roman" w:hAnsi="Times New Roman" w:cs="Times New Roman" w:eastAsia="Times New Roman" w:hint="default"/>
                <w:sz w:val="18"/>
                <w:szCs w:val="18"/>
              </w:rPr>
            </w:pPr>
            <w:r>
              <w:rPr>
                <w:rFonts w:ascii="Times New Roman"/>
                <w:sz w:val="18"/>
              </w:rPr>
              <w:t>8,057,758.53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1" w:right="0"/>
              <w:jc w:val="left"/>
              <w:rPr>
                <w:rFonts w:ascii="Times New Roman" w:hAnsi="Times New Roman" w:cs="Times New Roman" w:eastAsia="Times New Roman" w:hint="default"/>
                <w:sz w:val="18"/>
                <w:szCs w:val="18"/>
              </w:rPr>
            </w:pPr>
            <w:r>
              <w:rPr>
                <w:rFonts w:ascii="Times New Roman"/>
                <w:sz w:val="18"/>
              </w:rPr>
              <w:t>552,179,892.10</w:t>
            </w:r>
          </w:p>
        </w:tc>
      </w:tr>
    </w:tbl>
    <w:p>
      <w:pPr>
        <w:spacing w:line="240" w:lineRule="auto" w:before="1"/>
        <w:rPr>
          <w:rFonts w:ascii="宋体" w:hAnsi="宋体" w:cs="宋体" w:eastAsia="宋体" w:hint="default"/>
          <w:sz w:val="14"/>
          <w:szCs w:val="14"/>
        </w:rPr>
      </w:pPr>
    </w:p>
    <w:p>
      <w:pPr>
        <w:pStyle w:val="BodyText"/>
        <w:spacing w:line="240" w:lineRule="auto" w:before="35"/>
        <w:ind w:left="1379" w:right="9731"/>
        <w:jc w:val="left"/>
      </w:pPr>
      <w:r>
        <w:rPr/>
        <w:t>上年金额</w:t>
      </w:r>
    </w:p>
    <w:p>
      <w:pPr>
        <w:spacing w:line="240" w:lineRule="auto" w:before="13"/>
        <w:rPr>
          <w:rFonts w:ascii="宋体" w:hAnsi="宋体" w:cs="宋体" w:eastAsia="宋体" w:hint="default"/>
          <w:sz w:val="23"/>
          <w:szCs w:val="23"/>
        </w:rPr>
      </w:pPr>
    </w:p>
    <w:p>
      <w:pPr>
        <w:pStyle w:val="BodyText"/>
        <w:spacing w:line="240" w:lineRule="auto" w:before="35"/>
        <w:ind w:left="0" w:right="199"/>
        <w:jc w:val="right"/>
      </w:pPr>
      <w:r>
        <w:rPr/>
        <w:t>单位：元</w:t>
      </w:r>
    </w:p>
    <w:p>
      <w:pPr>
        <w:spacing w:after="0" w:line="240" w:lineRule="auto"/>
        <w:jc w:val="right"/>
        <w:sectPr>
          <w:pgSz w:w="16840" w:h="11910" w:orient="landscape"/>
          <w:pgMar w:header="997" w:footer="1249" w:top="1340" w:bottom="1440" w:left="480" w:right="1240"/>
        </w:sectPr>
      </w:pPr>
    </w:p>
    <w:p>
      <w:pPr>
        <w:spacing w:line="240" w:lineRule="auto" w:before="5"/>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45"/>
        <w:gridCol w:w="1712"/>
        <w:gridCol w:w="1276"/>
        <w:gridCol w:w="1134"/>
        <w:gridCol w:w="852"/>
        <w:gridCol w:w="1416"/>
        <w:gridCol w:w="1277"/>
        <w:gridCol w:w="1276"/>
        <w:gridCol w:w="1134"/>
        <w:gridCol w:w="1276"/>
        <w:gridCol w:w="1417"/>
      </w:tblGrid>
      <w:tr>
        <w:trPr>
          <w:trHeight w:val="322" w:hRule="exact"/>
        </w:trPr>
        <w:tc>
          <w:tcPr>
            <w:tcW w:w="22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66" w:hRule="exact"/>
        </w:trPr>
        <w:tc>
          <w:tcPr>
            <w:tcW w:w="22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076"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2245" w:type="dxa"/>
            <w:vMerge/>
            <w:tcBorders>
              <w:left w:val="single" w:sz="4" w:space="0" w:color="000000"/>
              <w:bottom w:val="nil" w:sz="6" w:space="0" w:color="auto"/>
              <w:right w:val="single" w:sz="4" w:space="0" w:color="000000"/>
            </w:tcBorders>
            <w:shd w:val="clear" w:color="auto" w:fill="D3D3D3"/>
          </w:tcPr>
          <w:p>
            <w:pPr/>
          </w:p>
        </w:tc>
        <w:tc>
          <w:tcPr>
            <w:tcW w:w="10076" w:type="dxa"/>
            <w:gridSpan w:val="8"/>
            <w:vMerge/>
            <w:tcBorders>
              <w:left w:val="single" w:sz="4" w:space="0" w:color="000000"/>
              <w:bottom w:val="single" w:sz="4" w:space="0" w:color="000000"/>
              <w:right w:val="single" w:sz="4" w:space="0" w:color="000000"/>
            </w:tcBorders>
            <w:shd w:val="clear" w:color="auto" w:fill="D3D3D3"/>
          </w:tcPr>
          <w:p>
            <w:pPr/>
          </w:p>
        </w:tc>
        <w:tc>
          <w:tcPr>
            <w:tcW w:w="12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89"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156" w:hRule="exact"/>
        </w:trPr>
        <w:tc>
          <w:tcPr>
            <w:tcW w:w="2245" w:type="dxa"/>
            <w:vMerge w:val="restart"/>
            <w:tcBorders>
              <w:top w:val="nil" w:sz="6" w:space="0" w:color="auto"/>
              <w:left w:val="single" w:sz="4" w:space="0" w:color="000000"/>
              <w:right w:val="single" w:sz="4" w:space="0" w:color="000000"/>
            </w:tcBorders>
            <w:shd w:val="clear" w:color="auto" w:fill="D3D3D3"/>
          </w:tcPr>
          <w:p>
            <w:pPr/>
          </w:p>
        </w:tc>
        <w:tc>
          <w:tcPr>
            <w:tcW w:w="17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b/>
                <w:bCs/>
                <w:sz w:val="18"/>
                <w:szCs w:val="18"/>
              </w:rPr>
              <w:t>实收资本（或股本）</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76" w:type="dxa"/>
            <w:vMerge/>
            <w:tcBorders>
              <w:left w:val="single" w:sz="4" w:space="0" w:color="000000"/>
              <w:bottom w:val="nil" w:sz="6" w:space="0" w:color="auto"/>
              <w:right w:val="single" w:sz="4" w:space="0" w:color="000000"/>
            </w:tcBorders>
            <w:shd w:val="clear" w:color="auto" w:fill="D3D3D3"/>
          </w:tcPr>
          <w:p>
            <w:pPr/>
          </w:p>
        </w:tc>
        <w:tc>
          <w:tcPr>
            <w:tcW w:w="1417" w:type="dxa"/>
            <w:vMerge/>
            <w:tcBorders>
              <w:left w:val="single" w:sz="4" w:space="0" w:color="000000"/>
              <w:bottom w:val="nil" w:sz="6" w:space="0" w:color="auto"/>
              <w:right w:val="single" w:sz="4" w:space="0" w:color="000000"/>
            </w:tcBorders>
            <w:shd w:val="clear" w:color="auto" w:fill="D3D3D3"/>
          </w:tcPr>
          <w:p>
            <w:pPr/>
          </w:p>
        </w:tc>
      </w:tr>
      <w:tr>
        <w:trPr>
          <w:trHeight w:val="166" w:hRule="exact"/>
        </w:trPr>
        <w:tc>
          <w:tcPr>
            <w:tcW w:w="2245" w:type="dxa"/>
            <w:vMerge/>
            <w:tcBorders>
              <w:left w:val="single" w:sz="4" w:space="0" w:color="000000"/>
              <w:bottom w:val="single" w:sz="4" w:space="0" w:color="000000"/>
              <w:right w:val="single" w:sz="4" w:space="0" w:color="000000"/>
            </w:tcBorders>
            <w:shd w:val="clear" w:color="auto" w:fill="D3D3D3"/>
          </w:tcPr>
          <w:p>
            <w:pPr/>
          </w:p>
        </w:tc>
        <w:tc>
          <w:tcPr>
            <w:tcW w:w="171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22,314,682.59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4,322,717.45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48,305,541.18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-14,300.01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4,612,242.39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121,540,883.60</w:t>
            </w:r>
          </w:p>
        </w:tc>
      </w:tr>
      <w:tr>
        <w:trPr>
          <w:trHeight w:val="63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61" w:firstLine="360"/>
              <w:jc w:val="left"/>
              <w:rPr>
                <w:rFonts w:ascii="宋体" w:hAnsi="宋体" w:cs="宋体" w:eastAsia="宋体" w:hint="default"/>
                <w:sz w:val="18"/>
                <w:szCs w:val="18"/>
              </w:rPr>
            </w:pPr>
            <w:r>
              <w:rPr>
                <w:rFonts w:ascii="宋体" w:hAnsi="宋体" w:cs="宋体" w:eastAsia="宋体" w:hint="default"/>
                <w:sz w:val="18"/>
                <w:szCs w:val="18"/>
              </w:rPr>
              <w:t>加：同一控制下企业合 并产生的追溯调整</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22,314,682.59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4,322,717.45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48,305,541.18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-14,300.01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4,612,242.39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121,540,883.60</w:t>
            </w: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 w:right="61"/>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-176,442.56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38,918,515.45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-50,106.42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-2,988,196.01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39,472,929.20</w:t>
            </w:r>
          </w:p>
        </w:tc>
      </w:tr>
      <w:tr>
        <w:trPr>
          <w:trHeight w:val="32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42,687,674.19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536,683.08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43,224,357.27</w:t>
            </w: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42,687,674.19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536,683.08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43,224,357.27</w:t>
            </w:r>
          </w:p>
        </w:tc>
      </w:tr>
      <w:tr>
        <w:trPr>
          <w:trHeight w:val="63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61"/>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-176,442.56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-3,524,879.09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-3,701,321.65</w:t>
            </w: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r>
              <w:rPr>
                <w:rFonts w:ascii="宋体" w:hAnsi="宋体" w:cs="宋体" w:eastAsia="宋体" w:hint="default"/>
                <w:sz w:val="18"/>
                <w:szCs w:val="18"/>
              </w:rPr>
              <w:t> 的金额</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-176,442.56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-3,524,879.09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-3,701,321.65</w:t>
            </w: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1"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97" w:footer="1249" w:top="1340" w:bottom="1440" w:left="760" w:right="820"/>
        </w:sectPr>
      </w:pPr>
    </w:p>
    <w:p>
      <w:pPr>
        <w:spacing w:line="240" w:lineRule="auto" w:before="5"/>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268"/>
        <w:gridCol w:w="1701"/>
        <w:gridCol w:w="1276"/>
        <w:gridCol w:w="1134"/>
        <w:gridCol w:w="852"/>
        <w:gridCol w:w="1416"/>
        <w:gridCol w:w="1277"/>
        <w:gridCol w:w="1276"/>
        <w:gridCol w:w="1134"/>
        <w:gridCol w:w="1276"/>
        <w:gridCol w:w="1417"/>
      </w:tblGrid>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-50,106.42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-50,106.42</w:t>
            </w:r>
          </w:p>
        </w:tc>
      </w:tr>
      <w:tr>
        <w:trPr>
          <w:trHeight w:val="635"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-50,106.42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-50,106.42</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4" w:right="0"/>
              <w:jc w:val="left"/>
              <w:rPr>
                <w:rFonts w:ascii="Times New Roman" w:hAnsi="Times New Roman" w:cs="Times New Roman" w:eastAsia="Times New Roman" w:hint="default"/>
                <w:sz w:val="18"/>
                <w:szCs w:val="18"/>
              </w:rPr>
            </w:pPr>
            <w:r>
              <w:rPr>
                <w:rFonts w:ascii="Times New Roman"/>
                <w:sz w:val="18"/>
              </w:rPr>
              <w:t>42,000,000.00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22,138,240.03</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9" w:right="0"/>
              <w:jc w:val="left"/>
              <w:rPr>
                <w:rFonts w:ascii="Times New Roman" w:hAnsi="Times New Roman" w:cs="Times New Roman" w:eastAsia="Times New Roman" w:hint="default"/>
                <w:sz w:val="18"/>
                <w:szCs w:val="18"/>
              </w:rPr>
            </w:pPr>
            <w:r>
              <w:rPr>
                <w:rFonts w:ascii="Times New Roman"/>
                <w:sz w:val="18"/>
              </w:rPr>
              <w:t>8,091,876.19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87,224,056.63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-64,406.43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1,624,046.38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161,013,812.80</w:t>
            </w:r>
          </w:p>
        </w:tc>
      </w:tr>
    </w:tbl>
    <w:p>
      <w:pPr>
        <w:spacing w:line="240" w:lineRule="auto" w:before="11"/>
        <w:rPr>
          <w:rFonts w:ascii="Times New Roman" w:hAnsi="Times New Roman" w:cs="Times New Roman" w:eastAsia="Times New Roman" w:hint="default"/>
          <w:sz w:val="15"/>
          <w:szCs w:val="15"/>
        </w:rPr>
      </w:pPr>
    </w:p>
    <w:p>
      <w:pPr>
        <w:pStyle w:val="BodyText"/>
        <w:tabs>
          <w:tab w:pos="5089" w:val="left" w:leader="none"/>
          <w:tab w:pos="9917" w:val="left" w:leader="none"/>
        </w:tabs>
        <w:spacing w:line="240" w:lineRule="auto" w:before="35"/>
        <w:ind w:left="1099" w:right="0"/>
        <w:jc w:val="left"/>
      </w:pPr>
      <w:r>
        <w:rPr/>
        <w:t>法定代表人：陈江涛</w:t>
        <w:tab/>
      </w:r>
      <w:r>
        <w:rPr>
          <w:spacing w:val="-1"/>
        </w:rPr>
        <w:t>主管会计工作负责人：黄海涛</w:t>
        <w:tab/>
      </w:r>
      <w:r>
        <w:rPr/>
        <w:t>会计机构负责人：陈湘宁</w:t>
      </w:r>
    </w:p>
    <w:p>
      <w:pPr>
        <w:spacing w:line="240" w:lineRule="auto" w:before="12"/>
        <w:rPr>
          <w:rFonts w:ascii="宋体" w:hAnsi="宋体" w:cs="宋体" w:eastAsia="宋体" w:hint="default"/>
          <w:sz w:val="24"/>
          <w:szCs w:val="24"/>
        </w:rPr>
      </w:pPr>
    </w:p>
    <w:p>
      <w:pPr>
        <w:pStyle w:val="Heading3"/>
        <w:spacing w:line="240" w:lineRule="auto"/>
        <w:ind w:left="679" w:right="0"/>
        <w:jc w:val="left"/>
      </w:pPr>
      <w:r>
        <w:rPr>
          <w:rFonts w:ascii="Cambria" w:hAnsi="Cambria" w:cs="Cambria" w:eastAsia="Cambria" w:hint="default"/>
        </w:rPr>
        <w:t>8</w:t>
      </w:r>
      <w:r>
        <w:rPr/>
        <w:t>、母公司所有者权益变动表</w:t>
      </w:r>
    </w:p>
    <w:p>
      <w:pPr>
        <w:spacing w:line="240" w:lineRule="auto" w:before="12"/>
        <w:rPr>
          <w:rFonts w:ascii="黑体" w:hAnsi="黑体" w:cs="黑体" w:eastAsia="黑体" w:hint="default"/>
          <w:sz w:val="23"/>
          <w:szCs w:val="23"/>
        </w:rPr>
      </w:pPr>
    </w:p>
    <w:p>
      <w:pPr>
        <w:pStyle w:val="BodyText"/>
        <w:spacing w:line="544" w:lineRule="auto"/>
        <w:ind w:left="1099" w:right="10291"/>
        <w:jc w:val="left"/>
      </w:pPr>
      <w:r>
        <w:rPr/>
        <w:t>编制单位：北京旋极信息技术股份有限公司 本期金额</w:t>
      </w:r>
    </w:p>
    <w:p>
      <w:pPr>
        <w:pStyle w:val="BodyText"/>
        <w:spacing w:line="240" w:lineRule="auto" w:before="82"/>
        <w:ind w:left="0" w:right="759"/>
        <w:jc w:val="right"/>
      </w:pPr>
      <w:r>
        <w:rPr/>
        <w:t>单位：元</w:t>
      </w:r>
    </w:p>
    <w:p>
      <w:pPr>
        <w:spacing w:line="240" w:lineRule="auto" w:before="11"/>
        <w:rPr>
          <w:rFonts w:ascii="宋体" w:hAnsi="宋体" w:cs="宋体" w:eastAsia="宋体" w:hint="default"/>
          <w:sz w:val="21"/>
          <w:szCs w:val="21"/>
        </w:rPr>
      </w:pPr>
    </w:p>
    <w:tbl>
      <w:tblPr>
        <w:tblW w:w="0" w:type="auto"/>
        <w:jc w:val="left"/>
        <w:tblInd w:w="260" w:type="dxa"/>
        <w:tblLayout w:type="fixed"/>
        <w:tblCellMar>
          <w:top w:w="0" w:type="dxa"/>
          <w:left w:w="0" w:type="dxa"/>
          <w:bottom w:w="0" w:type="dxa"/>
          <w:right w:w="0" w:type="dxa"/>
        </w:tblCellMar>
        <w:tblLook w:val="01E0"/>
      </w:tblPr>
      <w:tblGrid>
        <w:gridCol w:w="2890"/>
        <w:gridCol w:w="1777"/>
        <w:gridCol w:w="1985"/>
        <w:gridCol w:w="1417"/>
        <w:gridCol w:w="1417"/>
        <w:gridCol w:w="1276"/>
        <w:gridCol w:w="1277"/>
        <w:gridCol w:w="1417"/>
        <w:gridCol w:w="1560"/>
      </w:tblGrid>
      <w:tr>
        <w:trPr>
          <w:trHeight w:val="166" w:hRule="exact"/>
        </w:trPr>
        <w:tc>
          <w:tcPr>
            <w:tcW w:w="28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26"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156" w:hRule="exact"/>
        </w:trPr>
        <w:tc>
          <w:tcPr>
            <w:tcW w:w="28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126" w:type="dxa"/>
            <w:gridSpan w:val="8"/>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2890" w:type="dxa"/>
            <w:vMerge/>
            <w:tcBorders>
              <w:left w:val="single" w:sz="4" w:space="0" w:color="000000"/>
              <w:bottom w:val="nil" w:sz="6" w:space="0" w:color="auto"/>
              <w:right w:val="single" w:sz="4" w:space="0" w:color="000000"/>
            </w:tcBorders>
            <w:shd w:val="clear" w:color="auto" w:fill="D3D3D3"/>
          </w:tcPr>
          <w:p>
            <w:pPr/>
          </w:p>
        </w:tc>
        <w:tc>
          <w:tcPr>
            <w:tcW w:w="17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b/>
                <w:bCs/>
                <w:sz w:val="18"/>
                <w:szCs w:val="18"/>
              </w:rPr>
              <w:t>实收资本（或股本）</w:t>
            </w:r>
            <w:r>
              <w:rPr>
                <w:rFonts w:ascii="宋体" w:hAnsi="宋体" w:cs="宋体" w:eastAsia="宋体" w:hint="default"/>
                <w:sz w:val="18"/>
                <w:szCs w:val="18"/>
              </w:rPr>
            </w: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166" w:hRule="exact"/>
        </w:trPr>
        <w:tc>
          <w:tcPr>
            <w:tcW w:w="28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77" w:type="dxa"/>
            <w:vMerge/>
            <w:tcBorders>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698" w:right="0"/>
              <w:jc w:val="left"/>
              <w:rPr>
                <w:rFonts w:ascii="Times New Roman" w:hAnsi="Times New Roman" w:cs="Times New Roman" w:eastAsia="Times New Roman" w:hint="default"/>
                <w:sz w:val="18"/>
                <w:szCs w:val="18"/>
              </w:rPr>
            </w:pPr>
            <w:r>
              <w:rPr>
                <w:rFonts w:ascii="Times New Roman"/>
                <w:sz w:val="18"/>
              </w:rPr>
              <w:t>42,000,000.00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6" w:right="0"/>
              <w:jc w:val="left"/>
              <w:rPr>
                <w:rFonts w:ascii="Times New Roman" w:hAnsi="Times New Roman" w:cs="Times New Roman" w:eastAsia="Times New Roman" w:hint="default"/>
                <w:sz w:val="18"/>
                <w:szCs w:val="18"/>
              </w:rPr>
            </w:pPr>
            <w:r>
              <w:rPr>
                <w:rFonts w:ascii="Times New Roman"/>
                <w:sz w:val="18"/>
              </w:rPr>
              <w:t>21,964,905.01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8,091,876.19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68,918,268.77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Times New Roman" w:hAnsi="Times New Roman" w:cs="Times New Roman" w:eastAsia="Times New Roman" w:hint="default"/>
                <w:sz w:val="18"/>
                <w:szCs w:val="18"/>
              </w:rPr>
            </w:pPr>
            <w:r>
              <w:rPr>
                <w:rFonts w:ascii="Times New Roman"/>
                <w:sz w:val="18"/>
              </w:rPr>
              <w:t>140,975,049.97</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06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7"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06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777"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97" w:footer="1249" w:top="1340" w:bottom="1440" w:left="760" w:right="680"/>
        </w:sect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902"/>
        <w:gridCol w:w="1777"/>
        <w:gridCol w:w="1985"/>
        <w:gridCol w:w="1417"/>
        <w:gridCol w:w="1417"/>
        <w:gridCol w:w="1276"/>
        <w:gridCol w:w="1277"/>
        <w:gridCol w:w="1417"/>
        <w:gridCol w:w="1560"/>
      </w:tblGrid>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21,964,905.01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8,091,876.19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68,918,268.77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140,975,049.97</w:t>
            </w:r>
          </w:p>
        </w:tc>
      </w:tr>
      <w:tr>
        <w:trPr>
          <w:trHeight w:val="634"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323,840,172.98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3,837,156.48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34,534,408.36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376,211,737.82</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38,371,564.84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38,371,564.84</w:t>
            </w: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38,371,564.84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38,371,564.84</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323,840,172.98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337,840,172.98</w:t>
            </w: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323,840,172.98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337,840,172.98</w:t>
            </w: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3,837,156.48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3,837,156.48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-3,837,156.48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345,805,077.99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11,929,032.67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103,452,677.13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517,186,787.79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97" w:footer="1249" w:top="1340" w:bottom="1440" w:left="900" w:right="680"/>
        </w:sectPr>
      </w:pPr>
    </w:p>
    <w:p>
      <w:pPr>
        <w:spacing w:line="240" w:lineRule="auto" w:before="10"/>
        <w:rPr>
          <w:rFonts w:ascii="Times New Roman" w:hAnsi="Times New Roman" w:cs="Times New Roman" w:eastAsia="Times New Roman" w:hint="default"/>
          <w:sz w:val="12"/>
          <w:szCs w:val="12"/>
        </w:rPr>
      </w:pPr>
    </w:p>
    <w:p>
      <w:pPr>
        <w:pStyle w:val="BodyText"/>
        <w:spacing w:line="240" w:lineRule="auto" w:before="35"/>
        <w:ind w:left="939" w:right="0"/>
        <w:jc w:val="left"/>
      </w:pPr>
      <w:r>
        <w:rPr/>
        <w:t>上年金额</w:t>
      </w:r>
    </w:p>
    <w:p>
      <w:pPr>
        <w:spacing w:line="240" w:lineRule="auto" w:before="13"/>
        <w:rPr>
          <w:rFonts w:ascii="宋体" w:hAnsi="宋体" w:cs="宋体" w:eastAsia="宋体" w:hint="default"/>
          <w:sz w:val="23"/>
          <w:szCs w:val="23"/>
        </w:rPr>
      </w:pPr>
    </w:p>
    <w:p>
      <w:pPr>
        <w:pStyle w:val="BodyText"/>
        <w:spacing w:line="240" w:lineRule="auto" w:before="35"/>
        <w:ind w:left="0" w:right="759"/>
        <w:jc w:val="right"/>
      </w:pPr>
      <w:r>
        <w:rPr/>
        <w:t>单位：元</w:t>
      </w:r>
    </w:p>
    <w:p>
      <w:pPr>
        <w:spacing w:line="240" w:lineRule="auto" w:before="11"/>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2898"/>
        <w:gridCol w:w="1769"/>
        <w:gridCol w:w="1985"/>
        <w:gridCol w:w="1417"/>
        <w:gridCol w:w="1417"/>
        <w:gridCol w:w="1276"/>
        <w:gridCol w:w="1277"/>
        <w:gridCol w:w="1417"/>
        <w:gridCol w:w="1560"/>
      </w:tblGrid>
      <w:tr>
        <w:trPr>
          <w:trHeight w:val="167" w:hRule="exact"/>
        </w:trPr>
        <w:tc>
          <w:tcPr>
            <w:tcW w:w="28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18"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55" w:hRule="exact"/>
        </w:trPr>
        <w:tc>
          <w:tcPr>
            <w:tcW w:w="28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118" w:type="dxa"/>
            <w:gridSpan w:val="8"/>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898" w:type="dxa"/>
            <w:vMerge/>
            <w:tcBorders>
              <w:left w:val="single" w:sz="4" w:space="0" w:color="000000"/>
              <w:bottom w:val="nil" w:sz="6" w:space="0" w:color="auto"/>
              <w:right w:val="single" w:sz="4" w:space="0" w:color="000000"/>
            </w:tcBorders>
            <w:shd w:val="clear" w:color="auto" w:fill="D3D3D3"/>
          </w:tcPr>
          <w:p>
            <w:pP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71" w:right="0"/>
              <w:jc w:val="left"/>
              <w:rPr>
                <w:rFonts w:ascii="宋体" w:hAnsi="宋体" w:cs="宋体" w:eastAsia="宋体" w:hint="default"/>
                <w:sz w:val="18"/>
                <w:szCs w:val="18"/>
              </w:rPr>
            </w:pPr>
            <w:r>
              <w:rPr>
                <w:rFonts w:ascii="宋体" w:hAnsi="宋体" w:cs="宋体" w:eastAsia="宋体" w:hint="default"/>
                <w:b/>
                <w:bCs/>
                <w:sz w:val="18"/>
                <w:szCs w:val="18"/>
              </w:rPr>
              <w:t>实收资本（或股本）</w:t>
            </w:r>
            <w:r>
              <w:rPr>
                <w:rFonts w:ascii="宋体" w:hAnsi="宋体" w:cs="宋体" w:eastAsia="宋体" w:hint="default"/>
                <w:sz w:val="18"/>
                <w:szCs w:val="18"/>
              </w:rPr>
            </w: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62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14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166" w:hRule="exact"/>
        </w:trPr>
        <w:tc>
          <w:tcPr>
            <w:tcW w:w="28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21,964,905.01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4,322,717.45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34,995,840.09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103,283,462.55</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21,964,905.01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4,322,717.45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34,995,840.09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103,283,462.55</w:t>
            </w:r>
          </w:p>
        </w:tc>
      </w:tr>
      <w:tr>
        <w:trPr>
          <w:trHeight w:val="635"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11" w:right="1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33,922,428.68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37,691,587.42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37,691,587.42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37,691,587.42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37,691,587.42</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-3,769,158.74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3,769,158.74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-3,769,158.74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69" w:type="dxa"/>
            <w:tcBorders>
              <w:top w:val="single" w:sz="4" w:space="0" w:color="000000"/>
              <w:left w:val="single" w:sz="13" w:space="0" w:color="D3D3D3"/>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97" w:footer="1249" w:top="1340" w:bottom="1440" w:left="920" w:right="680"/>
        </w:sectPr>
      </w:pPr>
    </w:p>
    <w:p>
      <w:pPr>
        <w:spacing w:line="240" w:lineRule="auto" w:before="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921"/>
        <w:gridCol w:w="1758"/>
        <w:gridCol w:w="1985"/>
        <w:gridCol w:w="1417"/>
        <w:gridCol w:w="1417"/>
        <w:gridCol w:w="1276"/>
        <w:gridCol w:w="1277"/>
        <w:gridCol w:w="1417"/>
        <w:gridCol w:w="1560"/>
      </w:tblGrid>
      <w:tr>
        <w:trPr>
          <w:trHeight w:val="322"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9" w:right="0"/>
              <w:jc w:val="left"/>
              <w:rPr>
                <w:rFonts w:ascii="Times New Roman" w:hAnsi="Times New Roman" w:cs="Times New Roman" w:eastAsia="Times New Roman" w:hint="default"/>
                <w:sz w:val="18"/>
                <w:szCs w:val="18"/>
              </w:rPr>
            </w:pPr>
            <w:r>
              <w:rPr>
                <w:rFonts w:ascii="Times New Roman"/>
                <w:sz w:val="18"/>
              </w:rPr>
              <w:t>42,000,000.00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6" w:right="0"/>
              <w:jc w:val="left"/>
              <w:rPr>
                <w:rFonts w:ascii="Times New Roman" w:hAnsi="Times New Roman" w:cs="Times New Roman" w:eastAsia="Times New Roman" w:hint="default"/>
                <w:sz w:val="18"/>
                <w:szCs w:val="18"/>
              </w:rPr>
            </w:pPr>
            <w:r>
              <w:rPr>
                <w:rFonts w:ascii="Times New Roman"/>
                <w:sz w:val="18"/>
              </w:rPr>
              <w:t>21,964,905.01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8,091,876.19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68,918,268.77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Times New Roman" w:hAnsi="Times New Roman" w:cs="Times New Roman" w:eastAsia="Times New Roman" w:hint="default"/>
                <w:sz w:val="18"/>
                <w:szCs w:val="18"/>
              </w:rPr>
            </w:pPr>
            <w:r>
              <w:rPr>
                <w:rFonts w:ascii="Times New Roman"/>
                <w:sz w:val="18"/>
              </w:rPr>
              <w:t>140,975,049.97</w:t>
            </w:r>
          </w:p>
        </w:tc>
      </w:tr>
    </w:tbl>
    <w:p>
      <w:pPr>
        <w:spacing w:line="240" w:lineRule="auto" w:before="1"/>
        <w:rPr>
          <w:rFonts w:ascii="宋体" w:hAnsi="宋体" w:cs="宋体" w:eastAsia="宋体" w:hint="default"/>
          <w:sz w:val="14"/>
          <w:szCs w:val="14"/>
        </w:rPr>
      </w:pPr>
    </w:p>
    <w:p>
      <w:pPr>
        <w:pStyle w:val="BodyText"/>
        <w:tabs>
          <w:tab w:pos="4949" w:val="left" w:leader="none"/>
          <w:tab w:pos="9777" w:val="left" w:leader="none"/>
        </w:tabs>
        <w:spacing w:line="240" w:lineRule="auto" w:before="35"/>
        <w:ind w:left="959" w:right="0"/>
        <w:jc w:val="left"/>
      </w:pPr>
      <w:r>
        <w:rPr/>
        <w:t>法定代表人：陈江涛</w:t>
        <w:tab/>
      </w:r>
      <w:r>
        <w:rPr>
          <w:spacing w:val="-1"/>
        </w:rPr>
        <w:t>主管会计工作负责人：黄海涛</w:t>
        <w:tab/>
      </w:r>
      <w:r>
        <w:rPr/>
        <w:t>会计机构负责人：陈湘宁</w:t>
      </w:r>
    </w:p>
    <w:p>
      <w:pPr>
        <w:spacing w:after="0" w:line="240" w:lineRule="auto"/>
        <w:jc w:val="left"/>
        <w:sectPr>
          <w:pgSz w:w="16840" w:h="11910" w:orient="landscape"/>
          <w:pgMar w:header="997" w:footer="1249" w:top="1340" w:bottom="1440" w:left="900" w:right="680"/>
        </w:sectPr>
      </w:pPr>
    </w:p>
    <w:p>
      <w:pPr>
        <w:spacing w:line="240" w:lineRule="auto" w:before="8"/>
        <w:rPr>
          <w:rFonts w:ascii="宋体" w:hAnsi="宋体" w:cs="宋体" w:eastAsia="宋体" w:hint="default"/>
          <w:sz w:val="14"/>
          <w:szCs w:val="14"/>
        </w:rPr>
      </w:pPr>
    </w:p>
    <w:p>
      <w:pPr>
        <w:pStyle w:val="Heading2"/>
        <w:spacing w:line="240" w:lineRule="auto" w:before="13"/>
        <w:ind w:right="101"/>
        <w:jc w:val="left"/>
      </w:pPr>
      <w:r>
        <w:rPr/>
        <w:t>三、公司基本情况</w:t>
      </w:r>
    </w:p>
    <w:p>
      <w:pPr>
        <w:spacing w:line="240" w:lineRule="auto" w:before="5"/>
        <w:rPr>
          <w:rFonts w:ascii="黑体" w:hAnsi="黑体" w:cs="黑体" w:eastAsia="黑体" w:hint="default"/>
          <w:sz w:val="29"/>
          <w:szCs w:val="29"/>
        </w:rPr>
      </w:pPr>
    </w:p>
    <w:p>
      <w:pPr>
        <w:pStyle w:val="Heading4"/>
        <w:spacing w:line="369" w:lineRule="auto"/>
        <w:ind w:left="154" w:right="209"/>
        <w:jc w:val="both"/>
      </w:pPr>
      <w:r>
        <w:rPr/>
        <w:t>北京旋极信息技术股份有限公司（以下简称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）前身为成立于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日的</w:t>
      </w:r>
      <w:r>
        <w:rPr>
          <w:spacing w:val="1"/>
          <w:w w:val="99"/>
        </w:rPr>
        <w:t> </w:t>
      </w:r>
      <w:r>
        <w:rPr/>
        <w:t>北京旋极信息技术有限公司。</w:t>
      </w:r>
    </w:p>
    <w:p>
      <w:pPr>
        <w:spacing w:line="240" w:lineRule="auto" w:before="8"/>
        <w:rPr>
          <w:rFonts w:ascii="宋体" w:hAnsi="宋体" w:cs="宋体" w:eastAsia="宋体" w:hint="default"/>
          <w:sz w:val="16"/>
          <w:szCs w:val="16"/>
        </w:rPr>
      </w:pPr>
    </w:p>
    <w:p>
      <w:pPr>
        <w:pStyle w:val="Heading4"/>
        <w:spacing w:line="369" w:lineRule="auto"/>
        <w:ind w:right="203"/>
        <w:jc w:val="both"/>
      </w:pPr>
      <w:r>
        <w:rPr>
          <w:w w:val="95"/>
        </w:rPr>
        <w:t>北京旋极信息技术有限公司（以下简称</w:t>
      </w:r>
      <w:r>
        <w:rPr>
          <w:rFonts w:ascii="Times New Roman" w:hAnsi="Times New Roman" w:cs="Times New Roman" w:eastAsia="Times New Roman" w:hint="default"/>
          <w:w w:val="95"/>
        </w:rPr>
        <w:t>“</w:t>
      </w:r>
      <w:r>
        <w:rPr>
          <w:w w:val="95"/>
        </w:rPr>
        <w:t>旋极信息公司</w:t>
      </w:r>
      <w:r>
        <w:rPr>
          <w:rFonts w:ascii="Times New Roman" w:hAnsi="Times New Roman" w:cs="Times New Roman" w:eastAsia="Times New Roman" w:hint="default"/>
          <w:w w:val="95"/>
        </w:rPr>
        <w:t>”</w:t>
      </w:r>
      <w:r>
        <w:rPr>
          <w:w w:val="95"/>
        </w:rPr>
        <w:t>）由陈江涛、胡大勇、刘明、北京旋极历</w:t>
      </w:r>
      <w:r>
        <w:rPr>
          <w:w w:val="99"/>
        </w:rPr>
        <w:t> </w:t>
      </w:r>
      <w:r>
        <w:rPr>
          <w:spacing w:val="3"/>
        </w:rPr>
        <w:t>通电子技术有限公司共同出资组建，经北京市工商行政管理局批准，于</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日成立，取得</w:t>
      </w:r>
      <w:r>
        <w:rPr>
          <w:spacing w:val="-102"/>
        </w:rPr>
        <w:t> </w:t>
      </w:r>
      <w:r>
        <w:rPr>
          <w:spacing w:val="-102"/>
        </w:rPr>
      </w:r>
      <w:r>
        <w:rPr>
          <w:rFonts w:ascii="Times New Roman" w:hAnsi="Times New Roman" w:cs="Times New Roman" w:eastAsia="Times New Roman" w:hint="default"/>
        </w:rPr>
        <w:t>11511957</w:t>
      </w:r>
      <w:r>
        <w:rPr/>
        <w:t>（</w:t>
      </w:r>
      <w:r>
        <w:rPr>
          <w:rFonts w:ascii="Times New Roman" w:hAnsi="Times New Roman" w:cs="Times New Roman" w:eastAsia="Times New Roman" w:hint="default"/>
        </w:rPr>
        <w:t>1-1</w:t>
      </w:r>
      <w:r>
        <w:rPr/>
        <w:t>）号企业法人营业执照。注册资本</w:t>
      </w:r>
      <w:r>
        <w:rPr>
          <w:rFonts w:ascii="Times New Roman" w:hAnsi="Times New Roman" w:cs="Times New Roman" w:eastAsia="Times New Roman" w:hint="default"/>
        </w:rPr>
        <w:t>500</w:t>
      </w:r>
      <w:r>
        <w:rPr/>
        <w:t>万元，其中：陈江涛出资</w:t>
      </w:r>
      <w:r>
        <w:rPr>
          <w:rFonts w:ascii="Times New Roman" w:hAnsi="Times New Roman" w:cs="Times New Roman" w:eastAsia="Times New Roman" w:hint="default"/>
        </w:rPr>
        <w:t>398</w:t>
      </w:r>
      <w:r>
        <w:rPr/>
        <w:t>万元，占注册资本</w:t>
      </w:r>
      <w:r>
        <w:rPr>
          <w:spacing w:val="-32"/>
        </w:rPr>
        <w:t> </w:t>
      </w:r>
      <w:r>
        <w:rPr>
          <w:spacing w:val="-32"/>
        </w:rPr>
      </w:r>
      <w:r>
        <w:rPr>
          <w:spacing w:val="-2"/>
        </w:rPr>
        <w:t>的</w:t>
      </w:r>
      <w:r>
        <w:rPr>
          <w:rFonts w:ascii="Times New Roman" w:hAnsi="Times New Roman" w:cs="Times New Roman" w:eastAsia="Times New Roman" w:hint="default"/>
          <w:spacing w:val="-2"/>
        </w:rPr>
        <w:t>79.60%</w:t>
      </w:r>
      <w:r>
        <w:rPr>
          <w:spacing w:val="-2"/>
        </w:rPr>
        <w:t>；胡大勇出资</w:t>
      </w:r>
      <w:r>
        <w:rPr>
          <w:rFonts w:ascii="Times New Roman" w:hAnsi="Times New Roman" w:cs="Times New Roman" w:eastAsia="Times New Roman" w:hint="default"/>
          <w:spacing w:val="-2"/>
        </w:rPr>
        <w:t>45</w:t>
      </w:r>
      <w:r>
        <w:rPr>
          <w:spacing w:val="-2"/>
        </w:rPr>
        <w:t>万元，占注册资本的</w:t>
      </w:r>
      <w:r>
        <w:rPr>
          <w:rFonts w:ascii="Times New Roman" w:hAnsi="Times New Roman" w:cs="Times New Roman" w:eastAsia="Times New Roman" w:hint="default"/>
          <w:spacing w:val="-2"/>
        </w:rPr>
        <w:t>9.00%</w:t>
      </w:r>
      <w:r>
        <w:rPr>
          <w:spacing w:val="-2"/>
        </w:rPr>
        <w:t>；刘明出资</w:t>
      </w:r>
      <w:r>
        <w:rPr>
          <w:rFonts w:ascii="Times New Roman" w:hAnsi="Times New Roman" w:cs="Times New Roman" w:eastAsia="Times New Roman" w:hint="default"/>
          <w:spacing w:val="-2"/>
        </w:rPr>
        <w:t>42</w:t>
      </w:r>
      <w:r>
        <w:rPr>
          <w:spacing w:val="-2"/>
        </w:rPr>
        <w:t>万元，占注册资本的</w:t>
      </w:r>
      <w:r>
        <w:rPr>
          <w:rFonts w:ascii="Times New Roman" w:hAnsi="Times New Roman" w:cs="Times New Roman" w:eastAsia="Times New Roman" w:hint="default"/>
          <w:spacing w:val="-2"/>
        </w:rPr>
        <w:t>8.40%</w:t>
      </w:r>
      <w:r>
        <w:rPr>
          <w:spacing w:val="-2"/>
        </w:rPr>
        <w:t>；北京旋</w:t>
      </w:r>
      <w:r>
        <w:rPr>
          <w:w w:val="99"/>
        </w:rPr>
        <w:t> </w:t>
      </w:r>
      <w:r>
        <w:rPr/>
        <w:t>极历通电子技术有限公司出资</w:t>
      </w:r>
      <w:r>
        <w:rPr>
          <w:rFonts w:ascii="Times New Roman" w:hAnsi="Times New Roman" w:cs="Times New Roman" w:eastAsia="Times New Roman" w:hint="default"/>
        </w:rPr>
        <w:t>15</w:t>
      </w:r>
      <w:r>
        <w:rPr/>
        <w:t>万元，占注册资本的</w:t>
      </w:r>
      <w:r>
        <w:rPr>
          <w:rFonts w:ascii="Times New Roman" w:hAnsi="Times New Roman" w:cs="Times New Roman" w:eastAsia="Times New Roman" w:hint="default"/>
        </w:rPr>
        <w:t>3.00%</w:t>
      </w:r>
      <w:r>
        <w:rPr/>
        <w:t>。</w:t>
      </w:r>
    </w:p>
    <w:p>
      <w:pPr>
        <w:pStyle w:val="Heading4"/>
        <w:spacing w:line="240" w:lineRule="auto" w:before="188"/>
        <w:ind w:left="594" w:right="101" w:firstLine="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日，根据旋极信息公司第二届第一次股东会决议，增加注册资本</w:t>
      </w:r>
      <w:r>
        <w:rPr>
          <w:rFonts w:ascii="Times New Roman" w:hAnsi="Times New Roman" w:cs="Times New Roman" w:eastAsia="Times New Roman" w:hint="default"/>
        </w:rPr>
        <w:t>701</w:t>
      </w:r>
      <w:r>
        <w:rPr/>
        <w:t>万元。</w:t>
      </w:r>
    </w:p>
    <w:p>
      <w:pPr>
        <w:spacing w:line="240" w:lineRule="auto" w:before="5"/>
        <w:rPr>
          <w:rFonts w:ascii="宋体" w:hAnsi="宋体" w:cs="宋体" w:eastAsia="宋体" w:hint="default"/>
          <w:sz w:val="24"/>
          <w:szCs w:val="24"/>
        </w:rPr>
      </w:pPr>
    </w:p>
    <w:p>
      <w:pPr>
        <w:pStyle w:val="Heading4"/>
        <w:spacing w:line="369" w:lineRule="auto"/>
        <w:ind w:left="154" w:right="206"/>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日，根据旋极信息公司第六届第二次股东会决议，刘明、刘希平、盖峰分别将其持</w:t>
      </w:r>
      <w:r>
        <w:rPr>
          <w:spacing w:val="2"/>
          <w:w w:val="99"/>
        </w:rPr>
        <w:t> </w:t>
      </w:r>
      <w:r>
        <w:rPr>
          <w:spacing w:val="-1"/>
        </w:rPr>
        <w:t>有的股权</w:t>
      </w:r>
      <w:r>
        <w:rPr>
          <w:rFonts w:ascii="Times New Roman" w:hAnsi="Times New Roman" w:cs="Times New Roman" w:eastAsia="Times New Roman" w:hint="default"/>
          <w:spacing w:val="-1"/>
        </w:rPr>
        <w:t>52.1875</w:t>
      </w:r>
      <w:r>
        <w:rPr>
          <w:spacing w:val="-1"/>
        </w:rPr>
        <w:t>万元、</w:t>
      </w:r>
      <w:r>
        <w:rPr>
          <w:rFonts w:ascii="Times New Roman" w:hAnsi="Times New Roman" w:cs="Times New Roman" w:eastAsia="Times New Roman" w:hint="default"/>
          <w:spacing w:val="-1"/>
        </w:rPr>
        <w:t>7.1875</w:t>
      </w:r>
      <w:r>
        <w:rPr>
          <w:spacing w:val="-1"/>
        </w:rPr>
        <w:t>万元、</w:t>
      </w:r>
      <w:r>
        <w:rPr>
          <w:rFonts w:ascii="Times New Roman" w:hAnsi="Times New Roman" w:cs="Times New Roman" w:eastAsia="Times New Roman" w:hint="default"/>
          <w:spacing w:val="-1"/>
        </w:rPr>
        <w:t>16.625</w:t>
      </w:r>
      <w:r>
        <w:rPr>
          <w:spacing w:val="-1"/>
        </w:rPr>
        <w:t>万元转让给陈江涛；盖峰将其持有的股权</w:t>
      </w:r>
      <w:r>
        <w:rPr>
          <w:rFonts w:ascii="Times New Roman" w:hAnsi="Times New Roman" w:cs="Times New Roman" w:eastAsia="Times New Roman" w:hint="default"/>
          <w:spacing w:val="-1"/>
        </w:rPr>
        <w:t>1.125</w:t>
      </w:r>
      <w:r>
        <w:rPr>
          <w:spacing w:val="-1"/>
        </w:rPr>
        <w:t>万元转让给</w:t>
      </w:r>
      <w:r>
        <w:rPr>
          <w:w w:val="99"/>
        </w:rPr>
        <w:t> </w:t>
      </w:r>
      <w:r>
        <w:rPr/>
        <w:t>蔡厚富；同时增加注册资本</w:t>
      </w:r>
      <w:r>
        <w:rPr>
          <w:rFonts w:ascii="Times New Roman" w:hAnsi="Times New Roman" w:cs="Times New Roman" w:eastAsia="Times New Roman" w:hint="default"/>
        </w:rPr>
        <w:t>149</w:t>
      </w:r>
      <w:r>
        <w:rPr/>
        <w:t>万元。</w:t>
      </w:r>
    </w:p>
    <w:p>
      <w:pPr>
        <w:pStyle w:val="Heading4"/>
        <w:spacing w:line="369" w:lineRule="auto" w:before="188"/>
        <w:ind w:left="154" w:right="88"/>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日，根据旋极信息公司第六届第三次股东会决议，以未分配利润转增资本</w:t>
      </w:r>
      <w:r>
        <w:rPr>
          <w:rFonts w:ascii="Times New Roman" w:hAnsi="Times New Roman" w:cs="Times New Roman" w:eastAsia="Times New Roman" w:hint="default"/>
          <w:spacing w:val="-1"/>
        </w:rPr>
        <w:t>810</w:t>
      </w:r>
      <w:r>
        <w:rPr>
          <w:spacing w:val="-1"/>
        </w:rPr>
        <w:t>万元。</w:t>
      </w:r>
      <w:r>
        <w:rPr>
          <w:w w:val="99"/>
        </w:rPr>
        <w:t> </w:t>
      </w:r>
      <w:r>
        <w:rPr/>
        <w:t>本次转增完成后，注册资本变更为</w:t>
      </w:r>
      <w:r>
        <w:rPr>
          <w:rFonts w:ascii="Times New Roman" w:hAnsi="Times New Roman" w:cs="Times New Roman" w:eastAsia="Times New Roman" w:hint="default"/>
        </w:rPr>
        <w:t>2,160</w:t>
      </w:r>
      <w:r>
        <w:rPr/>
        <w:t>万元。</w:t>
      </w:r>
    </w:p>
    <w:p>
      <w:pPr>
        <w:pStyle w:val="Heading4"/>
        <w:spacing w:line="369" w:lineRule="auto" w:before="188"/>
        <w:ind w:left="154" w:right="206"/>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日，根据旋极信息公司第七届第二次股东会决议，北京旋极信息技术有限公司整体</w:t>
      </w:r>
      <w:r>
        <w:rPr>
          <w:spacing w:val="2"/>
          <w:w w:val="99"/>
        </w:rPr>
        <w:t> </w:t>
      </w:r>
      <w:r>
        <w:rPr>
          <w:spacing w:val="-1"/>
        </w:rPr>
        <w:t>变更为股份公司，公司名称变更为北京旋极信息技术股份有限公司，并于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日在北京市工</w:t>
      </w:r>
      <w:r>
        <w:rPr>
          <w:w w:val="99"/>
        </w:rPr>
        <w:t> </w:t>
      </w:r>
      <w:r>
        <w:rPr/>
        <w:t>商行政管理局办理了公司登记，领取了</w:t>
      </w:r>
      <w:r>
        <w:rPr>
          <w:rFonts w:ascii="Times New Roman" w:hAnsi="Times New Roman" w:cs="Times New Roman" w:eastAsia="Times New Roman" w:hint="default"/>
        </w:rPr>
        <w:t>110108005119571</w:t>
      </w:r>
      <w:r>
        <w:rPr/>
        <w:t>号《企业法人营业执照》，注册资本变更为</w:t>
      </w:r>
      <w:r>
        <w:rPr>
          <w:spacing w:val="-60"/>
        </w:rPr>
        <w:t> </w:t>
      </w:r>
      <w:r>
        <w:rPr>
          <w:spacing w:val="-60"/>
        </w:rPr>
      </w:r>
      <w:r>
        <w:rPr/>
        <w:t>人民币</w:t>
      </w:r>
      <w:r>
        <w:rPr>
          <w:rFonts w:ascii="Times New Roman" w:hAnsi="Times New Roman" w:cs="Times New Roman" w:eastAsia="Times New Roman" w:hint="default"/>
        </w:rPr>
        <w:t>3,888</w:t>
      </w:r>
      <w:r>
        <w:rPr/>
        <w:t>万元。</w:t>
      </w:r>
    </w:p>
    <w:p>
      <w:pPr>
        <w:pStyle w:val="Heading4"/>
        <w:spacing w:line="369" w:lineRule="auto" w:before="188"/>
        <w:ind w:left="154" w:right="206"/>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日，公司召开公司第一届第四次股东大会，通过了关于股东陈江涛和北京中天涌慧</w:t>
      </w:r>
      <w:r>
        <w:rPr>
          <w:spacing w:val="2"/>
          <w:w w:val="99"/>
        </w:rPr>
        <w:t> </w:t>
      </w:r>
      <w:r>
        <w:rPr>
          <w:spacing w:val="-1"/>
        </w:rPr>
        <w:t>投资咨询有限公司向魏宝坤等</w:t>
      </w:r>
      <w:r>
        <w:rPr>
          <w:rFonts w:ascii="Times New Roman" w:hAnsi="Times New Roman" w:cs="Times New Roman" w:eastAsia="Times New Roman" w:hint="default"/>
          <w:spacing w:val="-1"/>
        </w:rPr>
        <w:t>42</w:t>
      </w:r>
      <w:r>
        <w:rPr>
          <w:spacing w:val="-1"/>
        </w:rPr>
        <w:t>人转股的议案；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7</w:t>
      </w:r>
      <w:r>
        <w:rPr>
          <w:spacing w:val="-1"/>
        </w:rPr>
        <w:t>日，陈江涛和中天涌慧（转让方）与魏宝</w:t>
      </w:r>
      <w:r>
        <w:rPr>
          <w:w w:val="99"/>
        </w:rPr>
        <w:t> </w:t>
      </w:r>
      <w:r>
        <w:rPr>
          <w:spacing w:val="-1"/>
        </w:rPr>
        <w:t>坤等</w:t>
      </w:r>
      <w:r>
        <w:rPr>
          <w:rFonts w:ascii="Times New Roman" w:hAnsi="Times New Roman" w:cs="Times New Roman" w:eastAsia="Times New Roman" w:hint="default"/>
          <w:spacing w:val="-1"/>
        </w:rPr>
        <w:t>42</w:t>
      </w:r>
      <w:r>
        <w:rPr>
          <w:spacing w:val="-1"/>
        </w:rPr>
        <w:t>人（受让方）就公司股权签订《股权转让协议》。根据上述股东大会决议和股权转让协议，中</w:t>
      </w:r>
      <w:r>
        <w:rPr>
          <w:w w:val="99"/>
        </w:rPr>
        <w:t> </w:t>
      </w:r>
      <w:r>
        <w:rPr>
          <w:spacing w:val="-1"/>
        </w:rPr>
        <w:t>天涌慧将其持有的</w:t>
      </w:r>
      <w:r>
        <w:rPr>
          <w:rFonts w:ascii="Times New Roman" w:hAnsi="Times New Roman" w:cs="Times New Roman" w:eastAsia="Times New Roman" w:hint="default"/>
          <w:spacing w:val="-1"/>
        </w:rPr>
        <w:t>174.35</w:t>
      </w:r>
      <w:r>
        <w:rPr>
          <w:spacing w:val="-1"/>
        </w:rPr>
        <w:t>万元公司股权转让给魏宝坤等</w:t>
      </w:r>
      <w:r>
        <w:rPr>
          <w:rFonts w:ascii="Times New Roman" w:hAnsi="Times New Roman" w:cs="Times New Roman" w:eastAsia="Times New Roman" w:hint="default"/>
          <w:spacing w:val="-1"/>
        </w:rPr>
        <w:t>30</w:t>
      </w:r>
      <w:r>
        <w:rPr>
          <w:spacing w:val="-1"/>
        </w:rPr>
        <w:t>名自然人股东，陈江涛将其持有的</w:t>
      </w:r>
      <w:r>
        <w:rPr>
          <w:rFonts w:ascii="Times New Roman" w:hAnsi="Times New Roman" w:cs="Times New Roman" w:eastAsia="Times New Roman" w:hint="default"/>
          <w:spacing w:val="-1"/>
        </w:rPr>
        <w:t>18.85</w:t>
      </w:r>
      <w:r>
        <w:rPr>
          <w:spacing w:val="-1"/>
        </w:rPr>
        <w:t>万元</w:t>
      </w:r>
      <w:r>
        <w:rPr>
          <w:w w:val="99"/>
        </w:rPr>
        <w:t> </w:t>
      </w:r>
      <w:r>
        <w:rPr/>
        <w:t>公司股权转让给吴匀等</w:t>
      </w:r>
      <w:r>
        <w:rPr>
          <w:rFonts w:ascii="Times New Roman" w:hAnsi="Times New Roman" w:cs="Times New Roman" w:eastAsia="Times New Roman" w:hint="default"/>
        </w:rPr>
        <w:t>12</w:t>
      </w:r>
      <w:r>
        <w:rPr/>
        <w:t>名自然人股东。</w:t>
      </w:r>
    </w:p>
    <w:p>
      <w:pPr>
        <w:pStyle w:val="Heading4"/>
        <w:spacing w:line="369" w:lineRule="auto" w:before="188"/>
        <w:ind w:left="154" w:right="207"/>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日，公司召开</w:t>
      </w:r>
      <w:r>
        <w:rPr>
          <w:rFonts w:ascii="Times New Roman" w:hAnsi="Times New Roman" w:cs="Times New Roman" w:eastAsia="Times New Roman" w:hint="default"/>
        </w:rPr>
        <w:t>2010</w:t>
      </w:r>
      <w:r>
        <w:rPr/>
        <w:t>年度第一次临时股东大会，通过关于公司增资的议案。根据上述</w:t>
      </w:r>
      <w:r>
        <w:rPr>
          <w:spacing w:val="2"/>
          <w:w w:val="99"/>
        </w:rPr>
        <w:t> </w:t>
      </w:r>
      <w:r>
        <w:rPr>
          <w:spacing w:val="-1"/>
        </w:rPr>
        <w:t>股东大会决议，公司增加注册资本金人民币</w:t>
      </w:r>
      <w:r>
        <w:rPr>
          <w:rFonts w:ascii="Times New Roman" w:hAnsi="Times New Roman" w:cs="Times New Roman" w:eastAsia="Times New Roman" w:hint="default"/>
          <w:spacing w:val="-1"/>
        </w:rPr>
        <w:t>312</w:t>
      </w:r>
      <w:r>
        <w:rPr>
          <w:spacing w:val="-1"/>
        </w:rPr>
        <w:t>万元，由公司股东蔡厚富、陈为群等</w:t>
      </w:r>
      <w:r>
        <w:rPr>
          <w:rFonts w:ascii="Times New Roman" w:hAnsi="Times New Roman" w:cs="Times New Roman" w:eastAsia="Times New Roman" w:hint="default"/>
          <w:spacing w:val="-1"/>
        </w:rPr>
        <w:t>8</w:t>
      </w:r>
      <w:r>
        <w:rPr>
          <w:spacing w:val="-1"/>
        </w:rPr>
        <w:t>位股东和深圳市</w:t>
      </w:r>
      <w:r>
        <w:rPr>
          <w:w w:val="99"/>
        </w:rPr>
        <w:t> </w:t>
      </w:r>
      <w:r>
        <w:rPr>
          <w:spacing w:val="-1"/>
        </w:rPr>
        <w:t>盛桥创源投资合伙企业等</w:t>
      </w:r>
      <w:r>
        <w:rPr>
          <w:rFonts w:ascii="Times New Roman" w:hAnsi="Times New Roman" w:cs="Times New Roman" w:eastAsia="Times New Roman" w:hint="default"/>
          <w:spacing w:val="-1"/>
        </w:rPr>
        <w:t>10</w:t>
      </w:r>
      <w:r>
        <w:rPr>
          <w:spacing w:val="-1"/>
        </w:rPr>
        <w:t>位新股东以货币资金进行增资，该次增资完成后，注册资本变更为人民币</w:t>
      </w:r>
    </w:p>
    <w:p>
      <w:pPr>
        <w:spacing w:after="0" w:line="369" w:lineRule="auto"/>
        <w:jc w:val="both"/>
        <w:sectPr>
          <w:headerReference w:type="default" r:id="rId30"/>
          <w:footerReference w:type="default" r:id="rId31"/>
          <w:pgSz w:w="11910" w:h="16840"/>
          <w:pgMar w:header="997" w:footer="1252" w:top="1340" w:bottom="1440" w:left="980" w:right="920"/>
          <w:pgNumType w:start="93"/>
        </w:sectPr>
      </w:pPr>
    </w:p>
    <w:p>
      <w:pPr>
        <w:spacing w:line="240" w:lineRule="auto" w:before="12"/>
        <w:rPr>
          <w:rFonts w:ascii="宋体" w:hAnsi="宋体" w:cs="宋体" w:eastAsia="宋体" w:hint="default"/>
          <w:sz w:val="10"/>
          <w:szCs w:val="10"/>
        </w:rPr>
      </w:pPr>
    </w:p>
    <w:p>
      <w:pPr>
        <w:pStyle w:val="Heading4"/>
        <w:spacing w:line="240" w:lineRule="auto" w:before="31"/>
        <w:ind w:left="154" w:right="101" w:firstLine="0"/>
        <w:jc w:val="left"/>
      </w:pPr>
      <w:r>
        <w:rPr>
          <w:rFonts w:ascii="Times New Roman" w:hAnsi="Times New Roman" w:cs="Times New Roman" w:eastAsia="Times New Roman" w:hint="default"/>
        </w:rPr>
        <w:t>4,200</w:t>
      </w:r>
      <w:r>
        <w:rPr/>
        <w:t>万元。</w:t>
      </w:r>
    </w:p>
    <w:p>
      <w:pPr>
        <w:spacing w:line="240" w:lineRule="auto" w:before="5"/>
        <w:rPr>
          <w:rFonts w:ascii="宋体" w:hAnsi="宋体" w:cs="宋体" w:eastAsia="宋体" w:hint="default"/>
          <w:sz w:val="24"/>
          <w:szCs w:val="24"/>
        </w:rPr>
      </w:pPr>
    </w:p>
    <w:p>
      <w:pPr>
        <w:pStyle w:val="Heading4"/>
        <w:spacing w:line="369" w:lineRule="auto"/>
        <w:ind w:right="21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[2012]593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文批准，公司向社会公开发</w:t>
      </w:r>
      <w:r>
        <w:rPr>
          <w:w w:val="99"/>
        </w:rPr>
        <w:t> </w:t>
      </w:r>
      <w:r>
        <w:rPr/>
        <w:t>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1,400  </w:t>
      </w:r>
      <w:r>
        <w:rPr/>
        <w:t>万股，发行后总股本变更为人民币</w:t>
      </w:r>
      <w:r>
        <w:rPr>
          <w:rFonts w:ascii="Times New Roman" w:hAnsi="Times New Roman" w:cs="Times New Roman" w:eastAsia="Times New Roman" w:hint="default"/>
        </w:rPr>
        <w:t>5,600</w:t>
      </w:r>
      <w:r>
        <w:rPr>
          <w:rFonts w:ascii="Times New Roman" w:hAnsi="Times New Roman" w:cs="Times New Roman" w:eastAsia="Times New Roman" w:hint="default"/>
          <w:spacing w:val="-19"/>
        </w:rPr>
        <w:t> </w:t>
      </w:r>
      <w:r>
        <w:rPr/>
        <w:t>万元。</w:t>
      </w:r>
    </w:p>
    <w:p>
      <w:pPr>
        <w:pStyle w:val="Heading4"/>
        <w:spacing w:line="369" w:lineRule="auto" w:before="188"/>
        <w:ind w:right="101"/>
        <w:jc w:val="left"/>
      </w:pPr>
      <w:r>
        <w:rPr>
          <w:w w:val="95"/>
        </w:rPr>
        <w:t>截至</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日，公司总股本为</w:t>
      </w:r>
      <w:r>
        <w:rPr>
          <w:rFonts w:ascii="Times New Roman" w:hAnsi="Times New Roman" w:cs="Times New Roman" w:eastAsia="Times New Roman" w:hint="default"/>
          <w:w w:val="95"/>
        </w:rPr>
        <w:t>5,600</w:t>
      </w:r>
      <w:r>
        <w:rPr>
          <w:w w:val="95"/>
        </w:rPr>
        <w:t>万股，其中有限售条件股份</w:t>
      </w:r>
      <w:r>
        <w:rPr>
          <w:rFonts w:ascii="Times New Roman" w:hAnsi="Times New Roman" w:cs="Times New Roman" w:eastAsia="Times New Roman" w:hint="default"/>
          <w:w w:val="95"/>
        </w:rPr>
        <w:t>4,200</w:t>
      </w:r>
      <w:r>
        <w:rPr>
          <w:w w:val="95"/>
        </w:rPr>
        <w:t>万股占总股本的</w:t>
      </w:r>
      <w:r>
        <w:rPr>
          <w:rFonts w:ascii="Times New Roman" w:hAnsi="Times New Roman" w:cs="Times New Roman" w:eastAsia="Times New Roman" w:hint="default"/>
          <w:w w:val="95"/>
        </w:rPr>
        <w:t>75%</w:t>
      </w:r>
      <w:r>
        <w:rPr>
          <w:w w:val="95"/>
        </w:rPr>
        <w:t>；</w:t>
      </w:r>
      <w:r>
        <w:rPr>
          <w:spacing w:val="-101"/>
          <w:w w:val="95"/>
        </w:rPr>
        <w:t> </w:t>
      </w:r>
      <w:r>
        <w:rPr/>
        <w:t>无限售条件股份</w:t>
      </w:r>
      <w:r>
        <w:rPr>
          <w:rFonts w:ascii="Times New Roman" w:hAnsi="Times New Roman" w:cs="Times New Roman" w:eastAsia="Times New Roman" w:hint="default"/>
        </w:rPr>
        <w:t>1,400</w:t>
      </w:r>
      <w:r>
        <w:rPr/>
        <w:t>万股，占总股本的</w:t>
      </w:r>
      <w:r>
        <w:rPr>
          <w:rFonts w:ascii="Times New Roman" w:hAnsi="Times New Roman" w:cs="Times New Roman" w:eastAsia="Times New Roman" w:hint="default"/>
        </w:rPr>
        <w:t>25%</w:t>
      </w:r>
      <w:r>
        <w:rPr/>
        <w:t>。</w:t>
      </w:r>
    </w:p>
    <w:p>
      <w:pPr>
        <w:pStyle w:val="Heading4"/>
        <w:spacing w:line="369" w:lineRule="auto" w:before="188"/>
        <w:ind w:right="209"/>
        <w:jc w:val="both"/>
      </w:pPr>
      <w:r>
        <w:rPr/>
        <w:t>公司所处行业为计算机应用服务业（</w:t>
      </w:r>
      <w:r>
        <w:rPr>
          <w:rFonts w:ascii="Times New Roman" w:hAnsi="Times New Roman" w:cs="Times New Roman" w:eastAsia="Times New Roman" w:hint="default"/>
        </w:rPr>
        <w:t>G87</w:t>
      </w:r>
      <w:r>
        <w:rPr/>
        <w:t>），其主要业务为从事嵌入式产品的开发、生产、销售</w:t>
      </w:r>
      <w:r>
        <w:rPr>
          <w:w w:val="99"/>
        </w:rPr>
        <w:t> </w:t>
      </w:r>
      <w:r>
        <w:rPr/>
        <w:t>和服务业务。</w:t>
      </w:r>
    </w:p>
    <w:p>
      <w:pPr>
        <w:spacing w:line="240" w:lineRule="auto" w:before="8"/>
        <w:rPr>
          <w:rFonts w:ascii="宋体" w:hAnsi="宋体" w:cs="宋体" w:eastAsia="宋体" w:hint="default"/>
          <w:sz w:val="16"/>
          <w:szCs w:val="16"/>
        </w:rPr>
      </w:pPr>
    </w:p>
    <w:p>
      <w:pPr>
        <w:pStyle w:val="Heading4"/>
        <w:spacing w:line="384" w:lineRule="auto"/>
        <w:ind w:right="209"/>
        <w:jc w:val="both"/>
      </w:pPr>
      <w:r>
        <w:rPr>
          <w:spacing w:val="-1"/>
        </w:rPr>
        <w:t>公司经营范围：许可经营项目：生产</w:t>
      </w:r>
      <w:r>
        <w:rPr>
          <w:rFonts w:ascii="Times New Roman" w:hAnsi="Times New Roman" w:cs="Times New Roman" w:eastAsia="Times New Roman" w:hint="default"/>
          <w:spacing w:val="-1"/>
        </w:rPr>
        <w:t>IC</w:t>
      </w:r>
      <w:r>
        <w:rPr>
          <w:spacing w:val="-1"/>
        </w:rPr>
        <w:t>卡读写机具。一般经营项目：技术开发、技术转让、技术</w:t>
      </w:r>
      <w:r>
        <w:rPr>
          <w:w w:val="99"/>
        </w:rPr>
        <w:t> </w:t>
      </w:r>
      <w:r>
        <w:rPr>
          <w:spacing w:val="-1"/>
        </w:rPr>
        <w:t>咨询、技术服务；销售开发后的产品（未经专项许可的项目除外）、电子计算机及外部设备、机械电</w:t>
      </w:r>
      <w:r>
        <w:rPr>
          <w:w w:val="99"/>
        </w:rPr>
        <w:t> </w:t>
      </w:r>
      <w:r>
        <w:rPr>
          <w:spacing w:val="-1"/>
        </w:rPr>
        <w:t>器设备、文化办公设备、通讯设备、化工轻工材料、建筑材料；承接计算机系统网络工程；自营和代</w:t>
      </w:r>
      <w:r>
        <w:rPr>
          <w:w w:val="99"/>
        </w:rPr>
        <w:t> </w:t>
      </w:r>
      <w:r>
        <w:rPr/>
        <w:t>理各类商品及技术的进出口，但国家限定公司经营或禁止进出口的商品和技术除外。</w:t>
      </w:r>
    </w:p>
    <w:p>
      <w:pPr>
        <w:spacing w:line="240" w:lineRule="auto" w:before="8"/>
        <w:rPr>
          <w:rFonts w:ascii="宋体" w:hAnsi="宋体" w:cs="宋体" w:eastAsia="宋体" w:hint="default"/>
          <w:sz w:val="15"/>
          <w:szCs w:val="15"/>
        </w:rPr>
      </w:pPr>
    </w:p>
    <w:p>
      <w:pPr>
        <w:pStyle w:val="Heading4"/>
        <w:spacing w:line="491" w:lineRule="auto"/>
        <w:ind w:left="594" w:right="3340" w:firstLine="0"/>
        <w:jc w:val="left"/>
      </w:pPr>
      <w:r>
        <w:rPr/>
        <w:t>公司注册资本金（万元）：</w:t>
      </w:r>
      <w:r>
        <w:rPr>
          <w:rFonts w:ascii="Times New Roman" w:hAnsi="Times New Roman" w:cs="Times New Roman" w:eastAsia="Times New Roman" w:hint="default"/>
        </w:rPr>
        <w:t>5,600.00</w:t>
      </w:r>
      <w:r>
        <w:rPr>
          <w:rFonts w:ascii="Times New Roman" w:hAnsi="Times New Roman" w:cs="Times New Roman" w:eastAsia="Times New Roman" w:hint="default"/>
          <w:w w:val="99"/>
        </w:rPr>
        <w:t> </w:t>
      </w:r>
      <w:r>
        <w:rPr/>
        <w:t>公司注册地址：北京市海淀区志新村小区海泰大厦</w:t>
      </w:r>
      <w:r>
        <w:rPr>
          <w:rFonts w:ascii="Times New Roman" w:hAnsi="Times New Roman" w:cs="Times New Roman" w:eastAsia="Times New Roman" w:hint="default"/>
        </w:rPr>
        <w:t>229</w:t>
      </w:r>
      <w:r>
        <w:rPr/>
        <w:t>号</w:t>
      </w:r>
      <w:r>
        <w:rPr>
          <w:rFonts w:ascii="Times New Roman" w:hAnsi="Times New Roman" w:cs="Times New Roman" w:eastAsia="Times New Roman" w:hint="default"/>
        </w:rPr>
        <w:t>1006</w:t>
      </w:r>
      <w:r>
        <w:rPr/>
        <w:t>室</w:t>
      </w:r>
      <w:r>
        <w:rPr>
          <w:w w:val="99"/>
        </w:rPr>
        <w:t> </w:t>
      </w:r>
      <w:r>
        <w:rPr/>
        <w:t>公司法定代表人：陈江涛</w:t>
      </w:r>
    </w:p>
    <w:p>
      <w:pPr>
        <w:pStyle w:val="Heading4"/>
        <w:spacing w:line="391" w:lineRule="auto" w:before="105"/>
        <w:ind w:right="209"/>
        <w:jc w:val="both"/>
      </w:pPr>
      <w:r>
        <w:rPr>
          <w:spacing w:val="-1"/>
        </w:rPr>
        <w:t>公司控股股东为陈江涛，公司最终控制人陈江涛，股东大会是公司的权力机构，依法行使公司经</w:t>
      </w:r>
      <w:r>
        <w:rPr>
          <w:w w:val="99"/>
        </w:rPr>
        <w:t> </w:t>
      </w:r>
      <w:r>
        <w:rPr>
          <w:spacing w:val="-1"/>
        </w:rPr>
        <w:t>营方针、筹资、投资、利润分配等重大事项决议权。董事会对股东大会负责，依法行使公司的经营决</w:t>
      </w:r>
      <w:r>
        <w:rPr>
          <w:w w:val="99"/>
        </w:rPr>
        <w:t> </w:t>
      </w:r>
      <w:r>
        <w:rPr/>
        <w:t>策权；经理层负责组织实施股东大会、董事会决议事项，主持企业的生产经营管理工作。</w:t>
      </w:r>
    </w:p>
    <w:p>
      <w:pPr>
        <w:pStyle w:val="Heading4"/>
        <w:spacing w:line="391" w:lineRule="auto" w:before="197"/>
        <w:ind w:right="167"/>
        <w:jc w:val="both"/>
      </w:pPr>
      <w:r>
        <w:rPr>
          <w:w w:val="95"/>
        </w:rPr>
        <w:t>公司的职能管理部门包括：人力资源部、行政综合部、标准化委员会、财务资金部、证券部、审</w:t>
      </w:r>
      <w:r>
        <w:rPr>
          <w:w w:val="99"/>
        </w:rPr>
        <w:t> </w:t>
      </w:r>
      <w:r>
        <w:rPr/>
        <w:t>计部、投资策划部、战略规划部、测试与控制部、信息安全部、政企事业部、智能终端部、企划部、</w:t>
      </w:r>
      <w:r>
        <w:rPr>
          <w:w w:val="99"/>
        </w:rPr>
        <w:t> </w:t>
      </w:r>
      <w:r>
        <w:rPr>
          <w:w w:val="95"/>
        </w:rPr>
        <w:t>市场部、生产中心、研发中心、质保中心等，子公司主要包括上海旋极信息技术有限公司、成都旋极</w:t>
      </w:r>
      <w:r>
        <w:rPr>
          <w:spacing w:val="17"/>
          <w:w w:val="95"/>
        </w:rPr>
        <w:t> </w:t>
      </w:r>
      <w:r>
        <w:rPr>
          <w:spacing w:val="17"/>
          <w:w w:val="95"/>
        </w:rPr>
      </w:r>
      <w:r>
        <w:rPr>
          <w:w w:val="95"/>
        </w:rPr>
        <w:t>历通信息技术有限公司、深圳市旋极历通科技有限公司、旋极国际（香港）有限公司、北京旋极汉荣</w:t>
      </w:r>
      <w:r>
        <w:rPr>
          <w:spacing w:val="17"/>
          <w:w w:val="95"/>
        </w:rPr>
        <w:t> </w:t>
      </w:r>
      <w:r>
        <w:rPr>
          <w:spacing w:val="17"/>
          <w:w w:val="95"/>
        </w:rPr>
      </w:r>
      <w:r>
        <w:rPr>
          <w:w w:val="95"/>
        </w:rPr>
        <w:t>嵌入式技术有限公司、北京麦禾信通科技有限公司、北京百旺金赋科技有限公司、福建百旺金赋信息</w:t>
      </w:r>
      <w:r>
        <w:rPr>
          <w:spacing w:val="19"/>
          <w:w w:val="95"/>
        </w:rPr>
        <w:t> </w:t>
      </w:r>
      <w:r>
        <w:rPr>
          <w:spacing w:val="19"/>
          <w:w w:val="95"/>
        </w:rPr>
      </w:r>
      <w:r>
        <w:rPr>
          <w:w w:val="95"/>
        </w:rPr>
        <w:t>科技有限公司、宁波百旺金赋信息科技有限公司、厦门百旺金赋信息科技有限公司、天津百望金赋科</w:t>
      </w:r>
      <w:r>
        <w:rPr>
          <w:spacing w:val="19"/>
          <w:w w:val="95"/>
        </w:rPr>
        <w:t> </w:t>
      </w:r>
      <w:r>
        <w:rPr>
          <w:spacing w:val="19"/>
          <w:w w:val="95"/>
        </w:rPr>
      </w:r>
      <w:r>
        <w:rPr/>
        <w:t>技有限公司、杭州百旺金赋科技有限公司、</w:t>
      </w:r>
      <w:r>
        <w:rPr>
          <w:sz w:val="21"/>
          <w:szCs w:val="21"/>
        </w:rPr>
        <w:t>上海百旺金赋科技有限公司</w:t>
      </w:r>
      <w:r>
        <w:rPr/>
        <w:t>。</w:t>
      </w:r>
    </w:p>
    <w:p>
      <w:pPr>
        <w:spacing w:after="0" w:line="391" w:lineRule="auto"/>
        <w:jc w:val="both"/>
        <w:sectPr>
          <w:pgSz w:w="11910" w:h="16840"/>
          <w:pgMar w:header="997" w:footer="1252" w:top="1340" w:bottom="1440" w:left="980" w:right="920"/>
        </w:sectPr>
      </w:pPr>
    </w:p>
    <w:p>
      <w:pPr>
        <w:spacing w:line="240" w:lineRule="auto" w:before="8"/>
        <w:rPr>
          <w:rFonts w:ascii="宋体" w:hAnsi="宋体" w:cs="宋体" w:eastAsia="宋体" w:hint="default"/>
          <w:sz w:val="14"/>
          <w:szCs w:val="14"/>
        </w:rPr>
      </w:pPr>
    </w:p>
    <w:p>
      <w:pPr>
        <w:pStyle w:val="Heading2"/>
        <w:spacing w:line="240" w:lineRule="auto" w:before="13"/>
        <w:ind w:right="0"/>
        <w:jc w:val="left"/>
      </w:pPr>
      <w:r>
        <w:rPr/>
        <w:t>四、公司主要会计政策、会计估计和前期差错</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、财务报表的编制基础</w:t>
      </w:r>
    </w:p>
    <w:p>
      <w:pPr>
        <w:spacing w:line="240" w:lineRule="auto" w:before="4"/>
        <w:rPr>
          <w:rFonts w:ascii="黑体" w:hAnsi="黑体" w:cs="黑体" w:eastAsia="黑体" w:hint="default"/>
          <w:sz w:val="23"/>
          <w:szCs w:val="23"/>
        </w:rPr>
      </w:pPr>
    </w:p>
    <w:p>
      <w:pPr>
        <w:pStyle w:val="Heading4"/>
        <w:spacing w:line="379" w:lineRule="auto"/>
        <w:ind w:right="149"/>
        <w:jc w:val="both"/>
      </w:pPr>
      <w:r>
        <w:rPr>
          <w:spacing w:val="-1"/>
        </w:rPr>
        <w:t>本公司财务报表以持续经营为基础，根据实际发生的交易和事项，按照财政部颁布的《企业会计</w:t>
      </w:r>
      <w:r>
        <w:rPr>
          <w:w w:val="99"/>
        </w:rPr>
        <w:t> </w:t>
      </w:r>
      <w:r>
        <w:rPr>
          <w:w w:val="95"/>
        </w:rPr>
        <w:t>准则》及相关规定，并基于本附注四</w:t>
      </w:r>
      <w:r>
        <w:rPr>
          <w:rFonts w:ascii="Times New Roman" w:hAnsi="Times New Roman" w:cs="Times New Roman" w:eastAsia="Times New Roman" w:hint="default"/>
          <w:w w:val="95"/>
        </w:rPr>
        <w:t>“</w:t>
      </w:r>
      <w:r>
        <w:rPr>
          <w:w w:val="95"/>
        </w:rPr>
        <w:t>重要会计政策、会计估计和合并财务报表的编制方法</w:t>
      </w:r>
      <w:r>
        <w:rPr>
          <w:rFonts w:ascii="Times New Roman" w:hAnsi="Times New Roman" w:cs="Times New Roman" w:eastAsia="Times New Roman" w:hint="default"/>
          <w:w w:val="95"/>
        </w:rPr>
        <w:t>”</w:t>
      </w:r>
      <w:r>
        <w:rPr>
          <w:w w:val="95"/>
        </w:rPr>
        <w:t>所述会计</w:t>
      </w:r>
      <w:r>
        <w:rPr>
          <w:spacing w:val="42"/>
          <w:w w:val="95"/>
        </w:rPr>
        <w:t> </w:t>
      </w:r>
      <w:r>
        <w:rPr>
          <w:spacing w:val="42"/>
          <w:w w:val="95"/>
        </w:rPr>
      </w:r>
      <w:r>
        <w:rPr/>
        <w:t>政策和估计编制。</w:t>
      </w:r>
    </w:p>
    <w:p>
      <w:pPr>
        <w:pStyle w:val="Heading3"/>
        <w:spacing w:line="240" w:lineRule="auto" w:before="193"/>
        <w:ind w:right="0"/>
        <w:jc w:val="left"/>
      </w:pPr>
      <w:r>
        <w:rPr>
          <w:rFonts w:ascii="Cambria" w:hAnsi="Cambria" w:cs="Cambria" w:eastAsia="Cambria" w:hint="default"/>
        </w:rPr>
        <w:t>2</w:t>
      </w:r>
      <w:r>
        <w:rPr/>
        <w:t>、遵循企业会计准则的声明</w:t>
      </w:r>
    </w:p>
    <w:p>
      <w:pPr>
        <w:spacing w:line="240" w:lineRule="auto" w:before="4"/>
        <w:rPr>
          <w:rFonts w:ascii="黑体" w:hAnsi="黑体" w:cs="黑体" w:eastAsia="黑体" w:hint="default"/>
          <w:sz w:val="23"/>
          <w:szCs w:val="23"/>
        </w:rPr>
      </w:pPr>
    </w:p>
    <w:p>
      <w:pPr>
        <w:pStyle w:val="Heading4"/>
        <w:spacing w:line="391" w:lineRule="auto"/>
        <w:ind w:right="149"/>
        <w:jc w:val="both"/>
      </w:pPr>
      <w:r>
        <w:rPr>
          <w:spacing w:val="-1"/>
        </w:rPr>
        <w:t>本公司编制的财务报表符合企业会计准则的要求，真实、完整地反映了本公司的财务状况、经营</w:t>
      </w:r>
      <w:r>
        <w:rPr>
          <w:w w:val="99"/>
        </w:rPr>
        <w:t> </w:t>
      </w:r>
      <w:r>
        <w:rPr/>
        <w:t>成果和现金流量等有关信息。</w:t>
      </w:r>
    </w:p>
    <w:p>
      <w:pPr>
        <w:pStyle w:val="Heading3"/>
        <w:spacing w:line="240" w:lineRule="auto" w:before="182"/>
        <w:ind w:right="0"/>
        <w:jc w:val="left"/>
      </w:pPr>
      <w:r>
        <w:rPr>
          <w:rFonts w:ascii="Cambria" w:hAnsi="Cambria" w:cs="Cambria" w:eastAsia="Cambria" w:hint="default"/>
        </w:rPr>
        <w:t>3</w:t>
      </w:r>
      <w:r>
        <w:rPr/>
        <w:t>、会计期间</w:t>
      </w:r>
    </w:p>
    <w:p>
      <w:pPr>
        <w:spacing w:line="240" w:lineRule="auto" w:before="4"/>
        <w:rPr>
          <w:rFonts w:ascii="黑体" w:hAnsi="黑体" w:cs="黑体" w:eastAsia="黑体" w:hint="default"/>
          <w:sz w:val="23"/>
          <w:szCs w:val="23"/>
        </w:rPr>
      </w:pPr>
    </w:p>
    <w:p>
      <w:pPr>
        <w:pStyle w:val="Heading4"/>
        <w:spacing w:line="240" w:lineRule="auto"/>
        <w:ind w:left="594" w:right="0" w:firstLine="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4"/>
        <w:rPr>
          <w:rFonts w:ascii="宋体" w:hAnsi="宋体" w:cs="宋体" w:eastAsia="宋体" w:hint="default"/>
          <w:sz w:val="23"/>
          <w:szCs w:val="23"/>
        </w:rPr>
      </w:pPr>
    </w:p>
    <w:p>
      <w:pPr>
        <w:pStyle w:val="Heading3"/>
        <w:spacing w:line="240" w:lineRule="auto"/>
        <w:ind w:right="0"/>
        <w:jc w:val="left"/>
      </w:pPr>
      <w:r>
        <w:rPr>
          <w:rFonts w:ascii="Cambria" w:hAnsi="Cambria" w:cs="Cambria" w:eastAsia="Cambria" w:hint="default"/>
        </w:rPr>
        <w:t>4</w:t>
      </w:r>
      <w:r>
        <w:rPr/>
        <w:t>、记账本位币</w:t>
      </w:r>
    </w:p>
    <w:p>
      <w:pPr>
        <w:spacing w:line="240" w:lineRule="auto" w:before="4"/>
        <w:rPr>
          <w:rFonts w:ascii="黑体" w:hAnsi="黑体" w:cs="黑体" w:eastAsia="黑体" w:hint="default"/>
          <w:sz w:val="23"/>
          <w:szCs w:val="23"/>
        </w:rPr>
      </w:pPr>
    </w:p>
    <w:p>
      <w:pPr>
        <w:pStyle w:val="Heading4"/>
        <w:spacing w:line="240" w:lineRule="auto"/>
        <w:ind w:left="594" w:right="0" w:firstLine="0"/>
        <w:jc w:val="left"/>
      </w:pPr>
      <w:r>
        <w:rPr/>
        <w:t>本公司以人民币为记账本位币。</w:t>
      </w:r>
    </w:p>
    <w:p>
      <w:pPr>
        <w:spacing w:line="240" w:lineRule="auto" w:before="7"/>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w:t>
      </w:r>
      <w:r>
        <w:rPr/>
        <w:t>、同一控制下和非同一控制下企业合并的会计处理方法</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对于同一控制下的企业合并，作为合并方在企业合并中取得的资产和负债，按照合并日在被合并</w:t>
      </w:r>
      <w:r>
        <w:rPr>
          <w:w w:val="99"/>
        </w:rPr>
        <w:t> </w:t>
      </w:r>
      <w:r>
        <w:rPr>
          <w:spacing w:val="-1"/>
        </w:rPr>
        <w:t>方的账面价值计量，取得的净资产账面价值与支付的合并对价账面价值的差额，调整资本公积；资本</w:t>
      </w:r>
      <w:r>
        <w:rPr>
          <w:w w:val="99"/>
        </w:rPr>
        <w:t> </w:t>
      </w:r>
      <w:r>
        <w:rPr/>
        <w:t>公积不足冲减的，调整留存收益。</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对于同一控制下的企业合并，作为合并方在企业合并中取得的资产和负债，按照合并日在被合并</w:t>
      </w:r>
      <w:r>
        <w:rPr>
          <w:w w:val="99"/>
        </w:rPr>
        <w:t> </w:t>
      </w:r>
      <w:r>
        <w:rPr>
          <w:spacing w:val="-1"/>
        </w:rPr>
        <w:t>方的账面价值计量，取得的净资产账面价值与支付的合并对价账面价值的差额，调整资本公积；资本</w:t>
      </w:r>
      <w:r>
        <w:rPr>
          <w:w w:val="99"/>
        </w:rPr>
        <w:t> </w:t>
      </w:r>
      <w:r>
        <w:rPr/>
        <w:t>公积不足冲减的，调整留存收益。</w:t>
      </w:r>
    </w:p>
    <w:p>
      <w:pPr>
        <w:spacing w:after="0" w:line="391" w:lineRule="auto"/>
        <w:jc w:val="both"/>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6</w:t>
      </w:r>
      <w:r>
        <w:rPr/>
        <w:t>、合并财务报表的编制方法</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2"/>
        <w:rPr>
          <w:rFonts w:ascii="宋体" w:hAnsi="宋体" w:cs="宋体" w:eastAsia="宋体" w:hint="default"/>
          <w:b/>
          <w:bCs/>
          <w:sz w:val="29"/>
          <w:szCs w:val="29"/>
        </w:rPr>
      </w:pPr>
    </w:p>
    <w:p>
      <w:pPr>
        <w:pStyle w:val="Heading4"/>
        <w:spacing w:line="520" w:lineRule="auto"/>
        <w:ind w:left="571" w:right="2093" w:hanging="218"/>
        <w:jc w:val="left"/>
      </w:pPr>
      <w:r>
        <w:rPr/>
        <w:t>①合并范围的确定原则</w:t>
      </w:r>
      <w:r>
        <w:rPr>
          <w:w w:val="99"/>
        </w:rPr>
        <w:t> </w:t>
      </w:r>
      <w:r>
        <w:rPr/>
        <w:t>本公司将拥有实际控制权的子公司及特殊目的主体纳入合并财务报表范围。</w:t>
      </w:r>
    </w:p>
    <w:p>
      <w:pPr>
        <w:pStyle w:val="Heading4"/>
        <w:spacing w:line="240" w:lineRule="auto" w:before="78"/>
        <w:ind w:left="354" w:right="0" w:firstLine="0"/>
        <w:jc w:val="left"/>
      </w:pPr>
      <w:r>
        <w:rPr/>
        <w:t>②合并财务报表所采用的会计方法</w:t>
      </w:r>
    </w:p>
    <w:p>
      <w:pPr>
        <w:spacing w:line="240" w:lineRule="auto" w:before="9"/>
        <w:rPr>
          <w:rFonts w:ascii="宋体" w:hAnsi="宋体" w:cs="宋体" w:eastAsia="宋体" w:hint="default"/>
          <w:sz w:val="25"/>
          <w:szCs w:val="25"/>
        </w:rPr>
      </w:pPr>
    </w:p>
    <w:p>
      <w:pPr>
        <w:pStyle w:val="Heading4"/>
        <w:spacing w:line="379" w:lineRule="auto"/>
        <w:ind w:left="154" w:right="149"/>
        <w:jc w:val="both"/>
      </w:pPr>
      <w:r>
        <w:rPr>
          <w:spacing w:val="-1"/>
        </w:rPr>
        <w:t>本公司合并财务报表是按照《企业会计准则第</w:t>
      </w:r>
      <w:r>
        <w:rPr>
          <w:rFonts w:ascii="Times New Roman" w:hAnsi="Times New Roman" w:cs="Times New Roman" w:eastAsia="Times New Roman" w:hint="default"/>
          <w:spacing w:val="-1"/>
        </w:rPr>
        <w:t>33</w:t>
      </w:r>
      <w:r>
        <w:rPr>
          <w:spacing w:val="-1"/>
        </w:rPr>
        <w:t>号－合并财务报表》及相关规定的要求编制，合</w:t>
      </w:r>
      <w:r>
        <w:rPr>
          <w:w w:val="99"/>
        </w:rPr>
        <w:t> </w:t>
      </w:r>
      <w:r>
        <w:rPr>
          <w:spacing w:val="-1"/>
        </w:rPr>
        <w:t>并时合并范围内的所有重大内部交易和往来业已抵销。子公司的股东权益中不属于母公司所拥有的部</w:t>
      </w:r>
      <w:r>
        <w:rPr>
          <w:w w:val="99"/>
        </w:rPr>
        <w:t> </w:t>
      </w:r>
      <w:r>
        <w:rPr/>
        <w:t>分，作为少数股东权益在合并财务报表中股东权益项下单独列示。</w:t>
      </w:r>
    </w:p>
    <w:p>
      <w:pPr>
        <w:spacing w:line="240" w:lineRule="auto" w:before="12"/>
        <w:rPr>
          <w:rFonts w:ascii="宋体" w:hAnsi="宋体" w:cs="宋体" w:eastAsia="宋体" w:hint="default"/>
          <w:sz w:val="15"/>
          <w:szCs w:val="15"/>
        </w:rPr>
      </w:pPr>
    </w:p>
    <w:p>
      <w:pPr>
        <w:pStyle w:val="Heading4"/>
        <w:spacing w:line="391" w:lineRule="auto"/>
        <w:ind w:left="154" w:right="149"/>
        <w:jc w:val="both"/>
      </w:pPr>
      <w:r>
        <w:rPr>
          <w:spacing w:val="-1"/>
        </w:rPr>
        <w:t>子公司与本公司采用的会计政策或会计期间不一致的，在编制合并财务报表时，按照本公司的会</w:t>
      </w:r>
      <w:r>
        <w:rPr>
          <w:w w:val="99"/>
        </w:rPr>
        <w:t> </w:t>
      </w:r>
      <w:r>
        <w:rPr/>
        <w:t>计政策或会计期间对子公司财务报表进行必要的调整。</w:t>
      </w:r>
    </w:p>
    <w:p>
      <w:pPr>
        <w:pStyle w:val="Heading4"/>
        <w:spacing w:line="391" w:lineRule="auto" w:before="197"/>
        <w:ind w:left="154" w:right="149"/>
        <w:jc w:val="both"/>
      </w:pPr>
      <w:r>
        <w:rPr>
          <w:spacing w:val="-1"/>
        </w:rPr>
        <w:t>对于非同一控制下企业合并取得的子公司，在编制合并财务报表时，以购买日可辨认净资产公允</w:t>
      </w:r>
      <w:r>
        <w:rPr>
          <w:w w:val="99"/>
        </w:rPr>
        <w:t> </w:t>
      </w:r>
      <w:r>
        <w:rPr>
          <w:spacing w:val="-1"/>
        </w:rPr>
        <w:t>价值为基础对其个别财务报表进行调整；对于同一控制下企业合并取得的子公司，视同该企业于合并</w:t>
      </w:r>
      <w:r>
        <w:rPr>
          <w:w w:val="99"/>
        </w:rPr>
        <w:t> </w:t>
      </w:r>
      <w:r>
        <w:rPr>
          <w:spacing w:val="-1"/>
        </w:rPr>
        <w:t>当期的年初已经存在，从合并当期的年初起将其资产、负债、经营成果和现金流量，按原账面价值纳</w:t>
      </w:r>
      <w:r>
        <w:rPr>
          <w:w w:val="99"/>
        </w:rPr>
        <w:t> </w:t>
      </w:r>
      <w:r>
        <w:rPr/>
        <w:t>入合并财务报表。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7</w:t>
      </w:r>
      <w:r>
        <w:rPr/>
        <w:t>、现金及现金等价物的确定标准</w:t>
      </w:r>
    </w:p>
    <w:p>
      <w:pPr>
        <w:spacing w:line="240" w:lineRule="auto" w:before="4"/>
        <w:rPr>
          <w:rFonts w:ascii="黑体" w:hAnsi="黑体" w:cs="黑体" w:eastAsia="黑体" w:hint="default"/>
          <w:sz w:val="23"/>
          <w:szCs w:val="23"/>
        </w:rPr>
      </w:pPr>
    </w:p>
    <w:p>
      <w:pPr>
        <w:pStyle w:val="Heading4"/>
        <w:spacing w:line="391" w:lineRule="auto"/>
        <w:ind w:right="149"/>
        <w:jc w:val="both"/>
      </w:pPr>
      <w:r>
        <w:rPr>
          <w:spacing w:val="-1"/>
        </w:rPr>
        <w:t>本公司现金流量表之现金指库存现金以及可以随时用于支付的存款。现金流量表之现金等价物指</w:t>
      </w:r>
      <w:r>
        <w:rPr>
          <w:w w:val="99"/>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pStyle w:val="Heading3"/>
        <w:spacing w:line="240" w:lineRule="auto" w:before="151"/>
        <w:ind w:right="0"/>
        <w:jc w:val="left"/>
      </w:pPr>
      <w:r>
        <w:rPr>
          <w:rFonts w:ascii="Cambria" w:hAnsi="Cambria" w:cs="Cambria" w:eastAsia="Cambria" w:hint="default"/>
        </w:rPr>
        <w:t>8</w:t>
      </w:r>
      <w:r>
        <w:rPr/>
        <w:t>、外币业务和外币报表折算</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07"/>
        <w:jc w:val="both"/>
      </w:pPr>
      <w:r>
        <w:rPr>
          <w:w w:val="95"/>
        </w:rPr>
        <w:t>本公司外币交易按交易发生日的即期汇率将外币金额折算为人民币金额。于资产负债表日，外币</w:t>
      </w:r>
      <w:r>
        <w:rPr>
          <w:w w:val="99"/>
        </w:rPr>
        <w:t> </w:t>
      </w:r>
      <w:r>
        <w:rPr>
          <w:w w:val="95"/>
        </w:rPr>
        <w:t>货币性项目采用资产负债表日的即期汇率折算为人民币，所产生的折算差额除了为购建或生产符合资</w:t>
      </w:r>
      <w:r>
        <w:rPr>
          <w:spacing w:val="20"/>
          <w:w w:val="95"/>
        </w:rPr>
        <w:t> </w:t>
      </w:r>
      <w:r>
        <w:rPr>
          <w:spacing w:val="20"/>
          <w:w w:val="95"/>
        </w:rPr>
      </w:r>
      <w:r>
        <w:rPr/>
        <w:t>本化条件的资产而借入的外币专门借款产生的汇兑差额按资本化的原则处理外，直接计入当期损益。</w:t>
      </w:r>
      <w:r>
        <w:rPr>
          <w:w w:val="99"/>
        </w:rPr>
        <w:t> </w:t>
      </w:r>
      <w:r>
        <w:rPr>
          <w:w w:val="95"/>
        </w:rPr>
        <w:t>以公允价值计量的外币非货币性项目，采用公允价值确定日的即期汇率折算为人民币，所产生的折算</w:t>
      </w:r>
      <w:r>
        <w:rPr/>
      </w:r>
    </w:p>
    <w:p>
      <w:pPr>
        <w:spacing w:after="0" w:line="391" w:lineRule="auto"/>
        <w:jc w:val="both"/>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391" w:lineRule="auto" w:before="31"/>
        <w:ind w:left="154" w:right="134" w:firstLine="0"/>
        <w:jc w:val="left"/>
      </w:pPr>
      <w:r>
        <w:rPr>
          <w:spacing w:val="-1"/>
        </w:rPr>
        <w:t>差额，作为公允价值变动直接计入当期损益。以历史成本计量的外币非货币性项目，仍采用交易发生</w:t>
      </w:r>
      <w:r>
        <w:rPr>
          <w:w w:val="99"/>
        </w:rPr>
        <w:t> </w:t>
      </w:r>
      <w:r>
        <w:rPr/>
        <w:t>日的即期汇率折算，不改变其人民币金额。汇率变动对现金的影响额，在现金流量表中单独列示。</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2"/>
        <w:rPr>
          <w:rFonts w:ascii="宋体" w:hAnsi="宋体" w:cs="宋体" w:eastAsia="宋体" w:hint="default"/>
          <w:b/>
          <w:bCs/>
          <w:sz w:val="29"/>
          <w:szCs w:val="29"/>
        </w:rPr>
      </w:pPr>
    </w:p>
    <w:p>
      <w:pPr>
        <w:pStyle w:val="Heading4"/>
        <w:spacing w:line="379" w:lineRule="auto"/>
        <w:ind w:right="149"/>
        <w:jc w:val="both"/>
      </w:pPr>
      <w:r>
        <w:rPr>
          <w:spacing w:val="-4"/>
        </w:rPr>
        <w:t>外币资产负债表中资产、负债类项目采用资产负债表日的即期汇率折算；所有者权益类项目除</w:t>
      </w:r>
      <w:r>
        <w:rPr>
          <w:rFonts w:ascii="Times New Roman" w:hAnsi="Times New Roman" w:cs="Times New Roman" w:eastAsia="Times New Roman" w:hint="default"/>
          <w:spacing w:val="-4"/>
        </w:rPr>
        <w:t>“</w:t>
      </w:r>
      <w:r>
        <w:rPr>
          <w:spacing w:val="-4"/>
        </w:rPr>
        <w:t>未</w:t>
      </w:r>
      <w:r>
        <w:rPr>
          <w:w w:val="99"/>
        </w:rPr>
        <w:t> </w:t>
      </w: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r>
        <w:rPr>
          <w:spacing w:val="-47"/>
        </w:rPr>
        <w:t> </w:t>
      </w:r>
      <w:r>
        <w:rPr>
          <w:spacing w:val="-47"/>
        </w:rPr>
      </w:r>
      <w:r>
        <w:rPr>
          <w:spacing w:val="-1"/>
        </w:rPr>
        <w:t>期汇率的近似汇率折算。上述折算产生的外币报表折算差额，在所有者权益项目下单独列示。外币现</w:t>
      </w:r>
      <w:r>
        <w:rPr>
          <w:w w:val="99"/>
        </w:rPr>
        <w:t> </w:t>
      </w:r>
      <w:r>
        <w:rPr>
          <w:spacing w:val="-1"/>
        </w:rPr>
        <w:t>金流量采用现金流量发生日的即期汇率的近似汇率折算。汇率变动对现金的影响额，在现金流量表中</w:t>
      </w:r>
      <w:r>
        <w:rPr>
          <w:w w:val="99"/>
        </w:rPr>
        <w:t> </w:t>
      </w:r>
      <w:r>
        <w:rPr/>
        <w:t>单独列示。</w:t>
      </w:r>
    </w:p>
    <w:p>
      <w:pPr>
        <w:pStyle w:val="Heading3"/>
        <w:spacing w:line="240" w:lineRule="auto" w:before="193"/>
        <w:ind w:right="0"/>
        <w:jc w:val="left"/>
      </w:pPr>
      <w:r>
        <w:rPr>
          <w:rFonts w:ascii="Cambria" w:hAnsi="Cambria" w:cs="Cambria" w:eastAsia="Cambria" w:hint="default"/>
        </w:rPr>
        <w:t>9</w:t>
      </w:r>
      <w:r>
        <w:rPr/>
        <w:t>、金融工具</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50"/>
        <w:jc w:val="both"/>
      </w:pPr>
      <w:r>
        <w:rPr>
          <w:spacing w:val="3"/>
        </w:rPr>
        <w:t>本公司按投资目的和经济实质对拥有的金融资产分为以公允价值计量且其变动计入当期损益的</w:t>
      </w:r>
      <w:r>
        <w:rPr>
          <w:w w:val="99"/>
        </w:rPr>
        <w:t> </w:t>
      </w:r>
      <w:r>
        <w:rPr/>
        <w:t>金融资产、持有至到期投资、贷款和应收款项及可供出售金融资产四大类。</w:t>
      </w:r>
    </w:p>
    <w:p>
      <w:pPr>
        <w:pStyle w:val="Heading4"/>
        <w:spacing w:line="391" w:lineRule="auto" w:before="197"/>
        <w:ind w:right="150"/>
        <w:jc w:val="both"/>
      </w:pPr>
      <w:r>
        <w:rPr>
          <w:spacing w:val="3"/>
        </w:rPr>
        <w:t>以公允价值计量且其变动计入当期损益的金融资产是指持有的主要目的为短期内出售的金融资</w:t>
      </w:r>
      <w:r>
        <w:rPr>
          <w:w w:val="99"/>
        </w:rPr>
        <w:t> </w:t>
      </w:r>
      <w:r>
        <w:rPr/>
        <w:t>产，在资产负债表中以交易性金融资产列示。</w:t>
      </w:r>
    </w:p>
    <w:p>
      <w:pPr>
        <w:pStyle w:val="Heading4"/>
        <w:spacing w:line="391" w:lineRule="auto" w:before="197"/>
        <w:ind w:right="149"/>
        <w:jc w:val="both"/>
      </w:pPr>
      <w:r>
        <w:rPr>
          <w:spacing w:val="-1"/>
        </w:rPr>
        <w:t>持有至到期投资是指到期日固定、回收金额固定或可确定，且管理层有明确意图和能力持有至到</w:t>
      </w:r>
      <w:r>
        <w:rPr>
          <w:w w:val="99"/>
        </w:rPr>
        <w:t> </w:t>
      </w:r>
      <w:r>
        <w:rPr/>
        <w:t>期的非衍生金融资产。</w:t>
      </w:r>
    </w:p>
    <w:p>
      <w:pPr>
        <w:pStyle w:val="Heading4"/>
        <w:spacing w:line="240" w:lineRule="auto" w:before="197"/>
        <w:ind w:left="594" w:right="0" w:firstLine="0"/>
        <w:jc w:val="left"/>
      </w:pPr>
      <w:r>
        <w:rPr/>
        <w:t>贷款和应收款项是指在活跃市场中没有报价，回收金额固定或可确定的非衍生金融资产。</w:t>
      </w:r>
    </w:p>
    <w:p>
      <w:pPr>
        <w:spacing w:line="240" w:lineRule="auto" w:before="9"/>
        <w:rPr>
          <w:rFonts w:ascii="宋体" w:hAnsi="宋体" w:cs="宋体" w:eastAsia="宋体" w:hint="default"/>
          <w:sz w:val="25"/>
          <w:szCs w:val="25"/>
        </w:rPr>
      </w:pPr>
    </w:p>
    <w:p>
      <w:pPr>
        <w:pStyle w:val="Heading4"/>
        <w:spacing w:line="391" w:lineRule="auto"/>
        <w:ind w:right="150"/>
        <w:jc w:val="both"/>
      </w:pPr>
      <w:r>
        <w:rPr>
          <w:spacing w:val="3"/>
        </w:rPr>
        <w:t>可供出售金融资产包括初始确认时即被指定为可供出售的非衍生金融资产及未被划分为其他类</w:t>
      </w:r>
      <w:r>
        <w:rPr>
          <w:w w:val="99"/>
        </w:rPr>
        <w:t> </w:t>
      </w:r>
      <w:r>
        <w:rPr/>
        <w:t>的金融资产。</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金融资产于本公司成为金融工具合同的一方时，按公允价值在资产负债表内确认。以公允价值计</w:t>
      </w:r>
      <w:r>
        <w:rPr>
          <w:w w:val="99"/>
        </w:rPr>
        <w:t> </w:t>
      </w:r>
      <w:r>
        <w:rPr>
          <w:spacing w:val="-1"/>
        </w:rPr>
        <w:t>量且其变动计入当期损益的金融资产，取得时发生的相关交易费用计入当期损益，其他金融资产的相</w:t>
      </w:r>
      <w:r>
        <w:rPr>
          <w:w w:val="99"/>
        </w:rPr>
        <w:t> </w:t>
      </w:r>
      <w:r>
        <w:rPr/>
        <w:t>关交易费用计入初始确认金额。</w:t>
      </w:r>
    </w:p>
    <w:p>
      <w:pPr>
        <w:pStyle w:val="Heading4"/>
        <w:spacing w:line="240" w:lineRule="auto" w:before="197"/>
        <w:ind w:left="594" w:right="0" w:firstLine="0"/>
        <w:jc w:val="left"/>
      </w:pPr>
      <w:r>
        <w:rPr>
          <w:spacing w:val="3"/>
        </w:rPr>
        <w:t>以公允价值计量且其变动计入当期损益的金融资产和可供出售金融资产按照公允价值进行后续</w:t>
      </w:r>
    </w:p>
    <w:p>
      <w:pPr>
        <w:spacing w:after="0" w:line="240" w:lineRule="auto"/>
        <w:jc w:val="left"/>
        <w:sectPr>
          <w:footerReference w:type="default" r:id="rId32"/>
          <w:pgSz w:w="11910" w:h="16840"/>
          <w:pgMar w:footer="1252" w:header="997" w:top="1340" w:bottom="1440" w:left="980" w:right="980"/>
          <w:pgNumType w:start="97"/>
        </w:sectPr>
      </w:pPr>
    </w:p>
    <w:p>
      <w:pPr>
        <w:spacing w:line="240" w:lineRule="auto" w:before="12"/>
        <w:rPr>
          <w:rFonts w:ascii="宋体" w:hAnsi="宋体" w:cs="宋体" w:eastAsia="宋体" w:hint="default"/>
          <w:sz w:val="10"/>
          <w:szCs w:val="10"/>
        </w:rPr>
      </w:pPr>
    </w:p>
    <w:p>
      <w:pPr>
        <w:pStyle w:val="Heading4"/>
        <w:spacing w:line="240" w:lineRule="auto" w:before="31"/>
        <w:ind w:left="154" w:right="0" w:firstLine="0"/>
        <w:jc w:val="left"/>
      </w:pPr>
      <w:r>
        <w:rPr/>
        <w:t>计量；贷款和应收款项以及持有至到期投资采用实际利率法，以摊余成本列示。</w:t>
      </w:r>
    </w:p>
    <w:p>
      <w:pPr>
        <w:spacing w:line="240" w:lineRule="auto" w:before="9"/>
        <w:rPr>
          <w:rFonts w:ascii="宋体" w:hAnsi="宋体" w:cs="宋体" w:eastAsia="宋体" w:hint="default"/>
          <w:sz w:val="25"/>
          <w:szCs w:val="25"/>
        </w:rPr>
      </w:pPr>
    </w:p>
    <w:p>
      <w:pPr>
        <w:pStyle w:val="Heading4"/>
        <w:spacing w:line="391" w:lineRule="auto"/>
        <w:ind w:left="154" w:right="149"/>
        <w:jc w:val="both"/>
      </w:pPr>
      <w:r>
        <w:rPr>
          <w:spacing w:val="-1"/>
        </w:rPr>
        <w:t>以公允价值计量且其变动计入当期损益的金融资产的公允价值变动计入公允价值变动损益；在资</w:t>
      </w:r>
      <w:r>
        <w:rPr>
          <w:w w:val="99"/>
        </w:rPr>
        <w:t> </w:t>
      </w:r>
      <w:r>
        <w:rPr>
          <w:spacing w:val="-1"/>
        </w:rPr>
        <w:t>产持有期间所取得的利息或现金股利，确认为投资收益；处置时，其公允价值与初始入账金额之间的</w:t>
      </w:r>
      <w:r>
        <w:rPr>
          <w:w w:val="99"/>
        </w:rPr>
        <w:t> </w:t>
      </w:r>
      <w:r>
        <w:rPr/>
        <w:t>差额确认为投资损益，同时调整公允价值变动损益。</w:t>
      </w:r>
    </w:p>
    <w:p>
      <w:pPr>
        <w:pStyle w:val="Heading4"/>
        <w:spacing w:line="391" w:lineRule="auto" w:before="197"/>
        <w:ind w:left="154" w:right="149"/>
        <w:jc w:val="both"/>
      </w:pPr>
      <w:r>
        <w:rPr>
          <w:spacing w:val="-1"/>
        </w:rPr>
        <w:t>除减值损失及外币货币性金融资产形成的汇兑损益外，可供出售金融资产公允价值变动直接计入</w:t>
      </w:r>
      <w:r>
        <w:rPr>
          <w:w w:val="99"/>
        </w:rPr>
        <w:t> </w:t>
      </w:r>
      <w:r>
        <w:rPr>
          <w:spacing w:val="-1"/>
        </w:rPr>
        <w:t>股东权益，待该金融资产终止确认时，原直接计入权益的公允价值变动累计额转入当期损益。可供出</w:t>
      </w:r>
      <w:r>
        <w:rPr>
          <w:w w:val="99"/>
        </w:rPr>
        <w:t> </w:t>
      </w:r>
      <w:r>
        <w:rPr>
          <w:spacing w:val="-1"/>
        </w:rPr>
        <w:t>售债务工具投资在持有期间按实际利率法计算的利息，以及被投资单位宣告发放的与可供出售权益工</w:t>
      </w:r>
      <w:r>
        <w:rPr>
          <w:w w:val="99"/>
        </w:rPr>
        <w:t> </w:t>
      </w:r>
      <w:r>
        <w:rPr/>
        <w:t>具投资相关的现金股利，作为投资收益计入当期损益。</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金融资产满足下列条件之一的，予以终止确认：①收取该金融资产现金流量的合同权利终止；②</w:t>
      </w:r>
      <w:r>
        <w:rPr>
          <w:w w:val="99"/>
        </w:rPr>
        <w:t> </w:t>
      </w:r>
      <w:r>
        <w:rPr>
          <w:spacing w:val="-1"/>
        </w:rPr>
        <w:t>该金融资产已转移，且本公司将金融资产所有权上几乎所有的风险和报酬转移给转入方；③该金融资</w:t>
      </w:r>
      <w:r>
        <w:rPr>
          <w:w w:val="99"/>
        </w:rPr>
        <w:t> </w:t>
      </w:r>
      <w:r>
        <w:rPr>
          <w:spacing w:val="-1"/>
        </w:rPr>
        <w:t>产已转移，虽然本公司既没有转移也没有保留金融资产所有权上几乎所有的风险和报酬，但是放弃了</w:t>
      </w:r>
      <w:r>
        <w:rPr>
          <w:w w:val="99"/>
        </w:rPr>
        <w:t> </w:t>
      </w:r>
      <w:r>
        <w:rPr/>
        <w:t>对该金融资产控制。</w:t>
      </w:r>
    </w:p>
    <w:p>
      <w:pPr>
        <w:pStyle w:val="Heading4"/>
        <w:spacing w:line="391" w:lineRule="auto" w:before="197"/>
        <w:ind w:right="149"/>
        <w:jc w:val="both"/>
      </w:pPr>
      <w:r>
        <w:rPr>
          <w:spacing w:val="-1"/>
        </w:rPr>
        <w:t>企业既没有转移也没有保留金融资产所有权上几乎所有的风险和报酬，且未放弃对该金融资产控</w:t>
      </w:r>
      <w:r>
        <w:rPr>
          <w:w w:val="99"/>
        </w:rPr>
        <w:t> </w:t>
      </w:r>
      <w:r>
        <w:rPr>
          <w:spacing w:val="-1"/>
        </w:rPr>
        <w:t>制的，则按照其继续涉入所转移金融资产的程度确认有关金融资产，并相应确认有关负债。继续涉入</w:t>
      </w:r>
      <w:r>
        <w:rPr>
          <w:w w:val="99"/>
        </w:rPr>
        <w:t> </w:t>
      </w:r>
      <w:r>
        <w:rPr/>
        <w:t>所转移金融资产的程度，是指该金融资产价值变动使企业面临的风险水平。</w:t>
      </w:r>
    </w:p>
    <w:p>
      <w:pPr>
        <w:pStyle w:val="Heading4"/>
        <w:spacing w:line="391" w:lineRule="auto" w:before="197"/>
        <w:ind w:right="149"/>
        <w:jc w:val="both"/>
      </w:pPr>
      <w:r>
        <w:rPr>
          <w:spacing w:val="-1"/>
        </w:rPr>
        <w:t>金融资产整体转移满足终止确认条件的，将所转移金融资产的账面价值，与因转移而收到的对价</w:t>
      </w:r>
      <w:r>
        <w:rPr>
          <w:w w:val="99"/>
        </w:rPr>
        <w:t> </w:t>
      </w:r>
      <w:r>
        <w:rPr/>
        <w:t>及原计入其他综合收益的公允价值变动累计额之和的差额计入当期损益。</w:t>
      </w:r>
    </w:p>
    <w:p>
      <w:pPr>
        <w:pStyle w:val="Heading4"/>
        <w:spacing w:line="391" w:lineRule="auto" w:before="197"/>
        <w:ind w:right="149"/>
        <w:jc w:val="both"/>
      </w:pPr>
      <w:r>
        <w:rPr>
          <w:spacing w:val="-1"/>
        </w:rPr>
        <w:t>金融资产部分转移满足终止确认条件的，将所转移金融资产整体的账面价值，在终止确认部分和</w:t>
      </w:r>
      <w:r>
        <w:rPr>
          <w:w w:val="99"/>
        </w:rPr>
        <w:t> </w:t>
      </w:r>
      <w:r>
        <w:rPr>
          <w:spacing w:val="-1"/>
        </w:rPr>
        <w:t>未终止确认部分之间，按照各自的相对公允价值进行分摊，并将因转移而收到的对价及应分摊至终止</w:t>
      </w:r>
      <w:r>
        <w:rPr>
          <w:w w:val="99"/>
        </w:rPr>
        <w:t> </w:t>
      </w:r>
      <w:r>
        <w:rPr>
          <w:spacing w:val="-1"/>
        </w:rPr>
        <w:t>确认部分的原计入其他综合收益的公允价值变动累计额之和，与分摊的前述账面金额的差额计入当期</w:t>
      </w:r>
      <w:r>
        <w:rPr>
          <w:w w:val="99"/>
        </w:rPr>
        <w:t> </w:t>
      </w:r>
      <w:r>
        <w:rPr/>
        <w:t>损益。</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50"/>
        <w:jc w:val="both"/>
      </w:pPr>
      <w:r>
        <w:rPr>
          <w:spacing w:val="3"/>
        </w:rPr>
        <w:t>本公司的金融负债于初始确认时分类为以公允价值计量且其变动计入当期损益的金融负债和其</w:t>
      </w:r>
      <w:r>
        <w:rPr>
          <w:w w:val="99"/>
        </w:rPr>
        <w:t> </w:t>
      </w:r>
      <w:r>
        <w:rPr/>
        <w:t>他金融负债。</w:t>
      </w:r>
    </w:p>
    <w:p>
      <w:pPr>
        <w:spacing w:after="0" w:line="391" w:lineRule="auto"/>
        <w:jc w:val="both"/>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391" w:lineRule="auto" w:before="31"/>
        <w:ind w:right="149"/>
        <w:jc w:val="both"/>
      </w:pPr>
      <w:r>
        <w:rPr>
          <w:spacing w:val="-1"/>
        </w:rPr>
        <w:t>以公允价值计量且其变动计入当期损益的金融负债，包括交易性金融负债和初始确认时指定为以</w:t>
      </w:r>
      <w:r>
        <w:rPr>
          <w:w w:val="99"/>
        </w:rPr>
        <w:t> </w:t>
      </w:r>
      <w:r>
        <w:rPr>
          <w:spacing w:val="-1"/>
        </w:rPr>
        <w:t>公允价值计量且其变动计入当期损益的金融负债，按照公允价值进行后续计量，公允价值变动形成的</w:t>
      </w:r>
      <w:r>
        <w:rPr>
          <w:w w:val="99"/>
        </w:rPr>
        <w:t> </w:t>
      </w:r>
      <w:r>
        <w:rPr/>
        <w:t>利得或损失以及与该金融负债相关的股利和利息支出计入当期损益。</w:t>
      </w:r>
    </w:p>
    <w:p>
      <w:pPr>
        <w:pStyle w:val="Heading4"/>
        <w:spacing w:line="240" w:lineRule="auto" w:before="197"/>
        <w:ind w:left="594" w:right="0" w:firstLine="0"/>
        <w:jc w:val="left"/>
      </w:pPr>
      <w:r>
        <w:rPr/>
        <w:t>其他金融负债采用实际利率法，按照摊余成本进行后续计量。</w:t>
      </w:r>
    </w:p>
    <w:p>
      <w:pPr>
        <w:spacing w:line="240" w:lineRule="auto" w:before="9"/>
        <w:rPr>
          <w:rFonts w:ascii="宋体" w:hAnsi="宋体" w:cs="宋体" w:eastAsia="宋体" w:hint="default"/>
          <w:sz w:val="25"/>
          <w:szCs w:val="25"/>
        </w:rPr>
      </w:pPr>
    </w:p>
    <w:p>
      <w:pPr>
        <w:pStyle w:val="Heading4"/>
        <w:spacing w:line="391" w:lineRule="auto"/>
        <w:ind w:right="149"/>
        <w:jc w:val="both"/>
      </w:pPr>
      <w:r>
        <w:rPr>
          <w:spacing w:val="-1"/>
        </w:rPr>
        <w:t>当金融负债的现时义务全部或部分已经解除时，终止确认该金融负债或义务已解除的部分。终止</w:t>
      </w:r>
      <w:r>
        <w:rPr>
          <w:w w:val="99"/>
        </w:rPr>
        <w:t> </w:t>
      </w:r>
      <w:r>
        <w:rPr/>
        <w:t>确认部分的账面价值与支付的对价之间的差额，计入当期损益。</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07"/>
        <w:jc w:val="both"/>
      </w:pPr>
      <w:r>
        <w:rPr>
          <w:w w:val="95"/>
        </w:rPr>
        <w:t>①金融工具存在活跃市场的，活跃市场中的市场报价用于确定其公允价值。在活跃市场上，本公</w:t>
      </w:r>
      <w:r>
        <w:rPr>
          <w:w w:val="99"/>
        </w:rPr>
        <w:t> </w:t>
      </w:r>
      <w:r>
        <w:rPr>
          <w:w w:val="95"/>
        </w:rPr>
        <w:t>司已持有的金融资产或拟承担的金融负债以现行出价作为相应资产或负债的公允价值；本公司拟购入</w:t>
      </w:r>
      <w:r>
        <w:rPr>
          <w:spacing w:val="20"/>
          <w:w w:val="95"/>
        </w:rPr>
        <w:t> </w:t>
      </w:r>
      <w:r>
        <w:rPr>
          <w:spacing w:val="20"/>
          <w:w w:val="95"/>
        </w:rPr>
      </w:r>
      <w:r>
        <w:rPr>
          <w:w w:val="95"/>
        </w:rPr>
        <w:t>的金融资产或已承担的金融负债以现行要价作为相应资产或负债的公允价值。金融资产或金融负债没</w:t>
      </w:r>
      <w:r>
        <w:rPr>
          <w:spacing w:val="20"/>
          <w:w w:val="95"/>
        </w:rPr>
        <w:t> </w:t>
      </w:r>
      <w:r>
        <w:rPr>
          <w:spacing w:val="20"/>
          <w:w w:val="95"/>
        </w:rPr>
      </w:r>
      <w:r>
        <w:rPr>
          <w:w w:val="95"/>
        </w:rPr>
        <w:t>有现行出价和要价，但最近交易日后经济环境没有发生重大变化的，则采用最近交易的市场报价确定</w:t>
      </w:r>
      <w:r>
        <w:rPr>
          <w:spacing w:val="20"/>
          <w:w w:val="95"/>
        </w:rPr>
        <w:t> </w:t>
      </w:r>
      <w:r>
        <w:rPr>
          <w:spacing w:val="20"/>
          <w:w w:val="95"/>
        </w:rPr>
      </w:r>
      <w:r>
        <w:rPr>
          <w:w w:val="95"/>
        </w:rPr>
        <w:t>该金融资产或金融负债的公允价值。最近交易日后经济环境发生了重大变化时，参考类似金融资产或</w:t>
      </w:r>
      <w:r>
        <w:rPr>
          <w:spacing w:val="20"/>
          <w:w w:val="95"/>
        </w:rPr>
        <w:t> </w:t>
      </w:r>
      <w:r>
        <w:rPr>
          <w:spacing w:val="20"/>
          <w:w w:val="95"/>
        </w:rPr>
      </w:r>
      <w:r>
        <w:rPr/>
        <w:t>金融负债的现行价格或利率，调整最近交易的市场报价，以确定该金融资产或金融负债的公允价值。</w:t>
      </w:r>
      <w:r>
        <w:rPr>
          <w:w w:val="99"/>
        </w:rPr>
        <w:t> </w:t>
      </w:r>
      <w:r>
        <w:rPr>
          <w:spacing w:val="3"/>
        </w:rPr>
        <w:t>本公司有足够的证据表明最近交易的市场报价不是公允价值的，对最近交易的市场报价作出适当调</w:t>
      </w:r>
      <w:r>
        <w:rPr>
          <w:spacing w:val="-93"/>
        </w:rPr>
        <w:t> </w:t>
      </w:r>
      <w:r>
        <w:rPr>
          <w:spacing w:val="-93"/>
        </w:rPr>
      </w:r>
      <w:r>
        <w:rPr/>
        <w:t>整，以确定该金融资产或金融负债的公允价值。</w:t>
      </w:r>
    </w:p>
    <w:p>
      <w:pPr>
        <w:pStyle w:val="Heading4"/>
        <w:spacing w:line="391" w:lineRule="auto" w:before="197"/>
        <w:ind w:right="107"/>
        <w:jc w:val="both"/>
      </w:pPr>
      <w:r>
        <w:rPr>
          <w:w w:val="95"/>
        </w:rPr>
        <w:t>②金融工具不存在活跃市场的，采用估值技术确定其公允价值。估值技术包括参考熟悉情况并自</w:t>
      </w:r>
      <w:r>
        <w:rPr>
          <w:w w:val="99"/>
        </w:rPr>
        <w:t> </w:t>
      </w:r>
      <w:r>
        <w:rPr/>
        <w:t>愿交易的各方最近进行的市场交易中使用的价格、参照实质上相同的其他金融资产的当前公允价值、</w:t>
      </w:r>
      <w:r>
        <w:rPr>
          <w:w w:val="99"/>
        </w:rPr>
        <w:t> </w:t>
      </w:r>
      <w:r>
        <w:rPr/>
        <w:t>现金流量折现法和期权定价模型等。</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除以公允价值计量且其变动计入当期损益的金融资产外，本公司于资产负债表日对其他金融资产</w:t>
      </w:r>
      <w:r>
        <w:rPr>
          <w:w w:val="99"/>
        </w:rPr>
        <w:t> </w:t>
      </w:r>
      <w:r>
        <w:rPr/>
        <w:t>的账面价值进行检查，如果有客观证据表明某项金融资产发生减值的，计提减值准备。</w:t>
      </w:r>
    </w:p>
    <w:p>
      <w:pPr>
        <w:pStyle w:val="Heading4"/>
        <w:spacing w:line="379" w:lineRule="auto" w:before="197"/>
        <w:ind w:right="148"/>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现值低于账面价值的差额，计提减值准备。如果有客观证据表明该金融资产价值已恢复，且客观上与</w:t>
      </w:r>
      <w:r>
        <w:rPr>
          <w:w w:val="99"/>
        </w:rPr>
        <w:t> </w:t>
      </w:r>
      <w:r>
        <w:rPr/>
        <w:t>确认该损失后发生的事项有关，原确认的减值损失予以转回，计入当期损益。</w:t>
      </w:r>
    </w:p>
    <w:p>
      <w:pPr>
        <w:spacing w:line="240" w:lineRule="auto" w:before="12"/>
        <w:rPr>
          <w:rFonts w:ascii="宋体" w:hAnsi="宋体" w:cs="宋体" w:eastAsia="宋体" w:hint="default"/>
          <w:sz w:val="15"/>
          <w:szCs w:val="15"/>
        </w:rPr>
      </w:pPr>
    </w:p>
    <w:p>
      <w:pPr>
        <w:pStyle w:val="Heading4"/>
        <w:spacing w:line="391" w:lineRule="auto"/>
        <w:ind w:right="149"/>
        <w:jc w:val="both"/>
      </w:pPr>
      <w:r>
        <w:rPr>
          <w:spacing w:val="-1"/>
        </w:rPr>
        <w:t>当可供出售金融资产的公允价值发生较大幅度或非暂时性下降，原直接计入股东权益的因公允价</w:t>
      </w:r>
      <w:r>
        <w:rPr>
          <w:w w:val="99"/>
        </w:rPr>
        <w:t> </w:t>
      </w:r>
      <w:r>
        <w:rPr>
          <w:spacing w:val="-1"/>
        </w:rPr>
        <w:t>值下降形成的累计损失予以转出并计入减值损失。对已确认减值损失的可供出售债务工具投资，在期</w:t>
      </w:r>
    </w:p>
    <w:p>
      <w:pPr>
        <w:spacing w:after="0" w:line="391" w:lineRule="auto"/>
        <w:jc w:val="both"/>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391" w:lineRule="auto" w:before="31"/>
        <w:ind w:left="154" w:right="134" w:firstLine="0"/>
        <w:jc w:val="left"/>
      </w:pPr>
      <w:r>
        <w:rPr>
          <w:spacing w:val="-1"/>
        </w:rPr>
        <w:t>后公允价值上升且客观上与确认原减值损失后发生的事项有关的，原确认的减值损失予以转回并计入</w:t>
      </w:r>
      <w:r>
        <w:rPr>
          <w:w w:val="99"/>
        </w:rPr>
        <w:t> </w:t>
      </w:r>
      <w:r>
        <w:rPr/>
        <w:t>当期损益。对已确认减值损失的可供出售权益工具投资，期后公允价值上升直接计入股东权益。</w:t>
      </w:r>
    </w:p>
    <w:p>
      <w:pPr>
        <w:spacing w:line="240" w:lineRule="auto" w:before="11"/>
        <w:rPr>
          <w:rFonts w:ascii="宋体" w:hAnsi="宋体" w:cs="宋体" w:eastAsia="宋体" w:hint="default"/>
          <w:sz w:val="20"/>
          <w:szCs w:val="20"/>
        </w:rPr>
      </w:pPr>
    </w:p>
    <w:p>
      <w:pPr>
        <w:pStyle w:val="Heading5"/>
        <w:spacing w:line="568" w:lineRule="auto"/>
        <w:ind w:left="574" w:right="-242" w:hanging="421"/>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10</w:t>
      </w:r>
      <w:r>
        <w:rPr/>
        <w:t>、应收款项坏账准备的确认标准和计提方法</w:t>
      </w:r>
    </w:p>
    <w:p>
      <w:pPr>
        <w:spacing w:line="240" w:lineRule="auto" w:before="4"/>
        <w:rPr>
          <w:rFonts w:ascii="黑体" w:hAnsi="黑体" w:cs="黑体" w:eastAsia="黑体" w:hint="default"/>
          <w:sz w:val="23"/>
          <w:szCs w:val="23"/>
        </w:rPr>
      </w:pPr>
    </w:p>
    <w:p>
      <w:pPr>
        <w:pStyle w:val="Heading4"/>
        <w:spacing w:line="391" w:lineRule="auto"/>
        <w:ind w:right="149"/>
        <w:jc w:val="both"/>
      </w:pPr>
      <w:r>
        <w:rPr>
          <w:spacing w:val="-1"/>
        </w:rPr>
        <w:t>本公司将下列情形作为应收款项坏账损失确认标准：债务单位撤销、破产、资不抵债、现金流量</w:t>
      </w:r>
      <w:r>
        <w:rPr>
          <w:w w:val="99"/>
        </w:rPr>
        <w:t> </w:t>
      </w:r>
      <w:r>
        <w:rPr>
          <w:spacing w:val="-1"/>
        </w:rPr>
        <w:t>严重不足、发生严重自然灾害等导致停产而在可预见的时间内无法偿付债务等；债务单位逾期未履行</w:t>
      </w:r>
      <w:r>
        <w:rPr>
          <w:w w:val="99"/>
        </w:rPr>
        <w:t> </w:t>
      </w:r>
      <w:r>
        <w:rPr/>
        <w:t>偿债义务超过</w:t>
      </w:r>
      <w:r>
        <w:rPr>
          <w:rFonts w:ascii="Times New Roman" w:hAnsi="Times New Roman" w:cs="Times New Roman" w:eastAsia="Times New Roman" w:hint="default"/>
        </w:rPr>
        <w:t>5</w:t>
      </w:r>
      <w:r>
        <w:rPr/>
        <w:t>年；其他确凿证据表明确实无法收回或收回的可能性不大。</w:t>
      </w:r>
    </w:p>
    <w:p>
      <w:pPr>
        <w:pStyle w:val="Heading4"/>
        <w:spacing w:line="391" w:lineRule="auto" w:before="166"/>
        <w:ind w:right="107"/>
        <w:jc w:val="both"/>
      </w:pPr>
      <w:r>
        <w:rPr/>
        <w:t>对可能发生的坏账损失采用备抵法核算，期末按账龄分析法与个别认定法相结合计提坏账准备，</w:t>
      </w:r>
      <w:r>
        <w:rPr>
          <w:w w:val="99"/>
        </w:rPr>
        <w:t> </w:t>
      </w:r>
      <w:r>
        <w:rPr>
          <w:w w:val="95"/>
        </w:rPr>
        <w:t>计入当期损益。对于有确凿证据表明确实无法收回的应收款项，经本公司按规定程序批准后作为坏账</w:t>
      </w:r>
      <w:r>
        <w:rPr>
          <w:spacing w:val="20"/>
          <w:w w:val="95"/>
        </w:rPr>
        <w:t> </w:t>
      </w:r>
      <w:r>
        <w:rPr>
          <w:spacing w:val="20"/>
          <w:w w:val="95"/>
        </w:rPr>
      </w:r>
      <w:r>
        <w:rPr/>
        <w:t>损失，冲销提取的坏账准备。</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50"/>
        <w:gridCol w:w="6318"/>
      </w:tblGrid>
      <w:tr>
        <w:trPr>
          <w:trHeight w:val="370" w:hRule="exact"/>
        </w:trPr>
        <w:tc>
          <w:tcPr>
            <w:tcW w:w="3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79"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6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left="717" w:right="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万元的应收款项视为重大应收款项</w:t>
            </w:r>
          </w:p>
        </w:tc>
      </w:tr>
      <w:tr>
        <w:trPr>
          <w:trHeight w:val="727" w:hRule="exact"/>
        </w:trPr>
        <w:tc>
          <w:tcPr>
            <w:tcW w:w="3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1353" w:right="75" w:hanging="1264"/>
              <w:jc w:val="left"/>
              <w:rPr>
                <w:rFonts w:ascii="宋体" w:hAnsi="宋体" w:cs="宋体" w:eastAsia="宋体" w:hint="default"/>
                <w:sz w:val="18"/>
                <w:szCs w:val="18"/>
              </w:rPr>
            </w:pPr>
            <w:r>
              <w:rPr>
                <w:rFonts w:ascii="宋体" w:hAnsi="宋体" w:cs="宋体" w:eastAsia="宋体" w:hint="default"/>
                <w:b/>
                <w:bCs/>
                <w:sz w:val="18"/>
                <w:szCs w:val="18"/>
              </w:rPr>
              <w:t>单项金额重大并单项计提坏账准备的计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提方法</w:t>
            </w:r>
            <w:r>
              <w:rPr>
                <w:rFonts w:ascii="宋体" w:hAnsi="宋体" w:cs="宋体" w:eastAsia="宋体" w:hint="default"/>
                <w:sz w:val="18"/>
                <w:szCs w:val="18"/>
              </w:rPr>
            </w:r>
          </w:p>
        </w:tc>
        <w:tc>
          <w:tcPr>
            <w:tcW w:w="6318" w:type="dxa"/>
            <w:tcBorders>
              <w:top w:val="single" w:sz="4" w:space="0" w:color="000000"/>
              <w:left w:val="single" w:sz="13" w:space="0" w:color="D3D3D3"/>
              <w:bottom w:val="single" w:sz="4" w:space="0" w:color="000000"/>
              <w:right w:val="single" w:sz="4" w:space="0" w:color="000000"/>
            </w:tcBorders>
          </w:tcPr>
          <w:p>
            <w:pPr>
              <w:pStyle w:val="TableParagraph"/>
              <w:spacing w:line="364" w:lineRule="auto" w:before="33"/>
              <w:ind w:left="22" w:right="19"/>
              <w:jc w:val="left"/>
              <w:rPr>
                <w:rFonts w:ascii="宋体" w:hAnsi="宋体" w:cs="宋体" w:eastAsia="宋体" w:hint="default"/>
                <w:sz w:val="18"/>
                <w:szCs w:val="18"/>
              </w:rPr>
            </w:pPr>
            <w:r>
              <w:rPr>
                <w:rFonts w:ascii="宋体" w:hAnsi="宋体" w:cs="宋体" w:eastAsia="宋体" w:hint="default"/>
                <w:spacing w:val="-2"/>
                <w:sz w:val="18"/>
                <w:szCs w:val="18"/>
              </w:rPr>
              <w:t>当存在客观证据表明本公司将无法按应收款项的原有条款收回所有款项时，根据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其未来现金流量现值低于其账面价值的差额，单独进行减值测试，计提坏账准备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3"/>
        <w:gridCol w:w="2942"/>
        <w:gridCol w:w="4782"/>
      </w:tblGrid>
      <w:tr>
        <w:trPr>
          <w:trHeight w:val="478"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按组合计提坏账准备的计提方法</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47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按账龄分析法计提账龄组合坏账准备</w:t>
            </w:r>
          </w:p>
        </w:tc>
      </w:tr>
    </w:tbl>
    <w:p>
      <w:pPr>
        <w:spacing w:line="240" w:lineRule="auto" w:before="1"/>
        <w:rPr>
          <w:rFonts w:ascii="宋体" w:hAnsi="宋体" w:cs="宋体" w:eastAsia="宋体" w:hint="default"/>
          <w:b/>
          <w:bCs/>
          <w:sz w:val="14"/>
          <w:szCs w:val="14"/>
        </w:rPr>
      </w:pPr>
    </w:p>
    <w:p>
      <w:pPr>
        <w:pStyle w:val="BodyText"/>
        <w:spacing w:line="240" w:lineRule="auto" w:before="35"/>
        <w:ind w:right="0"/>
        <w:jc w:val="left"/>
      </w:pPr>
      <w:r>
        <w:rPr/>
        <w:t>组合中，采用账龄分析法计提坏账准备的</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79"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5%</w:t>
            </w:r>
          </w:p>
        </w:tc>
      </w:tr>
      <w:tr>
        <w:trPr>
          <w:trHeight w:val="478"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w:t>
            </w:r>
          </w:p>
        </w:tc>
      </w:tr>
      <w:tr>
        <w:trPr>
          <w:trHeight w:val="479"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20%</w:t>
            </w:r>
          </w:p>
        </w:tc>
      </w:tr>
      <w:tr>
        <w:trPr>
          <w:trHeight w:val="478"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center"/>
        <w:rPr>
          <w:rFonts w:ascii="Times New Roman" w:hAnsi="Times New Roman" w:cs="Times New Roman" w:eastAsia="Times New Roman" w:hint="default"/>
          <w:sz w:val="18"/>
          <w:szCs w:val="18"/>
        </w:rPr>
        <w:sectPr>
          <w:footerReference w:type="default" r:id="rId33"/>
          <w:pgSz w:w="11910" w:h="16840"/>
          <w:pgMar w:footer="1252" w:header="997" w:top="1340" w:bottom="1440" w:left="980" w:right="980"/>
          <w:pgNumType w:start="10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79"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组合中，采用余额百分比法计提坏账准备的</w:t>
      </w:r>
    </w:p>
    <w:p>
      <w:pPr>
        <w:spacing w:line="240" w:lineRule="auto" w:before="9"/>
        <w:rPr>
          <w:rFonts w:ascii="宋体" w:hAnsi="宋体" w:cs="宋体" w:eastAsia="宋体" w:hint="default"/>
          <w:sz w:val="26"/>
          <w:szCs w:val="26"/>
        </w:rPr>
      </w:pPr>
    </w:p>
    <w:p>
      <w:pPr>
        <w:pStyle w:val="BodyText"/>
        <w:spacing w:line="516" w:lineRule="auto"/>
        <w:ind w:right="578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w:t>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11</w:t>
      </w:r>
      <w:r>
        <w:rPr/>
        <w:t>、存货</w:t>
      </w:r>
    </w:p>
    <w:p>
      <w:pPr>
        <w:spacing w:line="240" w:lineRule="auto" w:before="1"/>
        <w:rPr>
          <w:rFonts w:ascii="黑体" w:hAnsi="黑体" w:cs="黑体" w:eastAsia="黑体" w:hint="default"/>
          <w:sz w:val="29"/>
          <w:szCs w:val="29"/>
        </w:rPr>
      </w:pPr>
    </w:p>
    <w:p>
      <w:pPr>
        <w:spacing w:line="568" w:lineRule="auto" w:before="0"/>
        <w:ind w:left="574" w:right="452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本公司存货主要包括原材料、库存商品、发出商品等</w:t>
      </w:r>
    </w:p>
    <w:p>
      <w:pPr>
        <w:spacing w:line="568" w:lineRule="auto" w:before="128"/>
        <w:ind w:left="574" w:right="725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计价方法：加权平均法</w:t>
      </w:r>
    </w:p>
    <w:p>
      <w:pPr>
        <w:pStyle w:val="Heading4"/>
        <w:spacing w:line="240" w:lineRule="auto" w:before="53"/>
        <w:ind w:left="594" w:right="0" w:firstLine="0"/>
        <w:jc w:val="left"/>
      </w:pPr>
      <w:r>
        <w:rPr/>
        <w:t>领用或发出存货，采用加权平均法确定其实际成本。</w:t>
      </w:r>
    </w:p>
    <w:p>
      <w:pPr>
        <w:spacing w:line="240" w:lineRule="auto" w:before="6"/>
        <w:rPr>
          <w:rFonts w:ascii="宋体" w:hAnsi="宋体" w:cs="宋体" w:eastAsia="宋体" w:hint="default"/>
          <w:sz w:val="31"/>
          <w:szCs w:val="3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期末存货按成本与可变现净值孰低原则计价，对于存货因遭受毁损、全部或部分陈旧过时或销售</w:t>
      </w:r>
      <w:r>
        <w:rPr>
          <w:w w:val="99"/>
        </w:rPr>
        <w:t> </w:t>
      </w:r>
      <w:r>
        <w:rPr>
          <w:spacing w:val="-1"/>
        </w:rPr>
        <w:t>价格低于成本等原因，预计其成本不可收回的部分，提取存货跌价准备。库存商品及大宗原材料的存</w:t>
      </w:r>
      <w:r>
        <w:rPr>
          <w:w w:val="99"/>
        </w:rPr>
        <w:t> </w:t>
      </w:r>
      <w:r>
        <w:rPr>
          <w:spacing w:val="-1"/>
        </w:rPr>
        <w:t>货跌价准备按单个存货项目的成本高于其可变现净值的差额提取；其他数量繁多、单价较低的原辅材</w:t>
      </w:r>
      <w:r>
        <w:rPr>
          <w:w w:val="99"/>
        </w:rPr>
        <w:t> </w:t>
      </w:r>
      <w:r>
        <w:rPr/>
        <w:t>料按类别提取存货跌价准备。</w:t>
      </w:r>
    </w:p>
    <w:p>
      <w:pPr>
        <w:spacing w:line="240" w:lineRule="auto" w:before="11"/>
        <w:rPr>
          <w:rFonts w:ascii="宋体" w:hAnsi="宋体" w:cs="宋体" w:eastAsia="宋体" w:hint="default"/>
          <w:sz w:val="20"/>
          <w:szCs w:val="20"/>
        </w:rPr>
      </w:pPr>
    </w:p>
    <w:p>
      <w:pPr>
        <w:spacing w:line="568" w:lineRule="auto" w:before="0"/>
        <w:ind w:left="574" w:right="72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盘存制度：永续盘存制</w:t>
      </w:r>
    </w:p>
    <w:p>
      <w:pPr>
        <w:pStyle w:val="Heading4"/>
        <w:spacing w:line="240" w:lineRule="auto" w:before="53"/>
        <w:ind w:left="594" w:right="0" w:firstLine="0"/>
        <w:jc w:val="left"/>
      </w:pPr>
      <w:r>
        <w:rPr/>
        <w:t>存货实行永续盘存制，存货在取得时按实际成本计价；</w:t>
      </w:r>
    </w:p>
    <w:p>
      <w:pPr>
        <w:spacing w:after="0" w:line="240" w:lineRule="auto"/>
        <w:jc w:val="left"/>
        <w:sectPr>
          <w:pgSz w:w="11910" w:h="16840"/>
          <w:pgMar w:header="997" w:footer="1252" w:top="1340" w:bottom="1440" w:left="980" w:right="980"/>
        </w:sectPr>
      </w:pPr>
    </w:p>
    <w:p>
      <w:pPr>
        <w:spacing w:line="556" w:lineRule="auto" w:before="106"/>
        <w:ind w:left="573" w:right="635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 摊销方法：一次摊销法</w:t>
      </w:r>
    </w:p>
    <w:p>
      <w:pPr>
        <w:pStyle w:val="BodyText"/>
        <w:spacing w:line="544" w:lineRule="auto" w:before="72"/>
        <w:ind w:left="573" w:right="7311"/>
        <w:jc w:val="left"/>
      </w:pPr>
      <w:r>
        <w:rPr/>
        <w:t>包装物 摊销方法：一次摊销法</w:t>
      </w:r>
    </w:p>
    <w:p>
      <w:pPr>
        <w:pStyle w:val="Heading3"/>
        <w:spacing w:line="240" w:lineRule="auto" w:before="59"/>
        <w:ind w:right="101"/>
        <w:jc w:val="left"/>
      </w:pPr>
      <w:r>
        <w:rPr>
          <w:rFonts w:ascii="Cambria" w:hAnsi="Cambria" w:cs="Cambria" w:eastAsia="Cambria" w:hint="default"/>
        </w:rPr>
        <w:t>12</w:t>
      </w:r>
      <w:r>
        <w:rPr/>
        <w:t>、长期股权投资</w:t>
      </w:r>
    </w:p>
    <w:p>
      <w:pPr>
        <w:pStyle w:val="BodyText"/>
        <w:spacing w:line="690" w:lineRule="exact" w:before="74"/>
        <w:ind w:right="101"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）投资成本的确定</w:t>
      </w:r>
      <w:r>
        <w:rPr>
          <w:rFonts w:ascii="宋体" w:hAnsi="宋体" w:cs="宋体" w:eastAsia="宋体" w:hint="default"/>
          <w:b/>
          <w:bCs/>
          <w:spacing w:val="1"/>
          <w:w w:val="99"/>
        </w:rPr>
        <w:t> </w:t>
      </w:r>
      <w:r>
        <w:rPr>
          <w:spacing w:val="-1"/>
        </w:rPr>
        <w:t>通过同一控制下的企业合并取得的长期股权投资，在合并日按照取得被合并方所有者权益账面价值的</w:t>
      </w:r>
    </w:p>
    <w:p>
      <w:pPr>
        <w:pStyle w:val="BodyText"/>
        <w:spacing w:line="408" w:lineRule="auto" w:before="84"/>
        <w:ind w:left="154" w:right="101"/>
        <w:jc w:val="left"/>
      </w:pPr>
      <w:r>
        <w:rPr>
          <w:spacing w:val="-3"/>
        </w:rPr>
        <w:t>份额作为长期股权投资的投资成本。通过非同一控制下的企业合并取得的长期股权投资，以在合并（购买）</w:t>
      </w:r>
      <w:r>
        <w:rPr>
          <w:spacing w:val="-90"/>
        </w:rPr>
        <w:t> </w:t>
      </w:r>
      <w:r>
        <w:rPr>
          <w:spacing w:val="-90"/>
        </w:rPr>
      </w:r>
      <w:r>
        <w:rPr/>
        <w:t>日为取得对被合并（购买）方的控制权而付出的资产、发生或承担的负债以及发行的权益性证券的公允价</w:t>
      </w:r>
      <w:r>
        <w:rPr/>
        <w:t> 值作为合并成本。除上述通过企业合并取得的长期股权投资外，以支付现金取得的长期股权投资，按照实 际支付的购买价款作为投资成本；以发行权益性证券取得的长期股权投资，按照发行权益性证券的公允价 值作为投资成本；投资者投入的长期股权投资，按照投资合同或协议约定的价值作为初资成本；以债务重 组、非货币性资产交换等方式取得的长期股权投资，按相关会计准则的规定确定投资成本。</w:t>
      </w:r>
    </w:p>
    <w:p>
      <w:pPr>
        <w:spacing w:line="240" w:lineRule="auto" w:before="8"/>
        <w:rPr>
          <w:rFonts w:ascii="宋体" w:hAnsi="宋体" w:cs="宋体" w:eastAsia="宋体" w:hint="default"/>
          <w:sz w:val="20"/>
          <w:szCs w:val="20"/>
        </w:rPr>
      </w:pPr>
    </w:p>
    <w:p>
      <w:pPr>
        <w:pStyle w:val="Heading5"/>
        <w:spacing w:line="240" w:lineRule="auto"/>
        <w:ind w:right="101"/>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88" w:firstLine="420"/>
        <w:jc w:val="both"/>
      </w:pPr>
      <w:r>
        <w:rPr>
          <w:spacing w:val="-1"/>
        </w:rPr>
        <w:t>本公司对子公司投资采用成本法核算，编制合并财务报表时按权益法进行调整；对合营企业及联营企</w:t>
      </w:r>
      <w:r>
        <w:rPr/>
        <w:t> </w:t>
      </w:r>
      <w:r>
        <w:rPr>
          <w:spacing w:val="-1"/>
        </w:rPr>
        <w:t>业投资采用权益法核算；对不具有控制、共同控制或重大影响并且在活跃市场中没有报价、公允价值不能</w:t>
      </w:r>
      <w:r>
        <w:rPr>
          <w:spacing w:val="-83"/>
        </w:rPr>
        <w:t> </w:t>
      </w:r>
      <w:r>
        <w:rPr>
          <w:spacing w:val="-83"/>
        </w:rPr>
      </w:r>
      <w:r>
        <w:rPr>
          <w:spacing w:val="-1"/>
        </w:rPr>
        <w:t>可靠计量的长期股权投资，采用成本法核算；对不具有控制、共同控制或重大影响，但在活跃市场中有报</w:t>
      </w:r>
      <w:r>
        <w:rPr>
          <w:spacing w:val="-82"/>
        </w:rPr>
        <w:t> </w:t>
      </w:r>
      <w:r>
        <w:rPr>
          <w:spacing w:val="-82"/>
        </w:rPr>
      </w:r>
      <w:r>
        <w:rPr>
          <w:spacing w:val="-1"/>
        </w:rPr>
        <w:t>价、公允价值能够可靠计量的长期股权投资，作为可供出售金融资产核算。采用成本法核算时，长期股权</w:t>
      </w:r>
      <w:r>
        <w:rPr>
          <w:spacing w:val="-82"/>
        </w:rPr>
        <w:t> </w:t>
      </w:r>
      <w:r>
        <w:rPr>
          <w:spacing w:val="-82"/>
        </w:rPr>
      </w:r>
      <w:r>
        <w:rPr>
          <w:spacing w:val="-1"/>
        </w:rPr>
        <w:t>投资按初始投资成本计价，追加或收回投资时调整长期股权投资的成本。采用权益法核算时，当期投资损</w:t>
      </w:r>
      <w:r>
        <w:rPr>
          <w:spacing w:val="-83"/>
        </w:rPr>
        <w:t> </w:t>
      </w:r>
      <w:r>
        <w:rPr>
          <w:spacing w:val="-83"/>
        </w:rPr>
      </w:r>
      <w:r>
        <w:rPr/>
        <w:t>益为应享有或应分担的被投资单位当年实现的净损益的份额。在确认应享有被投资单位净损益的份额时， </w:t>
      </w:r>
      <w:r>
        <w:rPr>
          <w:spacing w:val="-1"/>
        </w:rPr>
        <w:t>以取得投资时被投资单位各项可辨认资产等的公允价值为基础，按照本公司的会计政策及会计期间，并抵</w:t>
      </w:r>
      <w:r>
        <w:rPr>
          <w:spacing w:val="-81"/>
        </w:rPr>
        <w:t> </w:t>
      </w:r>
      <w:r>
        <w:rPr>
          <w:spacing w:val="-81"/>
        </w:rPr>
      </w:r>
      <w:r>
        <w:rPr>
          <w:spacing w:val="-1"/>
        </w:rPr>
        <w:t>销与联营企业及合营企业之间发生的内部交易损益按照持股比例计算归属于投资企业的部分，对被投资单</w:t>
      </w:r>
      <w:r>
        <w:rPr>
          <w:spacing w:val="-81"/>
        </w:rPr>
        <w:t> </w:t>
      </w:r>
      <w:r>
        <w:rPr>
          <w:spacing w:val="-81"/>
        </w:rPr>
      </w:r>
      <w:r>
        <w:rPr>
          <w:spacing w:val="-1"/>
        </w:rPr>
        <w:t>位的净利润进行调整后确认。对于首次执行日之前已经持有的对联营企业及合营企业的长期股权投资，如</w:t>
      </w:r>
      <w:r>
        <w:rPr>
          <w:spacing w:val="-81"/>
        </w:rPr>
        <w:t> </w:t>
      </w:r>
      <w:r>
        <w:rPr>
          <w:spacing w:val="-81"/>
        </w:rPr>
      </w:r>
      <w:r>
        <w:rPr>
          <w:spacing w:val="-1"/>
        </w:rPr>
        <w:t>存在与该投资相关的股权投资借方差额，还应扣除按原剩余期限直线摊销的股权投资借方差额，确认投资</w:t>
      </w:r>
      <w:r>
        <w:rPr>
          <w:spacing w:val="-81"/>
        </w:rPr>
        <w:t> </w:t>
      </w:r>
      <w:r>
        <w:rPr>
          <w:spacing w:val="-81"/>
        </w:rPr>
      </w:r>
      <w:r>
        <w:rPr/>
        <w:t>损益。</w:t>
      </w:r>
    </w:p>
    <w:p>
      <w:pPr>
        <w:spacing w:after="0" w:line="408" w:lineRule="auto"/>
        <w:jc w:val="both"/>
        <w:sectPr>
          <w:pgSz w:w="11910" w:h="16840"/>
          <w:pgMar w:header="997" w:footer="1252" w:top="1340" w:bottom="1440" w:left="980" w:right="920"/>
        </w:sectPr>
      </w:pPr>
    </w:p>
    <w:p>
      <w:pPr>
        <w:pStyle w:val="Heading5"/>
        <w:spacing w:line="240" w:lineRule="auto" w:before="106"/>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left="153" w:right="128" w:firstLine="420"/>
        <w:jc w:val="both"/>
      </w:pPr>
      <w:r>
        <w:rPr>
          <w:spacing w:val="-1"/>
        </w:rPr>
        <w:t>共同控制是指按合同约定对某项经济活动所共有的控制。共同控制的确定依据主要为任何一个合营方</w:t>
      </w:r>
      <w:r>
        <w:rPr/>
        <w:t> 均不能单独控制合营企业的生产经营活动；涉及合营企业基本经营活动的决策需要各合营方一致同意等。 </w:t>
      </w:r>
      <w:r>
        <w:rPr>
          <w:spacing w:val="-1"/>
        </w:rPr>
        <w:t>重大影响是指对被投资单位的财务和经营政策有参与决策的权力，但并不能控制或与其他方一起共同控制</w:t>
      </w:r>
      <w:r>
        <w:rPr>
          <w:spacing w:val="-81"/>
        </w:rPr>
        <w:t> </w:t>
      </w:r>
      <w:r>
        <w:rPr>
          <w:spacing w:val="-81"/>
        </w:rPr>
      </w:r>
      <w:r>
        <w:rPr/>
        <w:t>这些政策的制定。重大影响的确定依据主要为本公司直接或通过子公司间接拥有被投资单位</w:t>
      </w:r>
      <w:r>
        <w:rPr>
          <w:spacing w:val="-67"/>
        </w:rPr>
        <w:t> </w:t>
      </w:r>
      <w:r>
        <w:rPr>
          <w:rFonts w:ascii="Times New Roman" w:hAnsi="Times New Roman" w:cs="Times New Roman" w:eastAsia="Times New Roman" w:hint="default"/>
          <w:spacing w:val="-8"/>
        </w:rPr>
        <w:t>20</w:t>
      </w:r>
      <w:r>
        <w:rPr>
          <w:spacing w:val="-8"/>
        </w:rPr>
        <w:t>％（含）以</w:t>
      </w:r>
      <w:r>
        <w:rPr/>
        <w:t> 上但低于</w:t>
      </w:r>
      <w:r>
        <w:rPr>
          <w:spacing w:val="-48"/>
        </w:rPr>
        <w:t> </w:t>
      </w:r>
      <w:r>
        <w:rPr>
          <w:rFonts w:ascii="Times New Roman" w:hAnsi="Times New Roman" w:cs="Times New Roman" w:eastAsia="Times New Roman" w:hint="default"/>
          <w:spacing w:val="-2"/>
        </w:rPr>
        <w:t>50</w:t>
      </w:r>
      <w:r>
        <w:rPr>
          <w:spacing w:val="-2"/>
        </w:rPr>
        <w:t>％的表决权股份，如果有明确证据表明该种情况下不能参与被投资单位的生产经营决策，则不</w:t>
      </w:r>
      <w:r>
        <w:rPr>
          <w:spacing w:val="-102"/>
        </w:rPr>
        <w:t> </w:t>
      </w:r>
      <w:r>
        <w:rPr>
          <w:spacing w:val="-102"/>
        </w:rPr>
      </w:r>
      <w:r>
        <w:rPr/>
        <w:t>能形成重大影响。</w:t>
      </w:r>
    </w:p>
    <w:p>
      <w:pPr>
        <w:spacing w:line="240" w:lineRule="auto" w:before="1"/>
        <w:rPr>
          <w:rFonts w:ascii="宋体" w:hAnsi="宋体" w:cs="宋体" w:eastAsia="宋体" w:hint="default"/>
          <w:sz w:val="21"/>
          <w:szCs w:val="21"/>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both"/>
      </w:pPr>
      <w:r>
        <w:rPr>
          <w:rFonts w:ascii="Cambria" w:hAnsi="Cambria" w:cs="Cambria" w:eastAsia="Cambria" w:hint="default"/>
        </w:rPr>
        <w:t>13</w:t>
      </w:r>
      <w:r>
        <w:rPr/>
        <w:t>、投资性房地产</w:t>
      </w:r>
    </w:p>
    <w:p>
      <w:pPr>
        <w:spacing w:line="240" w:lineRule="auto" w:before="2"/>
        <w:rPr>
          <w:rFonts w:ascii="黑体" w:hAnsi="黑体" w:cs="黑体" w:eastAsia="黑体" w:hint="default"/>
          <w:sz w:val="22"/>
          <w:szCs w:val="22"/>
        </w:rPr>
      </w:pPr>
    </w:p>
    <w:p>
      <w:pPr>
        <w:pStyle w:val="Heading3"/>
        <w:spacing w:line="240" w:lineRule="auto"/>
        <w:ind w:right="0"/>
        <w:jc w:val="both"/>
      </w:pPr>
      <w:r>
        <w:rPr>
          <w:rFonts w:ascii="Cambria" w:hAnsi="Cambria" w:cs="Cambria" w:eastAsia="Cambria" w:hint="default"/>
        </w:rPr>
        <w:t>14</w:t>
      </w:r>
      <w:r>
        <w:rPr/>
        <w:t>、固定资产</w:t>
      </w:r>
    </w:p>
    <w:p>
      <w:pPr>
        <w:spacing w:line="690" w:lineRule="exact" w:before="74"/>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本公司固定资产是指同时具有以下特征，即为生产商品、提供劳务、出租或经营管理而持有的，使用</w:t>
      </w:r>
    </w:p>
    <w:p>
      <w:pPr>
        <w:pStyle w:val="BodyText"/>
        <w:spacing w:line="408" w:lineRule="auto" w:before="84"/>
        <w:ind w:left="154" w:right="149"/>
        <w:jc w:val="both"/>
      </w:pPr>
      <w:r>
        <w:rPr>
          <w:spacing w:val="-1"/>
        </w:rPr>
        <w:t>年限超过一个会计年度的有形资产。固定资产包括房屋及建筑物、运输工具、电子设备，按其取得时的成</w:t>
      </w:r>
      <w:r>
        <w:rPr>
          <w:spacing w:val="-82"/>
        </w:rPr>
        <w:t> </w:t>
      </w:r>
      <w:r>
        <w:rPr>
          <w:spacing w:val="-82"/>
        </w:rPr>
      </w:r>
      <w:r>
        <w:rPr>
          <w:spacing w:val="-1"/>
        </w:rPr>
        <w:t>本作为入账的价值，其中，外购的固定资产成本包括买价和进口关税等相关税费，以及为使固定资产达到</w:t>
      </w:r>
      <w:r>
        <w:rPr>
          <w:spacing w:val="-83"/>
        </w:rPr>
        <w:t> </w:t>
      </w:r>
      <w:r>
        <w:rPr>
          <w:spacing w:val="-83"/>
        </w:rPr>
      </w:r>
      <w:r>
        <w:rPr>
          <w:spacing w:val="-1"/>
        </w:rPr>
        <w:t>预定可使用状态前所发生的可直接归属于该资产的其他支出；自行建造固定资产的成本，由建造该项资产</w:t>
      </w:r>
      <w:r>
        <w:rPr>
          <w:spacing w:val="-81"/>
        </w:rPr>
        <w:t> </w:t>
      </w:r>
      <w:r>
        <w:rPr>
          <w:spacing w:val="-81"/>
        </w:rPr>
      </w:r>
      <w:r>
        <w:rPr>
          <w:spacing w:val="-1"/>
        </w:rPr>
        <w:t>达到预定可使用状态前所发生的必要支出构成；投资者投入的固定资产，按投资合同或协议约定的价值作</w:t>
      </w:r>
      <w:r>
        <w:rPr>
          <w:spacing w:val="-81"/>
        </w:rPr>
        <w:t> </w:t>
      </w:r>
      <w:r>
        <w:rPr>
          <w:spacing w:val="-81"/>
        </w:rPr>
      </w:r>
      <w:r>
        <w:rPr>
          <w:spacing w:val="-1"/>
        </w:rPr>
        <w:t>为入账价值，但合同或协议约定价值不公允的按公允价值入账；融资租赁租入的固定资产，按租赁开始日</w:t>
      </w:r>
      <w:r>
        <w:rPr>
          <w:spacing w:val="-83"/>
        </w:rPr>
        <w:t> </w:t>
      </w:r>
      <w:r>
        <w:rPr>
          <w:spacing w:val="-83"/>
        </w:rPr>
      </w:r>
      <w:r>
        <w:rPr/>
        <w:t>租赁资产公允价值与最低租赁付款额现值两者中较低者作为入账价值。</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79"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4.75%</w:t>
            </w:r>
          </w:p>
        </w:tc>
      </w:tr>
      <w:tr>
        <w:trPr>
          <w:trHeight w:val="478"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19%</w:t>
            </w:r>
          </w:p>
        </w:tc>
      </w:tr>
      <w:tr>
        <w:trPr>
          <w:trHeight w:val="479"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980" w:right="98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本公司于每年年度终了，对固定资产的预计使用寿命、预计净残值和折旧方法进行复核，如发生</w:t>
      </w:r>
      <w:r>
        <w:rPr>
          <w:w w:val="99"/>
        </w:rPr>
        <w:t> </w:t>
      </w:r>
      <w:r>
        <w:rPr/>
        <w:t>改变，则作为会计估计变更处理。</w:t>
      </w:r>
    </w:p>
    <w:p>
      <w:pPr>
        <w:pStyle w:val="Heading4"/>
        <w:spacing w:line="391" w:lineRule="auto" w:before="197"/>
        <w:ind w:right="149"/>
        <w:jc w:val="both"/>
      </w:pPr>
      <w:r>
        <w:rPr>
          <w:spacing w:val="-1"/>
        </w:rPr>
        <w:t>当固定资产被处置、或者预期通过使用或处置不能产生经济利益时，终止确认该固定资产。固定</w:t>
      </w:r>
      <w:r>
        <w:rPr>
          <w:w w:val="99"/>
        </w:rPr>
        <w:t> </w:t>
      </w:r>
      <w:r>
        <w:rPr/>
        <w:t>资产出售、转让、报废或毁损的处置收入扣除其账面价值和相关税费后的金额计入当期损益。</w:t>
      </w:r>
    </w:p>
    <w:p>
      <w:pPr>
        <w:pStyle w:val="Heading3"/>
        <w:spacing w:line="240" w:lineRule="auto" w:before="182"/>
        <w:ind w:right="0"/>
        <w:jc w:val="left"/>
      </w:pPr>
      <w:r>
        <w:rPr>
          <w:rFonts w:ascii="Cambria" w:hAnsi="Cambria" w:cs="Cambria" w:eastAsia="Cambria" w:hint="default"/>
        </w:rPr>
        <w:t>15</w:t>
      </w:r>
      <w:r>
        <w:rPr/>
        <w:t>、在建工程</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16</w:t>
      </w:r>
      <w:r>
        <w:rPr/>
        <w:t>、借款费用</w:t>
      </w:r>
    </w:p>
    <w:p>
      <w:pPr>
        <w:spacing w:line="240" w:lineRule="auto" w:before="13"/>
        <w:rPr>
          <w:rFonts w:ascii="黑体" w:hAnsi="黑体" w:cs="黑体" w:eastAsia="黑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17</w:t>
      </w:r>
      <w:r>
        <w:rPr/>
        <w:t>、生物资产</w:t>
      </w:r>
    </w:p>
    <w:p>
      <w:pPr>
        <w:spacing w:line="240" w:lineRule="auto" w:before="2"/>
        <w:rPr>
          <w:rFonts w:ascii="黑体" w:hAnsi="黑体" w:cs="黑体" w:eastAsia="黑体" w:hint="default"/>
          <w:sz w:val="22"/>
          <w:szCs w:val="22"/>
        </w:rPr>
      </w:pPr>
    </w:p>
    <w:p>
      <w:pPr>
        <w:pStyle w:val="Heading3"/>
        <w:spacing w:line="240" w:lineRule="auto"/>
        <w:ind w:right="0"/>
        <w:jc w:val="left"/>
      </w:pPr>
      <w:r>
        <w:rPr>
          <w:rFonts w:ascii="Cambria" w:hAnsi="Cambria" w:cs="Cambria" w:eastAsia="Cambria" w:hint="default"/>
        </w:rPr>
        <w:t>18</w:t>
      </w:r>
      <w:r>
        <w:rPr/>
        <w:t>、油气资产</w:t>
      </w:r>
    </w:p>
    <w:p>
      <w:pPr>
        <w:spacing w:line="240" w:lineRule="auto" w:before="2"/>
        <w:rPr>
          <w:rFonts w:ascii="黑体" w:hAnsi="黑体" w:cs="黑体" w:eastAsia="黑体" w:hint="default"/>
          <w:sz w:val="22"/>
          <w:szCs w:val="22"/>
        </w:rPr>
      </w:pPr>
    </w:p>
    <w:p>
      <w:pPr>
        <w:pStyle w:val="Heading3"/>
        <w:spacing w:line="240" w:lineRule="auto"/>
        <w:ind w:right="0"/>
        <w:jc w:val="left"/>
      </w:pPr>
      <w:r>
        <w:rPr>
          <w:rFonts w:ascii="Cambria" w:hAnsi="Cambria" w:cs="Cambria" w:eastAsia="Cambria" w:hint="default"/>
        </w:rPr>
        <w:t>19</w:t>
      </w:r>
      <w:r>
        <w:rPr/>
        <w:t>、无形资产</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本公司无形资产按取得时的实际成本计量，其中，购入的无形资产，按实际支付的价款和相关的</w:t>
      </w:r>
      <w:r>
        <w:rPr>
          <w:w w:val="99"/>
        </w:rPr>
        <w:t> </w:t>
      </w:r>
      <w:r>
        <w:rPr>
          <w:spacing w:val="-1"/>
        </w:rPr>
        <w:t>其他支出作为实际成本；投资者投入的无形资产，按投资合同或协议约定的价值确定实际成本，但合</w:t>
      </w:r>
      <w:r>
        <w:rPr>
          <w:w w:val="99"/>
        </w:rPr>
        <w:t> </w:t>
      </w:r>
      <w:r>
        <w:rPr/>
        <w:t>同或协议约定价值不公允的，按公允价值确定实际成本。</w:t>
      </w:r>
    </w:p>
    <w:p>
      <w:pPr>
        <w:spacing w:after="0" w:line="391" w:lineRule="auto"/>
        <w:jc w:val="both"/>
        <w:sectPr>
          <w:pgSz w:w="11910" w:h="16840"/>
          <w:pgMar w:header="997" w:footer="1252" w:top="1340" w:bottom="1440" w:left="980" w:right="98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07"/>
        <w:jc w:val="both"/>
      </w:pPr>
      <w:r>
        <w:rPr/>
        <w:t>对使用寿命有限的无形资产的预计使用寿命及摊销方法于每年年度终了进行复核，如发生改变，</w:t>
      </w:r>
      <w:r>
        <w:rPr>
          <w:w w:val="99"/>
        </w:rPr>
        <w:t> </w:t>
      </w:r>
      <w:r>
        <w:rPr/>
        <w:t>则作为会计估计变更处理。在每个会计期间对使用寿命不确定的无形资产的预计使用寿命进行复核，</w:t>
      </w:r>
      <w:r>
        <w:rPr>
          <w:w w:val="99"/>
        </w:rPr>
        <w:t> </w:t>
      </w:r>
      <w:r>
        <w:rPr/>
        <w:t>如有证据表明无形资产的使用寿命是有限的，则估计其使用寿命并在预计使用寿命内摊销。</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土地使用权从出让起始日起，按其出让年限平均摊销；专利技术、非专利技术和其他无形资产按</w:t>
      </w:r>
      <w:r>
        <w:rPr>
          <w:w w:val="99"/>
        </w:rPr>
        <w:t> </w:t>
      </w:r>
      <w:r>
        <w:rPr>
          <w:spacing w:val="-1"/>
        </w:rPr>
        <w:t>预计使用年限、合同规定的受益年限和法律规定的有效年限三者中最短者分期平均摊销。摊销金额按</w:t>
      </w:r>
      <w:r>
        <w:rPr>
          <w:w w:val="99"/>
        </w:rPr>
        <w:t> </w:t>
      </w:r>
      <w:r>
        <w:rPr/>
        <w:t>其受益对象计入相关资产成本和当期损益。</w:t>
      </w:r>
    </w:p>
    <w:p>
      <w:pPr>
        <w:spacing w:after="0" w:line="391" w:lineRule="auto"/>
        <w:jc w:val="both"/>
        <w:sectPr>
          <w:pgSz w:w="11910" w:h="16840"/>
          <w:pgMar w:header="997" w:footer="1252" w:top="1340" w:bottom="1440" w:left="980" w:right="98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20</w:t>
      </w:r>
      <w:r>
        <w:rPr/>
        <w:t>、长期待摊费用</w:t>
      </w:r>
    </w:p>
    <w:p>
      <w:pPr>
        <w:spacing w:line="240" w:lineRule="auto" w:before="2"/>
        <w:rPr>
          <w:rFonts w:ascii="黑体" w:hAnsi="黑体" w:cs="黑体" w:eastAsia="黑体" w:hint="default"/>
          <w:sz w:val="22"/>
          <w:szCs w:val="22"/>
        </w:rPr>
      </w:pPr>
    </w:p>
    <w:p>
      <w:pPr>
        <w:pStyle w:val="Heading3"/>
        <w:spacing w:line="240" w:lineRule="auto"/>
        <w:ind w:right="0"/>
        <w:jc w:val="left"/>
      </w:pPr>
      <w:r>
        <w:rPr>
          <w:rFonts w:ascii="Cambria" w:hAnsi="Cambria" w:cs="Cambria" w:eastAsia="Cambria" w:hint="default"/>
        </w:rPr>
        <w:t>21</w:t>
      </w:r>
      <w:r>
        <w:rPr/>
        <w:t>、附回购条件的资产转让</w:t>
      </w:r>
    </w:p>
    <w:p>
      <w:pPr>
        <w:spacing w:line="240" w:lineRule="auto" w:before="2"/>
        <w:rPr>
          <w:rFonts w:ascii="黑体" w:hAnsi="黑体" w:cs="黑体" w:eastAsia="黑体" w:hint="default"/>
          <w:sz w:val="22"/>
          <w:szCs w:val="22"/>
        </w:rPr>
      </w:pPr>
    </w:p>
    <w:p>
      <w:pPr>
        <w:pStyle w:val="Heading3"/>
        <w:spacing w:line="240" w:lineRule="auto"/>
        <w:ind w:right="0"/>
        <w:jc w:val="left"/>
      </w:pPr>
      <w:r>
        <w:rPr>
          <w:rFonts w:ascii="Cambria" w:hAnsi="Cambria" w:cs="Cambria" w:eastAsia="Cambria" w:hint="default"/>
        </w:rPr>
        <w:t>22</w:t>
      </w:r>
      <w:r>
        <w:rPr/>
        <w:t>、预计负债</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23</w:t>
      </w:r>
      <w:r>
        <w:rPr/>
        <w:t>、股份支付及权益工具</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24</w:t>
      </w:r>
      <w:r>
        <w:rPr/>
        <w:t>、回购本公司股份</w:t>
      </w:r>
    </w:p>
    <w:p>
      <w:pPr>
        <w:spacing w:line="240" w:lineRule="auto" w:before="2"/>
        <w:rPr>
          <w:rFonts w:ascii="黑体" w:hAnsi="黑体" w:cs="黑体" w:eastAsia="黑体" w:hint="default"/>
          <w:sz w:val="22"/>
          <w:szCs w:val="22"/>
        </w:rPr>
      </w:pPr>
    </w:p>
    <w:p>
      <w:pPr>
        <w:pStyle w:val="Heading3"/>
        <w:spacing w:line="240" w:lineRule="auto"/>
        <w:ind w:right="0"/>
        <w:jc w:val="left"/>
      </w:pPr>
      <w:r>
        <w:rPr>
          <w:rFonts w:ascii="Cambria" w:hAnsi="Cambria" w:cs="Cambria" w:eastAsia="Cambria" w:hint="default"/>
        </w:rPr>
        <w:t>25</w:t>
      </w:r>
      <w:r>
        <w:rPr/>
        <w:t>、收入</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07"/>
        <w:jc w:val="both"/>
      </w:pPr>
      <w:r>
        <w:rPr>
          <w:w w:val="95"/>
        </w:rPr>
        <w:t>本公司在已将商品所有权上的主要风险和报酬转移给购货方、本公司既没有保留通常与所有权相</w:t>
      </w:r>
      <w:r>
        <w:rPr>
          <w:w w:val="99"/>
        </w:rPr>
        <w:t> </w:t>
      </w:r>
      <w:r>
        <w:rPr>
          <w:w w:val="95"/>
        </w:rPr>
        <w:t>联系的继续管理权、也没有对已售出的商品实施有效控制、收入的金额能够可靠地计量、相关的经济</w:t>
      </w:r>
      <w:r>
        <w:rPr>
          <w:spacing w:val="19"/>
          <w:w w:val="95"/>
        </w:rPr>
        <w:t> </w:t>
      </w:r>
      <w:r>
        <w:rPr>
          <w:spacing w:val="19"/>
          <w:w w:val="95"/>
        </w:rPr>
      </w:r>
      <w:r>
        <w:rPr/>
        <w:t>利益很可能流入企业、相关的已发生或将发生的成本能够可靠地计量时，确认销售商品收入的实现。</w:t>
      </w:r>
    </w:p>
    <w:p>
      <w:pPr>
        <w:pStyle w:val="Heading4"/>
        <w:spacing w:line="240" w:lineRule="auto" w:before="197"/>
        <w:ind w:left="594" w:right="0" w:firstLine="0"/>
        <w:jc w:val="left"/>
      </w:pPr>
      <w:r>
        <w:rPr/>
        <w:t>本公司主要商品收入确认的具体方法：</w:t>
      </w:r>
    </w:p>
    <w:p>
      <w:pPr>
        <w:spacing w:line="240" w:lineRule="auto" w:before="9"/>
        <w:rPr>
          <w:rFonts w:ascii="宋体" w:hAnsi="宋体" w:cs="宋体" w:eastAsia="宋体" w:hint="default"/>
          <w:sz w:val="25"/>
          <w:szCs w:val="25"/>
        </w:rPr>
      </w:pPr>
    </w:p>
    <w:p>
      <w:pPr>
        <w:pStyle w:val="Heading4"/>
        <w:spacing w:line="391" w:lineRule="auto"/>
        <w:ind w:right="107"/>
        <w:jc w:val="both"/>
      </w:pPr>
      <w:r>
        <w:rPr>
          <w:w w:val="95"/>
        </w:rPr>
        <w:t>嵌入式系统测试产品和嵌入式工业智能移动终端：需要安装调试的为产品交付购货方、安装调试</w:t>
      </w:r>
      <w:r>
        <w:rPr>
          <w:w w:val="99"/>
        </w:rPr>
        <w:t> </w:t>
      </w:r>
      <w:r>
        <w:rPr/>
        <w:t>结束并经对方验收合格后确认收入；不需要安装调试的为产品交付购货方、经对方签收后确认收入。</w:t>
      </w:r>
    </w:p>
    <w:p>
      <w:pPr>
        <w:pStyle w:val="Heading4"/>
        <w:spacing w:line="240" w:lineRule="auto" w:before="197"/>
        <w:ind w:left="594" w:right="0" w:firstLine="0"/>
        <w:jc w:val="left"/>
      </w:pPr>
      <w:r>
        <w:rPr/>
        <w:t>嵌入式信息安全产品（包括USBKEY、税控盘）：产品交付购货方、经对方签收后确认收入。</w:t>
      </w:r>
    </w:p>
    <w:p>
      <w:pPr>
        <w:spacing w:after="0" w:line="240" w:lineRule="auto"/>
        <w:jc w:val="left"/>
        <w:sectPr>
          <w:pgSz w:w="11910" w:h="16840"/>
          <w:pgMar w:header="997" w:footer="1252" w:top="1340" w:bottom="1440" w:left="980" w:right="98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ind w:right="149"/>
        <w:jc w:val="both"/>
      </w:pPr>
      <w:r>
        <w:rPr>
          <w:spacing w:val="-1"/>
        </w:rPr>
        <w:t>与交易相关的经济利益很可能流入本公司、收入的金额能够可靠地计量时，确认让渡资产使用权</w:t>
      </w:r>
      <w:r>
        <w:rPr>
          <w:w w:val="99"/>
        </w:rPr>
        <w:t> </w:t>
      </w:r>
      <w:r>
        <w:rPr/>
        <w:t>收入的实现。</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51" w:firstLine="420"/>
        <w:jc w:val="both"/>
      </w:pPr>
      <w:r>
        <w:rPr>
          <w:spacing w:val="-1"/>
        </w:rPr>
        <w:t>在本公司已经提供服务，收到价款或取得收款的依据，且与提供服务相关的成本能够可靠地计量，相</w:t>
      </w:r>
      <w:r>
        <w:rPr/>
        <w:t> </w:t>
      </w:r>
      <w:r>
        <w:rPr>
          <w:spacing w:val="-1"/>
        </w:rPr>
        <w:t>关的经济利益能够流入时，确认技术服务收入的实现。在资产负债表日，提供劳务交易的结果能够可靠估</w:t>
      </w:r>
      <w:r>
        <w:rPr>
          <w:spacing w:val="-83"/>
        </w:rPr>
        <w:t> </w:t>
      </w:r>
      <w:r>
        <w:rPr>
          <w:spacing w:val="-83"/>
        </w:rPr>
      </w:r>
      <w:r>
        <w:rPr>
          <w:spacing w:val="-1"/>
        </w:rPr>
        <w:t>计的，按完工百分比法确认相关的劳务收入，并按已经提供的劳务占应提供劳务总量的比例确认提供劳务</w:t>
      </w:r>
      <w:r>
        <w:rPr>
          <w:spacing w:val="-81"/>
        </w:rPr>
        <w:t> </w:t>
      </w:r>
      <w:r>
        <w:rPr>
          <w:spacing w:val="-81"/>
        </w:rPr>
      </w:r>
      <w:r>
        <w:rPr>
          <w:spacing w:val="-1"/>
        </w:rPr>
        <w:t>交易的完工进度。具体确认方法如下：在同一会计年度提供的技术服务，在项目实施完成并经客户验收确</w:t>
      </w:r>
      <w:r>
        <w:rPr>
          <w:spacing w:val="-83"/>
        </w:rPr>
        <w:t> </w:t>
      </w:r>
      <w:r>
        <w:rPr>
          <w:spacing w:val="-83"/>
        </w:rPr>
      </w:r>
      <w:r>
        <w:rPr>
          <w:spacing w:val="-1"/>
        </w:rPr>
        <w:t>认后确认收入。若技术服务的开始和完成分属不同会计年度，合同规定分阶段实施的，根据客户完成阶段</w:t>
      </w:r>
      <w:r>
        <w:rPr>
          <w:spacing w:val="-83"/>
        </w:rPr>
        <w:t> </w:t>
      </w:r>
      <w:r>
        <w:rPr>
          <w:spacing w:val="-83"/>
        </w:rPr>
      </w:r>
      <w:r>
        <w:rPr/>
        <w:t>的情况确认收入；若合同未规定分阶段实施的，在项目完成并经验收后确认收入。</w:t>
      </w:r>
    </w:p>
    <w:p>
      <w:pPr>
        <w:spacing w:line="240" w:lineRule="auto" w:before="8"/>
        <w:rPr>
          <w:rFonts w:ascii="宋体" w:hAnsi="宋体" w:cs="宋体" w:eastAsia="宋体" w:hint="default"/>
          <w:sz w:val="20"/>
          <w:szCs w:val="20"/>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26</w:t>
      </w:r>
      <w:r>
        <w:rPr/>
        <w:t>、政府补助</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51" w:firstLine="420"/>
        <w:jc w:val="both"/>
      </w:pPr>
      <w:r>
        <w:rPr>
          <w:spacing w:val="-1"/>
        </w:rPr>
        <w:t>政府补助在本公司能够满足其所附的条件以及能够收到时予以确认。政府补助为货币性资产的，按照</w:t>
      </w:r>
      <w:r>
        <w:rPr/>
        <w:t> </w:t>
      </w:r>
      <w:r>
        <w:rPr>
          <w:spacing w:val="-1"/>
        </w:rPr>
        <w:t>实际收到的金额计量，对于按照固定的定额标准拨付的补助，按照应收的金额计量；政府补助为非货币性</w:t>
      </w:r>
      <w:r>
        <w:rPr>
          <w:spacing w:val="-83"/>
        </w:rPr>
        <w:t> </w:t>
      </w:r>
      <w:r>
        <w:rPr>
          <w:spacing w:val="-83"/>
        </w:rPr>
      </w:r>
      <w:r>
        <w:rPr/>
        <w:t>资产的，按照公允价值计量，公允价值不能可靠取得的，按照名义金额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计量。</w:t>
      </w:r>
    </w:p>
    <w:p>
      <w:pPr>
        <w:spacing w:line="240" w:lineRule="auto" w:before="2"/>
        <w:rPr>
          <w:rFonts w:ascii="宋体" w:hAnsi="宋体" w:cs="宋体" w:eastAsia="宋体" w:hint="default"/>
          <w:sz w:val="18"/>
          <w:szCs w:val="18"/>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49" w:firstLine="420"/>
        <w:jc w:val="both"/>
      </w:pPr>
      <w:r>
        <w:rPr>
          <w:spacing w:val="-1"/>
        </w:rPr>
        <w:t>与资产相关的政府补助确认为递延收益，并在相关资产使用寿命内平均分配计入当期损益。与收益相</w:t>
      </w:r>
      <w:r>
        <w:rPr/>
        <w:t> </w:t>
      </w:r>
      <w:r>
        <w:rPr>
          <w:spacing w:val="-1"/>
        </w:rPr>
        <w:t>关的政府补助，用于补偿以后期间的相关费用或损失的，确认为递延收益，并在确认相关费用的期间计入</w:t>
      </w:r>
      <w:r>
        <w:rPr>
          <w:spacing w:val="-83"/>
        </w:rPr>
        <w:t> </w:t>
      </w:r>
      <w:r>
        <w:rPr>
          <w:spacing w:val="-83"/>
        </w:rPr>
      </w:r>
      <w:r>
        <w:rPr/>
        <w:t>当期损益；用于补偿已发生的相关费用或损失的，直接计入当期损益。</w:t>
      </w:r>
    </w:p>
    <w:p>
      <w:pPr>
        <w:pStyle w:val="Heading3"/>
        <w:spacing w:line="240" w:lineRule="auto" w:before="179"/>
        <w:ind w:right="0"/>
        <w:jc w:val="left"/>
      </w:pPr>
      <w:r>
        <w:rPr>
          <w:rFonts w:ascii="Cambria" w:hAnsi="Cambria" w:cs="Cambria" w:eastAsia="Cambria" w:hint="default"/>
        </w:rPr>
        <w:t>27</w:t>
      </w:r>
      <w:r>
        <w:rPr/>
        <w:t>、递延所得税资产和递延所得税负债</w:t>
      </w:r>
    </w:p>
    <w:p>
      <w:pPr>
        <w:spacing w:line="692" w:lineRule="exact" w:before="72"/>
        <w:ind w:left="574" w:right="25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w:t>
      </w:r>
    </w:p>
    <w:p>
      <w:pPr>
        <w:pStyle w:val="BodyText"/>
        <w:spacing w:line="240" w:lineRule="auto" w:before="84"/>
        <w:ind w:left="153" w:right="0"/>
        <w:jc w:val="left"/>
      </w:pPr>
      <w:r>
        <w:rPr/>
        <w:t>异</w:t>
      </w:r>
      <w:r>
        <w:rPr>
          <w:rFonts w:ascii="Times New Roman" w:hAnsi="Times New Roman" w:cs="Times New Roman" w:eastAsia="Times New Roman" w:hint="default"/>
        </w:rPr>
        <w:t>)</w:t>
      </w:r>
      <w:r>
        <w:rPr/>
        <w:t>计算确认。对于按照税法规定能够于以后年度抵减应纳税所得额的可抵扣亏损和税款抵减，视同暂时性</w:t>
      </w:r>
    </w:p>
    <w:p>
      <w:pPr>
        <w:spacing w:after="0" w:line="240" w:lineRule="auto"/>
        <w:jc w:val="left"/>
        <w:sectPr>
          <w:pgSz w:w="11910" w:h="16840"/>
          <w:pgMar w:header="997" w:footer="1252" w:top="1340" w:bottom="1440" w:left="980" w:right="980"/>
        </w:sectPr>
      </w:pPr>
    </w:p>
    <w:p>
      <w:pPr>
        <w:spacing w:line="240" w:lineRule="auto" w:before="4"/>
        <w:rPr>
          <w:rFonts w:ascii="宋体" w:hAnsi="宋体" w:cs="宋体" w:eastAsia="宋体" w:hint="default"/>
          <w:sz w:val="11"/>
          <w:szCs w:val="11"/>
        </w:rPr>
      </w:pPr>
    </w:p>
    <w:p>
      <w:pPr>
        <w:pStyle w:val="BodyText"/>
        <w:spacing w:line="408" w:lineRule="auto" w:before="35"/>
        <w:ind w:left="154" w:right="128"/>
        <w:jc w:val="both"/>
      </w:pPr>
      <w:r>
        <w:rPr>
          <w:spacing w:val="-1"/>
        </w:rPr>
        <w:t>差异确认相应的递延所得税资产。于资产负债表日，递延所得税资产和递延所得税负债，按照预期收回该</w:t>
      </w:r>
      <w:r>
        <w:rPr>
          <w:spacing w:val="-83"/>
        </w:rPr>
        <w:t> </w:t>
      </w:r>
      <w:r>
        <w:rPr>
          <w:spacing w:val="-83"/>
        </w:rPr>
      </w:r>
      <w:r>
        <w:rPr>
          <w:spacing w:val="-1"/>
        </w:rPr>
        <w:t>资产或清偿该负债期间的适用税率计量。本公司以很可能取得用来抵扣可抵扣暂时性差异的应纳税所得额</w:t>
      </w:r>
      <w:r>
        <w:rPr>
          <w:spacing w:val="-81"/>
        </w:rPr>
        <w:t> </w:t>
      </w:r>
      <w:r>
        <w:rPr>
          <w:spacing w:val="-81"/>
        </w:rPr>
      </w:r>
      <w:r>
        <w:rPr>
          <w:spacing w:val="-1"/>
        </w:rPr>
        <w:t>为限，确认由可抵扣暂时性差异产生的递延所得税资产。对已确认的递延所得税资产，当预计到未来期间</w:t>
      </w:r>
      <w:r>
        <w:rPr>
          <w:spacing w:val="-83"/>
        </w:rPr>
        <w:t> </w:t>
      </w:r>
      <w:r>
        <w:rPr>
          <w:spacing w:val="-83"/>
        </w:rPr>
      </w:r>
      <w:r>
        <w:rPr/>
        <w:t>很可能无法获得足够的应纳税所得额用以抵扣递延所得税资产时，应当减记递延所得税资产的账面价值。 在很可能获得足够的应纳税所得额时，减记的金额予以转回。</w:t>
      </w:r>
    </w:p>
    <w:p>
      <w:pPr>
        <w:spacing w:line="240" w:lineRule="auto" w:before="8"/>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both"/>
      </w:pPr>
      <w:r>
        <w:rPr>
          <w:rFonts w:ascii="Cambria" w:hAnsi="Cambria" w:cs="Cambria" w:eastAsia="Cambria" w:hint="default"/>
        </w:rPr>
        <w:t>28</w:t>
      </w:r>
      <w:r>
        <w:rPr/>
        <w:t>、经营租赁、融资租赁</w:t>
      </w:r>
    </w:p>
    <w:p>
      <w:pPr>
        <w:spacing w:line="240" w:lineRule="auto" w:before="1"/>
        <w:rPr>
          <w:rFonts w:ascii="黑体" w:hAnsi="黑体" w:cs="黑体" w:eastAsia="黑体" w:hint="default"/>
          <w:sz w:val="29"/>
          <w:szCs w:val="29"/>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both"/>
      </w:pPr>
      <w:r>
        <w:rPr>
          <w:rFonts w:ascii="Cambria" w:hAnsi="Cambria" w:cs="Cambria" w:eastAsia="Cambria" w:hint="default"/>
        </w:rPr>
        <w:t>29</w:t>
      </w:r>
      <w:r>
        <w:rPr/>
        <w:t>、持有待售资产</w:t>
      </w:r>
    </w:p>
    <w:p>
      <w:pPr>
        <w:spacing w:line="240" w:lineRule="auto" w:before="1"/>
        <w:rPr>
          <w:rFonts w:ascii="黑体" w:hAnsi="黑体" w:cs="黑体" w:eastAsia="黑体" w:hint="default"/>
          <w:sz w:val="29"/>
          <w:szCs w:val="29"/>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1"/>
        <w:rPr>
          <w:rFonts w:ascii="宋体" w:hAnsi="宋体" w:cs="宋体" w:eastAsia="宋体" w:hint="default"/>
          <w:b/>
          <w:bCs/>
          <w:sz w:val="28"/>
          <w:szCs w:val="28"/>
        </w:rPr>
      </w:pPr>
    </w:p>
    <w:p>
      <w:pPr>
        <w:pStyle w:val="Heading3"/>
        <w:spacing w:line="240" w:lineRule="auto"/>
        <w:ind w:right="0"/>
        <w:jc w:val="both"/>
      </w:pPr>
      <w:r>
        <w:rPr>
          <w:rFonts w:ascii="Cambria" w:hAnsi="Cambria" w:cs="Cambria" w:eastAsia="Cambria" w:hint="default"/>
        </w:rPr>
        <w:t>30</w:t>
      </w:r>
      <w:r>
        <w:rPr/>
        <w:t>、资产证券化业务</w:t>
      </w:r>
    </w:p>
    <w:p>
      <w:pPr>
        <w:spacing w:line="240" w:lineRule="auto" w:before="2"/>
        <w:rPr>
          <w:rFonts w:ascii="黑体" w:hAnsi="黑体" w:cs="黑体" w:eastAsia="黑体" w:hint="default"/>
          <w:sz w:val="22"/>
          <w:szCs w:val="22"/>
        </w:rPr>
      </w:pPr>
    </w:p>
    <w:p>
      <w:pPr>
        <w:pStyle w:val="Heading3"/>
        <w:spacing w:line="240" w:lineRule="auto"/>
        <w:ind w:right="0"/>
        <w:jc w:val="both"/>
      </w:pPr>
      <w:r>
        <w:rPr>
          <w:rFonts w:ascii="Cambria" w:hAnsi="Cambria" w:cs="Cambria" w:eastAsia="Cambria" w:hint="default"/>
        </w:rPr>
        <w:t>31</w:t>
      </w:r>
      <w:r>
        <w:rPr/>
        <w:t>、套期会计</w:t>
      </w:r>
    </w:p>
    <w:p>
      <w:pPr>
        <w:spacing w:line="240" w:lineRule="auto" w:before="2"/>
        <w:rPr>
          <w:rFonts w:ascii="黑体" w:hAnsi="黑体" w:cs="黑体" w:eastAsia="黑体" w:hint="default"/>
          <w:sz w:val="22"/>
          <w:szCs w:val="22"/>
        </w:rPr>
      </w:pPr>
    </w:p>
    <w:p>
      <w:pPr>
        <w:pStyle w:val="Heading3"/>
        <w:spacing w:line="240" w:lineRule="auto"/>
        <w:ind w:right="0"/>
        <w:jc w:val="both"/>
      </w:pPr>
      <w:r>
        <w:rPr>
          <w:rFonts w:ascii="Cambria" w:hAnsi="Cambria" w:cs="Cambria" w:eastAsia="Cambria" w:hint="default"/>
        </w:rPr>
        <w:t>32</w:t>
      </w:r>
      <w:r>
        <w:rPr/>
        <w:t>、主要会计政策、会计估计的变更</w:t>
      </w:r>
    </w:p>
    <w:p>
      <w:pPr>
        <w:spacing w:line="240" w:lineRule="auto" w:before="12"/>
        <w:rPr>
          <w:rFonts w:ascii="黑体" w:hAnsi="黑体" w:cs="黑体" w:eastAsia="黑体" w:hint="default"/>
          <w:sz w:val="23"/>
          <w:szCs w:val="23"/>
        </w:rPr>
      </w:pPr>
    </w:p>
    <w:p>
      <w:pPr>
        <w:pStyle w:val="BodyText"/>
        <w:spacing w:line="240" w:lineRule="auto"/>
        <w:ind w:right="0"/>
        <w:jc w:val="left"/>
      </w:pPr>
      <w:r>
        <w:rPr/>
        <w:t>本报告期主要会计政策、会计估计是否变更</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8"/>
        <w:rPr>
          <w:rFonts w:ascii="宋体" w:hAnsi="宋体" w:cs="宋体" w:eastAsia="宋体" w:hint="default"/>
          <w:sz w:val="30"/>
          <w:szCs w:val="30"/>
        </w:rPr>
      </w:pPr>
    </w:p>
    <w:p>
      <w:pPr>
        <w:spacing w:line="568" w:lineRule="auto" w:before="0"/>
        <w:ind w:left="574" w:right="641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本报告期主要会计政策是否变更</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997" w:footer="1252" w:top="1340" w:bottom="1440" w:left="980" w:right="980"/>
        </w:sectPr>
      </w:pPr>
    </w:p>
    <w:p>
      <w:pPr>
        <w:spacing w:line="568" w:lineRule="auto" w:before="106"/>
        <w:ind w:left="574" w:right="641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本报告期主要会计估计是否变更</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9"/>
        <w:rPr>
          <w:rFonts w:ascii="宋体" w:hAnsi="宋体" w:cs="宋体" w:eastAsia="宋体" w:hint="default"/>
          <w:sz w:val="23"/>
          <w:szCs w:val="23"/>
        </w:rPr>
      </w:pPr>
    </w:p>
    <w:p>
      <w:pPr>
        <w:pStyle w:val="Heading3"/>
        <w:spacing w:line="240" w:lineRule="auto"/>
        <w:ind w:right="0"/>
        <w:jc w:val="left"/>
      </w:pPr>
      <w:r>
        <w:rPr>
          <w:rFonts w:ascii="Cambria" w:hAnsi="Cambria" w:cs="Cambria" w:eastAsia="Cambria" w:hint="default"/>
        </w:rPr>
        <w:t>33</w:t>
      </w:r>
      <w:r>
        <w:rPr/>
        <w:t>、前期会计差错更正</w:t>
      </w:r>
    </w:p>
    <w:p>
      <w:pPr>
        <w:spacing w:line="240" w:lineRule="auto" w:before="12"/>
        <w:rPr>
          <w:rFonts w:ascii="黑体" w:hAnsi="黑体" w:cs="黑体" w:eastAsia="黑体" w:hint="default"/>
          <w:sz w:val="23"/>
          <w:szCs w:val="23"/>
        </w:rPr>
      </w:pPr>
    </w:p>
    <w:p>
      <w:pPr>
        <w:pStyle w:val="BodyText"/>
        <w:spacing w:line="240" w:lineRule="auto"/>
        <w:ind w:right="0"/>
        <w:jc w:val="left"/>
      </w:pPr>
      <w:r>
        <w:rPr/>
        <w:t>本报告期是否发现前期会计差错</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8"/>
        <w:rPr>
          <w:rFonts w:ascii="宋体" w:hAnsi="宋体" w:cs="宋体" w:eastAsia="宋体" w:hint="default"/>
          <w:sz w:val="30"/>
          <w:szCs w:val="30"/>
        </w:rPr>
      </w:pPr>
    </w:p>
    <w:p>
      <w:pPr>
        <w:spacing w:line="568" w:lineRule="auto" w:before="0"/>
        <w:ind w:left="574" w:right="473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本报告期是否发现采用追溯重述法的前期会计差错</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8"/>
        <w:rPr>
          <w:rFonts w:ascii="宋体" w:hAnsi="宋体" w:cs="宋体" w:eastAsia="宋体" w:hint="default"/>
          <w:sz w:val="30"/>
          <w:szCs w:val="30"/>
        </w:rPr>
      </w:pPr>
    </w:p>
    <w:p>
      <w:pPr>
        <w:spacing w:line="568" w:lineRule="auto" w:before="0"/>
        <w:ind w:left="574" w:right="473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本报告期是否发现采用未来适用法的前期会计差错</w:t>
      </w:r>
    </w:p>
    <w:p>
      <w:pPr>
        <w:spacing w:line="489" w:lineRule="auto" w:before="61"/>
        <w:ind w:left="154" w:right="3260" w:firstLine="420"/>
        <w:jc w:val="left"/>
        <w:rPr>
          <w:rFonts w:ascii="黑体" w:hAnsi="黑体" w:cs="黑体" w:eastAsia="黑体" w:hint="default"/>
          <w:sz w:val="28"/>
          <w:szCs w:val="28"/>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 </w:t>
      </w:r>
      <w:r>
        <w:rPr>
          <w:rFonts w:ascii="Cambria" w:hAnsi="Cambria" w:cs="Cambria" w:eastAsia="Cambria" w:hint="default"/>
          <w:spacing w:val="-1"/>
          <w:sz w:val="24"/>
          <w:szCs w:val="24"/>
        </w:rPr>
        <w:t>34</w:t>
      </w:r>
      <w:r>
        <w:rPr>
          <w:rFonts w:ascii="黑体" w:hAnsi="黑体" w:cs="黑体" w:eastAsia="黑体" w:hint="default"/>
          <w:spacing w:val="-1"/>
          <w:sz w:val="24"/>
          <w:szCs w:val="24"/>
        </w:rPr>
        <w:t>、其他主要会计政策、会计估计和财务报表编制方法</w:t>
      </w:r>
      <w:r>
        <w:rPr>
          <w:rFonts w:ascii="黑体" w:hAnsi="黑体" w:cs="黑体" w:eastAsia="黑体" w:hint="default"/>
          <w:spacing w:val="-118"/>
          <w:sz w:val="24"/>
          <w:szCs w:val="24"/>
        </w:rPr>
        <w:t> </w:t>
      </w:r>
      <w:r>
        <w:rPr>
          <w:rFonts w:ascii="黑体" w:hAnsi="黑体" w:cs="黑体" w:eastAsia="黑体" w:hint="default"/>
          <w:sz w:val="28"/>
          <w:szCs w:val="28"/>
        </w:rPr>
        <w:t>五、税项</w:t>
      </w:r>
    </w:p>
    <w:p>
      <w:pPr>
        <w:pStyle w:val="Heading3"/>
        <w:spacing w:line="240" w:lineRule="auto" w:before="78"/>
        <w:ind w:right="0"/>
        <w:jc w:val="left"/>
      </w:pPr>
      <w:r>
        <w:rPr>
          <w:rFonts w:ascii="Cambria" w:hAnsi="Cambria" w:cs="Cambria" w:eastAsia="Cambria" w:hint="default"/>
        </w:rPr>
        <w:t>1</w:t>
      </w:r>
      <w:r>
        <w:rPr/>
        <w:t>、公司主要税种和税率</w:t>
      </w:r>
    </w:p>
    <w:p>
      <w:pPr>
        <w:spacing w:line="240" w:lineRule="auto" w:before="2"/>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985"/>
        <w:gridCol w:w="2126"/>
        <w:gridCol w:w="5456"/>
      </w:tblGrid>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5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184"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26" w:type="dxa"/>
            <w:vMerge w:val="restart"/>
            <w:tcBorders>
              <w:top w:val="single" w:sz="4" w:space="0" w:color="000000"/>
              <w:left w:val="single" w:sz="9" w:space="0" w:color="D3D3D3"/>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left="69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5456" w:type="dxa"/>
            <w:vMerge w:val="restart"/>
            <w:tcBorders>
              <w:top w:val="single" w:sz="4" w:space="0" w:color="000000"/>
              <w:left w:val="single" w:sz="4" w:space="0" w:color="000000"/>
              <w:right w:val="single" w:sz="4" w:space="0" w:color="000000"/>
            </w:tcBorders>
          </w:tcPr>
          <w:p>
            <w:pPr>
              <w:pStyle w:val="TableParagraph"/>
              <w:spacing w:line="345" w:lineRule="auto" w:before="33"/>
              <w:ind w:left="1642" w:right="53" w:hanging="1590"/>
              <w:jc w:val="left"/>
              <w:rPr>
                <w:rFonts w:ascii="宋体" w:hAnsi="宋体" w:cs="宋体" w:eastAsia="宋体" w:hint="default"/>
                <w:sz w:val="18"/>
                <w:szCs w:val="18"/>
              </w:rPr>
            </w:pPr>
            <w:r>
              <w:rPr>
                <w:rFonts w:ascii="宋体" w:hAnsi="宋体" w:cs="宋体" w:eastAsia="宋体" w:hint="default"/>
                <w:sz w:val="18"/>
                <w:szCs w:val="18"/>
              </w:rPr>
              <w:t>应税收入按照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的税率计算销项税，并按照扣除当期允许抵 扣的进项税额后的差额计缴</w:t>
            </w:r>
          </w:p>
        </w:tc>
      </w:tr>
      <w:tr>
        <w:trPr>
          <w:trHeight w:val="358"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126" w:type="dxa"/>
            <w:vMerge/>
            <w:tcBorders>
              <w:left w:val="single" w:sz="9" w:space="0" w:color="D3D3D3"/>
              <w:right w:val="single" w:sz="4" w:space="0" w:color="000000"/>
            </w:tcBorders>
          </w:tcPr>
          <w:p>
            <w:pPr/>
          </w:p>
        </w:tc>
        <w:tc>
          <w:tcPr>
            <w:tcW w:w="5456" w:type="dxa"/>
            <w:vMerge/>
            <w:tcBorders>
              <w:left w:val="single" w:sz="4" w:space="0" w:color="000000"/>
              <w:right w:val="single" w:sz="4" w:space="0" w:color="000000"/>
            </w:tcBorders>
          </w:tcPr>
          <w:p>
            <w:pPr/>
          </w:p>
        </w:tc>
      </w:tr>
      <w:tr>
        <w:trPr>
          <w:trHeight w:val="185"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26" w:type="dxa"/>
            <w:vMerge/>
            <w:tcBorders>
              <w:left w:val="single" w:sz="9" w:space="0" w:color="D3D3D3"/>
              <w:bottom w:val="single" w:sz="4" w:space="0" w:color="000000"/>
              <w:right w:val="single" w:sz="4" w:space="0" w:color="000000"/>
            </w:tcBorders>
          </w:tcPr>
          <w:p>
            <w:pPr/>
          </w:p>
        </w:tc>
        <w:tc>
          <w:tcPr>
            <w:tcW w:w="5456" w:type="dxa"/>
            <w:vMerge/>
            <w:tcBorders>
              <w:left w:val="single" w:sz="4" w:space="0" w:color="000000"/>
              <w:bottom w:val="single" w:sz="4" w:space="0" w:color="000000"/>
              <w:right w:val="single" w:sz="4" w:space="0" w:color="000000"/>
            </w:tcBorders>
          </w:tcPr>
          <w:p>
            <w:pP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1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right="11"/>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r>
      <w:tr>
        <w:trPr>
          <w:trHeight w:val="3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21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1"/>
              <w:jc w:val="center"/>
              <w:rPr>
                <w:rFonts w:ascii="宋体" w:hAnsi="宋体" w:cs="宋体" w:eastAsia="宋体" w:hint="default"/>
                <w:sz w:val="18"/>
                <w:szCs w:val="18"/>
              </w:rPr>
            </w:pPr>
            <w:r>
              <w:rPr>
                <w:rFonts w:ascii="宋体" w:hAnsi="宋体" w:cs="宋体" w:eastAsia="宋体" w:hint="default"/>
                <w:sz w:val="18"/>
                <w:szCs w:val="18"/>
              </w:rPr>
              <w:t>应纳流转税额</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21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right="11"/>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1"/>
        <w:rPr>
          <w:rFonts w:ascii="黑体" w:hAnsi="黑体" w:cs="黑体" w:eastAsia="黑体" w:hint="default"/>
          <w:sz w:val="14"/>
          <w:szCs w:val="14"/>
        </w:rPr>
      </w:pPr>
    </w:p>
    <w:p>
      <w:pPr>
        <w:pStyle w:val="BodyText"/>
        <w:spacing w:line="240" w:lineRule="auto" w:before="35"/>
        <w:ind w:right="0"/>
        <w:jc w:val="left"/>
      </w:pPr>
      <w:r>
        <w:rPr/>
        <w:t>公司及各分公司执行的所得税税率</w:t>
      </w:r>
    </w:p>
    <w:p>
      <w:pPr>
        <w:spacing w:line="240" w:lineRule="auto" w:before="1"/>
        <w:rPr>
          <w:rFonts w:ascii="宋体" w:hAnsi="宋体" w:cs="宋体" w:eastAsia="宋体" w:hint="default"/>
          <w:sz w:val="26"/>
          <w:szCs w:val="26"/>
        </w:rPr>
      </w:pPr>
    </w:p>
    <w:p>
      <w:pPr>
        <w:pStyle w:val="Heading4"/>
        <w:spacing w:line="369" w:lineRule="auto"/>
        <w:ind w:left="154" w:right="0" w:firstLine="330"/>
        <w:jc w:val="left"/>
      </w:pPr>
      <w:r>
        <w:rPr>
          <w:spacing w:val="2"/>
        </w:rPr>
        <w:t>①本公司及其子公司成都旋极历通信息技术有限公司的企业所得税的适用税率为</w:t>
      </w:r>
      <w:r>
        <w:rPr>
          <w:rFonts w:ascii="Times New Roman" w:hAnsi="Times New Roman" w:cs="Times New Roman" w:eastAsia="Times New Roman" w:hint="default"/>
          <w:spacing w:val="2"/>
        </w:rPr>
        <w:t>15%</w:t>
      </w:r>
      <w:r>
        <w:rPr>
          <w:spacing w:val="2"/>
        </w:rPr>
        <w:t>；本公司全</w:t>
      </w:r>
      <w:r>
        <w:rPr>
          <w:w w:val="99"/>
        </w:rPr>
        <w:t> </w:t>
      </w:r>
      <w:r>
        <w:rPr/>
        <w:t>资子公司旋极国际（香港）有限公司执行</w:t>
      </w:r>
      <w:r>
        <w:rPr>
          <w:rFonts w:ascii="Times New Roman" w:hAnsi="Times New Roman" w:cs="Times New Roman" w:eastAsia="Times New Roman" w:hint="default"/>
        </w:rPr>
        <w:t>16.5%</w:t>
      </w:r>
      <w:r>
        <w:rPr/>
        <w:t>的所得税税率；其他控股子公司均执行</w:t>
      </w:r>
      <w:r>
        <w:rPr>
          <w:rFonts w:ascii="Times New Roman" w:hAnsi="Times New Roman" w:cs="Times New Roman" w:eastAsia="Times New Roman" w:hint="default"/>
        </w:rPr>
        <w:t>25%</w:t>
      </w:r>
      <w:r>
        <w:rPr/>
        <w:t>的企业所</w:t>
      </w:r>
    </w:p>
    <w:p>
      <w:pPr>
        <w:spacing w:after="0" w:line="369" w:lineRule="auto"/>
        <w:jc w:val="left"/>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240" w:lineRule="auto" w:before="31"/>
        <w:ind w:left="154" w:right="101" w:firstLine="0"/>
        <w:jc w:val="left"/>
      </w:pPr>
      <w:r>
        <w:rPr/>
        <w:t>得税税率。</w:t>
      </w:r>
    </w:p>
    <w:p>
      <w:pPr>
        <w:spacing w:line="240" w:lineRule="auto" w:before="9"/>
        <w:rPr>
          <w:rFonts w:ascii="宋体" w:hAnsi="宋体" w:cs="宋体" w:eastAsia="宋体" w:hint="default"/>
          <w:sz w:val="25"/>
          <w:szCs w:val="25"/>
        </w:rPr>
      </w:pPr>
    </w:p>
    <w:p>
      <w:pPr>
        <w:pStyle w:val="Heading4"/>
        <w:spacing w:line="369" w:lineRule="auto"/>
        <w:ind w:right="208" w:firstLine="330"/>
        <w:jc w:val="both"/>
      </w:pPr>
      <w:r>
        <w:rPr>
          <w:w w:val="95"/>
        </w:rPr>
        <w:t>②本公司及其子公司从事技术服务等业务收入，按照</w:t>
      </w:r>
      <w:r>
        <w:rPr>
          <w:rFonts w:ascii="Times New Roman" w:hAnsi="Times New Roman" w:cs="Times New Roman" w:eastAsia="Times New Roman" w:hint="default"/>
          <w:w w:val="95"/>
        </w:rPr>
        <w:t>5%</w:t>
      </w:r>
      <w:r>
        <w:rPr>
          <w:w w:val="95"/>
        </w:rPr>
        <w:t>税率计缴营业税。根据《财政部、国家税</w:t>
      </w:r>
      <w:r>
        <w:rPr>
          <w:spacing w:val="18"/>
          <w:w w:val="95"/>
        </w:rPr>
        <w:t> </w:t>
      </w:r>
      <w:r>
        <w:rPr>
          <w:spacing w:val="18"/>
          <w:w w:val="95"/>
        </w:rPr>
      </w:r>
      <w:r>
        <w:rPr/>
        <w:t>务总局关于在北京等</w:t>
      </w:r>
      <w:r>
        <w:rPr>
          <w:rFonts w:ascii="Times New Roman" w:hAnsi="Times New Roman" w:cs="Times New Roman" w:eastAsia="Times New Roman" w:hint="default"/>
        </w:rPr>
        <w:t>8</w:t>
      </w:r>
      <w:r>
        <w:rPr/>
        <w:t>省市开展交通运输业和部分现代服务业营业税改征增值税试点的通知》（财税</w:t>
      </w:r>
      <w:r>
        <w:rPr>
          <w:spacing w:val="-59"/>
        </w:rPr>
        <w:t> </w:t>
      </w:r>
      <w:r>
        <w:rPr>
          <w:spacing w:val="-59"/>
        </w:rPr>
      </w:r>
      <w:r>
        <w:rPr>
          <w:rFonts w:ascii="Times New Roman" w:hAnsi="Times New Roman" w:cs="Times New Roman" w:eastAsia="Times New Roman" w:hint="default"/>
        </w:rPr>
        <w:t>[2012]71</w:t>
      </w:r>
      <w:r>
        <w:rPr/>
        <w:t>号）等相关规定，位于北京市的本公司及子公司北京麦禾信通科技有限公司、北京旋极汉荣</w:t>
      </w:r>
      <w:r>
        <w:rPr>
          <w:spacing w:val="-91"/>
        </w:rPr>
        <w:t> </w:t>
      </w:r>
      <w:r>
        <w:rPr>
          <w:spacing w:val="-1"/>
        </w:rPr>
        <w:t>嵌入式技术有限公司从事技术服务、技术开发等业务的收入，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日起改为征收增值税，税率</w:t>
      </w:r>
      <w:r>
        <w:rPr>
          <w:w w:val="99"/>
        </w:rPr>
        <w:t> </w:t>
      </w:r>
      <w:r>
        <w:rPr>
          <w:spacing w:val="2"/>
        </w:rPr>
        <w:t>为</w:t>
      </w:r>
      <w:r>
        <w:rPr>
          <w:rFonts w:ascii="Times New Roman" w:hAnsi="Times New Roman" w:cs="Times New Roman" w:eastAsia="Times New Roman" w:hint="default"/>
          <w:spacing w:val="2"/>
        </w:rPr>
        <w:t>6%</w:t>
      </w:r>
      <w:r>
        <w:rPr>
          <w:spacing w:val="2"/>
        </w:rPr>
        <w:t>；根据《关于在上海市开展交通运输业和部分现代服务业营业税改征增值税试点的通知》（财</w:t>
      </w:r>
      <w:r>
        <w:rPr>
          <w:spacing w:val="2"/>
          <w:w w:val="99"/>
        </w:rPr>
        <w:t> </w:t>
      </w:r>
      <w:r>
        <w:rPr>
          <w:spacing w:val="-2"/>
        </w:rPr>
        <w:t>税</w:t>
      </w:r>
      <w:r>
        <w:rPr>
          <w:rFonts w:ascii="Times New Roman" w:hAnsi="Times New Roman" w:cs="Times New Roman" w:eastAsia="Times New Roman" w:hint="default"/>
          <w:spacing w:val="-2"/>
        </w:rPr>
        <w:t>[2011]111</w:t>
      </w:r>
      <w:r>
        <w:rPr>
          <w:spacing w:val="-2"/>
        </w:rPr>
        <w:t>号）等相关规定，位于上海市的上海旋极信息技术有限公司从事技术服务、技术开发等业</w:t>
      </w:r>
      <w:r>
        <w:rPr>
          <w:spacing w:val="-101"/>
        </w:rPr>
        <w:t> </w:t>
      </w:r>
      <w:r>
        <w:rPr>
          <w:spacing w:val="-101"/>
        </w:rPr>
      </w:r>
      <w:r>
        <w:rPr/>
        <w:t>务的收入，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日起改为征收增值税，税率为</w:t>
      </w:r>
      <w:r>
        <w:rPr>
          <w:rFonts w:ascii="Times New Roman" w:hAnsi="Times New Roman" w:cs="Times New Roman" w:eastAsia="Times New Roman" w:hint="default"/>
        </w:rPr>
        <w:t>6%</w:t>
      </w:r>
      <w:r>
        <w:rPr/>
        <w:t>。</w:t>
      </w:r>
    </w:p>
    <w:p>
      <w:pPr>
        <w:pStyle w:val="Heading3"/>
        <w:spacing w:line="240" w:lineRule="auto" w:before="173"/>
        <w:ind w:right="101"/>
        <w:jc w:val="left"/>
      </w:pPr>
      <w:r>
        <w:rPr>
          <w:rFonts w:ascii="Cambria" w:hAnsi="Cambria" w:cs="Cambria" w:eastAsia="Cambria" w:hint="default"/>
        </w:rPr>
        <w:t>2</w:t>
      </w:r>
      <w:r>
        <w:rPr/>
        <w:t>、税收优惠及批文</w:t>
      </w:r>
    </w:p>
    <w:p>
      <w:pPr>
        <w:spacing w:line="240" w:lineRule="auto" w:before="4"/>
        <w:rPr>
          <w:rFonts w:ascii="黑体" w:hAnsi="黑体" w:cs="黑体" w:eastAsia="黑体" w:hint="default"/>
          <w:sz w:val="23"/>
          <w:szCs w:val="23"/>
        </w:rPr>
      </w:pPr>
    </w:p>
    <w:p>
      <w:pPr>
        <w:pStyle w:val="Heading4"/>
        <w:spacing w:line="369" w:lineRule="auto"/>
        <w:ind w:left="154" w:right="207"/>
        <w:jc w:val="both"/>
      </w:pPr>
      <w:r>
        <w:rPr/>
        <w:t>（</w:t>
      </w:r>
      <w:r>
        <w:rPr>
          <w:rFonts w:ascii="Times New Roman" w:hAnsi="Times New Roman" w:cs="Times New Roman" w:eastAsia="Times New Roman" w:hint="default"/>
        </w:rPr>
        <w:t>1</w:t>
      </w:r>
      <w:r>
        <w:rPr/>
        <w:t>）本公司及其控股子公司成都旋极分别于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日取得高新技术企</w:t>
      </w:r>
      <w:r>
        <w:rPr>
          <w:w w:val="99"/>
        </w:rPr>
        <w:t> </w:t>
      </w:r>
      <w:r>
        <w:rPr>
          <w:spacing w:val="-6"/>
        </w:rPr>
        <w:t>业证书，有效期为三年，根据《企业所得税法》第二十八条规定，本公司及其控股子公司成都旋极</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41"/>
        </w:rPr>
        <w:t> </w:t>
      </w:r>
      <w:r>
        <w:rPr/>
        <w:t>年度均执行</w:t>
      </w:r>
      <w:r>
        <w:rPr>
          <w:rFonts w:ascii="Times New Roman" w:hAnsi="Times New Roman" w:cs="Times New Roman" w:eastAsia="Times New Roman" w:hint="default"/>
        </w:rPr>
        <w:t>15%</w:t>
      </w:r>
      <w:r>
        <w:rPr/>
        <w:t>的企业所得税率。</w:t>
      </w:r>
    </w:p>
    <w:p>
      <w:pPr>
        <w:pStyle w:val="Heading4"/>
        <w:spacing w:line="379" w:lineRule="auto" w:before="188"/>
        <w:ind w:left="154" w:right="208"/>
        <w:jc w:val="both"/>
      </w:pPr>
      <w:r>
        <w:rPr>
          <w:spacing w:val="-1"/>
        </w:rPr>
        <w:t>（</w:t>
      </w:r>
      <w:r>
        <w:rPr>
          <w:rFonts w:ascii="Times New Roman" w:hAnsi="Times New Roman" w:cs="Times New Roman" w:eastAsia="Times New Roman" w:hint="default"/>
          <w:spacing w:val="-1"/>
        </w:rPr>
        <w:t>2</w:t>
      </w:r>
      <w:r>
        <w:rPr>
          <w:spacing w:val="-1"/>
        </w:rPr>
        <w:t>）根据财税【</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1</w:t>
      </w:r>
      <w:r>
        <w:rPr>
          <w:spacing w:val="-1"/>
        </w:rPr>
        <w:t>号《财政部、国家税务总局关于企业所得税若干优惠政策的通知》，为</w:t>
      </w:r>
      <w:r>
        <w:rPr>
          <w:w w:val="99"/>
        </w:rPr>
        <w:t> </w:t>
      </w:r>
      <w:r>
        <w:rPr>
          <w:spacing w:val="-1"/>
        </w:rPr>
        <w:t>鼓励软件产业和集成电路产业的发展，软件生产企业实行增值税即征即退政策所退还的税款，由企业</w:t>
      </w:r>
      <w:r>
        <w:rPr>
          <w:w w:val="99"/>
        </w:rPr>
        <w:t> </w:t>
      </w:r>
      <w:r>
        <w:rPr/>
        <w:t>用于研究开发软件产品和扩大再生产，不作为企业所得税应税收入，不予征收企业所得税。</w:t>
      </w:r>
    </w:p>
    <w:p>
      <w:pPr>
        <w:spacing w:line="240" w:lineRule="auto" w:before="12"/>
        <w:rPr>
          <w:rFonts w:ascii="宋体" w:hAnsi="宋体" w:cs="宋体" w:eastAsia="宋体" w:hint="default"/>
          <w:sz w:val="15"/>
          <w:szCs w:val="15"/>
        </w:rPr>
      </w:pPr>
    </w:p>
    <w:p>
      <w:pPr>
        <w:pStyle w:val="Heading4"/>
        <w:spacing w:line="369" w:lineRule="auto"/>
        <w:ind w:left="154" w:right="165"/>
        <w:jc w:val="both"/>
      </w:pPr>
      <w:r>
        <w:rPr/>
        <w:t>（</w:t>
      </w:r>
      <w:r>
        <w:rPr>
          <w:rFonts w:ascii="Times New Roman" w:hAnsi="Times New Roman" w:cs="Times New Roman" w:eastAsia="Times New Roman" w:hint="default"/>
        </w:rPr>
        <w:t>3</w:t>
      </w:r>
      <w:r>
        <w:rPr/>
        <w:t>）公司及其控股子公司北京旋极汉荣嵌入式技术有限公司、深圳旋极历通科技有限公司、成</w:t>
      </w:r>
      <w:r>
        <w:rPr>
          <w:w w:val="99"/>
        </w:rPr>
        <w:t> </w:t>
      </w:r>
      <w:r>
        <w:rPr/>
        <w:t>都旋极历通信息技术有限公司、上海旋极信息技术有限公司均被认定为软件企业。根据财税【</w:t>
      </w:r>
      <w:r>
        <w:rPr>
          <w:rFonts w:ascii="Times New Roman" w:hAnsi="Times New Roman" w:cs="Times New Roman" w:eastAsia="Times New Roman" w:hint="default"/>
        </w:rPr>
        <w:t>2000</w:t>
      </w:r>
      <w:r>
        <w:rPr/>
        <w:t>】</w:t>
      </w:r>
      <w:r>
        <w:rPr>
          <w:w w:val="99"/>
        </w:rPr>
        <w:t> </w:t>
      </w:r>
      <w:r>
        <w:rPr>
          <w:rFonts w:ascii="Times New Roman" w:hAnsi="Times New Roman" w:cs="Times New Roman" w:eastAsia="Times New Roman" w:hint="default"/>
          <w:w w:val="95"/>
        </w:rPr>
        <w:t>25</w:t>
      </w:r>
      <w:r>
        <w:rPr>
          <w:w w:val="95"/>
        </w:rPr>
        <w:t>号《财政部、国家税务总局、海关总署关于鼓励软件产业和集成电路产业发展有关税收政策问题的</w:t>
      </w:r>
      <w:r>
        <w:rPr>
          <w:spacing w:val="18"/>
          <w:w w:val="95"/>
        </w:rPr>
        <w:t> </w:t>
      </w:r>
      <w:r>
        <w:rPr>
          <w:spacing w:val="18"/>
          <w:w w:val="95"/>
        </w:rPr>
      </w:r>
      <w:r>
        <w:rPr/>
        <w:t>通知》，为鼓励软件产业发展，自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日起至</w:t>
      </w:r>
      <w:r>
        <w:rPr>
          <w:rFonts w:ascii="Times New Roman" w:hAnsi="Times New Roman" w:cs="Times New Roman" w:eastAsia="Times New Roman" w:hint="default"/>
        </w:rPr>
        <w:t>2010</w:t>
      </w:r>
      <w:r>
        <w:rPr/>
        <w:t>年底以前，对增值税一般纳税人销售其自</w:t>
      </w:r>
      <w:r>
        <w:rPr>
          <w:spacing w:val="-61"/>
        </w:rPr>
        <w:t> </w:t>
      </w:r>
      <w:r>
        <w:rPr>
          <w:spacing w:val="-61"/>
        </w:rPr>
      </w:r>
      <w:r>
        <w:rPr>
          <w:spacing w:val="-2"/>
        </w:rPr>
        <w:t>行开发生产的软件产品，按</w:t>
      </w:r>
      <w:r>
        <w:rPr>
          <w:rFonts w:ascii="Times New Roman" w:hAnsi="Times New Roman" w:cs="Times New Roman" w:eastAsia="Times New Roman" w:hint="default"/>
          <w:spacing w:val="-2"/>
        </w:rPr>
        <w:t>17%</w:t>
      </w:r>
      <w:r>
        <w:rPr>
          <w:spacing w:val="-2"/>
        </w:rPr>
        <w:t>的法定税率征收增值税后，对其增值税实际税负超过</w:t>
      </w:r>
      <w:r>
        <w:rPr>
          <w:rFonts w:ascii="Times New Roman" w:hAnsi="Times New Roman" w:cs="Times New Roman" w:eastAsia="Times New Roman" w:hint="default"/>
          <w:spacing w:val="-2"/>
        </w:rPr>
        <w:t>3%</w:t>
      </w:r>
      <w:r>
        <w:rPr>
          <w:spacing w:val="-2"/>
        </w:rPr>
        <w:t>的部分实行即</w:t>
      </w:r>
      <w:r>
        <w:rPr>
          <w:spacing w:val="-105"/>
        </w:rPr>
        <w:t> </w:t>
      </w:r>
      <w:r>
        <w:rPr>
          <w:spacing w:val="-105"/>
        </w:rPr>
      </w:r>
      <w:r>
        <w:rPr/>
        <w:t>征即退政策。根据国发【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号《国务院关于印发进一步鼓励软件产业和集成电路产业发展若干</w:t>
      </w:r>
      <w:r>
        <w:rPr>
          <w:spacing w:val="-61"/>
        </w:rPr>
        <w:t> </w:t>
      </w:r>
      <w:r>
        <w:rPr>
          <w:spacing w:val="-61"/>
        </w:rPr>
      </w:r>
      <w:r>
        <w:rPr/>
        <w:t>政策的通知》，继续实施软件增值税优惠政策。</w:t>
      </w:r>
    </w:p>
    <w:p>
      <w:pPr>
        <w:spacing w:line="240" w:lineRule="auto" w:before="8"/>
        <w:rPr>
          <w:rFonts w:ascii="宋体" w:hAnsi="宋体" w:cs="宋体" w:eastAsia="宋体" w:hint="default"/>
          <w:sz w:val="16"/>
          <w:szCs w:val="16"/>
        </w:rPr>
      </w:pPr>
    </w:p>
    <w:p>
      <w:pPr>
        <w:pStyle w:val="Heading4"/>
        <w:spacing w:line="379" w:lineRule="auto"/>
        <w:ind w:left="154" w:right="96"/>
        <w:jc w:val="left"/>
      </w:pPr>
      <w:r>
        <w:rPr/>
        <w:t>（</w:t>
      </w:r>
      <w:r>
        <w:rPr>
          <w:rFonts w:ascii="Times New Roman" w:hAnsi="Times New Roman" w:cs="Times New Roman" w:eastAsia="Times New Roman" w:hint="default"/>
        </w:rPr>
        <w:t>4</w:t>
      </w:r>
      <w:r>
        <w:rPr/>
        <w:t>）根据财税字【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号《财政部、国家税务总局关于贯彻落实〈中共中央国务院关于加</w:t>
      </w:r>
      <w:r>
        <w:rPr>
          <w:w w:val="99"/>
        </w:rPr>
        <w:t> </w:t>
      </w:r>
      <w:r>
        <w:rPr>
          <w:spacing w:val="-4"/>
        </w:rPr>
        <w:t>强技术创新，发展高科技，实现产业化的决定〉有关税收问题的通知》，对单位和个人从事技术转让、</w:t>
      </w:r>
      <w:r>
        <w:rPr>
          <w:spacing w:val="-86"/>
        </w:rPr>
        <w:t> </w:t>
      </w:r>
      <w:r>
        <w:rPr>
          <w:spacing w:val="-86"/>
        </w:rPr>
      </w:r>
      <w:r>
        <w:rPr/>
        <w:t>技术开发业务和与之相关的技术咨询、技术服务业务取得的收入，免征营业税。</w:t>
      </w:r>
    </w:p>
    <w:p>
      <w:pPr>
        <w:spacing w:after="0" w:line="379" w:lineRule="auto"/>
        <w:jc w:val="left"/>
        <w:sectPr>
          <w:footerReference w:type="default" r:id="rId34"/>
          <w:pgSz w:w="11910" w:h="16840"/>
          <w:pgMar w:footer="1252" w:header="997" w:top="1340" w:bottom="1440" w:left="980" w:right="920"/>
          <w:pgNumType w:start="11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3</w:t>
      </w:r>
      <w:r>
        <w:rPr/>
        <w:t>、其他说明</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4"/>
        <w:rPr>
          <w:rFonts w:ascii="宋体" w:hAnsi="宋体" w:cs="宋体" w:eastAsia="宋体" w:hint="default"/>
          <w:sz w:val="28"/>
          <w:szCs w:val="28"/>
        </w:rPr>
      </w:pPr>
    </w:p>
    <w:p>
      <w:pPr>
        <w:pStyle w:val="Heading2"/>
        <w:spacing w:line="240" w:lineRule="auto"/>
        <w:ind w:right="0"/>
        <w:jc w:val="left"/>
      </w:pPr>
      <w:r>
        <w:rPr/>
        <w:t>六、企业合并及合并财务报表</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、子公司情况</w:t>
      </w:r>
    </w:p>
    <w:p>
      <w:pPr>
        <w:spacing w:after="0" w:line="240" w:lineRule="auto"/>
        <w:jc w:val="left"/>
        <w:sectPr>
          <w:pgSz w:w="11910" w:h="16840"/>
          <w:pgMar w:header="997" w:footer="1252" w:top="1340" w:bottom="1440" w:left="980" w:right="980"/>
        </w:sectPr>
      </w:pPr>
    </w:p>
    <w:p>
      <w:pPr>
        <w:spacing w:line="240" w:lineRule="auto" w:before="6"/>
        <w:rPr>
          <w:rFonts w:ascii="黑体" w:hAnsi="黑体" w:cs="黑体" w:eastAsia="黑体" w:hint="default"/>
          <w:sz w:val="16"/>
          <w:szCs w:val="16"/>
        </w:rPr>
      </w:pPr>
    </w:p>
    <w:p>
      <w:pPr>
        <w:pStyle w:val="Heading5"/>
        <w:spacing w:line="240" w:lineRule="auto" w:before="35"/>
        <w:ind w:left="1099"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098"/>
        <w:jc w:val="right"/>
      </w:pPr>
      <w:r>
        <w:rPr/>
        <w:pict>
          <v:group style="position:absolute;margin-left:202.550995pt;margin-top:30.33338pt;width:54.2pt;height:71.8pt;mso-position-horizontal-relative:page;mso-position-vertical-relative:paragraph;z-index:-728656" coordorigin="4051,607" coordsize="1084,1436">
            <v:group style="position:absolute;left:4051;top:607;width:1084;height:1436" coordorigin="4051,607" coordsize="1084,1436">
              <v:shape style="position:absolute;left:4051;top:607;width:1084;height:1436" coordorigin="4051,607" coordsize="1084,1436" path="m5135,1683l5135,607,4051,607,4864,1683,5135,1683xe" filled="true" fillcolor="#d3d3d3" stroked="false">
                <v:path arrowok="t"/>
                <v:fill type="solid"/>
              </v:shape>
              <v:shape style="position:absolute;left:4051;top:607;width:1084;height:1436" coordorigin="4051,607" coordsize="1084,1436" path="m5112,2042l5112,2012,4864,1683,4074,1683,4074,2042,5112,2042xe" filled="true" fillcolor="#d3d3d3" stroked="false">
                <v:path arrowok="t"/>
                <v:fill type="solid"/>
              </v:shape>
              <v:shape style="position:absolute;left:4051;top:607;width:1084;height:1436" coordorigin="4051,607" coordsize="1084,1436" path="m5135,2042l5135,1683,5112,1683,5112,2012,5135,2042xe" filled="true" fillcolor="#d3d3d3" stroked="false">
                <v:path arrowok="t"/>
                <v:fill type="solid"/>
              </v:shape>
            </v:group>
            <v:group style="position:absolute;left:4074;top:1683;width:1038;height:359" coordorigin="4074,1683" coordsize="1038,359">
              <v:shape style="position:absolute;left:4074;top:1683;width:1038;height:359" coordorigin="4074,1683" coordsize="1038,359" path="m4074,1683l4074,2042,5112,2042,5112,1683,4074,1683xe" filled="true" fillcolor="#d3d3d3" stroked="false">
                <v:path arrowok="t"/>
                <v:fill type="solid"/>
              </v:shape>
            </v:group>
            <w10:wrap type="none"/>
          </v:group>
        </w:pict>
      </w:r>
      <w:r>
        <w:rPr/>
        <w:t>单位： 元</w:t>
      </w:r>
    </w:p>
    <w:p>
      <w:pPr>
        <w:spacing w:line="240" w:lineRule="auto" w:before="11"/>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536"/>
        <w:gridCol w:w="683"/>
        <w:gridCol w:w="684"/>
        <w:gridCol w:w="683"/>
        <w:gridCol w:w="1093"/>
        <w:gridCol w:w="4253"/>
        <w:gridCol w:w="1134"/>
        <w:gridCol w:w="709"/>
        <w:gridCol w:w="708"/>
        <w:gridCol w:w="708"/>
        <w:gridCol w:w="709"/>
        <w:gridCol w:w="709"/>
        <w:gridCol w:w="709"/>
        <w:gridCol w:w="1597"/>
      </w:tblGrid>
      <w:tr>
        <w:trPr>
          <w:trHeight w:val="724" w:hRule="exact"/>
        </w:trPr>
        <w:tc>
          <w:tcPr>
            <w:tcW w:w="1536"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1093" w:type="dxa"/>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4253" w:type="dxa"/>
            <w:vMerge w:val="restart"/>
            <w:tcBorders>
              <w:top w:val="single" w:sz="4" w:space="0" w:color="000000"/>
              <w:left w:val="single" w:sz="4" w:space="0" w:color="000000"/>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4"/>
              <w:ind w:left="78" w:right="77"/>
              <w:jc w:val="center"/>
              <w:rPr>
                <w:rFonts w:ascii="宋体" w:hAnsi="宋体" w:cs="宋体" w:eastAsia="宋体" w:hint="default"/>
                <w:sz w:val="18"/>
                <w:szCs w:val="18"/>
              </w:rPr>
            </w:pPr>
            <w:r>
              <w:rPr>
                <w:rFonts w:ascii="宋体" w:hAnsi="宋体" w:cs="宋体" w:eastAsia="宋体" w:hint="default"/>
                <w:b/>
                <w:bCs/>
                <w:sz w:val="18"/>
                <w:szCs w:val="18"/>
              </w:rPr>
              <w:t>实质上</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构成对</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项目余</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4"/>
              <w:ind w:left="78" w:right="77"/>
              <w:jc w:val="both"/>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东权益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中用于</w:t>
            </w:r>
            <w:r>
              <w:rPr>
                <w:rFonts w:ascii="宋体" w:hAnsi="宋体" w:cs="宋体" w:eastAsia="宋体" w:hint="default"/>
                <w:b/>
                <w:bCs/>
                <w:spacing w:val="1"/>
                <w:w w:val="99"/>
                <w:sz w:val="18"/>
                <w:szCs w:val="18"/>
              </w:rPr>
              <w:t> </w:t>
            </w:r>
            <w:r>
              <w:rPr>
                <w:rFonts w:ascii="宋体" w:hAnsi="宋体" w:cs="宋体" w:eastAsia="宋体" w:hint="default"/>
                <w:b/>
                <w:bCs/>
                <w:sz w:val="18"/>
                <w:szCs w:val="18"/>
              </w:rPr>
              <w:t>冲减少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数股东</w:t>
            </w:r>
            <w:r>
              <w:rPr>
                <w:rFonts w:ascii="宋体" w:hAnsi="宋体" w:cs="宋体" w:eastAsia="宋体" w:hint="default"/>
                <w:b/>
                <w:bCs/>
                <w:spacing w:val="1"/>
                <w:w w:val="99"/>
                <w:sz w:val="18"/>
                <w:szCs w:val="18"/>
              </w:rPr>
              <w:t> </w:t>
            </w:r>
            <w:r>
              <w:rPr>
                <w:rFonts w:ascii="宋体" w:hAnsi="宋体" w:cs="宋体" w:eastAsia="宋体" w:hint="default"/>
                <w:b/>
                <w:bCs/>
                <w:sz w:val="18"/>
                <w:szCs w:val="18"/>
              </w:rPr>
              <w:t>损益的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4"/>
              <w:ind w:left="70" w:right="71"/>
              <w:jc w:val="center"/>
              <w:rPr>
                <w:rFonts w:ascii="宋体" w:hAnsi="宋体" w:cs="宋体" w:eastAsia="宋体" w:hint="default"/>
                <w:sz w:val="18"/>
                <w:szCs w:val="18"/>
              </w:rPr>
            </w:pPr>
            <w:r>
              <w:rPr>
                <w:rFonts w:ascii="宋体" w:hAnsi="宋体" w:cs="宋体" w:eastAsia="宋体" w:hint="default"/>
                <w:b/>
                <w:bCs/>
                <w:sz w:val="18"/>
                <w:szCs w:val="18"/>
              </w:rPr>
              <w:t>从母公司所有者权</w:t>
            </w:r>
            <w:r>
              <w:rPr>
                <w:rFonts w:ascii="宋体" w:hAnsi="宋体" w:cs="宋体" w:eastAsia="宋体" w:hint="default"/>
                <w:b/>
                <w:bCs/>
                <w:w w:val="99"/>
                <w:sz w:val="18"/>
                <w:szCs w:val="18"/>
              </w:rPr>
              <w:t> </w:t>
            </w:r>
            <w:r>
              <w:rPr>
                <w:rFonts w:ascii="宋体" w:hAnsi="宋体" w:cs="宋体" w:eastAsia="宋体" w:hint="default"/>
                <w:b/>
                <w:bCs/>
                <w:sz w:val="18"/>
                <w:szCs w:val="18"/>
              </w:rPr>
              <w:t>益冲减子公司少数</w:t>
            </w:r>
            <w:r>
              <w:rPr>
                <w:rFonts w:ascii="宋体" w:hAnsi="宋体" w:cs="宋体" w:eastAsia="宋体" w:hint="default"/>
                <w:b/>
                <w:bCs/>
                <w:w w:val="99"/>
                <w:sz w:val="18"/>
                <w:szCs w:val="18"/>
              </w:rPr>
              <w:t> </w:t>
            </w:r>
            <w:r>
              <w:rPr>
                <w:rFonts w:ascii="宋体" w:hAnsi="宋体" w:cs="宋体" w:eastAsia="宋体" w:hint="default"/>
                <w:b/>
                <w:bCs/>
                <w:sz w:val="18"/>
                <w:szCs w:val="18"/>
              </w:rPr>
              <w:t>股东分担的本期亏</w:t>
            </w:r>
            <w:r>
              <w:rPr>
                <w:rFonts w:ascii="宋体" w:hAnsi="宋体" w:cs="宋体" w:eastAsia="宋体" w:hint="default"/>
                <w:b/>
                <w:bCs/>
                <w:w w:val="99"/>
                <w:sz w:val="18"/>
                <w:szCs w:val="18"/>
              </w:rPr>
              <w:t> </w:t>
            </w:r>
            <w:r>
              <w:rPr>
                <w:rFonts w:ascii="宋体" w:hAnsi="宋体" w:cs="宋体" w:eastAsia="宋体" w:hint="default"/>
                <w:b/>
                <w:bCs/>
                <w:sz w:val="18"/>
                <w:szCs w:val="18"/>
              </w:rPr>
              <w:t>损超过少数股东在</w:t>
            </w:r>
            <w:r>
              <w:rPr>
                <w:rFonts w:ascii="宋体" w:hAnsi="宋体" w:cs="宋体" w:eastAsia="宋体" w:hint="default"/>
                <w:b/>
                <w:bCs/>
                <w:w w:val="99"/>
                <w:sz w:val="18"/>
                <w:szCs w:val="18"/>
              </w:rPr>
              <w:t> </w:t>
            </w:r>
            <w:r>
              <w:rPr>
                <w:rFonts w:ascii="宋体" w:hAnsi="宋体" w:cs="宋体" w:eastAsia="宋体" w:hint="default"/>
                <w:b/>
                <w:bCs/>
                <w:sz w:val="18"/>
                <w:szCs w:val="18"/>
              </w:rPr>
              <w:t>该子公司年初所有</w:t>
            </w:r>
            <w:r>
              <w:rPr>
                <w:rFonts w:ascii="宋体" w:hAnsi="宋体" w:cs="宋体" w:eastAsia="宋体" w:hint="default"/>
                <w:b/>
                <w:bCs/>
                <w:w w:val="99"/>
                <w:sz w:val="18"/>
                <w:szCs w:val="18"/>
              </w:rPr>
              <w:t> </w:t>
            </w:r>
            <w:r>
              <w:rPr>
                <w:rFonts w:ascii="宋体" w:hAnsi="宋体" w:cs="宋体" w:eastAsia="宋体" w:hint="default"/>
                <w:b/>
                <w:bCs/>
                <w:sz w:val="18"/>
                <w:szCs w:val="18"/>
              </w:rPr>
              <w:t>者权益中所享有份</w:t>
            </w:r>
            <w:r>
              <w:rPr>
                <w:rFonts w:ascii="宋体" w:hAnsi="宋体" w:cs="宋体" w:eastAsia="宋体" w:hint="default"/>
                <w:b/>
                <w:bCs/>
                <w:w w:val="99"/>
                <w:sz w:val="18"/>
                <w:szCs w:val="18"/>
              </w:rPr>
              <w:t> </w:t>
            </w:r>
            <w:r>
              <w:rPr>
                <w:rFonts w:ascii="宋体" w:hAnsi="宋体" w:cs="宋体" w:eastAsia="宋体" w:hint="default"/>
                <w:b/>
                <w:bCs/>
                <w:sz w:val="18"/>
                <w:szCs w:val="18"/>
              </w:rPr>
              <w:t>额后的余额</w:t>
            </w:r>
            <w:r>
              <w:rPr>
                <w:rFonts w:ascii="宋体" w:hAnsi="宋体" w:cs="宋体" w:eastAsia="宋体" w:hint="default"/>
                <w:sz w:val="18"/>
                <w:szCs w:val="18"/>
              </w:rPr>
            </w:r>
          </w:p>
        </w:tc>
      </w:tr>
      <w:tr>
        <w:trPr>
          <w:trHeight w:val="179" w:hRule="exact"/>
        </w:trPr>
        <w:tc>
          <w:tcPr>
            <w:tcW w:w="1536" w:type="dxa"/>
            <w:vMerge/>
            <w:tcBorders>
              <w:left w:val="single" w:sz="4" w:space="0" w:color="000000"/>
              <w:right w:val="single" w:sz="4" w:space="0" w:color="000000"/>
            </w:tcBorders>
            <w:shd w:val="clear" w:color="auto" w:fill="D3D3D3"/>
          </w:tcPr>
          <w:p>
            <w:pPr/>
          </w:p>
        </w:tc>
        <w:tc>
          <w:tcPr>
            <w:tcW w:w="683"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bottom w:val="nil" w:sz="6" w:space="0" w:color="auto"/>
              <w:right w:val="single" w:sz="4" w:space="0" w:color="000000"/>
            </w:tcBorders>
            <w:shd w:val="clear" w:color="auto" w:fill="D3D3D3"/>
          </w:tcPr>
          <w:p>
            <w:pPr/>
          </w:p>
        </w:tc>
        <w:tc>
          <w:tcPr>
            <w:tcW w:w="1093" w:type="dxa"/>
            <w:vMerge/>
            <w:tcBorders>
              <w:left w:val="single" w:sz="9" w:space="0" w:color="D3D3D3"/>
              <w:right w:val="single" w:sz="13" w:space="0" w:color="D3D3D3"/>
            </w:tcBorders>
          </w:tcPr>
          <w:p>
            <w:pPr/>
          </w:p>
        </w:tc>
        <w:tc>
          <w:tcPr>
            <w:tcW w:w="425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8" w:type="dxa"/>
            <w:vMerge/>
            <w:tcBorders>
              <w:left w:val="single" w:sz="4" w:space="0" w:color="000000"/>
              <w:bottom w:val="nil" w:sz="6" w:space="0" w:color="auto"/>
              <w:right w:val="single" w:sz="4" w:space="0" w:color="000000"/>
            </w:tcBorders>
            <w:shd w:val="clear" w:color="auto" w:fill="D3D3D3"/>
          </w:tcPr>
          <w:p>
            <w:pPr/>
          </w:p>
        </w:tc>
        <w:tc>
          <w:tcPr>
            <w:tcW w:w="708" w:type="dxa"/>
            <w:vMerge w:val="restart"/>
            <w:tcBorders>
              <w:top w:val="nil" w:sz="6" w:space="0" w:color="auto"/>
              <w:left w:val="single" w:sz="4" w:space="0" w:color="000000"/>
              <w:right w:val="single" w:sz="4" w:space="0" w:color="000000"/>
            </w:tcBorders>
            <w:shd w:val="clear" w:color="auto" w:fill="D3D3D3"/>
          </w:tcPr>
          <w:p>
            <w:pPr>
              <w:pStyle w:val="TableParagraph"/>
              <w:spacing w:line="388" w:lineRule="auto" w:before="33"/>
              <w:ind w:left="77" w:right="74"/>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09"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right w:val="single" w:sz="4" w:space="0" w:color="000000"/>
            </w:tcBorders>
            <w:shd w:val="clear" w:color="auto" w:fill="D3D3D3"/>
          </w:tcPr>
          <w:p>
            <w:pPr/>
          </w:p>
        </w:tc>
      </w:tr>
      <w:tr>
        <w:trPr>
          <w:trHeight w:val="180" w:hRule="exact"/>
        </w:trPr>
        <w:tc>
          <w:tcPr>
            <w:tcW w:w="1536" w:type="dxa"/>
            <w:vMerge/>
            <w:tcBorders>
              <w:left w:val="single" w:sz="4" w:space="0" w:color="000000"/>
              <w:bottom w:val="nil" w:sz="6" w:space="0" w:color="auto"/>
              <w:right w:val="single" w:sz="4" w:space="0" w:color="000000"/>
            </w:tcBorders>
            <w:shd w:val="clear" w:color="auto" w:fill="D3D3D3"/>
          </w:tcPr>
          <w:p>
            <w:pPr/>
          </w:p>
        </w:tc>
        <w:tc>
          <w:tcPr>
            <w:tcW w:w="683"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157" w:right="61"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84" w:type="dxa"/>
            <w:vMerge/>
            <w:tcBorders>
              <w:left w:val="single" w:sz="4" w:space="0" w:color="000000"/>
              <w:bottom w:val="nil" w:sz="6" w:space="0" w:color="auto"/>
              <w:right w:val="single" w:sz="4" w:space="0" w:color="000000"/>
            </w:tcBorders>
            <w:shd w:val="clear" w:color="auto" w:fill="D3D3D3"/>
          </w:tcPr>
          <w:p>
            <w:pPr/>
          </w:p>
        </w:tc>
        <w:tc>
          <w:tcPr>
            <w:tcW w:w="683"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业务性</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1093" w:type="dxa"/>
            <w:vMerge/>
            <w:tcBorders>
              <w:left w:val="single" w:sz="9" w:space="0" w:color="D3D3D3"/>
              <w:right w:val="single" w:sz="13" w:space="0" w:color="D3D3D3"/>
            </w:tcBorders>
          </w:tcPr>
          <w:p>
            <w:pPr/>
          </w:p>
        </w:tc>
        <w:tc>
          <w:tcPr>
            <w:tcW w:w="4253" w:type="dxa"/>
            <w:vMerge/>
            <w:tcBorders>
              <w:left w:val="single" w:sz="4" w:space="0" w:color="000000"/>
              <w:bottom w:val="nil" w:sz="6" w:space="0" w:color="auto"/>
              <w:right w:val="single" w:sz="4" w:space="0" w:color="000000"/>
            </w:tcBorders>
            <w:shd w:val="clear" w:color="auto" w:fill="D3D3D3"/>
          </w:tcPr>
          <w:p>
            <w:pPr/>
          </w:p>
        </w:tc>
        <w:tc>
          <w:tcPr>
            <w:tcW w:w="1134"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380" w:right="108" w:hanging="272"/>
              <w:jc w:val="left"/>
              <w:rPr>
                <w:rFonts w:ascii="宋体" w:hAnsi="宋体" w:cs="宋体" w:eastAsia="宋体" w:hint="default"/>
                <w:sz w:val="18"/>
                <w:szCs w:val="18"/>
              </w:rPr>
            </w:pPr>
            <w:r>
              <w:rPr>
                <w:rFonts w:ascii="宋体" w:hAnsi="宋体" w:cs="宋体" w:eastAsia="宋体" w:hint="default"/>
                <w:b/>
                <w:bCs/>
                <w:sz w:val="18"/>
                <w:szCs w:val="18"/>
              </w:rPr>
              <w:t>期末实际投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资额</w:t>
            </w:r>
            <w:r>
              <w:rPr>
                <w:rFonts w:ascii="宋体" w:hAnsi="宋体" w:cs="宋体" w:eastAsia="宋体" w:hint="default"/>
                <w:sz w:val="18"/>
                <w:szCs w:val="18"/>
              </w:rPr>
            </w:r>
          </w:p>
        </w:tc>
        <w:tc>
          <w:tcPr>
            <w:tcW w:w="709" w:type="dxa"/>
            <w:vMerge/>
            <w:tcBorders>
              <w:left w:val="single" w:sz="4" w:space="0" w:color="000000"/>
              <w:right w:val="single" w:sz="4" w:space="0" w:color="000000"/>
            </w:tcBorders>
            <w:shd w:val="clear" w:color="auto" w:fill="D3D3D3"/>
          </w:tcPr>
          <w:p>
            <w:pPr/>
          </w:p>
        </w:tc>
        <w:tc>
          <w:tcPr>
            <w:tcW w:w="708"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109" w:right="74"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08" w:type="dxa"/>
            <w:vMerge/>
            <w:tcBorders>
              <w:left w:val="single" w:sz="4" w:space="0" w:color="000000"/>
              <w:right w:val="single" w:sz="4" w:space="0" w:color="000000"/>
            </w:tcBorders>
            <w:shd w:val="clear" w:color="auto" w:fill="D3D3D3"/>
          </w:tcPr>
          <w:p>
            <w:pPr/>
          </w:p>
        </w:tc>
        <w:tc>
          <w:tcPr>
            <w:tcW w:w="709"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79" w:right="74"/>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c>
          <w:tcPr>
            <w:tcW w:w="709"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77" w:right="75"/>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东权益</w:t>
            </w:r>
            <w:r>
              <w:rPr>
                <w:rFonts w:ascii="宋体" w:hAnsi="宋体" w:cs="宋体" w:eastAsia="宋体" w:hint="default"/>
                <w:sz w:val="18"/>
                <w:szCs w:val="18"/>
              </w:rPr>
            </w:r>
          </w:p>
        </w:tc>
        <w:tc>
          <w:tcPr>
            <w:tcW w:w="709"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right w:val="single" w:sz="4" w:space="0" w:color="000000"/>
            </w:tcBorders>
            <w:shd w:val="clear" w:color="auto" w:fill="D3D3D3"/>
          </w:tcPr>
          <w:p>
            <w:pPr/>
          </w:p>
        </w:tc>
      </w:tr>
      <w:tr>
        <w:trPr>
          <w:trHeight w:val="359" w:hRule="exact"/>
        </w:trPr>
        <w:tc>
          <w:tcPr>
            <w:tcW w:w="15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310"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683"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683" w:type="dxa"/>
            <w:vMerge/>
            <w:tcBorders>
              <w:left w:val="single" w:sz="4" w:space="0" w:color="000000"/>
              <w:right w:val="single" w:sz="4" w:space="0" w:color="000000"/>
            </w:tcBorders>
            <w:shd w:val="clear" w:color="auto" w:fill="D3D3D3"/>
          </w:tcPr>
          <w:p>
            <w:pPr/>
          </w:p>
        </w:tc>
        <w:tc>
          <w:tcPr>
            <w:tcW w:w="1093" w:type="dxa"/>
            <w:vMerge/>
            <w:tcBorders>
              <w:left w:val="single" w:sz="9" w:space="0" w:color="D3D3D3"/>
              <w:right w:val="single" w:sz="13" w:space="0" w:color="D3D3D3"/>
            </w:tcBorders>
          </w:tcPr>
          <w:p>
            <w:pPr/>
          </w:p>
        </w:tc>
        <w:tc>
          <w:tcPr>
            <w:tcW w:w="4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134"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right w:val="single" w:sz="4" w:space="0" w:color="000000"/>
            </w:tcBorders>
            <w:shd w:val="clear" w:color="auto" w:fill="D3D3D3"/>
          </w:tcPr>
          <w:p>
            <w:pPr/>
          </w:p>
        </w:tc>
      </w:tr>
      <w:tr>
        <w:trPr>
          <w:trHeight w:val="179" w:hRule="exact"/>
        </w:trPr>
        <w:tc>
          <w:tcPr>
            <w:tcW w:w="1536" w:type="dxa"/>
            <w:vMerge w:val="restart"/>
            <w:tcBorders>
              <w:top w:val="nil" w:sz="6" w:space="0" w:color="auto"/>
              <w:left w:val="single" w:sz="4" w:space="0" w:color="000000"/>
              <w:right w:val="single" w:sz="4" w:space="0" w:color="000000"/>
            </w:tcBorders>
            <w:shd w:val="clear" w:color="auto" w:fill="D3D3D3"/>
          </w:tcPr>
          <w:p>
            <w:pPr/>
          </w:p>
        </w:tc>
        <w:tc>
          <w:tcPr>
            <w:tcW w:w="683" w:type="dxa"/>
            <w:vMerge/>
            <w:tcBorders>
              <w:left w:val="single" w:sz="4" w:space="0" w:color="000000"/>
              <w:bottom w:val="nil" w:sz="6" w:space="0" w:color="auto"/>
              <w:right w:val="single" w:sz="4" w:space="0" w:color="000000"/>
            </w:tcBorders>
            <w:shd w:val="clear" w:color="auto" w:fill="D3D3D3"/>
          </w:tcPr>
          <w:p>
            <w:pPr/>
          </w:p>
        </w:tc>
        <w:tc>
          <w:tcPr>
            <w:tcW w:w="684" w:type="dxa"/>
            <w:vMerge w:val="restart"/>
            <w:tcBorders>
              <w:top w:val="nil" w:sz="6" w:space="0" w:color="auto"/>
              <w:left w:val="single" w:sz="4" w:space="0" w:color="000000"/>
              <w:right w:val="single" w:sz="4" w:space="0" w:color="000000"/>
            </w:tcBorders>
            <w:shd w:val="clear" w:color="auto" w:fill="D3D3D3"/>
          </w:tcPr>
          <w:p>
            <w:pPr/>
          </w:p>
        </w:tc>
        <w:tc>
          <w:tcPr>
            <w:tcW w:w="683" w:type="dxa"/>
            <w:vMerge/>
            <w:tcBorders>
              <w:left w:val="single" w:sz="4" w:space="0" w:color="000000"/>
              <w:bottom w:val="nil" w:sz="6" w:space="0" w:color="auto"/>
              <w:right w:val="single" w:sz="4" w:space="0" w:color="000000"/>
            </w:tcBorders>
            <w:shd w:val="clear" w:color="auto" w:fill="D3D3D3"/>
          </w:tcPr>
          <w:p>
            <w:pPr/>
          </w:p>
        </w:tc>
        <w:tc>
          <w:tcPr>
            <w:tcW w:w="1093" w:type="dxa"/>
            <w:vMerge/>
            <w:tcBorders>
              <w:left w:val="single" w:sz="9" w:space="0" w:color="D3D3D3"/>
              <w:right w:val="single" w:sz="13" w:space="0" w:color="D3D3D3"/>
            </w:tcBorders>
          </w:tcPr>
          <w:p>
            <w:pPr/>
          </w:p>
        </w:tc>
        <w:tc>
          <w:tcPr>
            <w:tcW w:w="4253" w:type="dxa"/>
            <w:vMerge w:val="restart"/>
            <w:tcBorders>
              <w:top w:val="nil" w:sz="6" w:space="0" w:color="auto"/>
              <w:left w:val="single" w:sz="4" w:space="0" w:color="000000"/>
              <w:right w:val="single" w:sz="4" w:space="0" w:color="000000"/>
            </w:tcBorders>
            <w:shd w:val="clear" w:color="auto" w:fill="D3D3D3"/>
          </w:tcPr>
          <w:p>
            <w:pPr/>
          </w:p>
        </w:tc>
        <w:tc>
          <w:tcPr>
            <w:tcW w:w="1134"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8" w:type="dxa"/>
            <w:vMerge/>
            <w:tcBorders>
              <w:left w:val="single" w:sz="4" w:space="0" w:color="000000"/>
              <w:bottom w:val="nil" w:sz="6" w:space="0" w:color="auto"/>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709"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right w:val="single" w:sz="4" w:space="0" w:color="000000"/>
            </w:tcBorders>
            <w:shd w:val="clear" w:color="auto" w:fill="D3D3D3"/>
          </w:tcPr>
          <w:p>
            <w:pPr/>
          </w:p>
        </w:tc>
      </w:tr>
      <w:tr>
        <w:trPr>
          <w:trHeight w:val="180" w:hRule="exact"/>
        </w:trPr>
        <w:tc>
          <w:tcPr>
            <w:tcW w:w="1536" w:type="dxa"/>
            <w:vMerge/>
            <w:tcBorders>
              <w:left w:val="single" w:sz="4" w:space="0" w:color="000000"/>
              <w:right w:val="single" w:sz="4" w:space="0" w:color="000000"/>
            </w:tcBorders>
            <w:shd w:val="clear" w:color="auto" w:fill="D3D3D3"/>
          </w:tcPr>
          <w:p>
            <w:pPr/>
          </w:p>
        </w:tc>
        <w:tc>
          <w:tcPr>
            <w:tcW w:w="683"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val="restart"/>
            <w:tcBorders>
              <w:top w:val="nil" w:sz="6" w:space="0" w:color="auto"/>
              <w:left w:val="single" w:sz="4" w:space="0" w:color="000000"/>
              <w:right w:val="single" w:sz="4" w:space="0" w:color="000000"/>
            </w:tcBorders>
            <w:shd w:val="clear" w:color="auto" w:fill="D3D3D3"/>
          </w:tcPr>
          <w:p>
            <w:pPr/>
          </w:p>
        </w:tc>
        <w:tc>
          <w:tcPr>
            <w:tcW w:w="1093" w:type="dxa"/>
            <w:vMerge/>
            <w:tcBorders>
              <w:left w:val="single" w:sz="9" w:space="0" w:color="D3D3D3"/>
              <w:right w:val="single" w:sz="13" w:space="0" w:color="D3D3D3"/>
            </w:tcBorders>
          </w:tcPr>
          <w:p>
            <w:pPr/>
          </w:p>
        </w:tc>
        <w:tc>
          <w:tcPr>
            <w:tcW w:w="4253" w:type="dxa"/>
            <w:vMerge/>
            <w:tcBorders>
              <w:left w:val="single" w:sz="4" w:space="0" w:color="000000"/>
              <w:right w:val="single" w:sz="4" w:space="0" w:color="000000"/>
            </w:tcBorders>
            <w:shd w:val="clear" w:color="auto" w:fill="D3D3D3"/>
          </w:tcPr>
          <w:p>
            <w:pPr/>
          </w:p>
        </w:tc>
        <w:tc>
          <w:tcPr>
            <w:tcW w:w="1134" w:type="dxa"/>
            <w:vMerge w:val="restart"/>
            <w:tcBorders>
              <w:top w:val="nil" w:sz="6" w:space="0" w:color="auto"/>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708" w:type="dxa"/>
            <w:vMerge w:val="restart"/>
            <w:tcBorders>
              <w:top w:val="nil" w:sz="6" w:space="0" w:color="auto"/>
              <w:left w:val="single" w:sz="4" w:space="0" w:color="000000"/>
              <w:right w:val="single" w:sz="4" w:space="0" w:color="000000"/>
            </w:tcBorders>
            <w:shd w:val="clear" w:color="auto" w:fill="D3D3D3"/>
          </w:tcPr>
          <w:p>
            <w:pPr/>
          </w:p>
        </w:tc>
        <w:tc>
          <w:tcPr>
            <w:tcW w:w="708" w:type="dxa"/>
            <w:vMerge/>
            <w:tcBorders>
              <w:left w:val="single" w:sz="4" w:space="0" w:color="000000"/>
              <w:bottom w:val="nil" w:sz="6" w:space="0" w:color="auto"/>
              <w:right w:val="single" w:sz="4" w:space="0" w:color="000000"/>
            </w:tcBorders>
            <w:shd w:val="clear" w:color="auto" w:fill="D3D3D3"/>
          </w:tcPr>
          <w:p>
            <w:pPr/>
          </w:p>
        </w:tc>
        <w:tc>
          <w:tcPr>
            <w:tcW w:w="709" w:type="dxa"/>
            <w:vMerge w:val="restart"/>
            <w:tcBorders>
              <w:top w:val="nil" w:sz="6" w:space="0" w:color="auto"/>
              <w:left w:val="single" w:sz="4" w:space="0" w:color="000000"/>
              <w:right w:val="single" w:sz="4" w:space="0" w:color="000000"/>
            </w:tcBorders>
            <w:shd w:val="clear" w:color="auto" w:fill="D3D3D3"/>
          </w:tcPr>
          <w:p>
            <w:pPr/>
          </w:p>
        </w:tc>
        <w:tc>
          <w:tcPr>
            <w:tcW w:w="709" w:type="dxa"/>
            <w:vMerge w:val="restart"/>
            <w:tcBorders>
              <w:top w:val="nil" w:sz="6" w:space="0" w:color="auto"/>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597" w:type="dxa"/>
            <w:vMerge/>
            <w:tcBorders>
              <w:left w:val="single" w:sz="4" w:space="0" w:color="000000"/>
              <w:right w:val="single" w:sz="4" w:space="0" w:color="000000"/>
            </w:tcBorders>
            <w:shd w:val="clear" w:color="auto" w:fill="D3D3D3"/>
          </w:tcPr>
          <w:p>
            <w:pPr/>
          </w:p>
        </w:tc>
      </w:tr>
      <w:tr>
        <w:trPr>
          <w:trHeight w:val="722" w:hRule="exact"/>
        </w:trPr>
        <w:tc>
          <w:tcPr>
            <w:tcW w:w="1536"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9" w:space="0" w:color="D3D3D3"/>
              <w:bottom w:val="single" w:sz="4" w:space="0" w:color="000000"/>
              <w:right w:val="single" w:sz="13" w:space="0" w:color="D3D3D3"/>
            </w:tcBorders>
          </w:tcPr>
          <w:p>
            <w:pPr/>
          </w:p>
        </w:tc>
        <w:tc>
          <w:tcPr>
            <w:tcW w:w="4253"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597" w:type="dxa"/>
            <w:vMerge/>
            <w:tcBorders>
              <w:left w:val="single" w:sz="4" w:space="0" w:color="000000"/>
              <w:bottom w:val="single" w:sz="4" w:space="0" w:color="000000"/>
              <w:right w:val="single" w:sz="4" w:space="0" w:color="000000"/>
            </w:tcBorders>
            <w:shd w:val="clear" w:color="auto" w:fill="D3D3D3"/>
          </w:tcPr>
          <w:p>
            <w:pPr/>
          </w:p>
        </w:tc>
      </w:tr>
      <w:tr>
        <w:trPr>
          <w:trHeight w:val="108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64"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北京旋极汉荣嵌入 式技术有限公司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64" w:lineRule="auto"/>
              <w:ind w:left="247" w:right="64"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64"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51" w:right="49"/>
              <w:jc w:val="center"/>
              <w:rPr>
                <w:rFonts w:ascii="宋体" w:hAnsi="宋体" w:cs="宋体" w:eastAsia="宋体" w:hint="default"/>
                <w:sz w:val="18"/>
                <w:szCs w:val="18"/>
              </w:rPr>
            </w:pPr>
            <w:r>
              <w:rPr>
                <w:rFonts w:ascii="宋体" w:hAnsi="宋体" w:cs="宋体" w:eastAsia="宋体" w:hint="default"/>
                <w:sz w:val="18"/>
                <w:szCs w:val="18"/>
              </w:rPr>
              <w:t>技术开发及服务；销售开发后的产品、通讯设备；承 接计算机系统网络工程；自营和代理各类商品及技术 的进出口。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401" w:right="42" w:hanging="360"/>
              <w:jc w:val="left"/>
              <w:rPr>
                <w:rFonts w:ascii="宋体" w:hAnsi="宋体" w:cs="宋体" w:eastAsia="宋体" w:hint="default"/>
                <w:sz w:val="18"/>
                <w:szCs w:val="18"/>
              </w:rPr>
            </w:pPr>
            <w:r>
              <w:rPr>
                <w:rFonts w:ascii="宋体" w:hAnsi="宋体" w:cs="宋体" w:eastAsia="宋体" w:hint="default"/>
                <w:sz w:val="18"/>
                <w:szCs w:val="18"/>
              </w:rPr>
              <w:t>深圳旋极历通科技 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47" w:right="64"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45" w:right="65" w:hanging="180"/>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2,480,000.00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861" w:right="49" w:hanging="810"/>
              <w:jc w:val="left"/>
              <w:rPr>
                <w:rFonts w:ascii="宋体" w:hAnsi="宋体" w:cs="宋体" w:eastAsia="宋体" w:hint="default"/>
                <w:sz w:val="18"/>
                <w:szCs w:val="18"/>
              </w:rPr>
            </w:pPr>
            <w:r>
              <w:rPr>
                <w:rFonts w:ascii="宋体" w:hAnsi="宋体" w:cs="宋体" w:eastAsia="宋体" w:hint="default"/>
                <w:sz w:val="18"/>
                <w:szCs w:val="18"/>
              </w:rPr>
              <w:t>计算机软件及网络、高性能微处理系统；机械电子设 备、通信设备的技术开发与销售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1,736,000.00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108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成都旋极历通信息 技术有限公司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247" w:right="64"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51" w:right="49"/>
              <w:jc w:val="center"/>
              <w:rPr>
                <w:rFonts w:ascii="宋体" w:hAnsi="宋体" w:cs="宋体" w:eastAsia="宋体" w:hint="default"/>
                <w:sz w:val="18"/>
                <w:szCs w:val="18"/>
              </w:rPr>
            </w:pPr>
            <w:r>
              <w:rPr>
                <w:rFonts w:ascii="宋体" w:hAnsi="宋体" w:cs="宋体" w:eastAsia="宋体" w:hint="default"/>
                <w:sz w:val="18"/>
                <w:szCs w:val="18"/>
              </w:rPr>
              <w:t>技术开发及服务；销售开发后的产品、通讯设备；承 接计算机系统网络工程；自营和代理各类商品及技术 的进出口。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1,812,700.00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401" w:right="42" w:hanging="360"/>
              <w:jc w:val="left"/>
              <w:rPr>
                <w:rFonts w:ascii="宋体" w:hAnsi="宋体" w:cs="宋体" w:eastAsia="宋体" w:hint="default"/>
                <w:sz w:val="18"/>
                <w:szCs w:val="18"/>
              </w:rPr>
            </w:pPr>
            <w:r>
              <w:rPr>
                <w:rFonts w:ascii="宋体" w:hAnsi="宋体" w:cs="宋体" w:eastAsia="宋体" w:hint="default"/>
                <w:sz w:val="18"/>
                <w:szCs w:val="18"/>
              </w:rPr>
              <w:t>上海旋极信息技术 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247" w:right="64"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信息服 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51" w:right="49"/>
              <w:jc w:val="center"/>
              <w:rPr>
                <w:rFonts w:ascii="宋体" w:hAnsi="宋体" w:cs="宋体" w:eastAsia="宋体" w:hint="default"/>
                <w:sz w:val="18"/>
                <w:szCs w:val="18"/>
              </w:rPr>
            </w:pPr>
            <w:r>
              <w:rPr>
                <w:rFonts w:ascii="宋体" w:hAnsi="宋体" w:cs="宋体" w:eastAsia="宋体" w:hint="default"/>
                <w:sz w:val="18"/>
                <w:szCs w:val="18"/>
              </w:rPr>
              <w:t>技术开发及服务，计算机网络系统集成，电子设备、 通讯设备、办公用品的销售，计算机系统网络工程设 计施工。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4,485,000.00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401" w:right="42" w:hanging="360"/>
              <w:jc w:val="left"/>
              <w:rPr>
                <w:rFonts w:ascii="宋体" w:hAnsi="宋体" w:cs="宋体" w:eastAsia="宋体" w:hint="default"/>
                <w:sz w:val="18"/>
                <w:szCs w:val="18"/>
              </w:rPr>
            </w:pPr>
            <w:r>
              <w:rPr>
                <w:rFonts w:ascii="宋体" w:hAnsi="宋体" w:cs="宋体" w:eastAsia="宋体" w:hint="default"/>
                <w:sz w:val="18"/>
                <w:szCs w:val="18"/>
              </w:rPr>
              <w:t>旋极国际（香港） 有限公司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47" w:right="64"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865,200.00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国际贸易，软件研发项目设计，软件服务外包。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865,200.00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997" w:footer="1249" w:top="1340" w:bottom="1440" w:left="340" w:right="340"/>
          <w:pgNumType w:start="112"/>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536"/>
        <w:gridCol w:w="683"/>
        <w:gridCol w:w="684"/>
        <w:gridCol w:w="683"/>
        <w:gridCol w:w="1093"/>
        <w:gridCol w:w="4253"/>
        <w:gridCol w:w="1134"/>
        <w:gridCol w:w="709"/>
        <w:gridCol w:w="708"/>
        <w:gridCol w:w="708"/>
        <w:gridCol w:w="709"/>
        <w:gridCol w:w="709"/>
        <w:gridCol w:w="709"/>
        <w:gridCol w:w="1597"/>
      </w:tblGrid>
      <w:tr>
        <w:trPr>
          <w:trHeight w:val="274" w:hRule="exact"/>
        </w:trPr>
        <w:tc>
          <w:tcPr>
            <w:tcW w:w="153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51" w:right="0"/>
              <w:jc w:val="left"/>
              <w:rPr>
                <w:rFonts w:ascii="宋体" w:hAnsi="宋体" w:cs="宋体" w:eastAsia="宋体" w:hint="default"/>
                <w:sz w:val="18"/>
                <w:szCs w:val="18"/>
              </w:rPr>
            </w:pPr>
            <w:r>
              <w:rPr>
                <w:rFonts w:ascii="宋体" w:hAnsi="宋体" w:cs="宋体" w:eastAsia="宋体" w:hint="default"/>
                <w:sz w:val="18"/>
                <w:szCs w:val="18"/>
              </w:rPr>
              <w:t>网络信息技术的研究、开发及技术服务、技术咨询、</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97" w:type="dxa"/>
            <w:vMerge w:val="restart"/>
            <w:tcBorders>
              <w:top w:val="single" w:sz="4" w:space="0" w:color="000000"/>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福建百旺金赋信息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51" w:right="0"/>
              <w:jc w:val="left"/>
              <w:rPr>
                <w:rFonts w:ascii="宋体" w:hAnsi="宋体" w:cs="宋体" w:eastAsia="宋体" w:hint="default"/>
                <w:sz w:val="18"/>
                <w:szCs w:val="18"/>
              </w:rPr>
            </w:pPr>
            <w:r>
              <w:rPr>
                <w:rFonts w:ascii="宋体" w:hAnsi="宋体" w:cs="宋体" w:eastAsia="宋体" w:hint="default"/>
                <w:sz w:val="18"/>
                <w:szCs w:val="18"/>
              </w:rPr>
              <w:t>技术转让；计算机软硬件的开发；计算机信息网络设</w:t>
            </w: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35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科技有限公司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福建省</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品销售</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5,000,000.00</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51" w:right="0"/>
              <w:jc w:val="left"/>
              <w:rPr>
                <w:rFonts w:ascii="宋体" w:hAnsi="宋体" w:cs="宋体" w:eastAsia="宋体" w:hint="default"/>
                <w:sz w:val="18"/>
                <w:szCs w:val="18"/>
              </w:rPr>
            </w:pPr>
            <w:r>
              <w:rPr>
                <w:rFonts w:ascii="宋体" w:hAnsi="宋体" w:cs="宋体" w:eastAsia="宋体" w:hint="default"/>
                <w:sz w:val="18"/>
                <w:szCs w:val="18"/>
              </w:rPr>
              <w:t>计、系统集成；电子产品、计算机软硬件的批发、代</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5,000,000.00</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及服务</w:t>
            </w: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274" w:hRule="exact"/>
        </w:trPr>
        <w:tc>
          <w:tcPr>
            <w:tcW w:w="153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购代销。</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274" w:hRule="exact"/>
        </w:trPr>
        <w:tc>
          <w:tcPr>
            <w:tcW w:w="153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51" w:right="0"/>
              <w:jc w:val="left"/>
              <w:rPr>
                <w:rFonts w:ascii="宋体" w:hAnsi="宋体" w:cs="宋体" w:eastAsia="宋体" w:hint="default"/>
                <w:sz w:val="18"/>
                <w:szCs w:val="18"/>
              </w:rPr>
            </w:pPr>
            <w:r>
              <w:rPr>
                <w:rFonts w:ascii="宋体" w:hAnsi="宋体" w:cs="宋体" w:eastAsia="宋体" w:hint="default"/>
                <w:sz w:val="18"/>
                <w:szCs w:val="18"/>
              </w:rPr>
              <w:t>计算机信息技术开发、技术转让、技术咨询、技术服</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97" w:type="dxa"/>
            <w:vMerge w:val="restart"/>
            <w:tcBorders>
              <w:top w:val="single" w:sz="4" w:space="0" w:color="000000"/>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宁波百旺金赋信息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51" w:right="0"/>
              <w:jc w:val="left"/>
              <w:rPr>
                <w:rFonts w:ascii="宋体" w:hAnsi="宋体" w:cs="宋体" w:eastAsia="宋体" w:hint="default"/>
                <w:sz w:val="18"/>
                <w:szCs w:val="18"/>
              </w:rPr>
            </w:pPr>
            <w:r>
              <w:rPr>
                <w:rFonts w:ascii="宋体" w:hAnsi="宋体" w:cs="宋体" w:eastAsia="宋体" w:hint="default"/>
                <w:sz w:val="18"/>
                <w:szCs w:val="18"/>
              </w:rPr>
              <w:t>务、技术推广，计算机系统服务，计算机维修，计算</w:t>
            </w: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35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科技有限公司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宁波市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品销售</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1,000,000.00</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51" w:right="0"/>
              <w:jc w:val="left"/>
              <w:rPr>
                <w:rFonts w:ascii="宋体" w:hAnsi="宋体" w:cs="宋体" w:eastAsia="宋体" w:hint="default"/>
                <w:sz w:val="18"/>
                <w:szCs w:val="18"/>
              </w:rPr>
            </w:pPr>
            <w:r>
              <w:rPr>
                <w:rFonts w:ascii="宋体" w:hAnsi="宋体" w:cs="宋体" w:eastAsia="宋体" w:hint="default"/>
                <w:sz w:val="18"/>
                <w:szCs w:val="18"/>
              </w:rPr>
              <w:t>机基础软件服务，家用电器、计算机、软件及辅助设</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600,000.00</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60%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Times New Roman" w:hAnsi="Times New Roman" w:cs="Times New Roman" w:eastAsia="Times New Roman" w:hint="default"/>
                <w:sz w:val="18"/>
                <w:szCs w:val="18"/>
              </w:rPr>
            </w:pPr>
            <w:r>
              <w:rPr>
                <w:rFonts w:ascii="Times New Roman"/>
                <w:sz w:val="18"/>
              </w:rPr>
              <w:t>60%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及服务</w:t>
            </w: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275" w:hRule="exact"/>
        </w:trPr>
        <w:tc>
          <w:tcPr>
            <w:tcW w:w="153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951" w:right="0"/>
              <w:jc w:val="left"/>
              <w:rPr>
                <w:rFonts w:ascii="宋体" w:hAnsi="宋体" w:cs="宋体" w:eastAsia="宋体" w:hint="default"/>
                <w:sz w:val="18"/>
                <w:szCs w:val="18"/>
              </w:rPr>
            </w:pPr>
            <w:r>
              <w:rPr>
                <w:rFonts w:ascii="宋体" w:hAnsi="宋体" w:cs="宋体" w:eastAsia="宋体" w:hint="default"/>
                <w:sz w:val="18"/>
                <w:szCs w:val="18"/>
              </w:rPr>
              <w:t>备、通讯设备的批发、零售。</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274" w:hRule="exact"/>
        </w:trPr>
        <w:tc>
          <w:tcPr>
            <w:tcW w:w="153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1093"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51" w:right="0"/>
              <w:jc w:val="left"/>
              <w:rPr>
                <w:rFonts w:ascii="宋体" w:hAnsi="宋体" w:cs="宋体" w:eastAsia="宋体" w:hint="default"/>
                <w:sz w:val="18"/>
                <w:szCs w:val="18"/>
              </w:rPr>
            </w:pPr>
            <w:r>
              <w:rPr>
                <w:rFonts w:ascii="宋体" w:hAnsi="宋体" w:cs="宋体" w:eastAsia="宋体" w:hint="default"/>
                <w:sz w:val="18"/>
                <w:szCs w:val="18"/>
              </w:rPr>
              <w:t>计算机软硬件的技术开发、技术转让、技术咨询、技</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97" w:type="dxa"/>
            <w:vMerge w:val="restart"/>
            <w:tcBorders>
              <w:top w:val="single" w:sz="4" w:space="0" w:color="000000"/>
              <w:left w:val="single" w:sz="4" w:space="0" w:color="000000"/>
              <w:right w:val="single" w:sz="4" w:space="0" w:color="000000"/>
            </w:tcBorders>
          </w:tcPr>
          <w:p>
            <w:pPr/>
          </w:p>
        </w:tc>
      </w:tr>
      <w:tr>
        <w:trPr>
          <w:trHeight w:val="812" w:hRule="exact"/>
        </w:trPr>
        <w:tc>
          <w:tcPr>
            <w:tcW w:w="1536"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厦门百旺金赋信息</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科技有限公司</w:t>
            </w: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厦门市</w:t>
            </w: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364" w:lineRule="auto" w:before="123"/>
              <w:ind w:left="65" w:right="65"/>
              <w:jc w:val="left"/>
              <w:rPr>
                <w:rFonts w:ascii="宋体" w:hAnsi="宋体" w:cs="宋体" w:eastAsia="宋体" w:hint="default"/>
                <w:sz w:val="18"/>
                <w:szCs w:val="18"/>
              </w:rPr>
            </w:pPr>
            <w:r>
              <w:rPr>
                <w:rFonts w:ascii="宋体" w:hAnsi="宋体" w:cs="宋体" w:eastAsia="宋体" w:hint="default"/>
                <w:sz w:val="18"/>
                <w:szCs w:val="18"/>
              </w:rPr>
              <w:t>品销售 及服务</w:t>
            </w:r>
          </w:p>
        </w:tc>
        <w:tc>
          <w:tcPr>
            <w:tcW w:w="10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w:t>
            </w: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364" w:lineRule="auto" w:before="123"/>
              <w:ind w:left="861" w:right="49" w:hanging="810"/>
              <w:jc w:val="left"/>
              <w:rPr>
                <w:rFonts w:ascii="宋体" w:hAnsi="宋体" w:cs="宋体" w:eastAsia="宋体" w:hint="default"/>
                <w:sz w:val="18"/>
                <w:szCs w:val="18"/>
              </w:rPr>
            </w:pPr>
            <w:r>
              <w:rPr>
                <w:rFonts w:ascii="宋体" w:hAnsi="宋体" w:cs="宋体" w:eastAsia="宋体" w:hint="default"/>
                <w:sz w:val="18"/>
                <w:szCs w:val="18"/>
              </w:rPr>
              <w:t>术服务；计算机系统集成；销售：家用电器、计算机 软硬件及辅助设备、通讯设备。</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00</w:t>
            </w: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274" w:hRule="exact"/>
        </w:trPr>
        <w:tc>
          <w:tcPr>
            <w:tcW w:w="153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1093"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51" w:right="0"/>
              <w:jc w:val="left"/>
              <w:rPr>
                <w:rFonts w:ascii="宋体" w:hAnsi="宋体" w:cs="宋体" w:eastAsia="宋体" w:hint="default"/>
                <w:sz w:val="18"/>
                <w:szCs w:val="18"/>
              </w:rPr>
            </w:pPr>
            <w:r>
              <w:rPr>
                <w:rFonts w:ascii="宋体" w:hAnsi="宋体" w:cs="宋体" w:eastAsia="宋体" w:hint="default"/>
                <w:sz w:val="18"/>
                <w:szCs w:val="18"/>
              </w:rPr>
              <w:t>计算机软硬件的技术开发、转让、咨询、服务，计算</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97" w:type="dxa"/>
            <w:vMerge w:val="restart"/>
            <w:tcBorders>
              <w:top w:val="single" w:sz="4" w:space="0" w:color="000000"/>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天津百望金赋科技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35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品销售</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1,000,000.00</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51" w:right="0"/>
              <w:jc w:val="left"/>
              <w:rPr>
                <w:rFonts w:ascii="宋体" w:hAnsi="宋体" w:cs="宋体" w:eastAsia="宋体" w:hint="default"/>
                <w:sz w:val="18"/>
                <w:szCs w:val="18"/>
              </w:rPr>
            </w:pPr>
            <w:r>
              <w:rPr>
                <w:rFonts w:ascii="宋体" w:hAnsi="宋体" w:cs="宋体" w:eastAsia="宋体" w:hint="default"/>
                <w:sz w:val="18"/>
                <w:szCs w:val="18"/>
              </w:rPr>
              <w:t>机系统集成、家用电器、计算机软硬件及辅助设备、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1,000,000.00</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274" w:hRule="exact"/>
        </w:trPr>
        <w:tc>
          <w:tcPr>
            <w:tcW w:w="153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及服务</w:t>
            </w:r>
          </w:p>
        </w:tc>
        <w:tc>
          <w:tcPr>
            <w:tcW w:w="1093"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221" w:right="0"/>
              <w:jc w:val="left"/>
              <w:rPr>
                <w:rFonts w:ascii="宋体" w:hAnsi="宋体" w:cs="宋体" w:eastAsia="宋体" w:hint="default"/>
                <w:sz w:val="18"/>
                <w:szCs w:val="18"/>
              </w:rPr>
            </w:pPr>
            <w:r>
              <w:rPr>
                <w:rFonts w:ascii="宋体" w:hAnsi="宋体" w:cs="宋体" w:eastAsia="宋体" w:hint="default"/>
                <w:sz w:val="18"/>
                <w:szCs w:val="18"/>
              </w:rPr>
              <w:t>通讯设备批发或零售。</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274" w:hRule="exact"/>
        </w:trPr>
        <w:tc>
          <w:tcPr>
            <w:tcW w:w="1536"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1093"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34"/>
              <w:ind w:left="51" w:right="0"/>
              <w:jc w:val="left"/>
              <w:rPr>
                <w:rFonts w:ascii="宋体" w:hAnsi="宋体" w:cs="宋体" w:eastAsia="宋体" w:hint="default"/>
                <w:sz w:val="18"/>
                <w:szCs w:val="18"/>
              </w:rPr>
            </w:pPr>
            <w:r>
              <w:rPr>
                <w:rFonts w:ascii="宋体" w:hAnsi="宋体" w:cs="宋体" w:eastAsia="宋体" w:hint="default"/>
                <w:sz w:val="18"/>
                <w:szCs w:val="18"/>
              </w:rPr>
              <w:t>计算机软硬件的技术开发、技术转让、技术咨询、技</w:t>
            </w:r>
          </w:p>
        </w:tc>
        <w:tc>
          <w:tcPr>
            <w:tcW w:w="1134" w:type="dxa"/>
            <w:tcBorders>
              <w:top w:val="single" w:sz="4" w:space="0" w:color="000000"/>
              <w:left w:val="single" w:sz="13" w:space="0" w:color="FFFFFF"/>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97" w:type="dxa"/>
            <w:vMerge w:val="restart"/>
            <w:tcBorders>
              <w:top w:val="single" w:sz="4" w:space="0" w:color="000000"/>
              <w:left w:val="single" w:sz="4" w:space="0" w:color="000000"/>
              <w:right w:val="single" w:sz="4" w:space="0" w:color="000000"/>
            </w:tcBorders>
          </w:tcPr>
          <w:p>
            <w:pPr/>
          </w:p>
        </w:tc>
      </w:tr>
      <w:tr>
        <w:trPr>
          <w:trHeight w:val="17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上海百旺金赋科技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13" w:space="0" w:color="FFFFFF"/>
            </w:tcBorders>
          </w:tcPr>
          <w:p>
            <w:pPr/>
          </w:p>
        </w:tc>
        <w:tc>
          <w:tcPr>
            <w:tcW w:w="1134" w:type="dxa"/>
            <w:tcBorders>
              <w:top w:val="nil" w:sz="6" w:space="0" w:color="auto"/>
              <w:left w:val="single" w:sz="13" w:space="0" w:color="FFFFFF"/>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359" w:hRule="exact"/>
        </w:trPr>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品销售</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3,000,000.00</w:t>
            </w:r>
          </w:p>
        </w:tc>
        <w:tc>
          <w:tcPr>
            <w:tcW w:w="4253" w:type="dxa"/>
            <w:tcBorders>
              <w:top w:val="nil" w:sz="6" w:space="0" w:color="auto"/>
              <w:left w:val="single" w:sz="4" w:space="0" w:color="000000"/>
              <w:bottom w:val="nil" w:sz="6" w:space="0" w:color="auto"/>
              <w:right w:val="single" w:sz="13" w:space="0" w:color="FFFFFF"/>
            </w:tcBorders>
          </w:tcPr>
          <w:p>
            <w:pPr>
              <w:pStyle w:val="TableParagraph"/>
              <w:spacing w:line="180" w:lineRule="exact"/>
              <w:ind w:left="23" w:right="-44"/>
              <w:jc w:val="left"/>
              <w:rPr>
                <w:rFonts w:ascii="宋体" w:hAnsi="宋体" w:cs="宋体" w:eastAsia="宋体" w:hint="default"/>
                <w:sz w:val="18"/>
                <w:szCs w:val="18"/>
              </w:rPr>
            </w:pPr>
            <w:r>
              <w:rPr>
                <w:rFonts w:ascii="宋体" w:hAnsi="宋体" w:cs="宋体" w:eastAsia="宋体" w:hint="default"/>
                <w:spacing w:val="-3"/>
                <w:sz w:val="18"/>
                <w:szCs w:val="18"/>
              </w:rPr>
              <w:t>术服务，计算机系统集成，计算机软硬件及辅助设备、</w:t>
            </w:r>
            <w:r>
              <w:rPr>
                <w:rFonts w:ascii="宋体" w:hAnsi="宋体" w:cs="宋体" w:eastAsia="宋体" w:hint="default"/>
                <w:sz w:val="18"/>
                <w:szCs w:val="18"/>
              </w:rPr>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191" w:lineRule="exact"/>
              <w:ind w:left="11" w:right="0"/>
              <w:jc w:val="left"/>
              <w:rPr>
                <w:rFonts w:ascii="Times New Roman" w:hAnsi="Times New Roman" w:cs="Times New Roman" w:eastAsia="Times New Roman" w:hint="default"/>
                <w:sz w:val="18"/>
                <w:szCs w:val="18"/>
              </w:rPr>
            </w:pPr>
            <w:r>
              <w:rPr>
                <w:rFonts w:ascii="Times New Roman"/>
                <w:sz w:val="18"/>
              </w:rPr>
              <w:t>3,000,000.00</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Times New Roman" w:hAnsi="Times New Roman" w:cs="Times New Roman" w:eastAsia="Times New Roman" w:hint="default"/>
                <w:sz w:val="18"/>
                <w:szCs w:val="18"/>
              </w:rPr>
            </w:pPr>
            <w:r>
              <w:rPr>
                <w:rFonts w:ascii="Times New Roman"/>
                <w:sz w:val="18"/>
              </w:rPr>
              <w:t>100%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3"/>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275" w:hRule="exact"/>
        </w:trPr>
        <w:tc>
          <w:tcPr>
            <w:tcW w:w="1536"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及服务</w:t>
            </w:r>
          </w:p>
        </w:tc>
        <w:tc>
          <w:tcPr>
            <w:tcW w:w="1093"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13" w:space="0" w:color="FFFFFF"/>
            </w:tcBorders>
          </w:tcPr>
          <w:p>
            <w:pPr>
              <w:pStyle w:val="TableParagraph"/>
              <w:spacing w:line="180" w:lineRule="exact"/>
              <w:ind w:left="1401" w:right="0"/>
              <w:jc w:val="left"/>
              <w:rPr>
                <w:rFonts w:ascii="宋体" w:hAnsi="宋体" w:cs="宋体" w:eastAsia="宋体" w:hint="default"/>
                <w:sz w:val="18"/>
                <w:szCs w:val="18"/>
              </w:rPr>
            </w:pPr>
            <w:r>
              <w:rPr>
                <w:rFonts w:ascii="宋体" w:hAnsi="宋体" w:cs="宋体" w:eastAsia="宋体" w:hint="default"/>
                <w:sz w:val="18"/>
                <w:szCs w:val="18"/>
              </w:rPr>
              <w:t>通讯设备的销售。</w:t>
            </w:r>
          </w:p>
        </w:tc>
        <w:tc>
          <w:tcPr>
            <w:tcW w:w="1134" w:type="dxa"/>
            <w:tcBorders>
              <w:top w:val="nil" w:sz="6" w:space="0" w:color="auto"/>
              <w:left w:val="single" w:sz="13" w:space="0" w:color="FFFFFF"/>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19" w:right="0"/>
        <w:jc w:val="left"/>
      </w:pPr>
      <w:r>
        <w:rPr/>
        <w:pict>
          <v:group style="position:absolute;margin-left:470.990997pt;margin-top:-53.366329pt;width:53.9pt;height:33.550pt;mso-position-horizontal-relative:page;mso-position-vertical-relative:paragraph;z-index:-728632" coordorigin="9420,-1067" coordsize="1078,671">
            <v:shape style="position:absolute;left:9420;top:-1067;width:1078;height:671" coordorigin="9420,-1067" coordsize="1078,671" path="m9420,-1067l9420,-397,10497,-397,10497,-1067,9420,-1067xe" filled="true" fillcolor="#ffffff" stroked="false">
              <v:path arrowok="t"/>
              <v:fill type="solid"/>
            </v:shape>
            <w10:wrap type="none"/>
          </v:group>
        </w:pict>
      </w:r>
      <w:r>
        <w:rPr/>
        <w:t>通过设立或投资等方式取得的子公司的其他说明</w:t>
      </w:r>
    </w:p>
    <w:p>
      <w:pPr>
        <w:spacing w:line="240" w:lineRule="auto" w:before="0"/>
        <w:rPr>
          <w:rFonts w:ascii="宋体" w:hAnsi="宋体" w:cs="宋体" w:eastAsia="宋体" w:hint="default"/>
          <w:sz w:val="20"/>
          <w:szCs w:val="20"/>
        </w:rPr>
      </w:pPr>
    </w:p>
    <w:p>
      <w:pPr>
        <w:pStyle w:val="Heading5"/>
        <w:spacing w:line="568" w:lineRule="auto" w:before="154"/>
        <w:ind w:left="1519" w:right="11352"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）同一控制下企业合并取得的子公司</w:t>
      </w:r>
      <w:r>
        <w:rPr>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6840" w:h="11910" w:orient="landscape"/>
          <w:pgMar w:header="997" w:footer="1249" w:top="1340" w:bottom="1440" w:left="340" w:right="340"/>
        </w:sectPr>
      </w:pPr>
    </w:p>
    <w:p>
      <w:pPr>
        <w:pStyle w:val="Heading5"/>
        <w:spacing w:line="240" w:lineRule="auto" w:before="106"/>
        <w:ind w:left="999" w:right="0"/>
        <w:jc w:val="left"/>
        <w:rPr>
          <w:b w:val="0"/>
          <w:bCs w:val="0"/>
        </w:rPr>
      </w:pPr>
      <w:r>
        <w:rPr/>
        <w:pict>
          <v:group style="position:absolute;margin-left:468.399994pt;margin-top:352.440002pt;width:55pt;height:26.95pt;mso-position-horizontal-relative:page;mso-position-vertical-relative:page;z-index:-728608" coordorigin="9368,7049" coordsize="1100,539">
            <v:shape style="position:absolute;left:9368;top:7049;width:1100;height:539" coordorigin="9368,7049" coordsize="1100,539" path="m9368,7049l9368,7588,10468,7588,10468,7049,9368,7049xe" filled="true" fillcolor="#ffffff" stroked="false">
              <v:path arrowok="t"/>
              <v:fill type="solid"/>
            </v:shape>
            <w10:wrap type="none"/>
          </v:group>
        </w:pict>
      </w: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998"/>
        <w:jc w:val="right"/>
      </w:pPr>
      <w:r>
        <w:rPr/>
        <w:t>单位： 元</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394"/>
        <w:gridCol w:w="683"/>
        <w:gridCol w:w="683"/>
        <w:gridCol w:w="683"/>
        <w:gridCol w:w="953"/>
        <w:gridCol w:w="4393"/>
        <w:gridCol w:w="1134"/>
        <w:gridCol w:w="709"/>
        <w:gridCol w:w="709"/>
        <w:gridCol w:w="708"/>
        <w:gridCol w:w="709"/>
        <w:gridCol w:w="709"/>
        <w:gridCol w:w="709"/>
        <w:gridCol w:w="1559"/>
      </w:tblGrid>
      <w:tr>
        <w:trPr>
          <w:trHeight w:val="364" w:hRule="exact"/>
        </w:trPr>
        <w:tc>
          <w:tcPr>
            <w:tcW w:w="1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953" w:type="dxa"/>
            <w:tcBorders>
              <w:top w:val="single" w:sz="4" w:space="0" w:color="000000"/>
              <w:left w:val="single" w:sz="4" w:space="0" w:color="000000"/>
              <w:bottom w:val="nil" w:sz="6" w:space="0" w:color="auto"/>
              <w:right w:val="single" w:sz="4" w:space="0" w:color="000000"/>
            </w:tcBorders>
            <w:shd w:val="clear" w:color="auto" w:fill="D3D3D3"/>
          </w:tcPr>
          <w:p>
            <w:pPr/>
          </w:p>
        </w:tc>
        <w:tc>
          <w:tcPr>
            <w:tcW w:w="4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实质上</w:t>
            </w:r>
            <w:r>
              <w:rPr>
                <w:rFonts w:ascii="宋体" w:hAnsi="宋体" w:cs="宋体" w:eastAsia="宋体" w:hint="default"/>
                <w:sz w:val="18"/>
                <w:szCs w:val="18"/>
              </w:rPr>
            </w: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tc>
        <w:tc>
          <w:tcPr>
            <w:tcW w:w="155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从母公司所有者权</w:t>
            </w:r>
            <w:r>
              <w:rPr>
                <w:rFonts w:ascii="宋体" w:hAnsi="宋体" w:cs="宋体" w:eastAsia="宋体" w:hint="default"/>
                <w:sz w:val="18"/>
                <w:szCs w:val="18"/>
              </w:rPr>
            </w:r>
          </w:p>
        </w:tc>
      </w:tr>
      <w:tr>
        <w:trPr>
          <w:trHeight w:val="359"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构成对</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益冲减子公司少数</w:t>
            </w:r>
            <w:r>
              <w:rPr>
                <w:rFonts w:ascii="宋体" w:hAnsi="宋体" w:cs="宋体" w:eastAsia="宋体" w:hint="default"/>
                <w:sz w:val="18"/>
                <w:szCs w:val="18"/>
              </w:rPr>
            </w:r>
          </w:p>
        </w:tc>
      </w:tr>
      <w:tr>
        <w:trPr>
          <w:trHeight w:val="269"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中用于</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股东分担的本期亏</w:t>
            </w:r>
            <w:r>
              <w:rPr>
                <w:rFonts w:ascii="宋体" w:hAnsi="宋体" w:cs="宋体" w:eastAsia="宋体" w:hint="default"/>
                <w:sz w:val="18"/>
                <w:szCs w:val="18"/>
              </w:rPr>
            </w:r>
          </w:p>
        </w:tc>
      </w:tr>
      <w:tr>
        <w:trPr>
          <w:trHeight w:val="179"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业务性</w:t>
            </w:r>
            <w:r>
              <w:rPr>
                <w:rFonts w:ascii="宋体" w:hAnsi="宋体" w:cs="宋体" w:eastAsia="宋体" w:hint="default"/>
                <w:sz w:val="18"/>
                <w:szCs w:val="18"/>
              </w:rPr>
            </w: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107"/>
              <w:jc w:val="right"/>
              <w:rPr>
                <w:rFonts w:ascii="宋体" w:hAnsi="宋体" w:cs="宋体" w:eastAsia="宋体" w:hint="default"/>
                <w:sz w:val="18"/>
                <w:szCs w:val="18"/>
              </w:rPr>
            </w:pPr>
            <w:r>
              <w:rPr>
                <w:rFonts w:ascii="宋体" w:hAnsi="宋体" w:cs="宋体" w:eastAsia="宋体" w:hint="default"/>
                <w:b/>
                <w:bCs/>
                <w:sz w:val="18"/>
                <w:szCs w:val="18"/>
              </w:rPr>
              <w:t>期末实际投</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79"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净投资</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冲减少</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损超过少数股东在</w:t>
            </w:r>
            <w:r>
              <w:rPr>
                <w:rFonts w:ascii="宋体" w:hAnsi="宋体" w:cs="宋体" w:eastAsia="宋体" w:hint="default"/>
                <w:sz w:val="18"/>
                <w:szCs w:val="18"/>
              </w:rPr>
            </w:r>
          </w:p>
        </w:tc>
      </w:tr>
      <w:tr>
        <w:trPr>
          <w:trHeight w:val="454"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质</w:t>
            </w:r>
            <w:r>
              <w:rPr>
                <w:rFonts w:ascii="宋体" w:hAnsi="宋体" w:cs="宋体" w:eastAsia="宋体" w:hint="default"/>
                <w:sz w:val="18"/>
                <w:szCs w:val="18"/>
              </w:rPr>
            </w: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b/>
                <w:bCs/>
                <w:sz w:val="18"/>
                <w:szCs w:val="18"/>
              </w:rPr>
              <w:t>的其他</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3" w:lineRule="exact"/>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并报表</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数股东</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该子公司年初所有</w:t>
            </w:r>
            <w:r>
              <w:rPr>
                <w:rFonts w:ascii="宋体" w:hAnsi="宋体" w:cs="宋体" w:eastAsia="宋体" w:hint="default"/>
                <w:sz w:val="18"/>
                <w:szCs w:val="18"/>
              </w:rPr>
            </w:r>
          </w:p>
        </w:tc>
      </w:tr>
      <w:tr>
        <w:trPr>
          <w:trHeight w:val="353" w:hRule="exact"/>
        </w:trPr>
        <w:tc>
          <w:tcPr>
            <w:tcW w:w="139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439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b/>
                <w:bCs/>
                <w:sz w:val="18"/>
                <w:szCs w:val="18"/>
              </w:rPr>
              <w:t>项目余</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损益的</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者权益中所享有份</w:t>
            </w:r>
            <w:r>
              <w:rPr>
                <w:rFonts w:ascii="宋体" w:hAnsi="宋体" w:cs="宋体" w:eastAsia="宋体" w:hint="default"/>
                <w:sz w:val="18"/>
                <w:szCs w:val="18"/>
              </w:rPr>
            </w:r>
          </w:p>
        </w:tc>
      </w:tr>
      <w:tr>
        <w:trPr>
          <w:trHeight w:val="364" w:hRule="exact"/>
        </w:trPr>
        <w:tc>
          <w:tcPr>
            <w:tcW w:w="1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953" w:type="dxa"/>
            <w:tcBorders>
              <w:top w:val="nil" w:sz="6" w:space="0" w:color="auto"/>
              <w:left w:val="single" w:sz="4" w:space="0" w:color="000000"/>
              <w:bottom w:val="single" w:sz="4" w:space="0" w:color="000000"/>
              <w:right w:val="single" w:sz="4" w:space="0" w:color="000000"/>
            </w:tcBorders>
            <w:shd w:val="clear" w:color="auto" w:fill="D3D3D3"/>
          </w:tcPr>
          <w:p>
            <w:pPr/>
          </w:p>
        </w:tc>
        <w:tc>
          <w:tcPr>
            <w:tcW w:w="4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额后的余额</w:t>
            </w:r>
            <w:r>
              <w:rPr>
                <w:rFonts w:ascii="宋体" w:hAnsi="宋体" w:cs="宋体" w:eastAsia="宋体" w:hint="default"/>
                <w:sz w:val="18"/>
                <w:szCs w:val="18"/>
              </w:rPr>
            </w:r>
          </w:p>
        </w:tc>
      </w:tr>
      <w:tr>
        <w:trPr>
          <w:trHeight w:val="363" w:hRule="exact"/>
        </w:trPr>
        <w:tc>
          <w:tcPr>
            <w:tcW w:w="139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技术开发、技术转让、及时咨询、技术服务；计算机技</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
        </w:tc>
      </w:tr>
      <w:tr>
        <w:trPr>
          <w:trHeight w:val="269" w:hRule="exact"/>
        </w:trPr>
        <w:tc>
          <w:tcPr>
            <w:tcW w:w="139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术培训；基础软件服务；应用软件服务；计算机系统服</w:t>
            </w:r>
          </w:p>
        </w:tc>
        <w:tc>
          <w:tcPr>
            <w:tcW w:w="1134"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808" w:hRule="exact"/>
        </w:trPr>
        <w:tc>
          <w:tcPr>
            <w:tcW w:w="1394"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北京麦禾信通科</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信息服</w:t>
            </w: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务</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52"/>
              <w:ind w:left="1" w:right="0"/>
              <w:jc w:val="center"/>
              <w:rPr>
                <w:rFonts w:ascii="Times New Roman" w:hAnsi="Times New Roman" w:cs="Times New Roman" w:eastAsia="Times New Roman" w:hint="default"/>
                <w:sz w:val="18"/>
                <w:szCs w:val="18"/>
              </w:rPr>
            </w:pPr>
            <w:r>
              <w:rPr>
                <w:rFonts w:ascii="Times New Roman"/>
                <w:sz w:val="18"/>
              </w:rPr>
              <w:t>0</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64" w:lineRule="auto" w:before="124"/>
              <w:ind w:left="31" w:right="30"/>
              <w:jc w:val="left"/>
              <w:rPr>
                <w:rFonts w:ascii="宋体" w:hAnsi="宋体" w:cs="宋体" w:eastAsia="宋体" w:hint="default"/>
                <w:sz w:val="18"/>
                <w:szCs w:val="18"/>
              </w:rPr>
            </w:pPr>
            <w:r>
              <w:rPr>
                <w:rFonts w:ascii="宋体" w:hAnsi="宋体" w:cs="宋体" w:eastAsia="宋体" w:hint="default"/>
                <w:sz w:val="18"/>
                <w:szCs w:val="18"/>
              </w:rPr>
              <w:t>务；数据处理；计算机维修；销售计算机、软件及辅助 设备、电子产品、机械设备、通讯设备、五金、交电、</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
                <w:sz w:val="18"/>
              </w:rPr>
              <w:t>4,934,800.00</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64" w:hRule="exact"/>
        </w:trPr>
        <w:tc>
          <w:tcPr>
            <w:tcW w:w="139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81" w:right="0"/>
              <w:jc w:val="left"/>
              <w:rPr>
                <w:rFonts w:ascii="宋体" w:hAnsi="宋体" w:cs="宋体" w:eastAsia="宋体" w:hint="default"/>
                <w:sz w:val="18"/>
                <w:szCs w:val="18"/>
              </w:rPr>
            </w:pPr>
            <w:r>
              <w:rPr>
                <w:rFonts w:ascii="宋体" w:hAnsi="宋体" w:cs="宋体" w:eastAsia="宋体" w:hint="default"/>
                <w:sz w:val="18"/>
                <w:szCs w:val="18"/>
              </w:rPr>
              <w:t>化工产品、文化用品、体育用品、日用品。</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274" w:hRule="exact"/>
        </w:trPr>
        <w:tc>
          <w:tcPr>
            <w:tcW w:w="139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pacing w:val="-3"/>
                <w:sz w:val="18"/>
                <w:szCs w:val="18"/>
              </w:rPr>
              <w:t>技术开发、技术转让、技术咨询、技术服务、技术推广</w:t>
            </w:r>
          </w:p>
        </w:tc>
        <w:tc>
          <w:tcPr>
            <w:tcW w:w="1134"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3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
        </w:tc>
      </w:tr>
      <w:tr>
        <w:trPr>
          <w:trHeight w:val="179" w:hRule="exact"/>
        </w:trPr>
        <w:tc>
          <w:tcPr>
            <w:tcW w:w="139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953"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13" w:space="0" w:color="FFFFFF"/>
            </w:tcBorders>
          </w:tcPr>
          <w:p>
            <w:pPr/>
          </w:p>
        </w:tc>
        <w:tc>
          <w:tcPr>
            <w:tcW w:w="1134" w:type="dxa"/>
            <w:tcBorders>
              <w:top w:val="nil" w:sz="6" w:space="0" w:color="auto"/>
              <w:left w:val="single" w:sz="13" w:space="0" w:color="FFFFFF"/>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718" w:hRule="exact"/>
        </w:trPr>
        <w:tc>
          <w:tcPr>
            <w:tcW w:w="1394"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北京百旺金赋科</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60" w:lineRule="atLeast"/>
              <w:ind w:left="65" w:right="65"/>
              <w:jc w:val="left"/>
              <w:rPr>
                <w:rFonts w:ascii="宋体" w:hAnsi="宋体" w:cs="宋体" w:eastAsia="宋体" w:hint="default"/>
                <w:sz w:val="18"/>
                <w:szCs w:val="18"/>
              </w:rPr>
            </w:pPr>
            <w:r>
              <w:rPr>
                <w:rFonts w:ascii="宋体" w:hAnsi="宋体" w:cs="宋体" w:eastAsia="宋体" w:hint="default"/>
                <w:sz w:val="18"/>
                <w:szCs w:val="18"/>
              </w:rPr>
              <w:t>品销售 及服务</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0"/>
              <w:jc w:val="center"/>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00</w:t>
            </w:r>
          </w:p>
        </w:tc>
        <w:tc>
          <w:tcPr>
            <w:tcW w:w="4393" w:type="dxa"/>
            <w:tcBorders>
              <w:top w:val="nil" w:sz="6" w:space="0" w:color="auto"/>
              <w:left w:val="single" w:sz="4" w:space="0" w:color="000000"/>
              <w:bottom w:val="nil" w:sz="6" w:space="0" w:color="auto"/>
              <w:right w:val="single" w:sz="13" w:space="0" w:color="FFFFFF"/>
            </w:tcBorders>
          </w:tcPr>
          <w:p>
            <w:pPr>
              <w:pStyle w:val="TableParagraph"/>
              <w:spacing w:line="179" w:lineRule="exact"/>
              <w:ind w:left="31" w:right="0"/>
              <w:jc w:val="left"/>
              <w:rPr>
                <w:rFonts w:ascii="宋体" w:hAnsi="宋体" w:cs="宋体" w:eastAsia="宋体" w:hint="default"/>
                <w:sz w:val="18"/>
                <w:szCs w:val="18"/>
              </w:rPr>
            </w:pPr>
            <w:r>
              <w:rPr>
                <w:rFonts w:ascii="宋体" w:hAnsi="宋体" w:cs="宋体" w:eastAsia="宋体" w:hint="default"/>
                <w:sz w:val="18"/>
                <w:szCs w:val="18"/>
              </w:rPr>
              <w:t>计算机系统服务；计算机维修；基础软件服务；数据处</w:t>
            </w:r>
          </w:p>
          <w:p>
            <w:pPr>
              <w:pStyle w:val="TableParagraph"/>
              <w:spacing w:line="240" w:lineRule="auto" w:before="123"/>
              <w:ind w:left="31" w:right="0"/>
              <w:jc w:val="left"/>
              <w:rPr>
                <w:rFonts w:ascii="宋体" w:hAnsi="宋体" w:cs="宋体" w:eastAsia="宋体" w:hint="default"/>
                <w:sz w:val="18"/>
                <w:szCs w:val="18"/>
              </w:rPr>
            </w:pPr>
            <w:r>
              <w:rPr>
                <w:rFonts w:ascii="宋体" w:hAnsi="宋体" w:cs="宋体" w:eastAsia="宋体" w:hint="default"/>
                <w:sz w:val="18"/>
                <w:szCs w:val="18"/>
              </w:rPr>
              <w:t>理；计算机技术培训；销售家用电器、计算机、软件及</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
                <w:sz w:val="18"/>
              </w:rPr>
              <w:t>9,000,000.00</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274" w:hRule="exact"/>
        </w:trPr>
        <w:tc>
          <w:tcPr>
            <w:tcW w:w="139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13" w:space="0" w:color="FFFFFF"/>
            </w:tcBorders>
          </w:tcPr>
          <w:p>
            <w:pPr>
              <w:pStyle w:val="TableParagraph"/>
              <w:spacing w:line="179" w:lineRule="exact"/>
              <w:ind w:left="1291" w:right="0"/>
              <w:jc w:val="left"/>
              <w:rPr>
                <w:rFonts w:ascii="宋体" w:hAnsi="宋体" w:cs="宋体" w:eastAsia="宋体" w:hint="default"/>
                <w:sz w:val="18"/>
                <w:szCs w:val="18"/>
              </w:rPr>
            </w:pPr>
            <w:r>
              <w:rPr>
                <w:rFonts w:ascii="宋体" w:hAnsi="宋体" w:cs="宋体" w:eastAsia="宋体" w:hint="default"/>
                <w:sz w:val="18"/>
                <w:szCs w:val="18"/>
              </w:rPr>
              <w:t>辅助设备、通讯设备。</w:t>
            </w:r>
          </w:p>
        </w:tc>
        <w:tc>
          <w:tcPr>
            <w:tcW w:w="1134" w:type="dxa"/>
            <w:tcBorders>
              <w:top w:val="nil" w:sz="6" w:space="0" w:color="auto"/>
              <w:left w:val="single" w:sz="13" w:space="0" w:color="FFFFFF"/>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274" w:hRule="exact"/>
        </w:trPr>
        <w:tc>
          <w:tcPr>
            <w:tcW w:w="139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税控产</w:t>
            </w:r>
          </w:p>
        </w:tc>
        <w:tc>
          <w:tcPr>
            <w:tcW w:w="953"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电子产品的技术开发、技术咨询、技术服务；计算机软</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
        </w:tc>
      </w:tr>
      <w:tr>
        <w:trPr>
          <w:trHeight w:val="813" w:hRule="exact"/>
        </w:trPr>
        <w:tc>
          <w:tcPr>
            <w:tcW w:w="1394"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杭州百旺金赋科</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杭州市</w:t>
            </w: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364" w:lineRule="auto" w:before="123"/>
              <w:ind w:left="65" w:right="65"/>
              <w:jc w:val="left"/>
              <w:rPr>
                <w:rFonts w:ascii="宋体" w:hAnsi="宋体" w:cs="宋体" w:eastAsia="宋体" w:hint="default"/>
                <w:sz w:val="18"/>
                <w:szCs w:val="18"/>
              </w:rPr>
            </w:pPr>
            <w:r>
              <w:rPr>
                <w:rFonts w:ascii="宋体" w:hAnsi="宋体" w:cs="宋体" w:eastAsia="宋体" w:hint="default"/>
                <w:sz w:val="18"/>
                <w:szCs w:val="18"/>
              </w:rPr>
              <w:t>品销售 及服务</w:t>
            </w:r>
          </w:p>
        </w:tc>
        <w:tc>
          <w:tcPr>
            <w:tcW w:w="953"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1" w:right="0"/>
              <w:jc w:val="center"/>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52"/>
              <w:ind w:left="1" w:right="0"/>
              <w:jc w:val="center"/>
              <w:rPr>
                <w:rFonts w:ascii="Times New Roman" w:hAnsi="Times New Roman" w:cs="Times New Roman" w:eastAsia="Times New Roman" w:hint="default"/>
                <w:sz w:val="18"/>
                <w:szCs w:val="18"/>
              </w:rPr>
            </w:pPr>
            <w:r>
              <w:rPr>
                <w:rFonts w:ascii="Times New Roman"/>
                <w:sz w:val="18"/>
              </w:rPr>
              <w:t>0</w:t>
            </w: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364" w:lineRule="auto" w:before="123"/>
              <w:ind w:left="1381" w:right="30" w:hanging="1350"/>
              <w:jc w:val="left"/>
              <w:rPr>
                <w:rFonts w:ascii="宋体" w:hAnsi="宋体" w:cs="宋体" w:eastAsia="宋体" w:hint="default"/>
                <w:sz w:val="18"/>
                <w:szCs w:val="18"/>
              </w:rPr>
            </w:pPr>
            <w:r>
              <w:rPr>
                <w:rFonts w:ascii="宋体" w:hAnsi="宋体" w:cs="宋体" w:eastAsia="宋体" w:hint="default"/>
                <w:sz w:val="18"/>
                <w:szCs w:val="18"/>
              </w:rPr>
              <w:t>硬件的技术开发、销售、系统集成；税控盘和传输产品 的销售、技术服务。</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
                <w:sz w:val="18"/>
              </w:rPr>
              <w:t>1,560,000.00</w:t>
            </w: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419" w:right="0"/>
        <w:jc w:val="left"/>
      </w:pPr>
      <w:r>
        <w:rPr/>
        <w:t>通过非同一控制下企业合并取得的子公司的其他说明</w:t>
      </w:r>
    </w:p>
    <w:p>
      <w:pPr>
        <w:spacing w:after="0" w:line="240" w:lineRule="auto"/>
        <w:jc w:val="left"/>
        <w:sectPr>
          <w:pgSz w:w="16840" w:h="11910" w:orient="landscape"/>
          <w:pgMar w:header="997" w:footer="1249" w:top="1340" w:bottom="1440" w:left="440" w:right="44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2</w:t>
      </w:r>
      <w:r>
        <w:rPr/>
        <w:t>、特殊目的主体或通过受托经营或承租等方式形成控制权的经营实体</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、合并范围发生变更的说明</w:t>
      </w:r>
    </w:p>
    <w:p>
      <w:pPr>
        <w:spacing w:line="240" w:lineRule="auto" w:before="12"/>
        <w:rPr>
          <w:rFonts w:ascii="黑体" w:hAnsi="黑体" w:cs="黑体" w:eastAsia="黑体" w:hint="default"/>
          <w:sz w:val="23"/>
          <w:szCs w:val="23"/>
        </w:rPr>
      </w:pPr>
    </w:p>
    <w:p>
      <w:pPr>
        <w:pStyle w:val="BodyText"/>
        <w:spacing w:line="240" w:lineRule="auto"/>
        <w:ind w:right="0"/>
        <w:jc w:val="left"/>
      </w:pPr>
      <w:r>
        <w:rPr/>
        <w:t>合并报表范围发生变更说明</w:t>
      </w:r>
    </w:p>
    <w:p>
      <w:pPr>
        <w:spacing w:line="240" w:lineRule="auto" w:before="9"/>
        <w:rPr>
          <w:rFonts w:ascii="宋体" w:hAnsi="宋体" w:cs="宋体" w:eastAsia="宋体" w:hint="default"/>
          <w:sz w:val="26"/>
          <w:szCs w:val="26"/>
        </w:rPr>
      </w:pPr>
    </w:p>
    <w:p>
      <w:pPr>
        <w:pStyle w:val="BodyText"/>
        <w:spacing w:line="516" w:lineRule="auto"/>
        <w:ind w:right="53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与上年相比本年（期）新增合并单位</w:t>
      </w:r>
      <w:r>
        <w:rPr>
          <w:spacing w:val="-53"/>
        </w:rPr>
        <w:t> </w:t>
      </w:r>
      <w:r>
        <w:rPr>
          <w:rFonts w:ascii="Times New Roman" w:hAnsi="Times New Roman" w:cs="Times New Roman" w:eastAsia="Times New Roman" w:hint="default"/>
        </w:rPr>
        <w:t>8 </w:t>
      </w:r>
      <w:r>
        <w:rPr/>
        <w:t>家。</w:t>
      </w:r>
    </w:p>
    <w:p>
      <w:pPr>
        <w:pStyle w:val="Heading4"/>
        <w:spacing w:line="240" w:lineRule="auto" w:before="57"/>
        <w:ind w:left="594" w:right="0" w:firstLine="0"/>
        <w:jc w:val="left"/>
      </w:pPr>
      <w:r>
        <w:rPr/>
        <w:t>报告期内，公司通过非同一控制下企业合并取得的子公司</w:t>
      </w:r>
      <w:r>
        <w:rPr>
          <w:rFonts w:ascii="Times New Roman" w:hAnsi="Times New Roman" w:cs="Times New Roman" w:eastAsia="Times New Roman" w:hint="default"/>
        </w:rPr>
        <w:t>3</w:t>
      </w:r>
      <w:r>
        <w:rPr/>
        <w:t>家，新设立子公司</w:t>
      </w:r>
      <w:r>
        <w:rPr>
          <w:rFonts w:ascii="Times New Roman" w:hAnsi="Times New Roman" w:cs="Times New Roman" w:eastAsia="Times New Roman" w:hint="default"/>
        </w:rPr>
        <w:t>5</w:t>
      </w:r>
      <w:r>
        <w:rPr/>
        <w:t>家。</w:t>
      </w:r>
    </w:p>
    <w:p>
      <w:pPr>
        <w:spacing w:line="240" w:lineRule="auto" w:before="0"/>
        <w:rPr>
          <w:rFonts w:ascii="宋体" w:hAnsi="宋体" w:cs="宋体" w:eastAsia="宋体" w:hint="default"/>
          <w:sz w:val="25"/>
          <w:szCs w:val="25"/>
        </w:rPr>
      </w:pPr>
    </w:p>
    <w:p>
      <w:pPr>
        <w:pStyle w:val="BodyText"/>
        <w:spacing w:line="240" w:lineRule="auto"/>
        <w:ind w:right="0"/>
        <w:jc w:val="left"/>
      </w:pPr>
      <w:r>
        <w:rPr/>
        <w:t>与上年相比本年（期）减少合并单位</w:t>
      </w:r>
      <w:r>
        <w:rPr>
          <w:spacing w:val="-53"/>
        </w:rPr>
        <w:t> </w:t>
      </w:r>
      <w:r>
        <w:rPr>
          <w:rFonts w:ascii="Times New Roman" w:hAnsi="Times New Roman" w:cs="Times New Roman" w:eastAsia="Times New Roman" w:hint="default"/>
        </w:rPr>
        <w:t>0 </w:t>
      </w:r>
      <w:r>
        <w:rPr/>
        <w:t>家。</w:t>
      </w:r>
    </w:p>
    <w:p>
      <w:pPr>
        <w:spacing w:line="240" w:lineRule="auto" w:before="9"/>
        <w:rPr>
          <w:rFonts w:ascii="宋体" w:hAnsi="宋体" w:cs="宋体" w:eastAsia="宋体" w:hint="default"/>
          <w:sz w:val="23"/>
          <w:szCs w:val="23"/>
        </w:rPr>
      </w:pPr>
    </w:p>
    <w:p>
      <w:pPr>
        <w:pStyle w:val="Heading3"/>
        <w:spacing w:line="240" w:lineRule="auto"/>
        <w:ind w:right="0"/>
        <w:jc w:val="left"/>
      </w:pPr>
      <w:r>
        <w:rPr>
          <w:rFonts w:ascii="Cambria" w:hAnsi="Cambria" w:cs="Cambria" w:eastAsia="Cambria" w:hint="default"/>
        </w:rPr>
        <w:t>4</w:t>
      </w:r>
      <w:r>
        <w:rPr/>
        <w:t>、报告期内新纳入合并范围的主体和报告期内不再纳入合并范围的主体</w:t>
      </w:r>
    </w:p>
    <w:p>
      <w:pPr>
        <w:spacing w:line="240" w:lineRule="auto" w:before="12"/>
        <w:rPr>
          <w:rFonts w:ascii="黑体" w:hAnsi="黑体" w:cs="黑体" w:eastAsia="黑体" w:hint="default"/>
          <w:sz w:val="23"/>
          <w:szCs w:val="23"/>
        </w:rPr>
      </w:pPr>
    </w:p>
    <w:p>
      <w:pPr>
        <w:pStyle w:val="BodyText"/>
        <w:spacing w:line="240" w:lineRule="auto"/>
        <w:ind w:right="0"/>
        <w:jc w:val="left"/>
      </w:pPr>
      <w:r>
        <w:rPr/>
        <w:t>本期新纳入合并范围的子公司、特殊目的主体、通过受托经营或承租等方式形成控制权的经营实体</w:t>
      </w:r>
    </w:p>
    <w:p>
      <w:pPr>
        <w:spacing w:line="240" w:lineRule="auto" w:before="9"/>
        <w:rPr>
          <w:rFonts w:ascii="宋体" w:hAnsi="宋体" w:cs="宋体" w:eastAsia="宋体" w:hint="default"/>
          <w:sz w:val="26"/>
          <w:szCs w:val="26"/>
        </w:rPr>
      </w:pPr>
    </w:p>
    <w:p>
      <w:pPr>
        <w:pStyle w:val="BodyText"/>
        <w:spacing w:line="240" w:lineRule="auto"/>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78"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966"/>
              <w:jc w:val="righ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479"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6"/>
              <w:jc w:val="right"/>
              <w:rPr>
                <w:rFonts w:ascii="Times New Roman" w:hAnsi="Times New Roman" w:cs="Times New Roman" w:eastAsia="Times New Roman" w:hint="default"/>
                <w:sz w:val="18"/>
                <w:szCs w:val="18"/>
              </w:rPr>
            </w:pPr>
            <w:r>
              <w:rPr>
                <w:rFonts w:ascii="Times New Roman"/>
                <w:spacing w:val="-1"/>
                <w:sz w:val="18"/>
              </w:rPr>
              <w:t>3,087,031.85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-697,095.33</w:t>
            </w:r>
          </w:p>
        </w:tc>
      </w:tr>
      <w:tr>
        <w:trPr>
          <w:trHeight w:val="4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00"/>
              <w:jc w:val="right"/>
              <w:rPr>
                <w:rFonts w:ascii="Times New Roman" w:hAnsi="Times New Roman" w:cs="Times New Roman" w:eastAsia="Times New Roman" w:hint="default"/>
                <w:sz w:val="18"/>
                <w:szCs w:val="18"/>
              </w:rPr>
            </w:pPr>
            <w:r>
              <w:rPr>
                <w:rFonts w:ascii="Times New Roman"/>
                <w:spacing w:val="-1"/>
                <w:sz w:val="18"/>
              </w:rPr>
              <w:t>13,105,284.94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1,119,835.43</w:t>
            </w:r>
          </w:p>
        </w:tc>
      </w:tr>
      <w:tr>
        <w:trPr>
          <w:trHeight w:val="4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46"/>
              <w:jc w:val="right"/>
              <w:rPr>
                <w:rFonts w:ascii="Times New Roman" w:hAnsi="Times New Roman" w:cs="Times New Roman" w:eastAsia="Times New Roman" w:hint="default"/>
                <w:sz w:val="18"/>
                <w:szCs w:val="18"/>
              </w:rPr>
            </w:pPr>
            <w:r>
              <w:rPr>
                <w:rFonts w:ascii="Times New Roman"/>
                <w:spacing w:val="-1"/>
                <w:sz w:val="18"/>
              </w:rPr>
              <w:t>2,870,134.81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-129,865.19</w:t>
            </w:r>
          </w:p>
        </w:tc>
      </w:tr>
      <w:tr>
        <w:trPr>
          <w:trHeight w:val="479"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福建百旺金赋信息科技有限公司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6"/>
              <w:jc w:val="right"/>
              <w:rPr>
                <w:rFonts w:ascii="Times New Roman" w:hAnsi="Times New Roman" w:cs="Times New Roman" w:eastAsia="Times New Roman" w:hint="default"/>
                <w:sz w:val="18"/>
                <w:szCs w:val="18"/>
              </w:rPr>
            </w:pPr>
            <w:r>
              <w:rPr>
                <w:rFonts w:ascii="Times New Roman"/>
                <w:spacing w:val="-1"/>
                <w:sz w:val="18"/>
              </w:rPr>
              <w:t>4,946,296.48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-53,703.52</w:t>
            </w:r>
          </w:p>
        </w:tc>
      </w:tr>
      <w:tr>
        <w:trPr>
          <w:trHeight w:val="4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46"/>
              <w:jc w:val="right"/>
              <w:rPr>
                <w:rFonts w:ascii="Times New Roman" w:hAnsi="Times New Roman" w:cs="Times New Roman" w:eastAsia="Times New Roman" w:hint="default"/>
                <w:sz w:val="18"/>
                <w:szCs w:val="18"/>
              </w:rPr>
            </w:pPr>
            <w:r>
              <w:rPr>
                <w:rFonts w:ascii="Times New Roman"/>
                <w:spacing w:val="-1"/>
                <w:sz w:val="18"/>
              </w:rPr>
              <w:t>1,232,181.18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232,181.18</w:t>
            </w:r>
          </w:p>
        </w:tc>
      </w:tr>
      <w:tr>
        <w:trPr>
          <w:trHeight w:val="4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厦门百旺金赋信息科技有限公司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959,576.48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-40,423.52</w:t>
            </w:r>
          </w:p>
        </w:tc>
      </w:tr>
      <w:tr>
        <w:trPr>
          <w:trHeight w:val="479"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天津百望金赋科技有限公司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6"/>
              <w:jc w:val="right"/>
              <w:rPr>
                <w:rFonts w:ascii="Times New Roman" w:hAnsi="Times New Roman" w:cs="Times New Roman" w:eastAsia="Times New Roman" w:hint="default"/>
                <w:sz w:val="18"/>
                <w:szCs w:val="18"/>
              </w:rPr>
            </w:pPr>
            <w:r>
              <w:rPr>
                <w:rFonts w:ascii="Times New Roman"/>
                <w:spacing w:val="-1"/>
                <w:sz w:val="18"/>
              </w:rPr>
              <w:t>1,000,487.57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487.57</w:t>
            </w:r>
          </w:p>
        </w:tc>
      </w:tr>
      <w:tr>
        <w:trPr>
          <w:trHeight w:val="478"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上海百旺金赋科技有限公司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46"/>
              <w:jc w:val="right"/>
              <w:rPr>
                <w:rFonts w:ascii="Times New Roman" w:hAnsi="Times New Roman" w:cs="Times New Roman" w:eastAsia="Times New Roman" w:hint="default"/>
                <w:sz w:val="18"/>
                <w:szCs w:val="18"/>
              </w:rPr>
            </w:pPr>
            <w:r>
              <w:rPr>
                <w:rFonts w:ascii="Times New Roman"/>
                <w:spacing w:val="-1"/>
                <w:sz w:val="18"/>
              </w:rPr>
              <w:t>3,001,035.86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1,035.86</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新纳入合并范围的主体和不再纳入合并范围的主体的其他说明：不适用。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w:t>
      </w:r>
      <w:r>
        <w:rPr/>
        <w:t>、报告期内发生的同一控制下企业合并</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after="0" w:line="240" w:lineRule="auto"/>
        <w:jc w:val="left"/>
        <w:sectPr>
          <w:headerReference w:type="default" r:id="rId37"/>
          <w:footerReference w:type="default" r:id="rId38"/>
          <w:pgSz w:w="11910" w:h="16840"/>
          <w:pgMar w:header="997" w:footer="1252" w:top="1340" w:bottom="1440" w:left="980" w:right="980"/>
          <w:pgNumType w:start="115"/>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6</w:t>
      </w:r>
      <w:r>
        <w:rPr/>
        <w:t>、报告期内发生的非同一控制下企业合并</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78"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被合并方</w:t>
            </w:r>
            <w:r>
              <w:rPr>
                <w:rFonts w:ascii="宋体" w:hAnsi="宋体" w:cs="宋体" w:eastAsia="宋体" w:hint="default"/>
                <w:sz w:val="18"/>
                <w:szCs w:val="18"/>
              </w:rPr>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商誉金额</w:t>
            </w:r>
            <w:r>
              <w:rPr>
                <w:rFonts w:ascii="宋体" w:hAnsi="宋体" w:cs="宋体" w:eastAsia="宋体" w:hint="default"/>
                <w:sz w:val="18"/>
                <w:szCs w:val="18"/>
              </w:rPr>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商誉计算方法</w:t>
            </w:r>
            <w:r>
              <w:rPr>
                <w:rFonts w:ascii="宋体" w:hAnsi="宋体" w:cs="宋体" w:eastAsia="宋体" w:hint="default"/>
                <w:sz w:val="18"/>
                <w:szCs w:val="18"/>
              </w:rPr>
            </w:r>
          </w:p>
        </w:tc>
      </w:tr>
      <w:tr>
        <w:trPr>
          <w:trHeight w:val="479" w:hRule="exact"/>
        </w:trPr>
        <w:tc>
          <w:tcPr>
            <w:tcW w:w="2677"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348,668.15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元，为公司此次合并成本与取得</w:t>
            </w:r>
          </w:p>
        </w:tc>
      </w:tr>
      <w:tr>
        <w:trPr>
          <w:trHeight w:val="467" w:hRule="exact"/>
        </w:trPr>
        <w:tc>
          <w:tcPr>
            <w:tcW w:w="267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348,668.15</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的购买日麦禾信通可辨认净资产的公允价值</w:t>
            </w:r>
          </w:p>
        </w:tc>
      </w:tr>
      <w:tr>
        <w:trPr>
          <w:trHeight w:val="469" w:hRule="exact"/>
        </w:trPr>
        <w:tc>
          <w:tcPr>
            <w:tcW w:w="2677"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3,405,714.46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元的差额。</w:t>
            </w:r>
          </w:p>
        </w:tc>
      </w:tr>
      <w:tr>
        <w:trPr>
          <w:trHeight w:val="478"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0.00</w:t>
            </w:r>
          </w:p>
        </w:tc>
        <w:tc>
          <w:tcPr>
            <w:tcW w:w="38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0.00</w:t>
            </w:r>
          </w:p>
        </w:tc>
        <w:tc>
          <w:tcPr>
            <w:tcW w:w="3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非同一控制下企业合并的其他说明</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7</w:t>
      </w:r>
      <w:r>
        <w:rPr/>
        <w:t>、报告期内出售丧失控制权的股权而减少子公司</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8</w:t>
      </w:r>
      <w:r>
        <w:rPr/>
        <w:t>、报告期内发生的反向购买</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9</w:t>
      </w:r>
      <w:r>
        <w:rPr/>
        <w:t>、本报告期发生的吸收合并</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10</w:t>
      </w:r>
      <w:r>
        <w:rPr/>
        <w:t>、境外经营实体主要报表项目的折算汇率</w:t>
      </w:r>
    </w:p>
    <w:p>
      <w:pPr>
        <w:spacing w:line="240" w:lineRule="auto" w:before="4"/>
        <w:rPr>
          <w:rFonts w:ascii="黑体" w:hAnsi="黑体" w:cs="黑体" w:eastAsia="黑体" w:hint="default"/>
          <w:sz w:val="23"/>
          <w:szCs w:val="23"/>
        </w:rPr>
      </w:pPr>
    </w:p>
    <w:p>
      <w:pPr>
        <w:pStyle w:val="Heading4"/>
        <w:spacing w:line="379" w:lineRule="auto"/>
        <w:ind w:right="149"/>
        <w:jc w:val="both"/>
      </w:pPr>
      <w:r>
        <w:rPr>
          <w:spacing w:val="-4"/>
        </w:rPr>
        <w:t>外币资产负债表中资产、负债类项目采用资产负债表日的即期汇率折算；所有者权益类项目除</w:t>
      </w:r>
      <w:r>
        <w:rPr>
          <w:rFonts w:ascii="Times New Roman" w:hAnsi="Times New Roman" w:cs="Times New Roman" w:eastAsia="Times New Roman" w:hint="default"/>
          <w:spacing w:val="-4"/>
        </w:rPr>
        <w:t>“</w:t>
      </w:r>
      <w:r>
        <w:rPr>
          <w:spacing w:val="-4"/>
        </w:rPr>
        <w:t>未</w:t>
      </w:r>
      <w:r>
        <w:rPr>
          <w:w w:val="99"/>
        </w:rPr>
        <w:t> </w:t>
      </w: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r>
        <w:rPr>
          <w:spacing w:val="-47"/>
        </w:rPr>
        <w:t> </w:t>
      </w:r>
      <w:r>
        <w:rPr>
          <w:spacing w:val="-47"/>
        </w:rPr>
      </w:r>
      <w:r>
        <w:rPr>
          <w:spacing w:val="-1"/>
        </w:rPr>
        <w:t>期汇率的近似汇率折算。上述折算产生的外币报表折算差额，在所有者权益项目下单独列示。外币现</w:t>
      </w:r>
      <w:r>
        <w:rPr>
          <w:w w:val="99"/>
        </w:rPr>
        <w:t> </w:t>
      </w:r>
      <w:r>
        <w:rPr>
          <w:spacing w:val="-1"/>
        </w:rPr>
        <w:t>金流量采用现金流量发生日的即期汇率的近似汇率折算。汇率变动对现金的影响额，在现金流量表中</w:t>
      </w:r>
      <w:r>
        <w:rPr>
          <w:w w:val="99"/>
        </w:rPr>
        <w:t> </w:t>
      </w:r>
      <w:r>
        <w:rPr/>
        <w:t>单独列示。</w:t>
      </w:r>
    </w:p>
    <w:p>
      <w:pPr>
        <w:spacing w:after="0" w:line="379" w:lineRule="auto"/>
        <w:jc w:val="both"/>
        <w:sectPr>
          <w:pgSz w:w="11910" w:h="16840"/>
          <w:pgMar w:header="997" w:footer="1252" w:top="1340" w:bottom="1440" w:left="980" w:right="980"/>
        </w:sectPr>
      </w:pPr>
    </w:p>
    <w:p>
      <w:pPr>
        <w:spacing w:line="240" w:lineRule="auto" w:before="8"/>
        <w:rPr>
          <w:rFonts w:ascii="宋体" w:hAnsi="宋体" w:cs="宋体" w:eastAsia="宋体" w:hint="default"/>
          <w:sz w:val="14"/>
          <w:szCs w:val="14"/>
        </w:rPr>
      </w:pPr>
    </w:p>
    <w:p>
      <w:pPr>
        <w:pStyle w:val="Heading2"/>
        <w:spacing w:line="240" w:lineRule="auto" w:before="13"/>
        <w:ind w:right="0"/>
        <w:jc w:val="left"/>
      </w:pPr>
      <w:r>
        <w:rPr/>
        <w:t>七、合并财务报表主要项目注释</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、货币资金</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19"/>
        <w:gridCol w:w="1474"/>
        <w:gridCol w:w="1328"/>
        <w:gridCol w:w="917"/>
        <w:gridCol w:w="1605"/>
      </w:tblGrid>
      <w:tr>
        <w:trPr>
          <w:trHeight w:val="245" w:hRule="exact"/>
        </w:trPr>
        <w:tc>
          <w:tcPr>
            <w:tcW w:w="1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33" w:hRule="exact"/>
        </w:trPr>
        <w:tc>
          <w:tcPr>
            <w:tcW w:w="1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235" w:hRule="exact"/>
        </w:trPr>
        <w:tc>
          <w:tcPr>
            <w:tcW w:w="199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296"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88"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285"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297"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87"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350"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243" w:hRule="exact"/>
        </w:trPr>
        <w:tc>
          <w:tcPr>
            <w:tcW w:w="1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17"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403,216.11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69,479.04</w:t>
            </w:r>
          </w:p>
        </w:tc>
      </w:tr>
      <w:tr>
        <w:trPr>
          <w:trHeight w:val="478"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403,216.11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69,479.04</w:t>
            </w:r>
          </w:p>
        </w:tc>
      </w:tr>
      <w:tr>
        <w:trPr>
          <w:trHeight w:val="479"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473,108,029.94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169,771,984.34</w:t>
            </w:r>
          </w:p>
        </w:tc>
      </w:tr>
      <w:tr>
        <w:trPr>
          <w:trHeight w:val="478"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457,814,033.49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156,459,133.97</w:t>
            </w:r>
          </w:p>
        </w:tc>
      </w:tr>
      <w:tr>
        <w:trPr>
          <w:trHeight w:val="478"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1,976,277.70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6.29%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12,421,893.48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5,694.98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6.3%</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35,883.50</w:t>
            </w:r>
          </w:p>
        </w:tc>
      </w:tr>
      <w:tr>
        <w:trPr>
          <w:trHeight w:val="479"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260,330.29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z w:val="18"/>
              </w:rPr>
              <w:t>8.32%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2,165,323.22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1,935.19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8.16%</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15,795.99</w:t>
            </w:r>
          </w:p>
        </w:tc>
      </w:tr>
      <w:tr>
        <w:trPr>
          <w:trHeight w:val="478"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871,652.90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0.81%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706,779.75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16,357,679.63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0.81%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13,261,170.88</w:t>
            </w:r>
          </w:p>
        </w:tc>
      </w:tr>
      <w:tr>
        <w:trPr>
          <w:trHeight w:val="479"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473,511,246.05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
              <w:jc w:val="righ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169,841,463.38</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如有因抵押、质押或冻结等对使用有限制、存放在境外、有潜在回收风险的款项应单独说明</w:t>
      </w:r>
    </w:p>
    <w:p>
      <w:pPr>
        <w:spacing w:line="240" w:lineRule="auto" w:before="9"/>
        <w:rPr>
          <w:rFonts w:ascii="宋体" w:hAnsi="宋体" w:cs="宋体" w:eastAsia="宋体" w:hint="default"/>
          <w:sz w:val="26"/>
          <w:szCs w:val="26"/>
        </w:rPr>
      </w:pPr>
    </w:p>
    <w:p>
      <w:pPr>
        <w:pStyle w:val="BodyText"/>
        <w:spacing w:line="386" w:lineRule="auto"/>
        <w:ind w:left="153" w:right="0" w:firstLine="420"/>
        <w:jc w:val="left"/>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日，公司无因抵押、质押或冻结等对使用有限制、存放在境外、有潜在回收风险的</w:t>
      </w:r>
      <w:r>
        <w:rPr/>
        <w:t> 款项。</w:t>
      </w:r>
    </w:p>
    <w:p>
      <w:pPr>
        <w:spacing w:line="240" w:lineRule="auto" w:before="2"/>
        <w:rPr>
          <w:rFonts w:ascii="宋体" w:hAnsi="宋体" w:cs="宋体" w:eastAsia="宋体" w:hint="default"/>
          <w:sz w:val="15"/>
          <w:szCs w:val="15"/>
        </w:rPr>
      </w:pPr>
    </w:p>
    <w:p>
      <w:pPr>
        <w:pStyle w:val="Heading3"/>
        <w:spacing w:line="240" w:lineRule="auto"/>
        <w:ind w:right="0"/>
        <w:jc w:val="left"/>
      </w:pPr>
      <w:r>
        <w:rPr>
          <w:rFonts w:ascii="Cambria" w:hAnsi="Cambria" w:cs="Cambria" w:eastAsia="Cambria" w:hint="default"/>
        </w:rPr>
        <w:t>2</w:t>
      </w:r>
      <w:r>
        <w:rPr/>
        <w:t>、交易性金融资产</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513"/>
        <w:gridCol w:w="2387"/>
        <w:gridCol w:w="2656"/>
      </w:tblGrid>
      <w:tr>
        <w:trPr>
          <w:trHeight w:val="478"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52"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781" w:right="0"/>
              <w:jc w:val="left"/>
              <w:rPr>
                <w:rFonts w:ascii="宋体" w:hAnsi="宋体" w:cs="宋体" w:eastAsia="宋体" w:hint="default"/>
                <w:sz w:val="18"/>
                <w:szCs w:val="18"/>
              </w:rPr>
            </w:pPr>
            <w:r>
              <w:rPr>
                <w:rFonts w:ascii="宋体" w:hAnsi="宋体" w:cs="宋体" w:eastAsia="宋体" w:hint="default"/>
                <w:b/>
                <w:bCs/>
                <w:sz w:val="18"/>
                <w:szCs w:val="18"/>
              </w:rPr>
              <w:t>期初公允价值</w:t>
            </w:r>
            <w:r>
              <w:rPr>
                <w:rFonts w:ascii="宋体" w:hAnsi="宋体" w:cs="宋体" w:eastAsia="宋体" w:hint="default"/>
                <w:sz w:val="18"/>
                <w:szCs w:val="18"/>
              </w:rPr>
            </w:r>
          </w:p>
        </w:tc>
      </w:tr>
      <w:tr>
        <w:trPr>
          <w:trHeight w:val="478"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指定为以公允价值计量且变动计入当期损益的金融资产</w:t>
            </w:r>
          </w:p>
        </w:tc>
        <w:tc>
          <w:tcPr>
            <w:tcW w:w="2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4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3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669" w:type="dxa"/>
        <w:tblLayout w:type="fixed"/>
        <w:tblCellMar>
          <w:top w:w="0" w:type="dxa"/>
          <w:left w:w="0" w:type="dxa"/>
          <w:bottom w:w="0" w:type="dxa"/>
          <w:right w:w="0" w:type="dxa"/>
        </w:tblCellMar>
        <w:tblLook w:val="01E0"/>
      </w:tblPr>
      <w:tblGrid>
        <w:gridCol w:w="4536"/>
        <w:gridCol w:w="2376"/>
        <w:gridCol w:w="2656"/>
      </w:tblGrid>
      <w:tr>
        <w:trPr>
          <w:trHeight w:val="478"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568" w:lineRule="auto" w:before="35"/>
        <w:ind w:left="1094" w:right="676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）变现有限制的交易性金融资产</w:t>
      </w:r>
      <w:r>
        <w:rPr>
          <w:w w:val="99"/>
        </w:rPr>
        <w:t> </w:t>
      </w:r>
      <w:r>
        <w:rPr>
          <w:rFonts w:ascii="宋体" w:hAnsi="宋体" w:cs="宋体" w:eastAsia="宋体" w:hint="default"/>
          <w:b w:val="0"/>
          <w:bCs w:val="0"/>
        </w:rPr>
        <w:t>无。</w:t>
      </w:r>
    </w:p>
    <w:p>
      <w:pPr>
        <w:pStyle w:val="Heading5"/>
        <w:spacing w:line="568" w:lineRule="auto" w:before="128"/>
        <w:ind w:left="1094" w:right="634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）套期工具及对相关套期交易的说明</w:t>
      </w:r>
      <w:r>
        <w:rPr>
          <w:w w:val="99"/>
        </w:rPr>
        <w:t> </w:t>
      </w:r>
      <w:r>
        <w:rPr>
          <w:rFonts w:ascii="宋体" w:hAnsi="宋体" w:cs="宋体" w:eastAsia="宋体" w:hint="default"/>
          <w:b w:val="0"/>
          <w:bCs w:val="0"/>
        </w:rPr>
        <w:t>无。</w:t>
      </w:r>
    </w:p>
    <w:p>
      <w:pPr>
        <w:pStyle w:val="Heading3"/>
        <w:spacing w:line="240" w:lineRule="auto" w:before="38"/>
        <w:ind w:left="674" w:right="6763"/>
        <w:jc w:val="left"/>
      </w:pPr>
      <w:r>
        <w:rPr>
          <w:rFonts w:ascii="Cambria" w:hAnsi="Cambria" w:cs="Cambria" w:eastAsia="Cambria" w:hint="default"/>
        </w:rPr>
        <w:t>3</w:t>
      </w:r>
      <w:r>
        <w:rPr/>
        <w:t>、应收票据</w:t>
      </w:r>
    </w:p>
    <w:p>
      <w:pPr>
        <w:spacing w:line="240" w:lineRule="auto" w:before="1"/>
        <w:rPr>
          <w:rFonts w:ascii="黑体" w:hAnsi="黑体" w:cs="黑体" w:eastAsia="黑体" w:hint="default"/>
          <w:sz w:val="29"/>
          <w:szCs w:val="29"/>
        </w:rPr>
      </w:pPr>
    </w:p>
    <w:p>
      <w:pPr>
        <w:pStyle w:val="Heading5"/>
        <w:spacing w:line="240" w:lineRule="auto"/>
        <w:ind w:left="674" w:right="676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408"/>
        <w:jc w:val="right"/>
      </w:pPr>
      <w:r>
        <w:rPr/>
        <w:t>单位： 元</w:t>
      </w:r>
    </w:p>
    <w:p>
      <w:pPr>
        <w:spacing w:line="240" w:lineRule="auto" w:before="12"/>
        <w:rPr>
          <w:rFonts w:ascii="宋体" w:hAnsi="宋体" w:cs="宋体" w:eastAsia="宋体" w:hint="default"/>
          <w:sz w:val="21"/>
          <w:szCs w:val="21"/>
        </w:rPr>
      </w:pPr>
    </w:p>
    <w:tbl>
      <w:tblPr>
        <w:tblW w:w="0" w:type="auto"/>
        <w:jc w:val="left"/>
        <w:tblInd w:w="669" w:type="dxa"/>
        <w:tblLayout w:type="fixed"/>
        <w:tblCellMar>
          <w:top w:w="0" w:type="dxa"/>
          <w:left w:w="0" w:type="dxa"/>
          <w:bottom w:w="0" w:type="dxa"/>
          <w:right w:w="0" w:type="dxa"/>
        </w:tblCellMar>
        <w:tblLook w:val="01E0"/>
      </w:tblPr>
      <w:tblGrid>
        <w:gridCol w:w="3988"/>
        <w:gridCol w:w="2658"/>
        <w:gridCol w:w="2922"/>
      </w:tblGrid>
      <w:tr>
        <w:trPr>
          <w:trHeight w:val="478"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805"/>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1,977,120.00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3,850,000.00</w:t>
            </w:r>
          </w:p>
        </w:tc>
      </w:tr>
      <w:tr>
        <w:trPr>
          <w:trHeight w:val="478"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362,700.00</w:t>
            </w:r>
          </w:p>
        </w:tc>
      </w:tr>
      <w:tr>
        <w:trPr>
          <w:trHeight w:val="479"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807"/>
              <w:jc w:val="righ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1,977,120.00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4,212,700.00</w:t>
            </w:r>
          </w:p>
        </w:tc>
      </w:tr>
    </w:tbl>
    <w:p>
      <w:pPr>
        <w:spacing w:line="240" w:lineRule="auto" w:before="2"/>
        <w:rPr>
          <w:rFonts w:ascii="宋体" w:hAnsi="宋体" w:cs="宋体" w:eastAsia="宋体" w:hint="default"/>
          <w:sz w:val="19"/>
          <w:szCs w:val="19"/>
        </w:rPr>
      </w:pPr>
    </w:p>
    <w:p>
      <w:pPr>
        <w:pStyle w:val="Heading5"/>
        <w:spacing w:line="568" w:lineRule="auto" w:before="35"/>
        <w:ind w:left="1094" w:right="697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）期末已质押的应收票据情况</w:t>
      </w:r>
      <w:r>
        <w:rPr>
          <w:spacing w:val="1"/>
          <w:w w:val="99"/>
        </w:rPr>
        <w:t> </w:t>
      </w:r>
      <w:r>
        <w:rPr>
          <w:rFonts w:ascii="宋体" w:hAnsi="宋体" w:cs="宋体" w:eastAsia="宋体" w:hint="default"/>
          <w:b w:val="0"/>
          <w:bCs w:val="0"/>
        </w:rPr>
        <w:t>不适用。</w:t>
      </w:r>
    </w:p>
    <w:p>
      <w:pPr>
        <w:pStyle w:val="Heading5"/>
        <w:spacing w:line="259" w:lineRule="auto" w:before="128"/>
        <w:ind w:left="674" w:right="56"/>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6"/>
        <w:ind w:left="1094" w:right="56"/>
        <w:jc w:val="left"/>
      </w:pPr>
      <w:r>
        <w:rPr/>
        <w:t>公司已经背书给其他方但尚未到期的票据</w:t>
      </w:r>
    </w:p>
    <w:p>
      <w:pPr>
        <w:spacing w:line="240" w:lineRule="auto" w:before="9"/>
        <w:rPr>
          <w:rFonts w:ascii="宋体" w:hAnsi="宋体" w:cs="宋体" w:eastAsia="宋体" w:hint="default"/>
          <w:sz w:val="26"/>
          <w:szCs w:val="26"/>
        </w:rPr>
      </w:pPr>
    </w:p>
    <w:p>
      <w:pPr>
        <w:pStyle w:val="BodyText"/>
        <w:spacing w:line="240" w:lineRule="auto"/>
        <w:ind w:left="0" w:right="408"/>
        <w:jc w:val="right"/>
      </w:pPr>
      <w:r>
        <w:rPr/>
        <w:t>单位： 元</w:t>
      </w:r>
    </w:p>
    <w:p>
      <w:pPr>
        <w:spacing w:line="240" w:lineRule="auto" w:before="1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403"/>
        <w:gridCol w:w="2126"/>
        <w:gridCol w:w="1702"/>
        <w:gridCol w:w="1700"/>
        <w:gridCol w:w="1559"/>
      </w:tblGrid>
      <w:tr>
        <w:trPr>
          <w:trHeight w:val="478"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北京青云航空仪表有限公司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中航西安飞行自动控制技术有限公司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246,810.00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中国船舶重工集团公司第七一五研究所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150,423.00</w:t>
            </w: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460" w:right="720"/>
        </w:sectPr>
      </w:pP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403"/>
        <w:gridCol w:w="2126"/>
        <w:gridCol w:w="1702"/>
        <w:gridCol w:w="1700"/>
        <w:gridCol w:w="1559"/>
      </w:tblGrid>
      <w:tr>
        <w:trPr>
          <w:trHeight w:val="4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中航西安飞行自动控制技术有限公司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北京青云航空仪表有限公司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北京青云航空仪表有限公司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1,057,233.00</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1094" w:right="6250"/>
        <w:jc w:val="left"/>
      </w:pPr>
      <w:r>
        <w:rPr/>
        <w:t>说明 已贴现或质押的商业承兑票据的说明</w:t>
      </w:r>
    </w:p>
    <w:p>
      <w:pPr>
        <w:pStyle w:val="Heading3"/>
        <w:spacing w:line="240" w:lineRule="auto" w:before="59"/>
        <w:ind w:left="674" w:right="6763"/>
        <w:jc w:val="left"/>
      </w:pPr>
      <w:r>
        <w:rPr>
          <w:rFonts w:ascii="Cambria" w:hAnsi="Cambria" w:cs="Cambria" w:eastAsia="Cambria" w:hint="default"/>
        </w:rPr>
        <w:t>4</w:t>
      </w:r>
      <w:r>
        <w:rPr/>
        <w:t>、应收股利</w:t>
      </w:r>
    </w:p>
    <w:p>
      <w:pPr>
        <w:spacing w:line="240" w:lineRule="auto" w:before="12"/>
        <w:rPr>
          <w:rFonts w:ascii="黑体" w:hAnsi="黑体" w:cs="黑体" w:eastAsia="黑体" w:hint="default"/>
          <w:sz w:val="23"/>
          <w:szCs w:val="23"/>
        </w:rPr>
      </w:pPr>
    </w:p>
    <w:p>
      <w:pPr>
        <w:pStyle w:val="BodyText"/>
        <w:spacing w:line="240" w:lineRule="auto"/>
        <w:ind w:left="674" w:right="6763"/>
        <w:jc w:val="left"/>
      </w:pPr>
      <w:r>
        <w:rPr/>
        <w:t>不适用</w:t>
      </w:r>
    </w:p>
    <w:p>
      <w:pPr>
        <w:spacing w:line="240" w:lineRule="auto" w:before="12"/>
        <w:rPr>
          <w:rFonts w:ascii="宋体" w:hAnsi="宋体" w:cs="宋体" w:eastAsia="宋体" w:hint="default"/>
          <w:sz w:val="24"/>
          <w:szCs w:val="24"/>
        </w:rPr>
      </w:pPr>
    </w:p>
    <w:p>
      <w:pPr>
        <w:pStyle w:val="Heading3"/>
        <w:spacing w:line="240" w:lineRule="auto"/>
        <w:ind w:left="674" w:right="6763"/>
        <w:jc w:val="left"/>
      </w:pPr>
      <w:r>
        <w:rPr>
          <w:rFonts w:ascii="Cambria" w:hAnsi="Cambria" w:cs="Cambria" w:eastAsia="Cambria" w:hint="default"/>
        </w:rPr>
        <w:t>5</w:t>
      </w:r>
      <w:r>
        <w:rPr/>
        <w:t>、应收利息</w:t>
      </w:r>
    </w:p>
    <w:p>
      <w:pPr>
        <w:spacing w:line="240" w:lineRule="auto" w:before="1"/>
        <w:rPr>
          <w:rFonts w:ascii="黑体" w:hAnsi="黑体" w:cs="黑体" w:eastAsia="黑体" w:hint="default"/>
          <w:sz w:val="29"/>
          <w:szCs w:val="29"/>
        </w:rPr>
      </w:pPr>
    </w:p>
    <w:p>
      <w:pPr>
        <w:pStyle w:val="Heading5"/>
        <w:spacing w:line="240" w:lineRule="auto"/>
        <w:ind w:left="674" w:right="676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408"/>
        <w:jc w:val="right"/>
      </w:pPr>
      <w:r>
        <w:rPr/>
        <w:t>单位： 元</w:t>
      </w:r>
    </w:p>
    <w:p>
      <w:pPr>
        <w:spacing w:line="240" w:lineRule="auto" w:before="11"/>
        <w:rPr>
          <w:rFonts w:ascii="宋体" w:hAnsi="宋体" w:cs="宋体" w:eastAsia="宋体" w:hint="default"/>
          <w:sz w:val="21"/>
          <w:szCs w:val="21"/>
        </w:rPr>
      </w:pPr>
    </w:p>
    <w:tbl>
      <w:tblPr>
        <w:tblW w:w="0" w:type="auto"/>
        <w:jc w:val="left"/>
        <w:tblInd w:w="66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78"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74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78"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3,660,182.02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3,660,182.02</w:t>
            </w:r>
          </w:p>
        </w:tc>
      </w:tr>
      <w:tr>
        <w:trPr>
          <w:trHeight w:val="479"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745"/>
              <w:jc w:val="righ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3,660,182.02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3,660,182.02</w:t>
            </w:r>
          </w:p>
        </w:tc>
      </w:tr>
    </w:tbl>
    <w:p>
      <w:pPr>
        <w:spacing w:line="240" w:lineRule="auto" w:before="2"/>
        <w:rPr>
          <w:rFonts w:ascii="宋体" w:hAnsi="宋体" w:cs="宋体" w:eastAsia="宋体" w:hint="default"/>
          <w:sz w:val="19"/>
          <w:szCs w:val="19"/>
        </w:rPr>
      </w:pPr>
    </w:p>
    <w:p>
      <w:pPr>
        <w:pStyle w:val="Heading5"/>
        <w:spacing w:line="568" w:lineRule="auto" w:before="35"/>
        <w:ind w:left="1094" w:right="866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）逾期利息</w:t>
      </w:r>
      <w:r>
        <w:rPr>
          <w:w w:val="99"/>
        </w:rPr>
        <w:t> </w:t>
      </w:r>
      <w:r>
        <w:rPr>
          <w:rFonts w:ascii="宋体" w:hAnsi="宋体" w:cs="宋体" w:eastAsia="宋体" w:hint="default"/>
          <w:b w:val="0"/>
          <w:bCs w:val="0"/>
        </w:rPr>
        <w:t>无。</w:t>
      </w:r>
    </w:p>
    <w:p>
      <w:pPr>
        <w:spacing w:line="568" w:lineRule="auto" w:before="128"/>
        <w:ind w:left="1094" w:right="394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spacing w:val="1"/>
          <w:w w:val="99"/>
          <w:sz w:val="21"/>
          <w:szCs w:val="21"/>
        </w:rPr>
        <w:t> </w:t>
      </w:r>
      <w:r>
        <w:rPr>
          <w:rFonts w:ascii="宋体" w:hAnsi="宋体" w:cs="宋体" w:eastAsia="宋体" w:hint="default"/>
          <w:sz w:val="21"/>
          <w:szCs w:val="21"/>
        </w:rPr>
        <w:t>应收利息，主要系公司年度末有一年期以上定期存款的利息。</w:t>
      </w:r>
    </w:p>
    <w:p>
      <w:pPr>
        <w:pStyle w:val="Heading3"/>
        <w:spacing w:line="240" w:lineRule="auto" w:before="38"/>
        <w:ind w:left="674" w:right="6763"/>
        <w:jc w:val="left"/>
      </w:pPr>
      <w:r>
        <w:rPr>
          <w:rFonts w:ascii="Cambria" w:hAnsi="Cambria" w:cs="Cambria" w:eastAsia="Cambria" w:hint="default"/>
        </w:rPr>
        <w:t>6</w:t>
      </w:r>
      <w:r>
        <w:rPr/>
        <w:t>、应收账款</w:t>
      </w:r>
    </w:p>
    <w:p>
      <w:pPr>
        <w:spacing w:line="240" w:lineRule="auto" w:before="1"/>
        <w:rPr>
          <w:rFonts w:ascii="黑体" w:hAnsi="黑体" w:cs="黑体" w:eastAsia="黑体" w:hint="default"/>
          <w:sz w:val="29"/>
          <w:szCs w:val="29"/>
        </w:rPr>
      </w:pPr>
    </w:p>
    <w:p>
      <w:pPr>
        <w:pStyle w:val="Heading5"/>
        <w:spacing w:line="240" w:lineRule="auto"/>
        <w:ind w:left="674" w:right="676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408"/>
        <w:jc w:val="right"/>
      </w:pPr>
      <w:r>
        <w:rPr/>
        <w:t>单位： 元</w:t>
      </w:r>
    </w:p>
    <w:p>
      <w:pPr>
        <w:spacing w:line="240" w:lineRule="auto" w:before="12"/>
        <w:rPr>
          <w:rFonts w:ascii="宋体" w:hAnsi="宋体" w:cs="宋体" w:eastAsia="宋体" w:hint="default"/>
          <w:sz w:val="21"/>
          <w:szCs w:val="21"/>
        </w:rPr>
      </w:pPr>
    </w:p>
    <w:tbl>
      <w:tblPr>
        <w:tblW w:w="0" w:type="auto"/>
        <w:jc w:val="left"/>
        <w:tblInd w:w="243" w:type="dxa"/>
        <w:tblLayout w:type="fixed"/>
        <w:tblCellMar>
          <w:top w:w="0" w:type="dxa"/>
          <w:left w:w="0" w:type="dxa"/>
          <w:bottom w:w="0" w:type="dxa"/>
          <w:right w:w="0" w:type="dxa"/>
        </w:tblCellMar>
        <w:tblLook w:val="01E0"/>
      </w:tblPr>
      <w:tblGrid>
        <w:gridCol w:w="1277"/>
        <w:gridCol w:w="4536"/>
        <w:gridCol w:w="4172"/>
      </w:tblGrid>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997" w:footer="1252" w:top="1340" w:bottom="1440" w:left="460" w:right="720"/>
        </w:sectPr>
      </w:pPr>
    </w:p>
    <w:p>
      <w:pPr>
        <w:spacing w:line="240" w:lineRule="auto" w:before="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1271"/>
        <w:gridCol w:w="1283"/>
        <w:gridCol w:w="991"/>
        <w:gridCol w:w="1277"/>
        <w:gridCol w:w="991"/>
        <w:gridCol w:w="1127"/>
        <w:gridCol w:w="930"/>
        <w:gridCol w:w="1062"/>
        <w:gridCol w:w="1064"/>
      </w:tblGrid>
      <w:tr>
        <w:trPr>
          <w:trHeight w:val="478" w:hRule="exact"/>
        </w:trPr>
        <w:tc>
          <w:tcPr>
            <w:tcW w:w="1271" w:type="dxa"/>
            <w:vMerge w:val="restart"/>
            <w:tcBorders>
              <w:top w:val="single" w:sz="4" w:space="0" w:color="000000"/>
              <w:left w:val="single" w:sz="4" w:space="0" w:color="000000"/>
              <w:right w:val="single" w:sz="4" w:space="0" w:color="000000"/>
            </w:tcBorders>
            <w:shd w:val="clear" w:color="auto" w:fill="D3D3D3"/>
          </w:tcPr>
          <w:p>
            <w:pPr/>
          </w:p>
        </w:tc>
        <w:tc>
          <w:tcPr>
            <w:tcW w:w="22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6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9" w:hRule="exact"/>
        </w:trPr>
        <w:tc>
          <w:tcPr>
            <w:tcW w:w="1271" w:type="dxa"/>
            <w:vMerge/>
            <w:tcBorders>
              <w:left w:val="single" w:sz="4" w:space="0" w:color="000000"/>
              <w:bottom w:val="single" w:sz="4" w:space="0" w:color="000000"/>
              <w:right w:val="single" w:sz="4" w:space="0" w:color="000000"/>
            </w:tcBorders>
            <w:shd w:val="clear" w:color="auto" w:fill="D3D3D3"/>
          </w:tcPr>
          <w:p>
            <w:pP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5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5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9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999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1"/>
              <w:jc w:val="center"/>
              <w:rPr>
                <w:rFonts w:ascii="宋体" w:hAnsi="宋体" w:cs="宋体" w:eastAsia="宋体" w:hint="default"/>
                <w:sz w:val="18"/>
                <w:szCs w:val="18"/>
              </w:rPr>
            </w:pPr>
            <w:r>
              <w:rPr>
                <w:rFonts w:ascii="宋体" w:hAnsi="宋体" w:cs="宋体" w:eastAsia="宋体" w:hint="default"/>
                <w:b/>
                <w:bCs/>
                <w:sz w:val="18"/>
                <w:szCs w:val="18"/>
              </w:rPr>
              <w:t>按组合计提坏账准备的应收账款</w:t>
            </w:r>
            <w:r>
              <w:rPr>
                <w:rFonts w:ascii="宋体" w:hAnsi="宋体" w:cs="宋体" w:eastAsia="宋体" w:hint="default"/>
                <w:sz w:val="18"/>
                <w:szCs w:val="18"/>
              </w:rPr>
            </w: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77,667,553.75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4,992,925.25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 w:right="0"/>
              <w:jc w:val="center"/>
              <w:rPr>
                <w:rFonts w:ascii="Times New Roman" w:hAnsi="Times New Roman" w:cs="Times New Roman" w:eastAsia="Times New Roman" w:hint="default"/>
                <w:sz w:val="18"/>
                <w:szCs w:val="18"/>
              </w:rPr>
            </w:pPr>
            <w:r>
              <w:rPr>
                <w:rFonts w:ascii="Times New Roman"/>
                <w:sz w:val="18"/>
              </w:rPr>
              <w:t>49,226,988.91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 w:right="0"/>
              <w:jc w:val="center"/>
              <w:rPr>
                <w:rFonts w:ascii="Times New Roman" w:hAnsi="Times New Roman" w:cs="Times New Roman" w:eastAsia="Times New Roman" w:hint="default"/>
                <w:sz w:val="18"/>
                <w:szCs w:val="18"/>
              </w:rPr>
            </w:pPr>
            <w:r>
              <w:rPr>
                <w:rFonts w:ascii="Times New Roman"/>
                <w:sz w:val="18"/>
              </w:rPr>
              <w:t>2,986,083.87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6.07%</w:t>
            </w:r>
          </w:p>
        </w:tc>
      </w:tr>
      <w:tr>
        <w:trPr>
          <w:trHeight w:val="479" w:hRule="exact"/>
        </w:trPr>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7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77,667,553.75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4,992,925.25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6.43%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8" w:right="0"/>
              <w:jc w:val="center"/>
              <w:rPr>
                <w:rFonts w:ascii="Times New Roman" w:hAnsi="Times New Roman" w:cs="Times New Roman" w:eastAsia="Times New Roman" w:hint="default"/>
                <w:sz w:val="18"/>
                <w:szCs w:val="18"/>
              </w:rPr>
            </w:pPr>
            <w:r>
              <w:rPr>
                <w:rFonts w:ascii="Times New Roman"/>
                <w:sz w:val="18"/>
              </w:rPr>
              <w:t>49,226,988.91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3" w:right="0"/>
              <w:jc w:val="center"/>
              <w:rPr>
                <w:rFonts w:ascii="Times New Roman" w:hAnsi="Times New Roman" w:cs="Times New Roman" w:eastAsia="Times New Roman" w:hint="default"/>
                <w:sz w:val="18"/>
                <w:szCs w:val="18"/>
              </w:rPr>
            </w:pPr>
            <w:r>
              <w:rPr>
                <w:rFonts w:ascii="Times New Roman"/>
                <w:sz w:val="18"/>
              </w:rPr>
              <w:t>2,986,083.87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6.07%</w:t>
            </w: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77,667,553.75</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4,992,925.25</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 w:right="0"/>
              <w:jc w:val="center"/>
              <w:rPr>
                <w:rFonts w:ascii="Times New Roman" w:hAnsi="Times New Roman" w:cs="Times New Roman" w:eastAsia="Times New Roman" w:hint="default"/>
                <w:sz w:val="18"/>
                <w:szCs w:val="18"/>
              </w:rPr>
            </w:pPr>
            <w:r>
              <w:rPr>
                <w:rFonts w:ascii="Times New Roman"/>
                <w:sz w:val="18"/>
              </w:rPr>
              <w:t>49,226,988.91</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3" w:right="0"/>
              <w:jc w:val="center"/>
              <w:rPr>
                <w:rFonts w:ascii="Times New Roman" w:hAnsi="Times New Roman" w:cs="Times New Roman" w:eastAsia="Times New Roman" w:hint="default"/>
                <w:sz w:val="18"/>
                <w:szCs w:val="18"/>
              </w:rPr>
            </w:pPr>
            <w:r>
              <w:rPr>
                <w:rFonts w:ascii="Times New Roman"/>
                <w:sz w:val="18"/>
              </w:rPr>
              <w:t>2,986,083.87</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953" w:right="4731"/>
        <w:jc w:val="left"/>
      </w:pPr>
      <w:r>
        <w:rPr/>
        <w:t>应收账款种类的说明 期末单项金额重大并单项计提坏账准备的应收账款</w:t>
      </w:r>
    </w:p>
    <w:p>
      <w:pPr>
        <w:pStyle w:val="BodyText"/>
        <w:spacing w:line="516" w:lineRule="auto" w:before="82"/>
        <w:ind w:left="954"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组合中，按账龄分析法计提坏账准备的应收账款</w:t>
      </w:r>
    </w:p>
    <w:p>
      <w:pPr>
        <w:pStyle w:val="BodyText"/>
        <w:spacing w:line="240" w:lineRule="auto" w:before="107"/>
        <w:ind w:left="954"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540" w:type="dxa"/>
        <w:tblLayout w:type="fixed"/>
        <w:tblCellMar>
          <w:top w:w="0" w:type="dxa"/>
          <w:left w:w="0" w:type="dxa"/>
          <w:bottom w:w="0" w:type="dxa"/>
          <w:right w:w="0" w:type="dxa"/>
        </w:tblCellMar>
        <w:tblLook w:val="01E0"/>
      </w:tblPr>
      <w:tblGrid>
        <w:gridCol w:w="1449"/>
        <w:gridCol w:w="1600"/>
        <w:gridCol w:w="929"/>
        <w:gridCol w:w="1727"/>
        <w:gridCol w:w="1461"/>
        <w:gridCol w:w="929"/>
        <w:gridCol w:w="1450"/>
      </w:tblGrid>
      <w:tr>
        <w:trPr>
          <w:trHeight w:val="479" w:hRule="exact"/>
        </w:trPr>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6"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8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43" w:hRule="exact"/>
        </w:trPr>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3"/>
              <w:ind w:right="3"/>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5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6"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34" w:hRule="exact"/>
        </w:trPr>
        <w:tc>
          <w:tcPr>
            <w:tcW w:w="1449" w:type="dxa"/>
            <w:vMerge/>
            <w:tcBorders>
              <w:left w:val="single" w:sz="4" w:space="0" w:color="000000"/>
              <w:bottom w:val="nil" w:sz="6" w:space="0" w:color="auto"/>
              <w:right w:val="single" w:sz="4" w:space="0" w:color="000000"/>
            </w:tcBorders>
            <w:shd w:val="clear" w:color="auto" w:fill="D3D3D3"/>
          </w:tcPr>
          <w:p>
            <w:pPr/>
          </w:p>
        </w:tc>
        <w:tc>
          <w:tcPr>
            <w:tcW w:w="2529" w:type="dxa"/>
            <w:gridSpan w:val="2"/>
            <w:vMerge/>
            <w:tcBorders>
              <w:left w:val="single" w:sz="4" w:space="0" w:color="000000"/>
              <w:bottom w:val="single" w:sz="4" w:space="0" w:color="000000"/>
              <w:right w:val="single" w:sz="4" w:space="0" w:color="000000"/>
            </w:tcBorders>
            <w:shd w:val="clear" w:color="auto" w:fill="D3D3D3"/>
          </w:tcPr>
          <w:p>
            <w:pPr/>
          </w:p>
        </w:tc>
        <w:tc>
          <w:tcPr>
            <w:tcW w:w="17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0" w:type="dxa"/>
            <w:gridSpan w:val="2"/>
            <w:vMerge/>
            <w:tcBorders>
              <w:left w:val="single" w:sz="4" w:space="0" w:color="000000"/>
              <w:bottom w:val="single" w:sz="4" w:space="0" w:color="000000"/>
              <w:right w:val="single" w:sz="4" w:space="0" w:color="000000"/>
            </w:tcBorders>
            <w:shd w:val="clear" w:color="auto" w:fill="D3D3D3"/>
          </w:tcPr>
          <w:p>
            <w:pPr/>
          </w:p>
        </w:tc>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3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34" w:hRule="exact"/>
        </w:trPr>
        <w:tc>
          <w:tcPr>
            <w:tcW w:w="1449" w:type="dxa"/>
            <w:vMerge w:val="restart"/>
            <w:tcBorders>
              <w:top w:val="nil" w:sz="6" w:space="0" w:color="auto"/>
              <w:left w:val="single" w:sz="4" w:space="0" w:color="000000"/>
              <w:right w:val="single" w:sz="4" w:space="0" w:color="000000"/>
            </w:tcBorders>
            <w:shd w:val="clear" w:color="auto" w:fill="D3D3D3"/>
          </w:tcPr>
          <w:p>
            <w:pPr/>
          </w:p>
        </w:tc>
        <w:tc>
          <w:tcPr>
            <w:tcW w:w="1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2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27"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2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50" w:type="dxa"/>
            <w:vMerge/>
            <w:tcBorders>
              <w:left w:val="single" w:sz="4" w:space="0" w:color="000000"/>
              <w:bottom w:val="nil" w:sz="6" w:space="0" w:color="auto"/>
              <w:right w:val="single" w:sz="4" w:space="0" w:color="000000"/>
            </w:tcBorders>
            <w:shd w:val="clear" w:color="auto" w:fill="D3D3D3"/>
          </w:tcPr>
          <w:p>
            <w:pPr/>
          </w:p>
        </w:tc>
      </w:tr>
      <w:tr>
        <w:trPr>
          <w:trHeight w:val="245" w:hRule="exact"/>
        </w:trPr>
        <w:tc>
          <w:tcPr>
            <w:tcW w:w="1449"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954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left="6"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left="9"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534"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65,143,516.58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
              <w:jc w:val="right"/>
              <w:rPr>
                <w:rFonts w:ascii="Times New Roman" w:hAnsi="Times New Roman" w:cs="Times New Roman" w:eastAsia="Times New Roman" w:hint="default"/>
                <w:sz w:val="18"/>
                <w:szCs w:val="18"/>
              </w:rPr>
            </w:pPr>
            <w:r>
              <w:rPr>
                <w:rFonts w:ascii="Times New Roman"/>
                <w:sz w:val="18"/>
              </w:rPr>
              <w:t>83.87%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3,258,368.58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44,700,516.51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2,235,025.83</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10,871,687.67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1,087,168.77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3,589,979.40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358,997.94</w:t>
            </w:r>
          </w:p>
        </w:tc>
      </w:tr>
      <w:tr>
        <w:trPr>
          <w:trHeight w:val="479"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981,889.50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196,377.90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514,638.00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z w:val="18"/>
              </w:rPr>
              <w:t>102,927.60</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438,900.00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219,450.00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265,445.00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132,722.50</w:t>
            </w:r>
          </w:p>
        </w:tc>
      </w:tr>
      <w:tr>
        <w:trPr>
          <w:trHeight w:val="478"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231,560.00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231,560.00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156,410.00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156,410.00</w:t>
            </w:r>
          </w:p>
        </w:tc>
      </w:tr>
      <w:tr>
        <w:trPr>
          <w:trHeight w:val="479"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77,667,553.75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4,992,925.25</w:t>
            </w:r>
          </w:p>
        </w:tc>
        <w:tc>
          <w:tcPr>
            <w:tcW w:w="146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129"/>
              <w:ind w:right="12"/>
              <w:jc w:val="right"/>
              <w:rPr>
                <w:rFonts w:ascii="Times New Roman" w:hAnsi="Times New Roman" w:cs="Times New Roman" w:eastAsia="Times New Roman" w:hint="default"/>
                <w:sz w:val="18"/>
                <w:szCs w:val="18"/>
              </w:rPr>
            </w:pPr>
            <w:r>
              <w:rPr>
                <w:rFonts w:ascii="Times New Roman"/>
                <w:spacing w:val="-1"/>
                <w:sz w:val="18"/>
              </w:rPr>
              <w:t>49,226,988.91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2,986,083.87</w:t>
            </w:r>
          </w:p>
        </w:tc>
      </w:tr>
    </w:tbl>
    <w:p>
      <w:pPr>
        <w:spacing w:line="240" w:lineRule="auto" w:before="1"/>
        <w:rPr>
          <w:rFonts w:ascii="宋体" w:hAnsi="宋体" w:cs="宋体" w:eastAsia="宋体" w:hint="default"/>
          <w:sz w:val="14"/>
          <w:szCs w:val="14"/>
        </w:rPr>
      </w:pPr>
    </w:p>
    <w:p>
      <w:pPr>
        <w:pStyle w:val="BodyText"/>
        <w:spacing w:line="240" w:lineRule="auto" w:before="35"/>
        <w:ind w:left="954" w:right="133"/>
        <w:jc w:val="left"/>
      </w:pPr>
      <w:r>
        <w:rPr/>
        <w:t>组合中，采用余额百分比法计提坏账准备的应收账款</w:t>
      </w:r>
    </w:p>
    <w:p>
      <w:pPr>
        <w:spacing w:line="240" w:lineRule="auto" w:before="9"/>
        <w:rPr>
          <w:rFonts w:ascii="宋体" w:hAnsi="宋体" w:cs="宋体" w:eastAsia="宋体" w:hint="default"/>
          <w:sz w:val="26"/>
          <w:szCs w:val="26"/>
        </w:rPr>
      </w:pPr>
    </w:p>
    <w:p>
      <w:pPr>
        <w:pStyle w:val="BodyText"/>
        <w:spacing w:line="240" w:lineRule="auto"/>
        <w:ind w:left="953"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footerReference w:type="default" r:id="rId39"/>
          <w:pgSz w:w="11910" w:h="16840"/>
          <w:pgMar w:footer="1252" w:header="997" w:top="1340" w:bottom="1440" w:left="600" w:right="980"/>
          <w:pgNumType w:start="120"/>
        </w:sectPr>
      </w:pPr>
    </w:p>
    <w:p>
      <w:pPr>
        <w:spacing w:line="240" w:lineRule="auto" w:before="4"/>
        <w:rPr>
          <w:rFonts w:ascii="宋体" w:hAnsi="宋体" w:cs="宋体" w:eastAsia="宋体" w:hint="default"/>
          <w:sz w:val="11"/>
          <w:szCs w:val="11"/>
        </w:rPr>
      </w:pPr>
    </w:p>
    <w:p>
      <w:pPr>
        <w:pStyle w:val="BodyText"/>
        <w:spacing w:line="240" w:lineRule="auto" w:before="35"/>
        <w:ind w:left="954" w:right="56"/>
        <w:jc w:val="left"/>
      </w:pPr>
      <w:r>
        <w:rPr/>
        <w:t>组合中，采用其他方法计提坏账准备的应收账款</w:t>
      </w:r>
    </w:p>
    <w:p>
      <w:pPr>
        <w:spacing w:line="240" w:lineRule="auto" w:before="9"/>
        <w:rPr>
          <w:rFonts w:ascii="宋体" w:hAnsi="宋体" w:cs="宋体" w:eastAsia="宋体" w:hint="default"/>
          <w:sz w:val="26"/>
          <w:szCs w:val="26"/>
        </w:rPr>
      </w:pPr>
    </w:p>
    <w:p>
      <w:pPr>
        <w:pStyle w:val="BodyText"/>
        <w:spacing w:line="516" w:lineRule="auto"/>
        <w:ind w:left="954" w:right="47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期末单项金额虽不重大但单项计提坏账准备的应收账款</w:t>
      </w:r>
    </w:p>
    <w:p>
      <w:pPr>
        <w:pStyle w:val="BodyText"/>
        <w:spacing w:line="240" w:lineRule="auto" w:before="107"/>
        <w:ind w:left="954" w:right="67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568" w:lineRule="auto"/>
        <w:ind w:left="954" w:right="627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）本报告期转回或收回的应收账款情况</w:t>
      </w:r>
      <w:r>
        <w:rPr>
          <w:spacing w:val="1"/>
          <w:w w:val="99"/>
        </w:rPr>
        <w:t> </w:t>
      </w:r>
      <w:r>
        <w:rPr>
          <w:rFonts w:ascii="宋体" w:hAnsi="宋体" w:cs="宋体" w:eastAsia="宋体" w:hint="default"/>
          <w:b w:val="0"/>
          <w:bCs w:val="0"/>
        </w:rPr>
        <w:t>无。</w:t>
      </w:r>
    </w:p>
    <w:p>
      <w:pPr>
        <w:pStyle w:val="Heading5"/>
        <w:spacing w:line="568" w:lineRule="auto" w:before="128"/>
        <w:ind w:left="954" w:right="648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）本报告期实际核销的应收账款情况</w:t>
      </w:r>
      <w:r>
        <w:rPr>
          <w:w w:val="99"/>
        </w:rPr>
        <w:t> </w:t>
      </w:r>
      <w:r>
        <w:rPr>
          <w:rFonts w:ascii="宋体" w:hAnsi="宋体" w:cs="宋体" w:eastAsia="宋体" w:hint="default"/>
          <w:b w:val="0"/>
          <w:bCs w:val="0"/>
        </w:rPr>
        <w:t>不适用。</w:t>
      </w:r>
    </w:p>
    <w:p>
      <w:pPr>
        <w:pStyle w:val="Heading5"/>
        <w:spacing w:line="568" w:lineRule="auto" w:before="128"/>
        <w:ind w:left="954" w:right="2589"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spacing w:val="1"/>
          <w:w w:val="99"/>
        </w:rPr>
        <w:t> </w:t>
      </w:r>
      <w:r>
        <w:rPr>
          <w:rFonts w:ascii="宋体" w:hAnsi="宋体" w:cs="宋体" w:eastAsia="宋体" w:hint="default"/>
          <w:b w:val="0"/>
          <w:bCs w:val="0"/>
        </w:rPr>
        <w:t>无。</w:t>
      </w:r>
    </w:p>
    <w:p>
      <w:pPr>
        <w:pStyle w:val="Heading5"/>
        <w:spacing w:line="240" w:lineRule="auto" w:before="128"/>
        <w:ind w:left="534" w:right="6341"/>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548"/>
        <w:jc w:val="right"/>
      </w:pPr>
      <w:r>
        <w:rPr/>
        <w:t>单位： 元</w:t>
      </w:r>
    </w:p>
    <w:p>
      <w:pPr>
        <w:spacing w:line="240" w:lineRule="auto" w:before="12"/>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3120"/>
        <w:gridCol w:w="1702"/>
        <w:gridCol w:w="1700"/>
        <w:gridCol w:w="1560"/>
        <w:gridCol w:w="2410"/>
      </w:tblGrid>
      <w:tr>
        <w:trPr>
          <w:trHeight w:val="478" w:hRule="exact"/>
        </w:trPr>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4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北京联合创奇科技有限公司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5,849,460.00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7.53%</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西安航天恒星科技实业（集团）公司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5,620,000.00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7.24%</w:t>
            </w:r>
          </w:p>
        </w:tc>
      </w:tr>
      <w:tr>
        <w:trPr>
          <w:trHeight w:val="47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西安空间无线电技术研究所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4,099,240.00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一到两年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5.28%</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北京昆仑凯利科技有限公司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3,974,400.00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5.12%</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解放军某部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3,688,800.00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4.75%</w:t>
            </w:r>
          </w:p>
        </w:tc>
      </w:tr>
      <w:tr>
        <w:trPr>
          <w:trHeight w:val="479" w:hRule="exact"/>
        </w:trPr>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23,231,900.00</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29.92%</w:t>
            </w:r>
          </w:p>
        </w:tc>
      </w:tr>
    </w:tbl>
    <w:p>
      <w:pPr>
        <w:spacing w:line="240" w:lineRule="auto" w:before="2"/>
        <w:rPr>
          <w:rFonts w:ascii="宋体" w:hAnsi="宋体" w:cs="宋体" w:eastAsia="宋体" w:hint="default"/>
          <w:sz w:val="19"/>
          <w:szCs w:val="19"/>
        </w:rPr>
      </w:pPr>
    </w:p>
    <w:p>
      <w:pPr>
        <w:pStyle w:val="Heading5"/>
        <w:spacing w:line="568" w:lineRule="auto" w:before="35"/>
        <w:ind w:left="954" w:right="7746"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）应收关联方账款情况</w:t>
      </w:r>
      <w:r>
        <w:rPr>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600" w:right="580"/>
        </w:sectPr>
      </w:pPr>
    </w:p>
    <w:p>
      <w:pPr>
        <w:pStyle w:val="Heading5"/>
        <w:spacing w:line="568" w:lineRule="auto" w:before="106"/>
        <w:ind w:left="574" w:right="6924"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）终止确认的应收款项情况</w:t>
      </w:r>
      <w:r>
        <w:rPr>
          <w:spacing w:val="1"/>
          <w:w w:val="99"/>
        </w:rPr>
        <w:t> </w:t>
      </w:r>
      <w:r>
        <w:rPr>
          <w:rFonts w:ascii="宋体" w:hAnsi="宋体" w:cs="宋体" w:eastAsia="宋体" w:hint="default"/>
          <w:b w:val="0"/>
          <w:bCs w:val="0"/>
        </w:rPr>
        <w:t>无。</w:t>
      </w:r>
    </w:p>
    <w:p>
      <w:pPr>
        <w:pStyle w:val="Heading5"/>
        <w:spacing w:line="568" w:lineRule="auto" w:before="128"/>
        <w:ind w:left="573" w:right="2498"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spacing w:val="1"/>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7</w:t>
      </w:r>
      <w:r>
        <w:rPr/>
        <w:t>、其他应收款</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412"/>
        <w:gridCol w:w="1548"/>
        <w:gridCol w:w="792"/>
        <w:gridCol w:w="1057"/>
        <w:gridCol w:w="794"/>
        <w:gridCol w:w="1058"/>
        <w:gridCol w:w="925"/>
        <w:gridCol w:w="1190"/>
        <w:gridCol w:w="791"/>
      </w:tblGrid>
      <w:tr>
        <w:trPr>
          <w:trHeight w:val="732" w:hRule="exact"/>
        </w:trPr>
        <w:tc>
          <w:tcPr>
            <w:tcW w:w="14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19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9" w:hRule="exact"/>
        </w:trPr>
        <w:tc>
          <w:tcPr>
            <w:tcW w:w="1412" w:type="dxa"/>
            <w:vMerge/>
            <w:tcBorders>
              <w:left w:val="single" w:sz="4" w:space="0" w:color="000000"/>
              <w:right w:val="single" w:sz="4" w:space="0" w:color="000000"/>
            </w:tcBorders>
            <w:shd w:val="clear" w:color="auto" w:fill="D3D3D3"/>
          </w:tcPr>
          <w:p>
            <w:pP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5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62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6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8" w:hRule="exact"/>
        </w:trPr>
        <w:tc>
          <w:tcPr>
            <w:tcW w:w="1412" w:type="dxa"/>
            <w:vMerge/>
            <w:tcBorders>
              <w:left w:val="single" w:sz="4" w:space="0" w:color="000000"/>
              <w:bottom w:val="single" w:sz="4" w:space="0" w:color="000000"/>
              <w:right w:val="single" w:sz="4" w:space="0" w:color="000000"/>
            </w:tcBorders>
            <w:shd w:val="clear" w:color="auto" w:fill="D3D3D3"/>
          </w:tcPr>
          <w:p>
            <w:pPr/>
          </w:p>
        </w:tc>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5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r>
      <w:tr>
        <w:trPr>
          <w:trHeight w:val="478"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按组合计提坏账准备的其他应收款</w:t>
            </w:r>
            <w:r>
              <w:rPr>
                <w:rFonts w:ascii="宋体" w:hAnsi="宋体" w:cs="宋体" w:eastAsia="宋体" w:hint="default"/>
                <w:sz w:val="18"/>
                <w:szCs w:val="18"/>
              </w:rPr>
            </w:r>
          </w:p>
        </w:tc>
      </w:tr>
      <w:tr>
        <w:trPr>
          <w:trHeight w:val="47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12,134,035.59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 w:right="0"/>
              <w:jc w:val="center"/>
              <w:rPr>
                <w:rFonts w:ascii="Times New Roman" w:hAnsi="Times New Roman" w:cs="Times New Roman" w:eastAsia="Times New Roman" w:hint="default"/>
                <w:sz w:val="18"/>
                <w:szCs w:val="18"/>
              </w:rPr>
            </w:pPr>
            <w:r>
              <w:rPr>
                <w:rFonts w:ascii="Times New Roman"/>
                <w:sz w:val="18"/>
              </w:rPr>
              <w:t>1,711,737.01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 w:right="0"/>
              <w:jc w:val="center"/>
              <w:rPr>
                <w:rFonts w:ascii="Times New Roman" w:hAnsi="Times New Roman" w:cs="Times New Roman" w:eastAsia="Times New Roman" w:hint="default"/>
                <w:sz w:val="18"/>
                <w:szCs w:val="18"/>
              </w:rPr>
            </w:pPr>
            <w:r>
              <w:rPr>
                <w:rFonts w:ascii="Times New Roman"/>
                <w:sz w:val="18"/>
              </w:rPr>
              <w:t>8,310,734.24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1,089,820.25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78"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12,134,035.59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 w:right="0"/>
              <w:jc w:val="center"/>
              <w:rPr>
                <w:rFonts w:ascii="Times New Roman" w:hAnsi="Times New Roman" w:cs="Times New Roman" w:eastAsia="Times New Roman" w:hint="default"/>
                <w:sz w:val="18"/>
                <w:szCs w:val="18"/>
              </w:rPr>
            </w:pPr>
            <w:r>
              <w:rPr>
                <w:rFonts w:ascii="Times New Roman"/>
                <w:sz w:val="18"/>
              </w:rPr>
              <w:t>1,711,737.01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 w:right="0"/>
              <w:jc w:val="center"/>
              <w:rPr>
                <w:rFonts w:ascii="Times New Roman" w:hAnsi="Times New Roman" w:cs="Times New Roman" w:eastAsia="Times New Roman" w:hint="default"/>
                <w:sz w:val="18"/>
                <w:szCs w:val="18"/>
              </w:rPr>
            </w:pPr>
            <w:r>
              <w:rPr>
                <w:rFonts w:ascii="Times New Roman"/>
                <w:sz w:val="18"/>
              </w:rPr>
              <w:t>8,310,734.24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1,089,820.25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79"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12,134,035.59</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52" w:right="0"/>
              <w:jc w:val="center"/>
              <w:rPr>
                <w:rFonts w:ascii="Times New Roman" w:hAnsi="Times New Roman" w:cs="Times New Roman" w:eastAsia="Times New Roman" w:hint="default"/>
                <w:sz w:val="18"/>
                <w:szCs w:val="18"/>
              </w:rPr>
            </w:pPr>
            <w:r>
              <w:rPr>
                <w:rFonts w:ascii="Times New Roman"/>
                <w:sz w:val="18"/>
              </w:rPr>
              <w:t>1,711,737.01</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46" w:right="0"/>
              <w:jc w:val="center"/>
              <w:rPr>
                <w:rFonts w:ascii="Times New Roman" w:hAnsi="Times New Roman" w:cs="Times New Roman" w:eastAsia="Times New Roman" w:hint="default"/>
                <w:sz w:val="18"/>
                <w:szCs w:val="18"/>
              </w:rPr>
            </w:pPr>
            <w:r>
              <w:rPr>
                <w:rFonts w:ascii="Times New Roman"/>
                <w:sz w:val="18"/>
              </w:rPr>
              <w:t>8,310,734.24</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1,089,820.25</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573" w:right="4521"/>
        <w:jc w:val="left"/>
      </w:pPr>
      <w:r>
        <w:rPr/>
        <w:t>其他应收款种类的说明 期末单项金额重大并单项计提坏账准备的其他应收款</w:t>
      </w:r>
    </w:p>
    <w:p>
      <w:pPr>
        <w:pStyle w:val="BodyText"/>
        <w:spacing w:line="516" w:lineRule="auto" w:before="82"/>
        <w:ind w:right="4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组合中，采用账龄分析法计提坏账准备的其他应收款</w:t>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847"/>
        <w:gridCol w:w="1555"/>
        <w:gridCol w:w="944"/>
        <w:gridCol w:w="1447"/>
        <w:gridCol w:w="1450"/>
        <w:gridCol w:w="979"/>
        <w:gridCol w:w="1345"/>
      </w:tblGrid>
      <w:tr>
        <w:trPr>
          <w:trHeight w:val="478"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9"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3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5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824"/>
        <w:gridCol w:w="1567"/>
        <w:gridCol w:w="944"/>
        <w:gridCol w:w="1447"/>
        <w:gridCol w:w="1450"/>
        <w:gridCol w:w="979"/>
        <w:gridCol w:w="1345"/>
      </w:tblGrid>
      <w:tr>
        <w:trPr>
          <w:trHeight w:val="478"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r>
      <w:tr>
        <w:trPr>
          <w:trHeight w:val="479"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78"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6,737,164.05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55.52%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336,862.26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4,172,958.50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50.21%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208,647.92</w:t>
            </w:r>
          </w:p>
        </w:tc>
      </w:tr>
      <w:tr>
        <w:trPr>
          <w:trHeight w:val="478"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2,884,089.24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23.77%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288,408.92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1,491,532.62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17.95%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149,153.26</w:t>
            </w:r>
          </w:p>
        </w:tc>
      </w:tr>
      <w:tr>
        <w:trPr>
          <w:trHeight w:val="479"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895,702.13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7.38%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179,140.43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2,143,626.02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25.79%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428,725.20</w:t>
            </w:r>
          </w:p>
        </w:tc>
      </w:tr>
      <w:tr>
        <w:trPr>
          <w:trHeight w:val="478"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1,419,509.54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2"/>
                <w:sz w:val="18"/>
              </w:rPr>
              <w:t>11.7%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709,754.77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398,646.47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199,323.24</w:t>
            </w:r>
          </w:p>
        </w:tc>
      </w:tr>
      <w:tr>
        <w:trPr>
          <w:trHeight w:val="478"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197,570.63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197,570.63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103,970.63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103,970.63</w:t>
            </w:r>
          </w:p>
        </w:tc>
      </w:tr>
      <w:tr>
        <w:trPr>
          <w:trHeight w:val="479"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pacing w:val="-1"/>
                <w:sz w:val="18"/>
              </w:rPr>
              <w:t>12,134,035.59</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1,711,737.01</w:t>
            </w:r>
          </w:p>
        </w:tc>
        <w:tc>
          <w:tcPr>
            <w:tcW w:w="145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8,310,734.24</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1,089,820.25</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组合中，采用余额百分比法计提坏账准备的其他应收款</w:t>
      </w:r>
    </w:p>
    <w:p>
      <w:pPr>
        <w:spacing w:line="240" w:lineRule="auto" w:before="9"/>
        <w:rPr>
          <w:rFonts w:ascii="宋体" w:hAnsi="宋体" w:cs="宋体" w:eastAsia="宋体" w:hint="default"/>
          <w:sz w:val="26"/>
          <w:szCs w:val="26"/>
        </w:rPr>
      </w:pPr>
    </w:p>
    <w:p>
      <w:pPr>
        <w:pStyle w:val="BodyText"/>
        <w:spacing w:line="516" w:lineRule="auto"/>
        <w:ind w:right="47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516" w:lineRule="auto" w:before="107"/>
        <w:ind w:right="410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期末单项金额虽不重大但单项计提坏账准备的其他应收款</w:t>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568" w:lineRule="auto"/>
        <w:ind w:left="574" w:right="5660" w:hanging="42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）本报告期转回或收回的其他应收款情况</w:t>
      </w:r>
      <w:r>
        <w:rPr>
          <w:spacing w:val="1"/>
          <w:w w:val="99"/>
        </w:rPr>
        <w:t> </w:t>
      </w:r>
      <w:r>
        <w:rPr>
          <w:rFonts w:ascii="宋体" w:hAnsi="宋体" w:cs="宋体" w:eastAsia="宋体" w:hint="default"/>
          <w:b w:val="0"/>
          <w:bCs w:val="0"/>
        </w:rPr>
        <w:t>无。</w:t>
      </w:r>
    </w:p>
    <w:p>
      <w:pPr>
        <w:pStyle w:val="Heading5"/>
        <w:spacing w:line="568" w:lineRule="auto" w:before="128"/>
        <w:ind w:left="57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）本报告期实际核销的其他应收款情况</w:t>
      </w:r>
      <w:r>
        <w:rPr>
          <w:spacing w:val="1"/>
          <w:w w:val="99"/>
        </w:rPr>
        <w:t> </w:t>
      </w:r>
      <w:r>
        <w:rPr>
          <w:rFonts w:ascii="宋体" w:hAnsi="宋体" w:cs="宋体" w:eastAsia="宋体" w:hint="default"/>
          <w:b w:val="0"/>
          <w:bCs w:val="0"/>
        </w:rPr>
        <w:t>无。</w:t>
      </w:r>
    </w:p>
    <w:p>
      <w:pPr>
        <w:pStyle w:val="Heading5"/>
        <w:spacing w:line="568" w:lineRule="auto" w:before="128"/>
        <w:ind w:left="574" w:right="1980"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）本报告期其他应收款中持有公司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无。</w:t>
      </w:r>
    </w:p>
    <w:p>
      <w:pPr>
        <w:pStyle w:val="Heading5"/>
        <w:spacing w:line="568" w:lineRule="auto" w:before="128"/>
        <w:ind w:left="57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）金额较大的其他应收款的性质或内容</w:t>
      </w:r>
      <w:r>
        <w:rPr>
          <w:spacing w:val="1"/>
          <w:w w:val="99"/>
        </w:rPr>
        <w:t> </w:t>
      </w:r>
      <w:r>
        <w:rPr>
          <w:rFonts w:ascii="宋体" w:hAnsi="宋体" w:cs="宋体" w:eastAsia="宋体" w:hint="default"/>
          <w:b w:val="0"/>
          <w:bCs w:val="0"/>
        </w:rPr>
        <w:t>不适用。</w:t>
      </w:r>
    </w:p>
    <w:p>
      <w:pPr>
        <w:spacing w:after="0" w:line="568" w:lineRule="auto"/>
        <w:jc w:val="left"/>
        <w:rPr>
          <w:rFonts w:ascii="宋体" w:hAnsi="宋体" w:cs="宋体" w:eastAsia="宋体" w:hint="default"/>
        </w:rPr>
        <w:sectPr>
          <w:pgSz w:w="11910" w:h="16840"/>
          <w:pgMar w:header="997" w:footer="1252" w:top="1340" w:bottom="1440" w:left="980" w:right="980"/>
        </w:sectPr>
      </w:pPr>
    </w:p>
    <w:p>
      <w:pPr>
        <w:pStyle w:val="Heading5"/>
        <w:spacing w:line="240" w:lineRule="auto" w:before="106"/>
        <w:ind w:left="534" w:right="13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694"/>
        <w:gridCol w:w="1843"/>
        <w:gridCol w:w="1631"/>
        <w:gridCol w:w="1914"/>
        <w:gridCol w:w="1914"/>
      </w:tblGrid>
      <w:tr>
        <w:trPr>
          <w:trHeight w:val="728"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711" w:right="48" w:hanging="66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占其他应收款总额的比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解放军某部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5,643,764.86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46.51%</w:t>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北京百旺天赋科技有限公司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5.52%</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北京骏马百特投资管理有限公司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451,724.00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3.72%</w:t>
            </w:r>
          </w:p>
        </w:tc>
      </w:tr>
      <w:tr>
        <w:trPr>
          <w:trHeight w:val="72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139"/>
              <w:jc w:val="left"/>
              <w:rPr>
                <w:rFonts w:ascii="宋体" w:hAnsi="宋体" w:cs="宋体" w:eastAsia="宋体" w:hint="default"/>
                <w:sz w:val="18"/>
                <w:szCs w:val="18"/>
              </w:rPr>
            </w:pPr>
            <w:r>
              <w:rPr>
                <w:rFonts w:ascii="宋体" w:hAnsi="宋体" w:cs="宋体" w:eastAsia="宋体" w:hint="default"/>
                <w:sz w:val="18"/>
                <w:szCs w:val="18"/>
              </w:rPr>
              <w:t>中国联合网络通信有限公司杭州 市分公司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362,185.64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付立家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207,276.31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1.71%</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7,334,950.81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60.44%</w:t>
            </w:r>
          </w:p>
        </w:tc>
      </w:tr>
    </w:tbl>
    <w:p>
      <w:pPr>
        <w:spacing w:line="240" w:lineRule="auto" w:before="2"/>
        <w:rPr>
          <w:rFonts w:ascii="宋体" w:hAnsi="宋体" w:cs="宋体" w:eastAsia="宋体" w:hint="default"/>
          <w:sz w:val="19"/>
          <w:szCs w:val="19"/>
        </w:rPr>
      </w:pPr>
    </w:p>
    <w:p>
      <w:pPr>
        <w:pStyle w:val="Heading5"/>
        <w:spacing w:line="568" w:lineRule="auto" w:before="35"/>
        <w:ind w:left="953" w:right="6925"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）其他应收关联方账款情况</w:t>
      </w:r>
      <w:r>
        <w:rPr>
          <w:spacing w:val="1"/>
          <w:w w:val="99"/>
        </w:rPr>
        <w:t> </w:t>
      </w:r>
      <w:r>
        <w:rPr>
          <w:rFonts w:ascii="宋体" w:hAnsi="宋体" w:cs="宋体" w:eastAsia="宋体" w:hint="default"/>
          <w:b w:val="0"/>
          <w:bCs w:val="0"/>
        </w:rPr>
        <w:t>无。</w:t>
      </w:r>
    </w:p>
    <w:p>
      <w:pPr>
        <w:pStyle w:val="Heading5"/>
        <w:spacing w:line="568" w:lineRule="auto" w:before="128"/>
        <w:ind w:left="954" w:right="6503"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）终止确认的其他应收款项情况</w:t>
      </w:r>
      <w:r>
        <w:rPr>
          <w:w w:val="99"/>
        </w:rPr>
        <w:t> </w:t>
      </w:r>
      <w:r>
        <w:rPr>
          <w:rFonts w:ascii="宋体" w:hAnsi="宋体" w:cs="宋体" w:eastAsia="宋体" w:hint="default"/>
          <w:b w:val="0"/>
          <w:bCs w:val="0"/>
        </w:rPr>
        <w:t>无。</w:t>
      </w:r>
    </w:p>
    <w:p>
      <w:pPr>
        <w:pStyle w:val="Heading5"/>
        <w:spacing w:line="568" w:lineRule="auto" w:before="128"/>
        <w:ind w:left="953" w:right="2287" w:hanging="420"/>
        <w:jc w:val="left"/>
        <w:rPr>
          <w:rFonts w:ascii="宋体" w:hAnsi="宋体" w:cs="宋体" w:eastAsia="宋体" w:hint="default"/>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w w:val="99"/>
        </w:rPr>
        <w:t> </w:t>
      </w:r>
      <w:r>
        <w:rPr>
          <w:rFonts w:ascii="宋体" w:hAnsi="宋体" w:cs="宋体" w:eastAsia="宋体" w:hint="default"/>
          <w:b w:val="0"/>
          <w:bCs w:val="0"/>
        </w:rPr>
        <w:t>不适用。</w:t>
      </w:r>
    </w:p>
    <w:p>
      <w:pPr>
        <w:pStyle w:val="Heading3"/>
        <w:spacing w:line="240" w:lineRule="auto" w:before="38"/>
        <w:ind w:left="534" w:right="133"/>
        <w:jc w:val="left"/>
      </w:pPr>
      <w:r>
        <w:rPr>
          <w:rFonts w:ascii="Cambria" w:hAnsi="Cambria" w:cs="Cambria" w:eastAsia="Cambria" w:hint="default"/>
        </w:rPr>
        <w:t>8</w:t>
      </w:r>
      <w:r>
        <w:rPr/>
        <w:t>、预付款项</w:t>
      </w:r>
    </w:p>
    <w:p>
      <w:pPr>
        <w:spacing w:line="240" w:lineRule="auto" w:before="1"/>
        <w:rPr>
          <w:rFonts w:ascii="黑体" w:hAnsi="黑体" w:cs="黑体" w:eastAsia="黑体" w:hint="default"/>
          <w:sz w:val="29"/>
          <w:szCs w:val="29"/>
        </w:rPr>
      </w:pPr>
    </w:p>
    <w:p>
      <w:pPr>
        <w:pStyle w:val="Heading5"/>
        <w:spacing w:line="240" w:lineRule="auto"/>
        <w:ind w:left="534" w:right="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54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45"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32"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236"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3"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3,390,021.03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33.1%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1,749,389.03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21.62%</w:t>
            </w:r>
          </w:p>
        </w:tc>
      </w:tr>
      <w:tr>
        <w:trPr>
          <w:trHeight w:val="478"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604,114.10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6,277,972.74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77.58%</w:t>
            </w:r>
          </w:p>
        </w:tc>
      </w:tr>
      <w:tr>
        <w:trPr>
          <w:trHeight w:val="479"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6,181,645.02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60.36%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0.8%</w:t>
            </w:r>
          </w:p>
        </w:tc>
      </w:tr>
      <w:tr>
        <w:trPr>
          <w:trHeight w:val="478"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0.64%</w:t>
            </w:r>
          </w:p>
        </w:tc>
        <w:tc>
          <w:tcPr>
            <w:tcW w:w="305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600" w:right="980"/>
        </w:sectPr>
      </w:pPr>
    </w:p>
    <w:p>
      <w:pPr>
        <w:spacing w:line="240" w:lineRule="auto" w:before="2"/>
        <w:rPr>
          <w:rFonts w:ascii="宋体" w:hAnsi="宋体" w:cs="宋体" w:eastAsia="宋体" w:hint="default"/>
          <w:sz w:val="9"/>
          <w:szCs w:val="9"/>
        </w:rPr>
      </w:pPr>
    </w:p>
    <w:tbl>
      <w:tblPr>
        <w:tblW w:w="0" w:type="auto"/>
        <w:jc w:val="left"/>
        <w:tblInd w:w="669" w:type="dxa"/>
        <w:tblLayout w:type="fixed"/>
        <w:tblCellMar>
          <w:top w:w="0" w:type="dxa"/>
          <w:left w:w="0" w:type="dxa"/>
          <w:bottom w:w="0" w:type="dxa"/>
          <w:right w:w="0" w:type="dxa"/>
        </w:tblCellMar>
        <w:tblLook w:val="01E0"/>
      </w:tblPr>
      <w:tblGrid>
        <w:gridCol w:w="1202"/>
        <w:gridCol w:w="3187"/>
        <w:gridCol w:w="1051"/>
        <w:gridCol w:w="3066"/>
        <w:gridCol w:w="1061"/>
      </w:tblGrid>
      <w:tr>
        <w:trPr>
          <w:trHeight w:val="479"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10,240,780.15</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30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8,092,361.77</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094" w:right="1980"/>
        <w:jc w:val="left"/>
      </w:pPr>
      <w:r>
        <w:rPr/>
        <w:t>预付款项账龄的说明</w:t>
      </w:r>
    </w:p>
    <w:p>
      <w:pPr>
        <w:spacing w:line="240" w:lineRule="auto" w:before="9"/>
        <w:rPr>
          <w:rFonts w:ascii="宋体" w:hAnsi="宋体" w:cs="宋体" w:eastAsia="宋体" w:hint="default"/>
          <w:sz w:val="26"/>
          <w:szCs w:val="26"/>
        </w:rPr>
      </w:pPr>
    </w:p>
    <w:p>
      <w:pPr>
        <w:pStyle w:val="BodyText"/>
        <w:spacing w:line="240" w:lineRule="auto"/>
        <w:ind w:left="1093" w:right="1980"/>
        <w:jc w:val="left"/>
      </w:pPr>
      <w:r>
        <w:rPr/>
        <w:t>公司预付账款账龄分为</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2-3</w:t>
      </w:r>
      <w:r>
        <w:rPr/>
        <w:t>年，</w:t>
      </w:r>
      <w:r>
        <w:rPr>
          <w:rFonts w:ascii="Times New Roman" w:hAnsi="Times New Roman" w:cs="Times New Roman" w:eastAsia="Times New Roman" w:hint="default"/>
        </w:rPr>
        <w:t>3</w:t>
      </w:r>
      <w:r>
        <w:rPr/>
        <w:t>年以上。</w:t>
      </w:r>
    </w:p>
    <w:p>
      <w:pPr>
        <w:spacing w:line="240" w:lineRule="auto" w:before="8"/>
        <w:rPr>
          <w:rFonts w:ascii="宋体" w:hAnsi="宋体" w:cs="宋体" w:eastAsia="宋体" w:hint="default"/>
          <w:sz w:val="30"/>
          <w:szCs w:val="30"/>
        </w:rPr>
      </w:pPr>
    </w:p>
    <w:p>
      <w:pPr>
        <w:pStyle w:val="Heading5"/>
        <w:spacing w:line="240" w:lineRule="auto"/>
        <w:ind w:left="673" w:right="198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120"/>
        <w:gridCol w:w="1276"/>
        <w:gridCol w:w="1914"/>
        <w:gridCol w:w="1914"/>
        <w:gridCol w:w="1914"/>
      </w:tblGrid>
      <w:tr>
        <w:trPr>
          <w:trHeight w:val="478" w:hRule="exact"/>
        </w:trPr>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7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北京中关村永丰产业基地发展有限公司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5,947,200.00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未交房</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北京富邦科华投资顾问有限公司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375,576.50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预付房租</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北京中科泛华测控技术有限公司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137,294.40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材料未到</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上海浩略实业有限公司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135,900.00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材料未到</w:t>
            </w:r>
          </w:p>
        </w:tc>
      </w:tr>
      <w:tr>
        <w:trPr>
          <w:trHeight w:val="47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北京金敏发电子元器件销售中心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126,373.33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材料未到</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6,722,344.23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094" w:right="1980"/>
        <w:jc w:val="left"/>
      </w:pPr>
      <w:r>
        <w:rPr/>
        <w:t>预付款项主要单位的说明</w:t>
      </w:r>
    </w:p>
    <w:p>
      <w:pPr>
        <w:spacing w:line="240" w:lineRule="auto" w:before="0"/>
        <w:rPr>
          <w:rFonts w:ascii="宋体" w:hAnsi="宋体" w:cs="宋体" w:eastAsia="宋体" w:hint="default"/>
          <w:sz w:val="20"/>
          <w:szCs w:val="20"/>
        </w:rPr>
      </w:pPr>
    </w:p>
    <w:p>
      <w:pPr>
        <w:pStyle w:val="Heading5"/>
        <w:spacing w:line="571" w:lineRule="auto" w:before="154"/>
        <w:ind w:left="1094" w:right="1980" w:hanging="42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）本报告期预付款项中持有本公司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无。</w:t>
      </w:r>
    </w:p>
    <w:p>
      <w:pPr>
        <w:pStyle w:val="Heading5"/>
        <w:spacing w:line="568" w:lineRule="auto" w:before="126"/>
        <w:ind w:left="1094" w:right="7769"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）预付款项的说明</w:t>
      </w:r>
      <w:r>
        <w:rPr>
          <w:spacing w:val="1"/>
          <w:w w:val="99"/>
        </w:rPr>
        <w:t> </w:t>
      </w:r>
      <w:r>
        <w:rPr>
          <w:rFonts w:ascii="宋体" w:hAnsi="宋体" w:cs="宋体" w:eastAsia="宋体" w:hint="default"/>
          <w:b w:val="0"/>
          <w:bCs w:val="0"/>
        </w:rPr>
        <w:t>无。</w:t>
      </w:r>
    </w:p>
    <w:p>
      <w:pPr>
        <w:pStyle w:val="Heading3"/>
        <w:spacing w:line="240" w:lineRule="auto" w:before="38"/>
        <w:ind w:left="674" w:right="1980"/>
        <w:jc w:val="left"/>
      </w:pPr>
      <w:r>
        <w:rPr>
          <w:rFonts w:ascii="Cambria" w:hAnsi="Cambria" w:cs="Cambria" w:eastAsia="Cambria" w:hint="default"/>
        </w:rPr>
        <w:t>9</w:t>
      </w:r>
      <w:r>
        <w:rPr/>
        <w:t>、存货</w:t>
      </w:r>
    </w:p>
    <w:p>
      <w:pPr>
        <w:spacing w:line="240" w:lineRule="auto" w:before="1"/>
        <w:rPr>
          <w:rFonts w:ascii="黑体" w:hAnsi="黑体" w:cs="黑体" w:eastAsia="黑体" w:hint="default"/>
          <w:sz w:val="29"/>
          <w:szCs w:val="29"/>
        </w:rPr>
      </w:pPr>
    </w:p>
    <w:p>
      <w:pPr>
        <w:pStyle w:val="Heading5"/>
        <w:spacing w:line="240" w:lineRule="auto"/>
        <w:ind w:left="674" w:right="198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680" w:type="dxa"/>
        <w:tblLayout w:type="fixed"/>
        <w:tblCellMar>
          <w:top w:w="0" w:type="dxa"/>
          <w:left w:w="0" w:type="dxa"/>
          <w:bottom w:w="0" w:type="dxa"/>
          <w:right w:w="0" w:type="dxa"/>
        </w:tblCellMar>
        <w:tblLook w:val="01E0"/>
      </w:tblPr>
      <w:tblGrid>
        <w:gridCol w:w="1586"/>
        <w:gridCol w:w="1461"/>
        <w:gridCol w:w="1194"/>
        <w:gridCol w:w="1329"/>
        <w:gridCol w:w="1328"/>
        <w:gridCol w:w="1330"/>
        <w:gridCol w:w="1316"/>
      </w:tblGrid>
      <w:tr>
        <w:trPr>
          <w:trHeight w:val="244"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9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34"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84" w:type="dxa"/>
            <w:gridSpan w:val="3"/>
            <w:vMerge/>
            <w:tcBorders>
              <w:left w:val="single" w:sz="4" w:space="0" w:color="000000"/>
              <w:bottom w:val="single" w:sz="4" w:space="0" w:color="000000"/>
              <w:right w:val="single" w:sz="4" w:space="0" w:color="000000"/>
            </w:tcBorders>
            <w:shd w:val="clear" w:color="auto" w:fill="D3D3D3"/>
          </w:tcPr>
          <w:p>
            <w:pPr/>
          </w:p>
        </w:tc>
        <w:tc>
          <w:tcPr>
            <w:tcW w:w="3974" w:type="dxa"/>
            <w:gridSpan w:val="3"/>
            <w:vMerge/>
            <w:tcBorders>
              <w:left w:val="single" w:sz="4" w:space="0" w:color="000000"/>
              <w:bottom w:val="single" w:sz="4" w:space="0" w:color="000000"/>
              <w:right w:val="single" w:sz="4" w:space="0" w:color="000000"/>
            </w:tcBorders>
            <w:shd w:val="clear" w:color="auto" w:fill="D3D3D3"/>
          </w:tcPr>
          <w:p>
            <w:pPr/>
          </w:p>
        </w:tc>
      </w:tr>
      <w:tr>
        <w:trPr>
          <w:trHeight w:val="234"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36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3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9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9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44"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29"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79"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left="382" w:right="0"/>
              <w:jc w:val="left"/>
              <w:rPr>
                <w:rFonts w:ascii="Times New Roman" w:hAnsi="Times New Roman" w:cs="Times New Roman" w:eastAsia="Times New Roman" w:hint="default"/>
                <w:sz w:val="18"/>
                <w:szCs w:val="18"/>
              </w:rPr>
            </w:pPr>
            <w:r>
              <w:rPr>
                <w:rFonts w:ascii="Times New Roman"/>
                <w:sz w:val="18"/>
              </w:rPr>
              <w:t>18,304,004.70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6" w:right="0"/>
              <w:jc w:val="left"/>
              <w:rPr>
                <w:rFonts w:ascii="Times New Roman" w:hAnsi="Times New Roman" w:cs="Times New Roman" w:eastAsia="Times New Roman" w:hint="default"/>
                <w:sz w:val="18"/>
                <w:szCs w:val="18"/>
              </w:rPr>
            </w:pPr>
            <w:r>
              <w:rPr>
                <w:rFonts w:ascii="Times New Roman"/>
                <w:sz w:val="18"/>
              </w:rPr>
              <w:t>1,365,372.05</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1" w:right="0"/>
              <w:jc w:val="left"/>
              <w:rPr>
                <w:rFonts w:ascii="Times New Roman" w:hAnsi="Times New Roman" w:cs="Times New Roman" w:eastAsia="Times New Roman" w:hint="default"/>
                <w:sz w:val="18"/>
                <w:szCs w:val="18"/>
              </w:rPr>
            </w:pPr>
            <w:r>
              <w:rPr>
                <w:rFonts w:ascii="Times New Roman"/>
                <w:sz w:val="18"/>
              </w:rPr>
              <w:t>16,938,632.65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1" w:right="0"/>
              <w:jc w:val="left"/>
              <w:rPr>
                <w:rFonts w:ascii="Times New Roman" w:hAnsi="Times New Roman" w:cs="Times New Roman" w:eastAsia="Times New Roman" w:hint="default"/>
                <w:sz w:val="18"/>
                <w:szCs w:val="18"/>
              </w:rPr>
            </w:pPr>
            <w:r>
              <w:rPr>
                <w:rFonts w:ascii="Times New Roman"/>
                <w:sz w:val="18"/>
              </w:rPr>
              <w:t>18,863,252.60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2" w:right="0"/>
              <w:jc w:val="left"/>
              <w:rPr>
                <w:rFonts w:ascii="Times New Roman" w:hAnsi="Times New Roman" w:cs="Times New Roman" w:eastAsia="Times New Roman" w:hint="default"/>
                <w:sz w:val="18"/>
                <w:szCs w:val="18"/>
              </w:rPr>
            </w:pPr>
            <w:r>
              <w:rPr>
                <w:rFonts w:ascii="Times New Roman"/>
                <w:sz w:val="18"/>
              </w:rPr>
              <w:t>1,174,163.75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0" w:right="0"/>
              <w:jc w:val="left"/>
              <w:rPr>
                <w:rFonts w:ascii="Times New Roman" w:hAnsi="Times New Roman" w:cs="Times New Roman" w:eastAsia="Times New Roman" w:hint="default"/>
                <w:sz w:val="18"/>
                <w:szCs w:val="18"/>
              </w:rPr>
            </w:pPr>
            <w:r>
              <w:rPr>
                <w:rFonts w:ascii="Times New Roman"/>
                <w:sz w:val="18"/>
              </w:rPr>
              <w:t>17,689,088.85</w:t>
            </w:r>
          </w:p>
        </w:tc>
      </w:tr>
    </w:tbl>
    <w:p>
      <w:pPr>
        <w:spacing w:after="0" w:line="240" w:lineRule="auto"/>
        <w:jc w:val="left"/>
        <w:rPr>
          <w:rFonts w:ascii="Times New Roman" w:hAnsi="Times New Roman" w:cs="Times New Roman" w:eastAsia="Times New Roman" w:hint="default"/>
          <w:sz w:val="18"/>
          <w:szCs w:val="18"/>
        </w:rPr>
        <w:sectPr>
          <w:pgSz w:w="11910" w:h="16840"/>
          <w:pgMar w:header="997" w:footer="1252" w:top="1340" w:bottom="1440" w:left="460" w:right="980"/>
        </w:sectPr>
      </w:pPr>
    </w:p>
    <w:p>
      <w:pPr>
        <w:spacing w:line="240" w:lineRule="auto" w:before="2"/>
        <w:rPr>
          <w:rFonts w:ascii="宋体" w:hAnsi="宋体" w:cs="宋体" w:eastAsia="宋体" w:hint="default"/>
          <w:sz w:val="9"/>
          <w:szCs w:val="9"/>
        </w:rPr>
      </w:pPr>
    </w:p>
    <w:tbl>
      <w:tblPr>
        <w:tblW w:w="0" w:type="auto"/>
        <w:jc w:val="left"/>
        <w:tblInd w:w="52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7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20,762,514.19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1,394,425.00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19,368,089.19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21,961,368.34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1,006,334.42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20,955,033.92</w:t>
            </w:r>
          </w:p>
        </w:tc>
      </w:tr>
      <w:tr>
        <w:trPr>
          <w:trHeight w:val="479"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3,400,626.20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3,400,626.20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4,500,867.72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4,500,867.72</w:t>
            </w:r>
          </w:p>
        </w:tc>
      </w:tr>
      <w:tr>
        <w:trPr>
          <w:trHeight w:val="47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42,467,145.09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2,759,797.05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39,707,348.04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45,325,488.66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2,180,498.17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43,144,990.49</w:t>
            </w:r>
          </w:p>
        </w:tc>
      </w:tr>
    </w:tbl>
    <w:p>
      <w:pPr>
        <w:spacing w:line="240" w:lineRule="auto" w:before="2"/>
        <w:rPr>
          <w:rFonts w:ascii="宋体" w:hAnsi="宋体" w:cs="宋体" w:eastAsia="宋体" w:hint="default"/>
          <w:sz w:val="19"/>
          <w:szCs w:val="19"/>
        </w:rPr>
      </w:pPr>
    </w:p>
    <w:p>
      <w:pPr>
        <w:pStyle w:val="Heading5"/>
        <w:spacing w:line="240" w:lineRule="auto" w:before="35"/>
        <w:ind w:left="534" w:right="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540" w:type="dxa"/>
        <w:tblLayout w:type="fixed"/>
        <w:tblCellMar>
          <w:top w:w="0" w:type="dxa"/>
          <w:left w:w="0" w:type="dxa"/>
          <w:bottom w:w="0" w:type="dxa"/>
          <w:right w:w="0" w:type="dxa"/>
        </w:tblCellMar>
        <w:tblLook w:val="01E0"/>
      </w:tblPr>
      <w:tblGrid>
        <w:gridCol w:w="1726"/>
        <w:gridCol w:w="1615"/>
        <w:gridCol w:w="1615"/>
        <w:gridCol w:w="1414"/>
        <w:gridCol w:w="1430"/>
        <w:gridCol w:w="1756"/>
      </w:tblGrid>
      <w:tr>
        <w:trPr>
          <w:trHeight w:val="243"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34"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491"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261"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350" w:right="0"/>
              <w:jc w:val="left"/>
              <w:rPr>
                <w:rFonts w:ascii="宋体" w:hAnsi="宋体" w:cs="宋体" w:eastAsia="宋体" w:hint="default"/>
                <w:sz w:val="18"/>
                <w:szCs w:val="18"/>
              </w:rPr>
            </w:pPr>
            <w:r>
              <w:rPr>
                <w:rFonts w:ascii="宋体" w:hAnsi="宋体" w:cs="宋体" w:eastAsia="宋体" w:hint="default"/>
                <w:b/>
                <w:bCs/>
                <w:sz w:val="18"/>
                <w:szCs w:val="18"/>
              </w:rPr>
              <w:t>本期计提额</w:t>
            </w:r>
            <w:r>
              <w:rPr>
                <w:rFonts w:ascii="宋体" w:hAnsi="宋体" w:cs="宋体" w:eastAsia="宋体" w:hint="default"/>
                <w:sz w:val="18"/>
                <w:szCs w:val="18"/>
              </w:rPr>
            </w:r>
          </w:p>
        </w:tc>
        <w:tc>
          <w:tcPr>
            <w:tcW w:w="2844" w:type="dxa"/>
            <w:gridSpan w:val="2"/>
            <w:vMerge/>
            <w:tcBorders>
              <w:left w:val="single" w:sz="4" w:space="0" w:color="000000"/>
              <w:bottom w:val="single" w:sz="4" w:space="0" w:color="000000"/>
              <w:right w:val="single" w:sz="4" w:space="0" w:color="000000"/>
            </w:tcBorders>
            <w:shd w:val="clear" w:color="auto" w:fill="D3D3D3"/>
          </w:tcPr>
          <w:p>
            <w:pPr/>
          </w:p>
        </w:tc>
        <w:tc>
          <w:tcPr>
            <w:tcW w:w="1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9"/>
              <w:ind w:left="331"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234"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756" w:type="dxa"/>
            <w:vMerge/>
            <w:tcBorders>
              <w:left w:val="single" w:sz="4" w:space="0" w:color="000000"/>
              <w:bottom w:val="nil" w:sz="6" w:space="0" w:color="auto"/>
              <w:right w:val="single" w:sz="4" w:space="0" w:color="000000"/>
            </w:tcBorders>
            <w:shd w:val="clear" w:color="auto" w:fill="D3D3D3"/>
          </w:tcPr>
          <w:p>
            <w:pPr/>
          </w:p>
        </w:tc>
      </w:tr>
      <w:tr>
        <w:trPr>
          <w:trHeight w:val="244"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7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9"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1,174,163.75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297,384.71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106,176.41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1,365,372.05</w:t>
            </w:r>
          </w:p>
        </w:tc>
      </w:tr>
      <w:tr>
        <w:trPr>
          <w:trHeight w:val="478"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1,006,334.42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557,008.04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168,917.46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1,394,425.00</w:t>
            </w:r>
          </w:p>
        </w:tc>
      </w:tr>
      <w:tr>
        <w:trPr>
          <w:trHeight w:val="478"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2,180,498.17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854,392.75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275,093.87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2,759,797.05</w:t>
            </w:r>
          </w:p>
        </w:tc>
      </w:tr>
    </w:tbl>
    <w:p>
      <w:pPr>
        <w:spacing w:line="240" w:lineRule="auto" w:before="2"/>
        <w:rPr>
          <w:rFonts w:ascii="宋体" w:hAnsi="宋体" w:cs="宋体" w:eastAsia="宋体" w:hint="default"/>
          <w:sz w:val="19"/>
          <w:szCs w:val="19"/>
        </w:rPr>
      </w:pPr>
    </w:p>
    <w:p>
      <w:pPr>
        <w:pStyle w:val="Heading5"/>
        <w:spacing w:line="240" w:lineRule="auto" w:before="35"/>
        <w:ind w:left="534" w:right="13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tbl>
      <w:tblPr>
        <w:tblW w:w="0" w:type="auto"/>
        <w:jc w:val="left"/>
        <w:tblInd w:w="114" w:type="dxa"/>
        <w:tblLayout w:type="fixed"/>
        <w:tblCellMar>
          <w:top w:w="0" w:type="dxa"/>
          <w:left w:w="0" w:type="dxa"/>
          <w:bottom w:w="0" w:type="dxa"/>
          <w:right w:w="0" w:type="dxa"/>
        </w:tblCellMar>
        <w:tblLook w:val="01E0"/>
      </w:tblPr>
      <w:tblGrid>
        <w:gridCol w:w="1396"/>
        <w:gridCol w:w="4830"/>
        <w:gridCol w:w="1702"/>
        <w:gridCol w:w="2054"/>
      </w:tblGrid>
      <w:tr>
        <w:trPr>
          <w:trHeight w:val="184" w:hRule="exact"/>
        </w:trPr>
        <w:tc>
          <w:tcPr>
            <w:tcW w:w="1396" w:type="dxa"/>
            <w:tcBorders>
              <w:top w:val="single" w:sz="4" w:space="0" w:color="000000"/>
              <w:left w:val="single" w:sz="4" w:space="0" w:color="000000"/>
              <w:bottom w:val="nil" w:sz="6" w:space="0" w:color="auto"/>
              <w:right w:val="single" w:sz="4" w:space="0" w:color="000000"/>
            </w:tcBorders>
            <w:shd w:val="clear" w:color="auto" w:fill="D3D3D3"/>
          </w:tcPr>
          <w:p>
            <w:pPr/>
          </w:p>
        </w:tc>
        <w:tc>
          <w:tcPr>
            <w:tcW w:w="48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484" w:right="29" w:hanging="452"/>
              <w:jc w:val="left"/>
              <w:rPr>
                <w:rFonts w:ascii="宋体" w:hAnsi="宋体" w:cs="宋体" w:eastAsia="宋体" w:hint="default"/>
                <w:sz w:val="18"/>
                <w:szCs w:val="18"/>
              </w:rPr>
            </w:pPr>
            <w:r>
              <w:rPr>
                <w:rFonts w:ascii="宋体" w:hAnsi="宋体" w:cs="宋体" w:eastAsia="宋体" w:hint="default"/>
                <w:b/>
                <w:bCs/>
                <w:sz w:val="18"/>
                <w:szCs w:val="18"/>
              </w:rPr>
              <w:t>本期转回存货跌价准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备的原因</w:t>
            </w:r>
            <w:r>
              <w:rPr>
                <w:rFonts w:ascii="宋体" w:hAnsi="宋体" w:cs="宋体" w:eastAsia="宋体" w:hint="default"/>
                <w:sz w:val="18"/>
                <w:szCs w:val="18"/>
              </w:rPr>
            </w:r>
          </w:p>
        </w:tc>
        <w:tc>
          <w:tcPr>
            <w:tcW w:w="2054"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18" w:right="25" w:hanging="90"/>
              <w:jc w:val="left"/>
              <w:rPr>
                <w:rFonts w:ascii="宋体" w:hAnsi="宋体" w:cs="宋体" w:eastAsia="宋体" w:hint="default"/>
                <w:sz w:val="18"/>
                <w:szCs w:val="18"/>
              </w:rPr>
            </w:pPr>
            <w:r>
              <w:rPr>
                <w:rFonts w:ascii="宋体" w:hAnsi="宋体" w:cs="宋体" w:eastAsia="宋体" w:hint="default"/>
                <w:b/>
                <w:bCs/>
                <w:sz w:val="18"/>
                <w:szCs w:val="18"/>
              </w:rPr>
              <w:t>本期转回金额占该项存货</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期末余额的比例（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8" w:hRule="exact"/>
        </w:trPr>
        <w:tc>
          <w:tcPr>
            <w:tcW w:w="13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2"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1702" w:type="dxa"/>
            <w:vMerge/>
            <w:tcBorders>
              <w:left w:val="single" w:sz="4" w:space="0" w:color="000000"/>
              <w:right w:val="single" w:sz="4" w:space="0" w:color="000000"/>
            </w:tcBorders>
            <w:shd w:val="clear" w:color="auto" w:fill="D3D3D3"/>
          </w:tcPr>
          <w:p>
            <w:pPr/>
          </w:p>
        </w:tc>
        <w:tc>
          <w:tcPr>
            <w:tcW w:w="2054" w:type="dxa"/>
            <w:vMerge/>
            <w:tcBorders>
              <w:left w:val="single" w:sz="4" w:space="0" w:color="000000"/>
              <w:right w:val="single" w:sz="4" w:space="0" w:color="000000"/>
            </w:tcBorders>
            <w:shd w:val="clear" w:color="auto" w:fill="D3D3D3"/>
          </w:tcPr>
          <w:p>
            <w:pPr/>
          </w:p>
        </w:tc>
      </w:tr>
      <w:tr>
        <w:trPr>
          <w:trHeight w:val="185" w:hRule="exact"/>
        </w:trPr>
        <w:tc>
          <w:tcPr>
            <w:tcW w:w="1396" w:type="dxa"/>
            <w:tcBorders>
              <w:top w:val="nil" w:sz="6" w:space="0" w:color="auto"/>
              <w:left w:val="single" w:sz="4" w:space="0" w:color="000000"/>
              <w:bottom w:val="single" w:sz="4" w:space="0" w:color="000000"/>
              <w:right w:val="single" w:sz="4" w:space="0" w:color="000000"/>
            </w:tcBorders>
            <w:shd w:val="clear" w:color="auto" w:fill="D3D3D3"/>
          </w:tcPr>
          <w:p>
            <w:pPr/>
          </w:p>
        </w:tc>
        <w:tc>
          <w:tcPr>
            <w:tcW w:w="48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2" w:type="dxa"/>
            <w:vMerge/>
            <w:tcBorders>
              <w:left w:val="single" w:sz="4" w:space="0" w:color="000000"/>
              <w:bottom w:val="single" w:sz="4" w:space="0" w:color="000000"/>
              <w:right w:val="single" w:sz="4" w:space="0" w:color="000000"/>
            </w:tcBorders>
            <w:shd w:val="clear" w:color="auto" w:fill="D3D3D3"/>
          </w:tcPr>
          <w:p>
            <w:pPr/>
          </w:p>
        </w:tc>
        <w:tc>
          <w:tcPr>
            <w:tcW w:w="2054"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8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因质量问题的原材料</w:t>
            </w:r>
            <w:r>
              <w:rPr>
                <w:rFonts w:ascii="Times New Roman" w:hAnsi="Times New Roman" w:cs="Times New Roman" w:eastAsia="Times New Roman" w:hint="default"/>
                <w:sz w:val="18"/>
                <w:szCs w:val="18"/>
              </w:rPr>
              <w:t>,</w:t>
            </w:r>
            <w:r>
              <w:rPr>
                <w:rFonts w:ascii="宋体" w:hAnsi="宋体" w:cs="宋体" w:eastAsia="宋体" w:hint="default"/>
                <w:sz w:val="18"/>
                <w:szCs w:val="18"/>
              </w:rPr>
              <w:t>基本无使用价值或者转让价值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48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因技术进步原持有的智能电话等商品过时不适应市场需求</w:t>
            </w:r>
          </w:p>
        </w:tc>
        <w:tc>
          <w:tcPr>
            <w:tcW w:w="170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13"/>
          <w:szCs w:val="13"/>
        </w:rPr>
      </w:pPr>
    </w:p>
    <w:p>
      <w:pPr>
        <w:pStyle w:val="Heading3"/>
        <w:spacing w:line="240" w:lineRule="auto" w:before="26"/>
        <w:ind w:left="534" w:right="133"/>
        <w:jc w:val="left"/>
      </w:pPr>
      <w:r>
        <w:rPr>
          <w:rFonts w:ascii="Cambria" w:hAnsi="Cambria" w:cs="Cambria" w:eastAsia="Cambria" w:hint="default"/>
        </w:rPr>
        <w:t>10</w:t>
      </w:r>
      <w:r>
        <w:rPr/>
        <w:t>、其他流动资产</w:t>
      </w:r>
    </w:p>
    <w:p>
      <w:pPr>
        <w:spacing w:line="240" w:lineRule="auto" w:before="12"/>
        <w:rPr>
          <w:rFonts w:ascii="黑体" w:hAnsi="黑体" w:cs="黑体" w:eastAsia="黑体" w:hint="default"/>
          <w:sz w:val="23"/>
          <w:szCs w:val="23"/>
        </w:rPr>
      </w:pPr>
    </w:p>
    <w:p>
      <w:pPr>
        <w:pStyle w:val="BodyText"/>
        <w:spacing w:line="240" w:lineRule="auto"/>
        <w:ind w:left="954" w:right="133"/>
        <w:jc w:val="left"/>
      </w:pPr>
      <w:r>
        <w:rPr/>
        <w:t>无。</w:t>
      </w:r>
    </w:p>
    <w:p>
      <w:pPr>
        <w:spacing w:line="240" w:lineRule="auto" w:before="12"/>
        <w:rPr>
          <w:rFonts w:ascii="宋体" w:hAnsi="宋体" w:cs="宋体" w:eastAsia="宋体" w:hint="default"/>
          <w:sz w:val="24"/>
          <w:szCs w:val="24"/>
        </w:rPr>
      </w:pPr>
    </w:p>
    <w:p>
      <w:pPr>
        <w:pStyle w:val="Heading3"/>
        <w:spacing w:line="240" w:lineRule="auto"/>
        <w:ind w:left="534" w:right="133"/>
        <w:jc w:val="left"/>
      </w:pPr>
      <w:r>
        <w:rPr>
          <w:rFonts w:ascii="Cambria" w:hAnsi="Cambria" w:cs="Cambria" w:eastAsia="Cambria" w:hint="default"/>
        </w:rPr>
        <w:t>11</w:t>
      </w:r>
      <w:r>
        <w:rPr/>
        <w:t>、可供出售金融资产</w:t>
      </w:r>
    </w:p>
    <w:p>
      <w:pPr>
        <w:spacing w:line="240" w:lineRule="auto" w:before="1"/>
        <w:rPr>
          <w:rFonts w:ascii="黑体" w:hAnsi="黑体" w:cs="黑体" w:eastAsia="黑体" w:hint="default"/>
          <w:sz w:val="29"/>
          <w:szCs w:val="29"/>
        </w:rPr>
      </w:pPr>
    </w:p>
    <w:p>
      <w:pPr>
        <w:pStyle w:val="Heading5"/>
        <w:spacing w:line="568" w:lineRule="auto"/>
        <w:ind w:left="954" w:right="7135"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）可供出售金融资产情况</w:t>
      </w:r>
      <w:r>
        <w:rPr>
          <w:w w:val="99"/>
        </w:rPr>
        <w:t> </w:t>
      </w:r>
      <w:r>
        <w:rPr>
          <w:rFonts w:ascii="宋体" w:hAnsi="宋体" w:cs="宋体" w:eastAsia="宋体" w:hint="default"/>
          <w:b w:val="0"/>
          <w:bCs w:val="0"/>
        </w:rPr>
        <w:t>无</w:t>
      </w:r>
    </w:p>
    <w:p>
      <w:pPr>
        <w:pStyle w:val="Heading5"/>
        <w:spacing w:line="568" w:lineRule="auto" w:before="128"/>
        <w:ind w:left="95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）可供出售金融资产中的长期债权投资</w:t>
      </w:r>
      <w:r>
        <w:rPr>
          <w:spacing w:val="1"/>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600" w:right="980"/>
        </w:sectPr>
      </w:pPr>
    </w:p>
    <w:p>
      <w:pPr>
        <w:spacing w:line="240" w:lineRule="auto" w:before="3"/>
        <w:rPr>
          <w:rFonts w:ascii="宋体" w:hAnsi="宋体" w:cs="宋体" w:eastAsia="宋体" w:hint="default"/>
          <w:sz w:val="10"/>
          <w:szCs w:val="10"/>
        </w:rPr>
      </w:pPr>
    </w:p>
    <w:p>
      <w:pPr>
        <w:pStyle w:val="Heading3"/>
        <w:spacing w:line="240" w:lineRule="auto" w:before="26"/>
        <w:ind w:left="814" w:right="8166"/>
        <w:jc w:val="left"/>
      </w:pPr>
      <w:r>
        <w:rPr>
          <w:rFonts w:ascii="Cambria" w:hAnsi="Cambria" w:cs="Cambria" w:eastAsia="Cambria" w:hint="default"/>
        </w:rPr>
        <w:t>12</w:t>
      </w:r>
      <w:r>
        <w:rPr/>
        <w:t>、持有至到期投资</w:t>
      </w:r>
    </w:p>
    <w:p>
      <w:pPr>
        <w:spacing w:line="240" w:lineRule="auto" w:before="1"/>
        <w:rPr>
          <w:rFonts w:ascii="黑体" w:hAnsi="黑体" w:cs="黑体" w:eastAsia="黑体" w:hint="default"/>
          <w:sz w:val="29"/>
          <w:szCs w:val="29"/>
        </w:rPr>
      </w:pPr>
    </w:p>
    <w:p>
      <w:pPr>
        <w:pStyle w:val="Heading5"/>
        <w:spacing w:line="568" w:lineRule="auto"/>
        <w:ind w:left="1234" w:right="8166"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）持有至到期投资情况</w:t>
      </w:r>
      <w:r>
        <w:rPr>
          <w:w w:val="99"/>
        </w:rPr>
        <w:t> </w:t>
      </w:r>
      <w:r>
        <w:rPr>
          <w:rFonts w:ascii="宋体" w:hAnsi="宋体" w:cs="宋体" w:eastAsia="宋体" w:hint="default"/>
          <w:b w:val="0"/>
          <w:bCs w:val="0"/>
        </w:rPr>
        <w:t>无。</w:t>
      </w:r>
    </w:p>
    <w:p>
      <w:pPr>
        <w:pStyle w:val="Heading5"/>
        <w:spacing w:line="568" w:lineRule="auto" w:before="128"/>
        <w:ind w:left="1233" w:right="542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）本报告期内出售但尚未到期的持有至到期投资情况</w:t>
      </w:r>
      <w:r>
        <w:rPr>
          <w:spacing w:val="1"/>
          <w:w w:val="99"/>
        </w:rPr>
        <w:t> </w:t>
      </w:r>
      <w:r>
        <w:rPr>
          <w:rFonts w:ascii="宋体" w:hAnsi="宋体" w:cs="宋体" w:eastAsia="宋体" w:hint="default"/>
          <w:b w:val="0"/>
          <w:bCs w:val="0"/>
        </w:rPr>
        <w:t>无。</w:t>
      </w:r>
    </w:p>
    <w:p>
      <w:pPr>
        <w:pStyle w:val="Heading3"/>
        <w:spacing w:line="240" w:lineRule="auto" w:before="38"/>
        <w:ind w:left="814" w:right="8166"/>
        <w:jc w:val="left"/>
      </w:pPr>
      <w:r>
        <w:rPr>
          <w:rFonts w:ascii="Cambria" w:hAnsi="Cambria" w:cs="Cambria" w:eastAsia="Cambria" w:hint="default"/>
        </w:rPr>
        <w:t>13</w:t>
      </w:r>
      <w:r>
        <w:rPr/>
        <w:t>、长期应收款</w:t>
      </w:r>
    </w:p>
    <w:p>
      <w:pPr>
        <w:spacing w:line="240" w:lineRule="auto" w:before="3"/>
        <w:rPr>
          <w:rFonts w:ascii="黑体" w:hAnsi="黑体" w:cs="黑体" w:eastAsia="黑体" w:hint="default"/>
          <w:sz w:val="21"/>
          <w:szCs w:val="21"/>
        </w:rPr>
      </w:pPr>
    </w:p>
    <w:p>
      <w:pPr>
        <w:pStyle w:val="BodyText"/>
        <w:spacing w:line="240" w:lineRule="auto" w:before="35"/>
        <w:ind w:left="0" w:right="968"/>
        <w:jc w:val="right"/>
      </w:pPr>
      <w:r>
        <w:rPr/>
        <w:t>单位： 元</w:t>
      </w:r>
    </w:p>
    <w:p>
      <w:pPr>
        <w:spacing w:line="240" w:lineRule="auto" w:before="11"/>
        <w:rPr>
          <w:rFonts w:ascii="宋体" w:hAnsi="宋体" w:cs="宋体" w:eastAsia="宋体" w:hint="default"/>
          <w:sz w:val="21"/>
          <w:szCs w:val="21"/>
        </w:rPr>
      </w:pPr>
    </w:p>
    <w:tbl>
      <w:tblPr>
        <w:tblW w:w="0" w:type="auto"/>
        <w:jc w:val="left"/>
        <w:tblInd w:w="820" w:type="dxa"/>
        <w:tblLayout w:type="fixed"/>
        <w:tblCellMar>
          <w:top w:w="0" w:type="dxa"/>
          <w:left w:w="0" w:type="dxa"/>
          <w:bottom w:w="0" w:type="dxa"/>
          <w:right w:w="0" w:type="dxa"/>
        </w:tblCellMar>
        <w:tblLook w:val="01E0"/>
      </w:tblPr>
      <w:tblGrid>
        <w:gridCol w:w="2764"/>
        <w:gridCol w:w="3338"/>
        <w:gridCol w:w="3454"/>
      </w:tblGrid>
      <w:tr>
        <w:trPr>
          <w:trHeight w:val="479" w:hRule="exact"/>
        </w:trPr>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5" w:right="0"/>
              <w:jc w:val="center"/>
              <w:rPr>
                <w:rFonts w:ascii="Times New Roman" w:hAnsi="Times New Roman" w:cs="Times New Roman" w:eastAsia="Times New Roman" w:hint="default"/>
                <w:sz w:val="18"/>
                <w:szCs w:val="18"/>
              </w:rPr>
            </w:pPr>
            <w:r>
              <w:rPr>
                <w:rFonts w:ascii="Times New Roman"/>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3"/>
          <w:szCs w:val="13"/>
        </w:rPr>
      </w:pPr>
    </w:p>
    <w:p>
      <w:pPr>
        <w:pStyle w:val="Heading3"/>
        <w:spacing w:line="240" w:lineRule="auto" w:before="26"/>
        <w:ind w:left="814" w:right="5426"/>
        <w:jc w:val="left"/>
      </w:pPr>
      <w:r>
        <w:rPr>
          <w:rFonts w:ascii="Cambria" w:hAnsi="Cambria" w:cs="Cambria" w:eastAsia="Cambria" w:hint="default"/>
        </w:rPr>
        <w:t>14</w:t>
      </w:r>
      <w:r>
        <w:rPr/>
        <w:t>、对合营企业投资和联营企业投资</w:t>
      </w:r>
    </w:p>
    <w:p>
      <w:pPr>
        <w:spacing w:line="240" w:lineRule="auto" w:before="12"/>
        <w:rPr>
          <w:rFonts w:ascii="黑体" w:hAnsi="黑体" w:cs="黑体" w:eastAsia="黑体" w:hint="default"/>
          <w:sz w:val="23"/>
          <w:szCs w:val="23"/>
        </w:rPr>
      </w:pPr>
    </w:p>
    <w:p>
      <w:pPr>
        <w:pStyle w:val="BodyText"/>
        <w:spacing w:line="240" w:lineRule="auto"/>
        <w:ind w:left="1234" w:right="8166"/>
        <w:jc w:val="left"/>
      </w:pPr>
      <w:r>
        <w:rPr/>
        <w:t>不适用。</w:t>
      </w:r>
    </w:p>
    <w:p>
      <w:pPr>
        <w:spacing w:line="240" w:lineRule="auto" w:before="12"/>
        <w:rPr>
          <w:rFonts w:ascii="宋体" w:hAnsi="宋体" w:cs="宋体" w:eastAsia="宋体" w:hint="default"/>
          <w:sz w:val="24"/>
          <w:szCs w:val="24"/>
        </w:rPr>
      </w:pPr>
    </w:p>
    <w:p>
      <w:pPr>
        <w:pStyle w:val="Heading3"/>
        <w:spacing w:line="240" w:lineRule="auto"/>
        <w:ind w:left="814" w:right="8166"/>
        <w:jc w:val="left"/>
      </w:pPr>
      <w:r>
        <w:rPr>
          <w:rFonts w:ascii="Cambria" w:hAnsi="Cambria" w:cs="Cambria" w:eastAsia="Cambria" w:hint="default"/>
        </w:rPr>
        <w:t>15</w:t>
      </w:r>
      <w:r>
        <w:rPr/>
        <w:t>、长期股权投资</w:t>
      </w:r>
    </w:p>
    <w:p>
      <w:pPr>
        <w:spacing w:line="240" w:lineRule="auto" w:before="1"/>
        <w:rPr>
          <w:rFonts w:ascii="黑体" w:hAnsi="黑体" w:cs="黑体" w:eastAsia="黑体" w:hint="default"/>
          <w:sz w:val="29"/>
          <w:szCs w:val="29"/>
        </w:rPr>
      </w:pPr>
    </w:p>
    <w:p>
      <w:pPr>
        <w:pStyle w:val="Heading5"/>
        <w:spacing w:line="240" w:lineRule="auto"/>
        <w:ind w:left="814" w:right="5426"/>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968"/>
        <w:jc w:val="right"/>
      </w:pPr>
      <w:r>
        <w:rPr/>
        <w:t>单位： 元</w:t>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1418"/>
        <w:gridCol w:w="566"/>
        <w:gridCol w:w="1115"/>
        <w:gridCol w:w="798"/>
        <w:gridCol w:w="923"/>
        <w:gridCol w:w="1134"/>
        <w:gridCol w:w="851"/>
        <w:gridCol w:w="992"/>
        <w:gridCol w:w="1559"/>
        <w:gridCol w:w="566"/>
        <w:gridCol w:w="709"/>
        <w:gridCol w:w="568"/>
      </w:tblGrid>
      <w:tr>
        <w:trPr>
          <w:trHeight w:val="1087"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97" w:right="95"/>
              <w:jc w:val="left"/>
              <w:rPr>
                <w:rFonts w:ascii="宋体" w:hAnsi="宋体" w:cs="宋体" w:eastAsia="宋体" w:hint="default"/>
                <w:sz w:val="18"/>
                <w:szCs w:val="18"/>
              </w:rPr>
            </w:pPr>
            <w:r>
              <w:rPr>
                <w:rFonts w:ascii="宋体" w:hAnsi="宋体" w:cs="宋体" w:eastAsia="宋体" w:hint="default"/>
                <w:b/>
                <w:bCs/>
                <w:sz w:val="18"/>
                <w:szCs w:val="18"/>
              </w:rPr>
              <w:t>核算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方法</w:t>
            </w:r>
            <w:r>
              <w:rPr>
                <w:rFonts w:ascii="宋体" w:hAnsi="宋体" w:cs="宋体" w:eastAsia="宋体" w:hint="default"/>
                <w:sz w:val="18"/>
                <w:szCs w:val="18"/>
              </w:rPr>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 w:right="0"/>
              <w:jc w:val="center"/>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94" w:right="0"/>
              <w:jc w:val="left"/>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58" w:right="59"/>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38" w:right="37"/>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位表决权比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51" w:right="50"/>
              <w:jc w:val="center"/>
              <w:rPr>
                <w:rFonts w:ascii="宋体" w:hAnsi="宋体" w:cs="宋体" w:eastAsia="宋体" w:hint="default"/>
                <w:sz w:val="18"/>
                <w:szCs w:val="18"/>
              </w:rPr>
            </w:pPr>
            <w:r>
              <w:rPr>
                <w:rFonts w:ascii="宋体" w:hAnsi="宋体" w:cs="宋体" w:eastAsia="宋体" w:hint="default"/>
                <w:b/>
                <w:bCs/>
                <w:sz w:val="18"/>
                <w:szCs w:val="18"/>
              </w:rPr>
              <w:t>在被投资单位持股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比例与表决权比例</w:t>
            </w:r>
            <w:r>
              <w:rPr>
                <w:rFonts w:ascii="宋体" w:hAnsi="宋体" w:cs="宋体" w:eastAsia="宋体" w:hint="default"/>
                <w:b/>
                <w:bCs/>
                <w:w w:val="99"/>
                <w:sz w:val="18"/>
                <w:szCs w:val="18"/>
              </w:rPr>
              <w:t> </w:t>
            </w:r>
            <w:r>
              <w:rPr>
                <w:rFonts w:ascii="宋体" w:hAnsi="宋体" w:cs="宋体" w:eastAsia="宋体" w:hint="default"/>
                <w:b/>
                <w:bCs/>
                <w:sz w:val="18"/>
                <w:szCs w:val="18"/>
              </w:rPr>
              <w:t>不一致的说明</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97" w:right="95"/>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79" w:right="74"/>
              <w:jc w:val="both"/>
              <w:rPr>
                <w:rFonts w:ascii="宋体" w:hAnsi="宋体" w:cs="宋体" w:eastAsia="宋体" w:hint="default"/>
                <w:sz w:val="18"/>
                <w:szCs w:val="18"/>
              </w:rPr>
            </w:pPr>
            <w:r>
              <w:rPr>
                <w:rFonts w:ascii="宋体" w:hAnsi="宋体" w:cs="宋体" w:eastAsia="宋体" w:hint="default"/>
                <w:b/>
                <w:bCs/>
                <w:sz w:val="18"/>
                <w:szCs w:val="18"/>
              </w:rPr>
              <w:t>本期计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提减值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4"/>
              <w:ind w:left="97" w:right="96"/>
              <w:jc w:val="both"/>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现金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7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163" w:right="73" w:hanging="90"/>
              <w:jc w:val="left"/>
              <w:rPr>
                <w:rFonts w:ascii="宋体" w:hAnsi="宋体" w:cs="宋体" w:eastAsia="宋体" w:hint="default"/>
                <w:sz w:val="18"/>
                <w:szCs w:val="18"/>
              </w:rPr>
            </w:pPr>
            <w:r>
              <w:rPr>
                <w:rFonts w:ascii="宋体" w:hAnsi="宋体" w:cs="宋体" w:eastAsia="宋体" w:hint="default"/>
                <w:sz w:val="18"/>
                <w:szCs w:val="18"/>
              </w:rPr>
              <w:t>北京旋极泰科新 技术有限公司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188" w:right="96" w:hanging="90"/>
              <w:jc w:val="left"/>
              <w:rPr>
                <w:rFonts w:ascii="宋体" w:hAnsi="宋体" w:cs="宋体" w:eastAsia="宋体" w:hint="default"/>
                <w:sz w:val="18"/>
                <w:szCs w:val="18"/>
              </w:rPr>
            </w:pPr>
            <w:r>
              <w:rPr>
                <w:rFonts w:ascii="宋体" w:hAnsi="宋体" w:cs="宋体" w:eastAsia="宋体" w:hint="default"/>
                <w:sz w:val="18"/>
                <w:szCs w:val="18"/>
              </w:rPr>
              <w:t>权益 法</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3,200,000.00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520,456.41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2,679,543.59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3,200,000.00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 w:right="0"/>
              <w:jc w:val="left"/>
              <w:rPr>
                <w:rFonts w:ascii="Times New Roman" w:hAnsi="Times New Roman" w:cs="Times New Roman" w:eastAsia="Times New Roman" w:hint="default"/>
                <w:sz w:val="18"/>
                <w:szCs w:val="18"/>
              </w:rPr>
            </w:pPr>
            <w:r>
              <w:rPr>
                <w:rFonts w:ascii="Times New Roman"/>
                <w:sz w:val="18"/>
              </w:rPr>
              <w:t>520,456.41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2,679,543.59</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568" w:lineRule="auto" w:before="35"/>
        <w:ind w:left="1234" w:right="563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）向投资企业转移资金的能力受到限制的有关情况</w:t>
      </w:r>
      <w:r>
        <w:rPr>
          <w:spacing w:val="1"/>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320" w:right="16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16</w:t>
      </w:r>
      <w:r>
        <w:rPr/>
        <w:t>、投资性房地产</w:t>
      </w:r>
    </w:p>
    <w:p>
      <w:pPr>
        <w:spacing w:line="240" w:lineRule="auto" w:before="1"/>
        <w:rPr>
          <w:rFonts w:ascii="黑体" w:hAnsi="黑体" w:cs="黑体" w:eastAsia="黑体" w:hint="default"/>
          <w:sz w:val="29"/>
          <w:szCs w:val="29"/>
        </w:rPr>
      </w:pPr>
    </w:p>
    <w:p>
      <w:pPr>
        <w:pStyle w:val="Heading5"/>
        <w:spacing w:line="568" w:lineRule="auto"/>
        <w:ind w:left="574" w:right="6713"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）按成本计量的投资性房地产</w:t>
      </w:r>
      <w:r>
        <w:rPr>
          <w:spacing w:val="1"/>
          <w:w w:val="99"/>
        </w:rPr>
        <w:t> </w:t>
      </w:r>
      <w:r>
        <w:rPr>
          <w:rFonts w:ascii="宋体" w:hAnsi="宋体" w:cs="宋体" w:eastAsia="宋体" w:hint="default"/>
          <w:b w:val="0"/>
          <w:bCs w:val="0"/>
        </w:rPr>
        <w:t>不适用。</w:t>
      </w:r>
    </w:p>
    <w:p>
      <w:pPr>
        <w:pStyle w:val="Heading5"/>
        <w:spacing w:line="568" w:lineRule="auto" w:before="128"/>
        <w:ind w:left="573" w:right="629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）按公允价值计量的投资性房地产</w:t>
      </w:r>
      <w:r>
        <w:rPr>
          <w:w w:val="99"/>
        </w:rPr>
        <w:t> </w:t>
      </w:r>
      <w:r>
        <w:rPr>
          <w:rFonts w:ascii="宋体" w:hAnsi="宋体" w:cs="宋体" w:eastAsia="宋体" w:hint="default"/>
          <w:b w:val="0"/>
          <w:bCs w:val="0"/>
        </w:rPr>
        <w:t>不适用。</w:t>
      </w:r>
    </w:p>
    <w:p>
      <w:pPr>
        <w:pStyle w:val="Heading3"/>
        <w:spacing w:line="240" w:lineRule="auto" w:before="38"/>
        <w:ind w:right="0"/>
        <w:jc w:val="left"/>
      </w:pPr>
      <w:r>
        <w:rPr>
          <w:rFonts w:ascii="Cambria" w:hAnsi="Cambria" w:cs="Cambria" w:eastAsia="Cambria" w:hint="default"/>
        </w:rPr>
        <w:t>17</w:t>
      </w:r>
      <w:r>
        <w:rPr/>
        <w:t>、固定资产</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129"/>
        <w:gridCol w:w="1473"/>
        <w:gridCol w:w="1316"/>
        <w:gridCol w:w="1595"/>
        <w:gridCol w:w="1582"/>
        <w:gridCol w:w="1473"/>
      </w:tblGrid>
      <w:tr>
        <w:trPr>
          <w:trHeight w:val="479"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8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94"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pacing w:val="-1"/>
                <w:sz w:val="18"/>
              </w:rPr>
              <w:t>18,207,758.24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32" w:right="0"/>
              <w:jc w:val="left"/>
              <w:rPr>
                <w:rFonts w:ascii="Times New Roman" w:hAnsi="Times New Roman" w:cs="Times New Roman" w:eastAsia="Times New Roman" w:hint="default"/>
                <w:sz w:val="18"/>
                <w:szCs w:val="18"/>
              </w:rPr>
            </w:pPr>
            <w:r>
              <w:rPr>
                <w:rFonts w:ascii="Times New Roman"/>
                <w:sz w:val="18"/>
              </w:rPr>
              <w:t>5,261,064.26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67,217.43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23,401,605.07</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pacing w:val="-1"/>
                <w:sz w:val="18"/>
              </w:rPr>
              <w:t>10,635,705.02</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786,050.00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11,421,755.02</w:t>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32"/>
              <w:jc w:val="right"/>
              <w:rPr>
                <w:rFonts w:ascii="Times New Roman" w:hAnsi="Times New Roman" w:cs="Times New Roman" w:eastAsia="Times New Roman" w:hint="default"/>
                <w:sz w:val="18"/>
                <w:szCs w:val="18"/>
              </w:rPr>
            </w:pPr>
            <w:r>
              <w:rPr>
                <w:rFonts w:ascii="Times New Roman"/>
                <w:spacing w:val="-1"/>
                <w:sz w:val="18"/>
              </w:rPr>
              <w:t>3,665,289.25</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32" w:right="0"/>
              <w:jc w:val="left"/>
              <w:rPr>
                <w:rFonts w:ascii="Times New Roman" w:hAnsi="Times New Roman" w:cs="Times New Roman" w:eastAsia="Times New Roman" w:hint="default"/>
                <w:sz w:val="18"/>
                <w:szCs w:val="18"/>
              </w:rPr>
            </w:pPr>
            <w:r>
              <w:rPr>
                <w:rFonts w:ascii="Times New Roman"/>
                <w:sz w:val="18"/>
              </w:rPr>
              <w:t>1,821,394.43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z w:val="18"/>
              </w:rPr>
              <w:t>67,217.43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5,419,466.25</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pacing w:val="-1"/>
                <w:sz w:val="18"/>
              </w:rPr>
              <w:t>3,906,763.97</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32" w:right="0"/>
              <w:jc w:val="left"/>
              <w:rPr>
                <w:rFonts w:ascii="Times New Roman" w:hAnsi="Times New Roman" w:cs="Times New Roman" w:eastAsia="Times New Roman" w:hint="default"/>
                <w:sz w:val="18"/>
                <w:szCs w:val="18"/>
              </w:rPr>
            </w:pPr>
            <w:r>
              <w:rPr>
                <w:rFonts w:ascii="Times New Roman"/>
                <w:sz w:val="18"/>
              </w:rPr>
              <w:t>2,653,619.83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6,560,383.80</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8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86"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3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94" w:right="0"/>
              <w:jc w:val="left"/>
              <w:rPr>
                <w:rFonts w:ascii="宋体" w:hAnsi="宋体" w:cs="宋体" w:eastAsia="宋体" w:hint="default"/>
                <w:sz w:val="18"/>
                <w:szCs w:val="18"/>
              </w:rPr>
            </w:pPr>
            <w:r>
              <w:rPr>
                <w:rFonts w:ascii="宋体" w:hAnsi="宋体" w:cs="宋体" w:eastAsia="宋体" w:hint="default"/>
                <w:b/>
                <w:bCs/>
                <w:sz w:val="18"/>
                <w:szCs w:val="18"/>
              </w:rPr>
              <w:t>本期期末余额</w:t>
            </w:r>
            <w:r>
              <w:rPr>
                <w:rFonts w:ascii="宋体" w:hAnsi="宋体" w:cs="宋体" w:eastAsia="宋体" w:hint="default"/>
                <w:sz w:val="18"/>
                <w:szCs w:val="18"/>
              </w:rPr>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32"/>
              <w:jc w:val="right"/>
              <w:rPr>
                <w:rFonts w:ascii="Times New Roman" w:hAnsi="Times New Roman" w:cs="Times New Roman" w:eastAsia="Times New Roman" w:hint="default"/>
                <w:sz w:val="18"/>
                <w:szCs w:val="18"/>
              </w:rPr>
            </w:pPr>
            <w:r>
              <w:rPr>
                <w:rFonts w:ascii="Times New Roman"/>
                <w:spacing w:val="-1"/>
                <w:sz w:val="18"/>
              </w:rPr>
              <w:t>5,220,469.51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60,275.01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1,995,702.39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z w:val="18"/>
              </w:rPr>
              <w:t>59,243.26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7,217,203.65</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pacing w:val="-1"/>
                <w:sz w:val="18"/>
              </w:rPr>
              <w:t>3,058,354.67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581,211.80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3,639,566.47</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z w:val="18"/>
              </w:rPr>
              <w:t>928,746.67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927,426.08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1,856,172.75</w:t>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
              <w:jc w:val="right"/>
              <w:rPr>
                <w:rFonts w:ascii="Times New Roman" w:hAnsi="Times New Roman" w:cs="Times New Roman" w:eastAsia="Times New Roman" w:hint="default"/>
                <w:sz w:val="18"/>
                <w:szCs w:val="18"/>
              </w:rPr>
            </w:pPr>
            <w:r>
              <w:rPr>
                <w:rFonts w:ascii="Times New Roman"/>
                <w:spacing w:val="-1"/>
                <w:sz w:val="18"/>
              </w:rPr>
              <w:t>1,233,368.17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60,275.01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487,064.51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z w:val="18"/>
              </w:rPr>
              <w:t>59,243.26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1,721,464.43</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8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94" w:right="0"/>
              <w:jc w:val="left"/>
              <w:rPr>
                <w:rFonts w:ascii="宋体" w:hAnsi="宋体" w:cs="宋体" w:eastAsia="宋体" w:hint="default"/>
                <w:sz w:val="18"/>
                <w:szCs w:val="18"/>
              </w:rPr>
            </w:pPr>
            <w:r>
              <w:rPr>
                <w:rFonts w:ascii="宋体" w:hAnsi="宋体" w:cs="宋体" w:eastAsia="宋体" w:hint="default"/>
                <w:b/>
                <w:bCs/>
                <w:sz w:val="18"/>
                <w:szCs w:val="18"/>
              </w:rPr>
              <w:t>本期期末余额</w:t>
            </w:r>
            <w:r>
              <w:rPr>
                <w:rFonts w:ascii="宋体" w:hAnsi="宋体" w:cs="宋体" w:eastAsia="宋体" w:hint="default"/>
                <w:sz w:val="18"/>
                <w:szCs w:val="18"/>
              </w:rPr>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pacing w:val="-1"/>
                <w:sz w:val="18"/>
              </w:rPr>
              <w:t>12,987,288.73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16,184,401.42</w:t>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pacing w:val="-1"/>
                <w:sz w:val="18"/>
              </w:rPr>
              <w:t>7,577,350.35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7,782,188.55</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pacing w:val="-1"/>
                <w:sz w:val="18"/>
              </w:rPr>
              <w:t>2,736,542.58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3,563,293.50</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pacing w:val="-1"/>
                <w:sz w:val="18"/>
              </w:rPr>
              <w:t>2,673,395.80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4,838,919.37</w:t>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pacing w:val="-1"/>
                <w:sz w:val="18"/>
              </w:rPr>
              <w:t>12,987,288.73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16,184,401.42</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9"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7,782,188.55</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78"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2,736,542.58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3,563,293.50</w:t>
            </w:r>
          </w:p>
        </w:tc>
      </w:tr>
      <w:tr>
        <w:trPr>
          <w:trHeight w:val="47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2,673,395.80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4,838,919.37</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本期折旧额</w:t>
      </w:r>
      <w:r>
        <w:rPr>
          <w:spacing w:val="-55"/>
        </w:rPr>
        <w:t> </w:t>
      </w:r>
      <w:r>
        <w:rPr>
          <w:rFonts w:ascii="Times New Roman" w:hAnsi="Times New Roman" w:cs="Times New Roman" w:eastAsia="Times New Roman" w:hint="default"/>
        </w:rPr>
        <w:t>1,995,702.39</w:t>
      </w:r>
      <w:r>
        <w:rPr>
          <w:rFonts w:ascii="Times New Roman" w:hAnsi="Times New Roman" w:cs="Times New Roman" w:eastAsia="Times New Roman" w:hint="default"/>
          <w:spacing w:val="-3"/>
        </w:rPr>
        <w:t> </w:t>
      </w:r>
      <w:r>
        <w:rPr/>
        <w:t>元；本期由在建工程转入固定资产原价为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8"/>
        <w:rPr>
          <w:rFonts w:ascii="宋体" w:hAnsi="宋体" w:cs="宋体" w:eastAsia="宋体" w:hint="default"/>
          <w:sz w:val="30"/>
          <w:szCs w:val="30"/>
        </w:rPr>
      </w:pPr>
    </w:p>
    <w:p>
      <w:pPr>
        <w:pStyle w:val="Heading5"/>
        <w:spacing w:line="568" w:lineRule="auto"/>
        <w:ind w:left="573" w:right="692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）暂时闲置的固定资产情况</w:t>
      </w:r>
      <w:r>
        <w:rPr>
          <w:spacing w:val="1"/>
          <w:w w:val="99"/>
        </w:rPr>
        <w:t> </w:t>
      </w:r>
      <w:r>
        <w:rPr>
          <w:rFonts w:ascii="宋体" w:hAnsi="宋体" w:cs="宋体" w:eastAsia="宋体" w:hint="default"/>
          <w:b w:val="0"/>
          <w:bCs w:val="0"/>
        </w:rPr>
        <w:t>无。</w:t>
      </w:r>
    </w:p>
    <w:p>
      <w:pPr>
        <w:pStyle w:val="Heading5"/>
        <w:spacing w:line="568" w:lineRule="auto" w:before="128"/>
        <w:ind w:left="573" w:right="6504"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）通过融资租赁租入的固定资产</w:t>
      </w:r>
      <w:r>
        <w:rPr>
          <w:w w:val="99"/>
        </w:rPr>
        <w:t> </w:t>
      </w:r>
      <w:r>
        <w:rPr>
          <w:rFonts w:ascii="宋体" w:hAnsi="宋体" w:cs="宋体" w:eastAsia="宋体" w:hint="default"/>
          <w:b w:val="0"/>
          <w:bCs w:val="0"/>
        </w:rPr>
        <w:t>无。</w:t>
      </w:r>
    </w:p>
    <w:p>
      <w:pPr>
        <w:pStyle w:val="Heading5"/>
        <w:spacing w:line="568" w:lineRule="auto" w:before="128"/>
        <w:ind w:left="573" w:right="6504"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5"/>
        <w:spacing w:line="568" w:lineRule="auto" w:before="128"/>
        <w:ind w:left="573" w:right="6504"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）期末持有待售的固定资产情况</w:t>
      </w:r>
      <w:r>
        <w:rPr>
          <w:w w:val="99"/>
        </w:rPr>
        <w:t> </w:t>
      </w:r>
      <w:r>
        <w:rPr>
          <w:rFonts w:ascii="宋体" w:hAnsi="宋体" w:cs="宋体" w:eastAsia="宋体" w:hint="default"/>
          <w:b w:val="0"/>
          <w:bCs w:val="0"/>
        </w:rPr>
        <w:t>无。</w:t>
      </w:r>
    </w:p>
    <w:p>
      <w:pPr>
        <w:pStyle w:val="Heading5"/>
        <w:spacing w:line="568" w:lineRule="auto" w:before="128"/>
        <w:ind w:left="573" w:right="6293"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）未办妥产权证书的固定资产情况</w:t>
      </w:r>
      <w:r>
        <w:rPr>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18</w:t>
      </w:r>
      <w:r>
        <w:rPr/>
        <w:t>、在建工程</w:t>
      </w:r>
    </w:p>
    <w:p>
      <w:pPr>
        <w:spacing w:line="240" w:lineRule="auto" w:before="1"/>
        <w:rPr>
          <w:rFonts w:ascii="黑体" w:hAnsi="黑体" w:cs="黑体" w:eastAsia="黑体" w:hint="default"/>
          <w:sz w:val="29"/>
          <w:szCs w:val="29"/>
        </w:rPr>
      </w:pPr>
    </w:p>
    <w:p>
      <w:pPr>
        <w:pStyle w:val="Heading5"/>
        <w:spacing w:line="571" w:lineRule="auto"/>
        <w:ind w:left="574" w:right="7979" w:hanging="421"/>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）在建工程情况</w:t>
      </w:r>
      <w:r>
        <w:rPr>
          <w:spacing w:val="1"/>
          <w:w w:val="99"/>
        </w:rPr>
        <w:t> </w:t>
      </w:r>
      <w:r>
        <w:rPr>
          <w:rFonts w:ascii="宋体" w:hAnsi="宋体" w:cs="宋体" w:eastAsia="宋体" w:hint="default"/>
          <w:b w:val="0"/>
          <w:bCs w:val="0"/>
        </w:rPr>
        <w:t>无。</w:t>
      </w:r>
    </w:p>
    <w:p>
      <w:pPr>
        <w:pStyle w:val="Heading5"/>
        <w:spacing w:line="568" w:lineRule="auto" w:before="126"/>
        <w:ind w:left="574" w:right="671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）重大在建工程项目变动情况</w:t>
      </w:r>
      <w:r>
        <w:rPr>
          <w:spacing w:val="1"/>
          <w:w w:val="99"/>
        </w:rPr>
        <w:t> </w:t>
      </w:r>
      <w:r>
        <w:rPr>
          <w:rFonts w:ascii="宋体" w:hAnsi="宋体" w:cs="宋体" w:eastAsia="宋体" w:hint="default"/>
          <w:b w:val="0"/>
          <w:bCs w:val="0"/>
        </w:rPr>
        <w:t>无。</w:t>
      </w:r>
    </w:p>
    <w:p>
      <w:pPr>
        <w:spacing w:line="568" w:lineRule="auto" w:before="128"/>
        <w:ind w:left="574" w:right="755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after="0" w:line="568" w:lineRule="auto"/>
        <w:jc w:val="left"/>
        <w:rPr>
          <w:rFonts w:ascii="宋体" w:hAnsi="宋体" w:cs="宋体" w:eastAsia="宋体" w:hint="default"/>
          <w:sz w:val="21"/>
          <w:szCs w:val="21"/>
        </w:rPr>
        <w:sectPr>
          <w:pgSz w:w="11910" w:h="16840"/>
          <w:pgMar w:header="997" w:footer="1252" w:top="1340" w:bottom="1440" w:left="980" w:right="980"/>
        </w:sectPr>
      </w:pPr>
    </w:p>
    <w:p>
      <w:pPr>
        <w:pStyle w:val="Heading5"/>
        <w:spacing w:line="568" w:lineRule="auto" w:before="106"/>
        <w:ind w:left="574" w:right="6503"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）重大在建工程的工程进度情况</w:t>
      </w:r>
      <w:r>
        <w:rPr>
          <w:w w:val="99"/>
        </w:rPr>
        <w:t> </w:t>
      </w:r>
      <w:r>
        <w:rPr>
          <w:rFonts w:ascii="宋体" w:hAnsi="宋体" w:cs="宋体" w:eastAsia="宋体" w:hint="default"/>
          <w:b w:val="0"/>
          <w:bCs w:val="0"/>
        </w:rPr>
        <w:t>无。</w:t>
      </w:r>
    </w:p>
    <w:p>
      <w:pPr>
        <w:pStyle w:val="Heading5"/>
        <w:spacing w:line="568" w:lineRule="auto" w:before="128"/>
        <w:ind w:left="574" w:right="7769" w:hanging="421"/>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）在建工程的说明</w:t>
      </w:r>
      <w:r>
        <w:rPr>
          <w:spacing w:val="1"/>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19</w:t>
      </w:r>
      <w:r>
        <w:rPr/>
        <w:t>、工程物资</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20</w:t>
      </w:r>
      <w:r>
        <w:rPr/>
        <w:t>、固定资产清理</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21</w:t>
      </w:r>
      <w:r>
        <w:rPr/>
        <w:t>、生产性生物资产</w:t>
      </w:r>
    </w:p>
    <w:p>
      <w:pPr>
        <w:spacing w:line="240" w:lineRule="auto" w:before="1"/>
        <w:rPr>
          <w:rFonts w:ascii="黑体" w:hAnsi="黑体" w:cs="黑体" w:eastAsia="黑体" w:hint="default"/>
          <w:sz w:val="29"/>
          <w:szCs w:val="29"/>
        </w:rPr>
      </w:pPr>
    </w:p>
    <w:p>
      <w:pPr>
        <w:spacing w:line="568" w:lineRule="auto" w:before="0"/>
        <w:ind w:left="574" w:right="818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568" w:lineRule="auto" w:before="128"/>
        <w:ind w:left="574" w:right="776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3"/>
        <w:spacing w:line="240" w:lineRule="auto" w:before="38"/>
        <w:ind w:right="0"/>
        <w:jc w:val="left"/>
      </w:pPr>
      <w:r>
        <w:rPr>
          <w:rFonts w:ascii="Cambria" w:hAnsi="Cambria" w:cs="Cambria" w:eastAsia="Cambria" w:hint="default"/>
        </w:rPr>
        <w:t>22</w:t>
      </w:r>
      <w:r>
        <w:rPr/>
        <w:t>、油气资产</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23</w:t>
      </w:r>
      <w:r>
        <w:rPr/>
        <w:t>、无形资产</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185"/>
        <w:gridCol w:w="1855"/>
        <w:gridCol w:w="1843"/>
        <w:gridCol w:w="1843"/>
        <w:gridCol w:w="1842"/>
      </w:tblGrid>
      <w:tr>
        <w:trPr>
          <w:trHeight w:val="479"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85"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5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5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74"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78"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875,230.08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943,666.67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1,818,896.75</w:t>
            </w:r>
          </w:p>
        </w:tc>
      </w:tr>
      <w:tr>
        <w:trPr>
          <w:trHeight w:val="478"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508,000.00</w:t>
            </w:r>
          </w:p>
        </w:tc>
      </w:tr>
      <w:tr>
        <w:trPr>
          <w:trHeight w:val="479"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367,230.08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943,666.67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1,310,896.75</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38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78"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23,797.38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209,623.05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233,420.43</w:t>
            </w:r>
          </w:p>
        </w:tc>
      </w:tr>
      <w:tr>
        <w:trPr>
          <w:trHeight w:val="47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23,797.38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209,623.05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233,420.43</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851,432.70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734,043.62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1,585,476.32</w:t>
            </w:r>
          </w:p>
        </w:tc>
      </w:tr>
      <w:tr>
        <w:trPr>
          <w:trHeight w:val="47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508,000.00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508,000.00</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343,432.70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734,043.62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1,077,476.32</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851,432.70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734,043.62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1,585,476.32</w:t>
            </w:r>
          </w:p>
        </w:tc>
      </w:tr>
      <w:tr>
        <w:trPr>
          <w:trHeight w:val="47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508,000.00</w:t>
            </w:r>
          </w:p>
        </w:tc>
      </w:tr>
      <w:tr>
        <w:trPr>
          <w:trHeight w:val="479"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343,432.70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734,043.62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1,077,476.32</w:t>
            </w:r>
          </w:p>
        </w:tc>
      </w:tr>
    </w:tbl>
    <w:p>
      <w:pPr>
        <w:spacing w:line="240" w:lineRule="auto" w:before="1"/>
        <w:rPr>
          <w:rFonts w:ascii="宋体" w:hAnsi="宋体" w:cs="宋体" w:eastAsia="宋体" w:hint="default"/>
          <w:sz w:val="14"/>
          <w:szCs w:val="14"/>
        </w:rPr>
      </w:pPr>
    </w:p>
    <w:p>
      <w:pPr>
        <w:pStyle w:val="BodyText"/>
        <w:spacing w:line="240" w:lineRule="auto" w:before="35"/>
        <w:ind w:left="814" w:right="133"/>
        <w:jc w:val="left"/>
      </w:pPr>
      <w:r>
        <w:rPr/>
        <w:t>本期摊销额</w:t>
      </w:r>
      <w:r>
        <w:rPr>
          <w:spacing w:val="-57"/>
        </w:rPr>
        <w:t> </w:t>
      </w:r>
      <w:r>
        <w:rPr>
          <w:rFonts w:ascii="Times New Roman" w:hAnsi="Times New Roman" w:cs="Times New Roman" w:eastAsia="Times New Roman" w:hint="default"/>
        </w:rPr>
        <w:t>141,253.95</w:t>
      </w:r>
      <w:r>
        <w:rPr>
          <w:rFonts w:ascii="Times New Roman" w:hAnsi="Times New Roman" w:cs="Times New Roman" w:eastAsia="Times New Roman" w:hint="default"/>
          <w:spacing w:val="-4"/>
        </w:rPr>
        <w:t> </w:t>
      </w:r>
      <w:r>
        <w:rPr/>
        <w:t>元。</w:t>
      </w:r>
    </w:p>
    <w:p>
      <w:pPr>
        <w:spacing w:line="240" w:lineRule="auto" w:before="8"/>
        <w:rPr>
          <w:rFonts w:ascii="宋体" w:hAnsi="宋体" w:cs="宋体" w:eastAsia="宋体" w:hint="default"/>
          <w:sz w:val="30"/>
          <w:szCs w:val="30"/>
        </w:rPr>
      </w:pPr>
    </w:p>
    <w:p>
      <w:pPr>
        <w:spacing w:line="568" w:lineRule="auto" w:before="0"/>
        <w:ind w:left="814" w:right="769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3"/>
        <w:spacing w:line="240" w:lineRule="auto" w:before="38"/>
        <w:ind w:left="394" w:right="133"/>
        <w:jc w:val="left"/>
      </w:pPr>
      <w:r>
        <w:rPr>
          <w:rFonts w:ascii="Cambria" w:hAnsi="Cambria" w:cs="Cambria" w:eastAsia="Cambria" w:hint="default"/>
        </w:rPr>
        <w:t>24</w:t>
      </w:r>
      <w:r>
        <w:rPr/>
        <w:t>、商誉</w:t>
      </w:r>
    </w:p>
    <w:p>
      <w:pPr>
        <w:spacing w:line="240" w:lineRule="auto" w:before="3"/>
        <w:rPr>
          <w:rFonts w:ascii="黑体" w:hAnsi="黑体" w:cs="黑体" w:eastAsia="黑体" w:hint="default"/>
          <w:sz w:val="21"/>
          <w:szCs w:val="21"/>
        </w:rPr>
      </w:pPr>
    </w:p>
    <w:p>
      <w:pPr>
        <w:pStyle w:val="BodyText"/>
        <w:spacing w:line="240" w:lineRule="auto" w:before="35"/>
        <w:ind w:left="0" w:right="288"/>
        <w:jc w:val="right"/>
      </w:pPr>
      <w:r>
        <w:rPr/>
        <w:t>单位： 元</w:t>
      </w:r>
    </w:p>
    <w:p>
      <w:pPr>
        <w:spacing w:line="240" w:lineRule="auto" w:before="11"/>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813"/>
        <w:gridCol w:w="1459"/>
        <w:gridCol w:w="1460"/>
        <w:gridCol w:w="1460"/>
        <w:gridCol w:w="1460"/>
        <w:gridCol w:w="1199"/>
      </w:tblGrid>
      <w:tr>
        <w:trPr>
          <w:trHeight w:val="478" w:hRule="exact"/>
        </w:trPr>
        <w:tc>
          <w:tcPr>
            <w:tcW w:w="2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6" w:right="0"/>
              <w:jc w:val="left"/>
              <w:rPr>
                <w:rFonts w:ascii="宋体" w:hAnsi="宋体" w:cs="宋体" w:eastAsia="宋体" w:hint="default"/>
                <w:sz w:val="18"/>
                <w:szCs w:val="18"/>
              </w:rPr>
            </w:pPr>
            <w:r>
              <w:rPr>
                <w:rFonts w:ascii="宋体" w:hAnsi="宋体" w:cs="宋体" w:eastAsia="宋体" w:hint="default"/>
                <w:b/>
                <w:bCs/>
                <w:sz w:val="18"/>
                <w:szCs w:val="18"/>
              </w:rPr>
              <w:t>被投资单位名称或形成商誉的事项</w:t>
            </w:r>
            <w:r>
              <w:rPr>
                <w:rFonts w:ascii="宋体" w:hAnsi="宋体" w:cs="宋体" w:eastAsia="宋体" w:hint="default"/>
                <w:sz w:val="18"/>
                <w:szCs w:val="18"/>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6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6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6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6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1" w:right="0"/>
              <w:jc w:val="left"/>
              <w:rPr>
                <w:rFonts w:ascii="宋体" w:hAnsi="宋体" w:cs="宋体" w:eastAsia="宋体" w:hint="default"/>
                <w:sz w:val="18"/>
                <w:szCs w:val="18"/>
              </w:rPr>
            </w:pPr>
            <w:r>
              <w:rPr>
                <w:rFonts w:ascii="宋体" w:hAnsi="宋体" w:cs="宋体" w:eastAsia="宋体" w:hint="default"/>
                <w:b/>
                <w:bCs/>
                <w:sz w:val="18"/>
                <w:szCs w:val="18"/>
              </w:rPr>
              <w:t>期末减值准备</w:t>
            </w:r>
            <w:r>
              <w:rPr>
                <w:rFonts w:ascii="宋体" w:hAnsi="宋体" w:cs="宋体" w:eastAsia="宋体" w:hint="default"/>
                <w:sz w:val="18"/>
                <w:szCs w:val="18"/>
              </w:rPr>
            </w:r>
          </w:p>
        </w:tc>
      </w:tr>
      <w:tr>
        <w:trPr>
          <w:trHeight w:val="47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348,668.15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348,668.15</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348,668.15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348,668.15</w:t>
            </w: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814" w:right="133"/>
        <w:jc w:val="left"/>
      </w:pPr>
      <w:r>
        <w:rPr/>
        <w:t>说明商誉的减值测试方法和减值准备计提方法</w:t>
      </w:r>
    </w:p>
    <w:p>
      <w:pPr>
        <w:spacing w:line="240" w:lineRule="auto" w:before="12"/>
        <w:rPr>
          <w:rFonts w:ascii="宋体" w:hAnsi="宋体" w:cs="宋体" w:eastAsia="宋体" w:hint="default"/>
          <w:sz w:val="24"/>
          <w:szCs w:val="24"/>
        </w:rPr>
      </w:pPr>
    </w:p>
    <w:p>
      <w:pPr>
        <w:pStyle w:val="Heading3"/>
        <w:spacing w:line="240" w:lineRule="auto"/>
        <w:ind w:left="394" w:right="133"/>
        <w:jc w:val="left"/>
      </w:pPr>
      <w:r>
        <w:rPr>
          <w:rFonts w:ascii="Cambria" w:hAnsi="Cambria" w:cs="Cambria" w:eastAsia="Cambria" w:hint="default"/>
        </w:rPr>
        <w:t>25</w:t>
      </w:r>
      <w:r>
        <w:rPr/>
        <w:t>、长期待摊费用</w:t>
      </w:r>
    </w:p>
    <w:p>
      <w:pPr>
        <w:spacing w:line="240" w:lineRule="auto" w:before="3"/>
        <w:rPr>
          <w:rFonts w:ascii="黑体" w:hAnsi="黑体" w:cs="黑体" w:eastAsia="黑体" w:hint="default"/>
          <w:sz w:val="21"/>
          <w:szCs w:val="21"/>
        </w:rPr>
      </w:pPr>
    </w:p>
    <w:p>
      <w:pPr>
        <w:pStyle w:val="BodyText"/>
        <w:spacing w:line="240" w:lineRule="auto" w:before="35"/>
        <w:ind w:left="0" w:right="288"/>
        <w:jc w:val="right"/>
      </w:pPr>
      <w:r>
        <w:rPr/>
        <w:t>单位： 元</w:t>
      </w:r>
    </w:p>
    <w:p>
      <w:pPr>
        <w:spacing w:line="240" w:lineRule="auto" w:before="12"/>
        <w:rPr>
          <w:rFonts w:ascii="宋体" w:hAnsi="宋体" w:cs="宋体" w:eastAsia="宋体" w:hint="default"/>
          <w:sz w:val="21"/>
          <w:szCs w:val="21"/>
        </w:rPr>
      </w:pPr>
    </w:p>
    <w:tbl>
      <w:tblPr>
        <w:tblW w:w="0" w:type="auto"/>
        <w:jc w:val="left"/>
        <w:tblInd w:w="209" w:type="dxa"/>
        <w:tblLayout w:type="fixed"/>
        <w:tblCellMar>
          <w:top w:w="0" w:type="dxa"/>
          <w:left w:w="0" w:type="dxa"/>
          <w:bottom w:w="0" w:type="dxa"/>
          <w:right w:w="0" w:type="dxa"/>
        </w:tblCellMar>
        <w:tblLook w:val="01E0"/>
      </w:tblPr>
      <w:tblGrid>
        <w:gridCol w:w="1986"/>
        <w:gridCol w:w="1559"/>
        <w:gridCol w:w="1134"/>
        <w:gridCol w:w="1417"/>
        <w:gridCol w:w="1168"/>
        <w:gridCol w:w="1367"/>
        <w:gridCol w:w="1367"/>
      </w:tblGrid>
      <w:tr>
        <w:trPr>
          <w:trHeight w:val="478"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02"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9"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50" w:right="0"/>
              <w:jc w:val="left"/>
              <w:rPr>
                <w:rFonts w:ascii="宋体" w:hAnsi="宋体" w:cs="宋体" w:eastAsia="宋体" w:hint="default"/>
                <w:sz w:val="18"/>
                <w:szCs w:val="18"/>
              </w:rPr>
            </w:pPr>
            <w:r>
              <w:rPr>
                <w:rFonts w:ascii="宋体" w:hAnsi="宋体" w:cs="宋体" w:eastAsia="宋体" w:hint="default"/>
                <w:b/>
                <w:bCs/>
                <w:sz w:val="18"/>
                <w:szCs w:val="18"/>
              </w:rPr>
              <w:t>本期摊销额</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5"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06"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其他减少的原因</w:t>
            </w:r>
            <w:r>
              <w:rPr>
                <w:rFonts w:ascii="宋体" w:hAnsi="宋体" w:cs="宋体" w:eastAsia="宋体" w:hint="default"/>
                <w:sz w:val="18"/>
                <w:szCs w:val="18"/>
              </w:rPr>
            </w: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8"/>
              <w:jc w:val="center"/>
              <w:rPr>
                <w:rFonts w:ascii="宋体" w:hAnsi="宋体" w:cs="宋体" w:eastAsia="宋体" w:hint="default"/>
                <w:sz w:val="18"/>
                <w:szCs w:val="18"/>
              </w:rPr>
            </w:pPr>
            <w:r>
              <w:rPr>
                <w:rFonts w:ascii="宋体" w:hAnsi="宋体" w:cs="宋体" w:eastAsia="宋体" w:hint="default"/>
                <w:sz w:val="18"/>
                <w:szCs w:val="18"/>
              </w:rPr>
              <w:t>经营租赁房屋改良支出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811,610.68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69,526.44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160,695.69</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720,441.43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811,610.68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69,526.44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160,695.69</w:t>
            </w:r>
          </w:p>
        </w:tc>
        <w:tc>
          <w:tcPr>
            <w:tcW w:w="11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720,441.43</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97" w:footer="1252" w:top="1340" w:bottom="1440" w:left="740" w:right="840"/>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长期待摊费用的说明</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26</w:t>
      </w:r>
      <w:r>
        <w:rPr/>
        <w:t>、递延所得税资产和递延所得税负债</w:t>
      </w:r>
    </w:p>
    <w:p>
      <w:pPr>
        <w:spacing w:line="240" w:lineRule="auto" w:before="1"/>
        <w:rPr>
          <w:rFonts w:ascii="黑体" w:hAnsi="黑体" w:cs="黑体" w:eastAsia="黑体" w:hint="default"/>
          <w:sz w:val="29"/>
          <w:szCs w:val="29"/>
        </w:rPr>
      </w:pPr>
    </w:p>
    <w:p>
      <w:pPr>
        <w:spacing w:line="568" w:lineRule="auto" w:before="0"/>
        <w:ind w:left="573" w:right="397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b/>
          <w:bCs/>
          <w:w w:val="99"/>
          <w:sz w:val="21"/>
          <w:szCs w:val="21"/>
        </w:rPr>
        <w:t> </w:t>
      </w:r>
      <w:r>
        <w:rPr>
          <w:rFonts w:ascii="宋体" w:hAnsi="宋体" w:cs="宋体" w:eastAsia="宋体" w:hint="default"/>
          <w:sz w:val="21"/>
          <w:szCs w:val="21"/>
        </w:rPr>
        <w:t>已确认的递延所得税资产和递延所得税负债</w:t>
      </w:r>
    </w:p>
    <w:p>
      <w:pPr>
        <w:pStyle w:val="BodyText"/>
        <w:spacing w:line="240" w:lineRule="auto" w:before="61"/>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718"/>
        <w:gridCol w:w="2927"/>
        <w:gridCol w:w="2922"/>
      </w:tblGrid>
      <w:tr>
        <w:trPr>
          <w:trHeight w:val="4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55,598.22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1,042,563.59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615,442.54</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413,969.56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327,074.73</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内部未实现的利润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845,538.43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499,384.64</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对联营企业投资产生的损益</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78,068.46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49,794.44</w:t>
            </w:r>
          </w:p>
        </w:tc>
      </w:tr>
      <w:tr>
        <w:trPr>
          <w:trHeight w:val="4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2,435,738.26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1,491,696.35</w:t>
            </w:r>
          </w:p>
        </w:tc>
      </w:tr>
      <w:tr>
        <w:trPr>
          <w:trHeight w:val="47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4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未确认递延所得税资产明细</w:t>
      </w:r>
    </w:p>
    <w:p>
      <w:pPr>
        <w:spacing w:line="240" w:lineRule="auto" w:before="13"/>
        <w:rPr>
          <w:rFonts w:ascii="宋体" w:hAnsi="宋体" w:cs="宋体" w:eastAsia="宋体" w:hint="default"/>
          <w:sz w:val="23"/>
          <w:szCs w:val="23"/>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699"/>
        <w:gridCol w:w="2935"/>
        <w:gridCol w:w="2922"/>
      </w:tblGrid>
      <w:tr>
        <w:trPr>
          <w:trHeight w:val="478"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66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84,195.12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119,220.35</w:t>
            </w:r>
          </w:p>
        </w:tc>
      </w:tr>
      <w:tr>
        <w:trPr>
          <w:trHeight w:val="479"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6,187,641.11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3,007,837.58</w:t>
            </w:r>
          </w:p>
        </w:tc>
      </w:tr>
      <w:tr>
        <w:trPr>
          <w:trHeight w:val="478"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663"/>
              <w:jc w:val="righ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6,271,836.23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3,127,057.93</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未确认递延所得税资产的可抵扣亏损将于以下年度到期</w:t>
      </w:r>
    </w:p>
    <w:p>
      <w:pPr>
        <w:spacing w:line="240" w:lineRule="auto" w:before="13"/>
        <w:rPr>
          <w:rFonts w:ascii="宋体" w:hAnsi="宋体" w:cs="宋体" w:eastAsia="宋体" w:hint="default"/>
          <w:sz w:val="23"/>
          <w:szCs w:val="23"/>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78"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50" w:right="0"/>
              <w:jc w:val="left"/>
              <w:rPr>
                <w:rFonts w:ascii="Times New Roman" w:hAnsi="Times New Roman" w:cs="Times New Roman" w:eastAsia="Times New Roman" w:hint="default"/>
                <w:sz w:val="18"/>
                <w:szCs w:val="18"/>
              </w:rPr>
            </w:pPr>
            <w:r>
              <w:rPr>
                <w:rFonts w:ascii="Times New Roman"/>
                <w:sz w:val="18"/>
              </w:rPr>
              <w:t>518,002.47</w:t>
            </w:r>
          </w:p>
        </w:tc>
        <w:tc>
          <w:tcPr>
            <w:tcW w:w="3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1,266,328.30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243,920.01</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34,872.45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34,872.45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1,345,510.82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1,094,288.89</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1,388,399.60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1,116,753.76</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2,152,529.94</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6,187,641.11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3,007,837.58</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应纳税差异和可抵扣差异项目明细</w:t>
      </w:r>
    </w:p>
    <w:p>
      <w:pPr>
        <w:spacing w:line="240" w:lineRule="auto" w:before="13"/>
        <w:rPr>
          <w:rFonts w:ascii="宋体" w:hAnsi="宋体" w:cs="宋体" w:eastAsia="宋体" w:hint="default"/>
          <w:sz w:val="23"/>
          <w:szCs w:val="23"/>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78"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r>
      <w:tr>
        <w:trPr>
          <w:trHeight w:val="478"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r>
      <w:tr>
        <w:trPr>
          <w:trHeight w:val="47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应纳税差异项目</w:t>
            </w:r>
            <w:r>
              <w:rPr>
                <w:rFonts w:ascii="宋体" w:hAnsi="宋体" w:cs="宋体" w:eastAsia="宋体" w:hint="default"/>
                <w:sz w:val="18"/>
                <w:szCs w:val="18"/>
              </w:rPr>
            </w:r>
          </w:p>
        </w:tc>
      </w:tr>
      <w:tr>
        <w:trPr>
          <w:trHeight w:val="47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可抵扣差异项目</w:t>
            </w:r>
            <w:r>
              <w:rPr>
                <w:rFonts w:ascii="宋体" w:hAnsi="宋体" w:cs="宋体" w:eastAsia="宋体" w:hint="default"/>
                <w:sz w:val="18"/>
                <w:szCs w:val="18"/>
              </w:rPr>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6,620,467.14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3,956,683.77</w:t>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2,759,797.05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2,180,498.17</w:t>
            </w:r>
          </w:p>
        </w:tc>
      </w:tr>
      <w:tr>
        <w:trPr>
          <w:trHeight w:val="479"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内部未实现的利润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3,382,153.71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2,987,729.21</w:t>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对联营企业投资产生的损益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520,456.41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331,962.95</w:t>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222,392.86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13,505,267.17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9,456,874.10</w:t>
            </w:r>
          </w:p>
        </w:tc>
      </w:tr>
    </w:tbl>
    <w:p>
      <w:pPr>
        <w:spacing w:line="240" w:lineRule="auto" w:before="2"/>
        <w:rPr>
          <w:rFonts w:ascii="宋体" w:hAnsi="宋体" w:cs="宋体" w:eastAsia="宋体" w:hint="default"/>
          <w:sz w:val="19"/>
          <w:szCs w:val="19"/>
        </w:rPr>
      </w:pPr>
    </w:p>
    <w:p>
      <w:pPr>
        <w:spacing w:line="568" w:lineRule="auto" w:before="35"/>
        <w:ind w:left="573" w:right="418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b/>
          <w:bCs/>
          <w:w w:val="99"/>
          <w:sz w:val="21"/>
          <w:szCs w:val="21"/>
        </w:rPr>
        <w:t> </w:t>
      </w:r>
      <w:r>
        <w:rPr>
          <w:rFonts w:ascii="宋体" w:hAnsi="宋体" w:cs="宋体" w:eastAsia="宋体" w:hint="default"/>
          <w:sz w:val="21"/>
          <w:szCs w:val="21"/>
        </w:rPr>
        <w:t>互抵后的递延所得税资产及负债的组成项目</w:t>
      </w:r>
    </w:p>
    <w:p>
      <w:pPr>
        <w:pStyle w:val="BodyText"/>
        <w:spacing w:line="240" w:lineRule="auto" w:before="61"/>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831"/>
        <w:gridCol w:w="1985"/>
        <w:gridCol w:w="1984"/>
        <w:gridCol w:w="1843"/>
        <w:gridCol w:w="1915"/>
      </w:tblGrid>
      <w:tr>
        <w:trPr>
          <w:trHeight w:val="184" w:hRule="exact"/>
        </w:trPr>
        <w:tc>
          <w:tcPr>
            <w:tcW w:w="183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264" w:right="83" w:hanging="180"/>
              <w:jc w:val="left"/>
              <w:rPr>
                <w:rFonts w:ascii="宋体" w:hAnsi="宋体" w:cs="宋体" w:eastAsia="宋体" w:hint="default"/>
                <w:sz w:val="18"/>
                <w:szCs w:val="18"/>
              </w:rPr>
            </w:pPr>
            <w:r>
              <w:rPr>
                <w:rFonts w:ascii="宋体" w:hAnsi="宋体" w:cs="宋体" w:eastAsia="宋体" w:hint="default"/>
                <w:b/>
                <w:bCs/>
                <w:sz w:val="18"/>
                <w:szCs w:val="18"/>
              </w:rPr>
              <w:t>报告期末互抵后的递延</w:t>
            </w:r>
            <w:r>
              <w:rPr>
                <w:rFonts w:ascii="宋体" w:hAnsi="宋体" w:cs="宋体" w:eastAsia="宋体" w:hint="default"/>
                <w:b/>
                <w:bCs/>
                <w:w w:val="99"/>
                <w:sz w:val="18"/>
                <w:szCs w:val="18"/>
              </w:rPr>
              <w:t> </w:t>
            </w:r>
            <w:r>
              <w:rPr>
                <w:rFonts w:ascii="宋体" w:hAnsi="宋体" w:cs="宋体" w:eastAsia="宋体" w:hint="default"/>
                <w:b/>
                <w:bCs/>
                <w:sz w:val="18"/>
                <w:szCs w:val="18"/>
              </w:rPr>
              <w:t>所得税资产或负债</w:t>
            </w:r>
            <w:r>
              <w:rPr>
                <w:rFonts w:ascii="宋体" w:hAnsi="宋体" w:cs="宋体" w:eastAsia="宋体" w:hint="default"/>
                <w:sz w:val="18"/>
                <w:szCs w:val="18"/>
              </w:rPr>
            </w:r>
          </w:p>
        </w:tc>
        <w:tc>
          <w:tcPr>
            <w:tcW w:w="1984"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83" w:right="81"/>
              <w:jc w:val="left"/>
              <w:rPr>
                <w:rFonts w:ascii="宋体" w:hAnsi="宋体" w:cs="宋体" w:eastAsia="宋体" w:hint="default"/>
                <w:sz w:val="18"/>
                <w:szCs w:val="18"/>
              </w:rPr>
            </w:pPr>
            <w:r>
              <w:rPr>
                <w:rFonts w:ascii="宋体" w:hAnsi="宋体" w:cs="宋体" w:eastAsia="宋体" w:hint="default"/>
                <w:b/>
                <w:bCs/>
                <w:sz w:val="18"/>
                <w:szCs w:val="18"/>
              </w:rPr>
              <w:t>报告期末互抵后的可抵</w:t>
            </w:r>
            <w:r>
              <w:rPr>
                <w:rFonts w:ascii="宋体" w:hAnsi="宋体" w:cs="宋体" w:eastAsia="宋体" w:hint="default"/>
                <w:b/>
                <w:bCs/>
                <w:w w:val="99"/>
                <w:sz w:val="18"/>
                <w:szCs w:val="18"/>
              </w:rPr>
              <w:t> </w:t>
            </w:r>
            <w:r>
              <w:rPr>
                <w:rFonts w:ascii="宋体" w:hAnsi="宋体" w:cs="宋体" w:eastAsia="宋体" w:hint="default"/>
                <w:b/>
                <w:bCs/>
                <w:sz w:val="18"/>
                <w:szCs w:val="18"/>
              </w:rPr>
              <w:t>扣或应纳税暂时性差异</w:t>
            </w:r>
            <w:r>
              <w:rPr>
                <w:rFonts w:ascii="宋体" w:hAnsi="宋体" w:cs="宋体" w:eastAsia="宋体" w:hint="default"/>
                <w:sz w:val="18"/>
                <w:szCs w:val="18"/>
              </w:rPr>
            </w: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04" w:right="99"/>
              <w:jc w:val="left"/>
              <w:rPr>
                <w:rFonts w:ascii="宋体" w:hAnsi="宋体" w:cs="宋体" w:eastAsia="宋体" w:hint="default"/>
                <w:sz w:val="18"/>
                <w:szCs w:val="18"/>
              </w:rPr>
            </w:pPr>
            <w:r>
              <w:rPr>
                <w:rFonts w:ascii="宋体" w:hAnsi="宋体" w:cs="宋体" w:eastAsia="宋体" w:hint="default"/>
                <w:b/>
                <w:bCs/>
                <w:sz w:val="18"/>
                <w:szCs w:val="18"/>
              </w:rPr>
              <w:t>报告期初互抵后的递</w:t>
            </w:r>
            <w:r>
              <w:rPr>
                <w:rFonts w:ascii="宋体" w:hAnsi="宋体" w:cs="宋体" w:eastAsia="宋体" w:hint="default"/>
                <w:b/>
                <w:bCs/>
                <w:spacing w:val="1"/>
                <w:w w:val="99"/>
                <w:sz w:val="18"/>
                <w:szCs w:val="18"/>
              </w:rPr>
              <w:t> </w:t>
            </w:r>
            <w:r>
              <w:rPr>
                <w:rFonts w:ascii="宋体" w:hAnsi="宋体" w:cs="宋体" w:eastAsia="宋体" w:hint="default"/>
                <w:b/>
                <w:bCs/>
                <w:sz w:val="18"/>
                <w:szCs w:val="18"/>
              </w:rPr>
              <w:t>延所得税资产或负债</w:t>
            </w:r>
            <w:r>
              <w:rPr>
                <w:rFonts w:ascii="宋体" w:hAnsi="宋体" w:cs="宋体" w:eastAsia="宋体" w:hint="default"/>
                <w:sz w:val="18"/>
                <w:szCs w:val="18"/>
              </w:rPr>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49" w:right="48"/>
              <w:jc w:val="left"/>
              <w:rPr>
                <w:rFonts w:ascii="宋体" w:hAnsi="宋体" w:cs="宋体" w:eastAsia="宋体" w:hint="default"/>
                <w:sz w:val="18"/>
                <w:szCs w:val="18"/>
              </w:rPr>
            </w:pPr>
            <w:r>
              <w:rPr>
                <w:rFonts w:ascii="宋体" w:hAnsi="宋体" w:cs="宋体" w:eastAsia="宋体" w:hint="default"/>
                <w:b/>
                <w:bCs/>
                <w:sz w:val="18"/>
                <w:szCs w:val="18"/>
              </w:rPr>
              <w:t>报告期初互抵后的可抵</w:t>
            </w:r>
            <w:r>
              <w:rPr>
                <w:rFonts w:ascii="宋体" w:hAnsi="宋体" w:cs="宋体" w:eastAsia="宋体" w:hint="default"/>
                <w:b/>
                <w:bCs/>
                <w:w w:val="99"/>
                <w:sz w:val="18"/>
                <w:szCs w:val="18"/>
              </w:rPr>
              <w:t> </w:t>
            </w:r>
            <w:r>
              <w:rPr>
                <w:rFonts w:ascii="宋体" w:hAnsi="宋体" w:cs="宋体" w:eastAsia="宋体" w:hint="default"/>
                <w:b/>
                <w:bCs/>
                <w:sz w:val="18"/>
                <w:szCs w:val="18"/>
              </w:rPr>
              <w:t>扣或应纳税暂时性差异</w:t>
            </w:r>
            <w:r>
              <w:rPr>
                <w:rFonts w:ascii="宋体" w:hAnsi="宋体" w:cs="宋体" w:eastAsia="宋体" w:hint="default"/>
                <w:sz w:val="18"/>
                <w:szCs w:val="18"/>
              </w:rPr>
            </w:r>
          </w:p>
        </w:tc>
      </w:tr>
      <w:tr>
        <w:trPr>
          <w:trHeight w:val="359" w:hRule="exact"/>
        </w:trPr>
        <w:tc>
          <w:tcPr>
            <w:tcW w:w="18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vMerge/>
            <w:tcBorders>
              <w:left w:val="single" w:sz="4" w:space="0" w:color="000000"/>
              <w:right w:val="single" w:sz="4" w:space="0" w:color="000000"/>
            </w:tcBorders>
            <w:shd w:val="clear" w:color="auto" w:fill="D3D3D3"/>
          </w:tcPr>
          <w:p>
            <w:pPr/>
          </w:p>
        </w:tc>
        <w:tc>
          <w:tcPr>
            <w:tcW w:w="1984" w:type="dxa"/>
            <w:vMerge/>
            <w:tcBorders>
              <w:left w:val="single" w:sz="4" w:space="0" w:color="000000"/>
              <w:right w:val="single" w:sz="4" w:space="0" w:color="000000"/>
            </w:tcBorders>
            <w:shd w:val="clear" w:color="auto" w:fill="D3D3D3"/>
          </w:tcPr>
          <w:p>
            <w:pPr/>
          </w:p>
        </w:tc>
        <w:tc>
          <w:tcPr>
            <w:tcW w:w="1843" w:type="dxa"/>
            <w:vMerge/>
            <w:tcBorders>
              <w:left w:val="single" w:sz="4" w:space="0" w:color="000000"/>
              <w:right w:val="single" w:sz="4" w:space="0" w:color="000000"/>
            </w:tcBorders>
            <w:shd w:val="clear" w:color="auto" w:fill="D3D3D3"/>
          </w:tcPr>
          <w:p>
            <w:pPr/>
          </w:p>
        </w:tc>
        <w:tc>
          <w:tcPr>
            <w:tcW w:w="1915" w:type="dxa"/>
            <w:vMerge/>
            <w:tcBorders>
              <w:left w:val="single" w:sz="4" w:space="0" w:color="000000"/>
              <w:right w:val="single" w:sz="4" w:space="0" w:color="000000"/>
            </w:tcBorders>
            <w:shd w:val="clear" w:color="auto" w:fill="D3D3D3"/>
          </w:tcPr>
          <w:p>
            <w:pPr/>
          </w:p>
        </w:tc>
      </w:tr>
      <w:tr>
        <w:trPr>
          <w:trHeight w:val="183" w:hRule="exact"/>
        </w:trPr>
        <w:tc>
          <w:tcPr>
            <w:tcW w:w="183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shd w:val="clear" w:color="auto" w:fill="D3D3D3"/>
          </w:tcPr>
          <w:p>
            <w:pPr/>
          </w:p>
        </w:tc>
        <w:tc>
          <w:tcPr>
            <w:tcW w:w="1984" w:type="dxa"/>
            <w:vMerge/>
            <w:tcBorders>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79"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2,435,738.26</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1,491,696.35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27</w:t>
      </w:r>
      <w:r>
        <w:rPr/>
        <w:t>、资产减值准备明细</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45"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28"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217"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39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178"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240"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43"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4,075,904.12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2,723,932.66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95,174.52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6,704,662.26</w:t>
            </w: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2,180,498.17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854,392.75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275,093.87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2,759,797.05</w:t>
            </w:r>
          </w:p>
        </w:tc>
      </w:tr>
      <w:tr>
        <w:trPr>
          <w:trHeight w:val="479"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6,256,402.29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3,578,325.41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370,268.39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9,464,459.31</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资产减值明细情况的说明</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28</w:t>
      </w:r>
      <w:r>
        <w:rPr/>
        <w:t>、其他非流动资产</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29</w:t>
      </w:r>
      <w:r>
        <w:rPr/>
        <w:t>、短期借款</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78"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59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9"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78"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24,500,000.00</w:t>
            </w:r>
          </w:p>
        </w:tc>
      </w:tr>
      <w:tr>
        <w:trPr>
          <w:trHeight w:val="479"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597"/>
              <w:jc w:val="righ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44,500,000.00</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短期借款分类的说明</w:t>
      </w:r>
    </w:p>
    <w:p>
      <w:pPr>
        <w:spacing w:line="240" w:lineRule="auto" w:before="1"/>
        <w:rPr>
          <w:rFonts w:ascii="宋体" w:hAnsi="宋体" w:cs="宋体" w:eastAsia="宋体" w:hint="default"/>
          <w:sz w:val="26"/>
          <w:szCs w:val="26"/>
        </w:rPr>
      </w:pPr>
    </w:p>
    <w:p>
      <w:pPr>
        <w:pStyle w:val="Heading4"/>
        <w:spacing w:line="240" w:lineRule="auto"/>
        <w:ind w:left="594" w:right="0" w:firstLine="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日，公司无已到期未偿还的短期借款。</w:t>
      </w:r>
    </w:p>
    <w:p>
      <w:pPr>
        <w:spacing w:line="240" w:lineRule="auto" w:before="2"/>
        <w:rPr>
          <w:rFonts w:ascii="宋体" w:hAnsi="宋体" w:cs="宋体" w:eastAsia="宋体" w:hint="default"/>
          <w:sz w:val="30"/>
          <w:szCs w:val="30"/>
        </w:rPr>
      </w:pPr>
    </w:p>
    <w:p>
      <w:pPr>
        <w:pStyle w:val="Heading5"/>
        <w:spacing w:line="568" w:lineRule="auto"/>
        <w:ind w:left="574" w:right="650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）已到期未偿还的短期借款情况</w:t>
      </w:r>
      <w:r>
        <w:rPr>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30</w:t>
      </w:r>
      <w:r>
        <w:rPr/>
        <w:t>、交易性金融负债</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after="0" w:line="240" w:lineRule="auto"/>
        <w:jc w:val="right"/>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97"/>
        <w:gridCol w:w="2422"/>
        <w:gridCol w:w="2338"/>
      </w:tblGrid>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69"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21" w:right="0"/>
              <w:jc w:val="left"/>
              <w:rPr>
                <w:rFonts w:ascii="宋体" w:hAnsi="宋体" w:cs="宋体" w:eastAsia="宋体" w:hint="default"/>
                <w:sz w:val="18"/>
                <w:szCs w:val="18"/>
              </w:rPr>
            </w:pPr>
            <w:r>
              <w:rPr>
                <w:rFonts w:ascii="宋体" w:hAnsi="宋体" w:cs="宋体" w:eastAsia="宋体" w:hint="default"/>
                <w:b/>
                <w:bCs/>
                <w:sz w:val="18"/>
                <w:szCs w:val="18"/>
              </w:rPr>
              <w:t>期初公允价值</w:t>
            </w:r>
            <w:r>
              <w:rPr>
                <w:rFonts w:ascii="宋体" w:hAnsi="宋体" w:cs="宋体" w:eastAsia="宋体" w:hint="default"/>
                <w:sz w:val="18"/>
                <w:szCs w:val="18"/>
              </w:rPr>
            </w:r>
          </w:p>
        </w:tc>
      </w:tr>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指定为以公允价值计量且其变动计入当期损益的金融负债</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544" w:lineRule="auto" w:before="35"/>
        <w:ind w:left="573" w:right="7251"/>
        <w:jc w:val="left"/>
      </w:pPr>
      <w:r>
        <w:rPr/>
        <w:t>交易性金融负债的说明 无</w:t>
      </w:r>
    </w:p>
    <w:p>
      <w:pPr>
        <w:pStyle w:val="Heading3"/>
        <w:spacing w:line="240" w:lineRule="auto" w:before="59"/>
        <w:ind w:right="0"/>
        <w:jc w:val="left"/>
      </w:pPr>
      <w:r>
        <w:rPr>
          <w:rFonts w:ascii="Cambria" w:hAnsi="Cambria" w:cs="Cambria" w:eastAsia="Cambria" w:hint="default"/>
        </w:rPr>
        <w:t>31</w:t>
      </w:r>
      <w:r>
        <w:rPr/>
        <w:t>、应付票据</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32</w:t>
      </w:r>
      <w:r>
        <w:rPr/>
        <w:t>、应付账款</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78"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60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11,433,311.84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6,613,022.11</w:t>
            </w:r>
          </w:p>
        </w:tc>
      </w:tr>
      <w:tr>
        <w:trPr>
          <w:trHeight w:val="47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35,191,004.38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48,785,588.57</w:t>
            </w:r>
          </w:p>
        </w:tc>
      </w:tr>
      <w:tr>
        <w:trPr>
          <w:trHeight w:val="479"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609"/>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46,624,316.22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55,398,610.68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9"/>
          <w:szCs w:val="29"/>
        </w:rPr>
      </w:pPr>
    </w:p>
    <w:p>
      <w:pPr>
        <w:pStyle w:val="Heading4"/>
        <w:spacing w:line="240" w:lineRule="auto"/>
        <w:ind w:left="594" w:right="0" w:firstLine="0"/>
        <w:jc w:val="left"/>
      </w:pPr>
      <w:r>
        <w:rPr/>
        <w:t>无。</w:t>
      </w:r>
    </w:p>
    <w:p>
      <w:pPr>
        <w:spacing w:line="240" w:lineRule="auto" w:before="6"/>
        <w:rPr>
          <w:rFonts w:ascii="宋体" w:hAnsi="宋体" w:cs="宋体" w:eastAsia="宋体" w:hint="default"/>
          <w:sz w:val="31"/>
          <w:szCs w:val="3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2"/>
        <w:rPr>
          <w:rFonts w:ascii="宋体" w:hAnsi="宋体" w:cs="宋体" w:eastAsia="宋体" w:hint="default"/>
          <w:b/>
          <w:bCs/>
          <w:sz w:val="29"/>
          <w:szCs w:val="29"/>
        </w:rPr>
      </w:pPr>
    </w:p>
    <w:p>
      <w:pPr>
        <w:pStyle w:val="Heading4"/>
        <w:spacing w:line="240" w:lineRule="auto"/>
        <w:ind w:left="594" w:right="0" w:firstLine="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日，无大额账龄超过</w:t>
      </w:r>
      <w:r>
        <w:rPr>
          <w:rFonts w:ascii="Times New Roman" w:hAnsi="Times New Roman" w:cs="Times New Roman" w:eastAsia="Times New Roman" w:hint="default"/>
        </w:rPr>
        <w:t>1</w:t>
      </w:r>
      <w:r>
        <w:rPr/>
        <w:t>年的应付账款。</w:t>
      </w:r>
    </w:p>
    <w:p>
      <w:pPr>
        <w:spacing w:after="0" w:line="240" w:lineRule="auto"/>
        <w:jc w:val="left"/>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left="674" w:right="1980"/>
        <w:jc w:val="left"/>
      </w:pPr>
      <w:r>
        <w:rPr>
          <w:rFonts w:ascii="Cambria" w:hAnsi="Cambria" w:cs="Cambria" w:eastAsia="Cambria" w:hint="default"/>
        </w:rPr>
        <w:t>33</w:t>
      </w:r>
      <w:r>
        <w:rPr/>
        <w:t>、预收账款</w:t>
      </w:r>
    </w:p>
    <w:p>
      <w:pPr>
        <w:spacing w:line="240" w:lineRule="auto" w:before="1"/>
        <w:rPr>
          <w:rFonts w:ascii="黑体" w:hAnsi="黑体" w:cs="黑体" w:eastAsia="黑体" w:hint="default"/>
          <w:sz w:val="29"/>
          <w:szCs w:val="29"/>
        </w:rPr>
      </w:pPr>
    </w:p>
    <w:p>
      <w:pPr>
        <w:pStyle w:val="Heading5"/>
        <w:spacing w:line="240" w:lineRule="auto"/>
        <w:ind w:left="674" w:right="198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669" w:type="dxa"/>
        <w:tblLayout w:type="fixed"/>
        <w:tblCellMar>
          <w:top w:w="0" w:type="dxa"/>
          <w:left w:w="0" w:type="dxa"/>
          <w:bottom w:w="0" w:type="dxa"/>
          <w:right w:w="0" w:type="dxa"/>
        </w:tblCellMar>
        <w:tblLook w:val="01E0"/>
      </w:tblPr>
      <w:tblGrid>
        <w:gridCol w:w="3856"/>
        <w:gridCol w:w="2790"/>
        <w:gridCol w:w="2922"/>
      </w:tblGrid>
      <w:tr>
        <w:trPr>
          <w:trHeight w:val="478"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74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858,364.97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529,998.67</w:t>
            </w:r>
          </w:p>
        </w:tc>
      </w:tr>
      <w:tr>
        <w:trPr>
          <w:trHeight w:val="4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7,696,560.37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14,100,651.93</w:t>
            </w:r>
          </w:p>
        </w:tc>
      </w:tr>
      <w:tr>
        <w:trPr>
          <w:trHeight w:val="479"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741"/>
              <w:jc w:val="righ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8,554,925.34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14,630,650.60</w:t>
            </w:r>
          </w:p>
        </w:tc>
      </w:tr>
    </w:tbl>
    <w:p>
      <w:pPr>
        <w:spacing w:line="240" w:lineRule="auto" w:before="2"/>
        <w:rPr>
          <w:rFonts w:ascii="宋体" w:hAnsi="宋体" w:cs="宋体" w:eastAsia="宋体" w:hint="default"/>
          <w:sz w:val="19"/>
          <w:szCs w:val="19"/>
        </w:rPr>
      </w:pPr>
    </w:p>
    <w:p>
      <w:pPr>
        <w:pStyle w:val="Heading5"/>
        <w:spacing w:line="240" w:lineRule="auto" w:before="35"/>
        <w:ind w:left="674"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9"/>
          <w:szCs w:val="29"/>
        </w:rPr>
      </w:pPr>
    </w:p>
    <w:p>
      <w:pPr>
        <w:pStyle w:val="Heading4"/>
        <w:spacing w:line="240" w:lineRule="auto"/>
        <w:ind w:left="1114" w:right="1980" w:firstLine="0"/>
        <w:jc w:val="left"/>
      </w:pPr>
      <w:r>
        <w:rPr/>
        <w:t>无。</w:t>
      </w:r>
    </w:p>
    <w:p>
      <w:pPr>
        <w:spacing w:line="240" w:lineRule="auto" w:before="6"/>
        <w:rPr>
          <w:rFonts w:ascii="宋体" w:hAnsi="宋体" w:cs="宋体" w:eastAsia="宋体" w:hint="default"/>
          <w:sz w:val="31"/>
          <w:szCs w:val="31"/>
        </w:rPr>
      </w:pPr>
    </w:p>
    <w:p>
      <w:pPr>
        <w:pStyle w:val="Heading5"/>
        <w:spacing w:line="240" w:lineRule="auto"/>
        <w:ind w:left="674" w:right="198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2"/>
        <w:rPr>
          <w:rFonts w:ascii="宋体" w:hAnsi="宋体" w:cs="宋体" w:eastAsia="宋体" w:hint="default"/>
          <w:b/>
          <w:bCs/>
          <w:sz w:val="29"/>
          <w:szCs w:val="29"/>
        </w:rPr>
      </w:pPr>
    </w:p>
    <w:p>
      <w:pPr>
        <w:pStyle w:val="Heading4"/>
        <w:spacing w:line="240" w:lineRule="auto"/>
        <w:ind w:left="1114" w:right="1980" w:firstLine="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日，本期无大额账龄超过</w:t>
      </w:r>
      <w:r>
        <w:rPr>
          <w:rFonts w:ascii="Times New Roman" w:hAnsi="Times New Roman" w:cs="Times New Roman" w:eastAsia="Times New Roman" w:hint="default"/>
        </w:rPr>
        <w:t>1</w:t>
      </w:r>
      <w:r>
        <w:rPr/>
        <w:t>年未结转的预收款项。</w:t>
      </w:r>
    </w:p>
    <w:p>
      <w:pPr>
        <w:spacing w:line="240" w:lineRule="auto" w:before="4"/>
        <w:rPr>
          <w:rFonts w:ascii="宋体" w:hAnsi="宋体" w:cs="宋体" w:eastAsia="宋体" w:hint="default"/>
          <w:sz w:val="23"/>
          <w:szCs w:val="23"/>
        </w:rPr>
      </w:pPr>
    </w:p>
    <w:p>
      <w:pPr>
        <w:pStyle w:val="Heading3"/>
        <w:spacing w:line="240" w:lineRule="auto"/>
        <w:ind w:left="674" w:right="1980"/>
        <w:jc w:val="left"/>
      </w:pPr>
      <w:r>
        <w:rPr>
          <w:rFonts w:ascii="Cambria" w:hAnsi="Cambria" w:cs="Cambria" w:eastAsia="Cambria" w:hint="default"/>
        </w:rPr>
        <w:t>34</w:t>
      </w:r>
      <w:r>
        <w:rPr/>
        <w:t>、应付职工薪酬</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529"/>
        <w:gridCol w:w="1713"/>
        <w:gridCol w:w="1765"/>
        <w:gridCol w:w="2257"/>
        <w:gridCol w:w="1860"/>
      </w:tblGrid>
      <w:tr>
        <w:trPr>
          <w:trHeight w:val="478"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14"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1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82"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79"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13" w:type="dxa"/>
            <w:tcBorders>
              <w:top w:val="single" w:sz="4" w:space="0" w:color="000000"/>
              <w:left w:val="single" w:sz="13" w:space="0" w:color="D3D3D3"/>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34,971,900.81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34,541,465.22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430,435.59</w:t>
            </w:r>
          </w:p>
        </w:tc>
      </w:tr>
      <w:tr>
        <w:trPr>
          <w:trHeight w:val="478"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13" w:type="dxa"/>
            <w:tcBorders>
              <w:top w:val="single" w:sz="4" w:space="0" w:color="000000"/>
              <w:left w:val="single" w:sz="13" w:space="0" w:color="D3D3D3"/>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2,433,007.40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2,433,007.40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13" w:type="dxa"/>
            <w:tcBorders>
              <w:top w:val="single" w:sz="4" w:space="0" w:color="000000"/>
              <w:left w:val="single" w:sz="13" w:space="0" w:color="D3D3D3"/>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7,882,736.49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7,882,736.49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13" w:type="dxa"/>
            <w:tcBorders>
              <w:top w:val="single" w:sz="4" w:space="0" w:color="000000"/>
              <w:left w:val="single" w:sz="13" w:space="0" w:color="D3D3D3"/>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3,402,517.00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3,402,517.00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1,937,024.68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1,475,385.83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1,252,229.82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2,160,180.69</w:t>
            </w:r>
          </w:p>
        </w:tc>
      </w:tr>
      <w:tr>
        <w:trPr>
          <w:trHeight w:val="478"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1,937,024.68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1,475,385.83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1,252,229.82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2,160,180.69</w:t>
            </w:r>
          </w:p>
        </w:tc>
      </w:tr>
      <w:tr>
        <w:trPr>
          <w:trHeight w:val="479"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1,937,024.68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50,165,547.53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49,511,955.93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2,590,616.28</w:t>
            </w:r>
          </w:p>
        </w:tc>
      </w:tr>
    </w:tbl>
    <w:p>
      <w:pPr>
        <w:spacing w:line="240" w:lineRule="auto" w:before="1"/>
        <w:rPr>
          <w:rFonts w:ascii="宋体" w:hAnsi="宋体" w:cs="宋体" w:eastAsia="宋体" w:hint="default"/>
          <w:sz w:val="14"/>
          <w:szCs w:val="14"/>
        </w:rPr>
      </w:pPr>
    </w:p>
    <w:p>
      <w:pPr>
        <w:pStyle w:val="BodyText"/>
        <w:spacing w:line="240" w:lineRule="auto" w:before="35"/>
        <w:ind w:left="1094" w:right="1980"/>
        <w:jc w:val="left"/>
      </w:pP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240" w:lineRule="auto"/>
        <w:ind w:left="1093" w:right="0"/>
        <w:jc w:val="left"/>
      </w:pPr>
      <w:r>
        <w:rPr/>
        <w:t>工会经费和职工教育经费金额</w:t>
      </w:r>
      <w:r>
        <w:rPr>
          <w:spacing w:val="-61"/>
        </w:rPr>
        <w:t> </w:t>
      </w:r>
      <w:r>
        <w:rPr>
          <w:rFonts w:ascii="Times New Roman" w:hAnsi="Times New Roman" w:cs="Times New Roman" w:eastAsia="Times New Roman" w:hint="default"/>
        </w:rPr>
        <w:t>1,475,385.83</w:t>
      </w:r>
      <w:r>
        <w:rPr>
          <w:rFonts w:ascii="Times New Roman" w:hAnsi="Times New Roman" w:cs="Times New Roman" w:eastAsia="Times New Roman" w:hint="default"/>
          <w:spacing w:val="-8"/>
        </w:rPr>
        <w:t> </w:t>
      </w:r>
      <w:r>
        <w:rPr/>
        <w:t>元，非货币性福利金额</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元，因解除劳动关系给予补偿</w:t>
      </w:r>
    </w:p>
    <w:p>
      <w:pPr>
        <w:pStyle w:val="BodyText"/>
        <w:spacing w:line="240" w:lineRule="auto" w:before="177"/>
        <w:ind w:left="673" w:right="1980"/>
        <w:jc w:val="left"/>
      </w:pP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97" w:footer="1252" w:top="1340" w:bottom="1440" w:left="460" w:right="980"/>
        </w:sectPr>
      </w:pPr>
    </w:p>
    <w:p>
      <w:pPr>
        <w:spacing w:line="240" w:lineRule="auto" w:before="4"/>
        <w:rPr>
          <w:rFonts w:ascii="宋体" w:hAnsi="宋体" w:cs="宋体" w:eastAsia="宋体" w:hint="default"/>
          <w:sz w:val="11"/>
          <w:szCs w:val="11"/>
        </w:rPr>
      </w:pPr>
    </w:p>
    <w:p>
      <w:pPr>
        <w:pStyle w:val="BodyText"/>
        <w:spacing w:line="240" w:lineRule="auto" w:before="35"/>
        <w:ind w:right="0"/>
        <w:jc w:val="left"/>
      </w:pPr>
      <w:r>
        <w:rPr/>
        <w:t>应付职工薪酬预计发放时间、金额等安排</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35</w:t>
      </w:r>
      <w:r>
        <w:rPr/>
        <w:t>、应交税费</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099"/>
        <w:gridCol w:w="2800"/>
        <w:gridCol w:w="2657"/>
      </w:tblGrid>
      <w:tr>
        <w:trPr>
          <w:trHeight w:val="47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86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9"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6,374,685.06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7,978,952.07</w:t>
            </w:r>
          </w:p>
        </w:tc>
      </w:tr>
      <w:tr>
        <w:trPr>
          <w:trHeight w:val="47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451.81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25,528.96</w:t>
            </w:r>
          </w:p>
        </w:tc>
      </w:tr>
      <w:tr>
        <w:trPr>
          <w:trHeight w:val="47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4,986,818.90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6,032,370.65</w:t>
            </w:r>
          </w:p>
        </w:tc>
      </w:tr>
      <w:tr>
        <w:trPr>
          <w:trHeight w:val="479"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201,914.10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129,413.53</w:t>
            </w:r>
          </w:p>
        </w:tc>
      </w:tr>
      <w:tr>
        <w:trPr>
          <w:trHeight w:val="47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782,751.23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549,579.81</w:t>
            </w:r>
          </w:p>
        </w:tc>
      </w:tr>
      <w:tr>
        <w:trPr>
          <w:trHeight w:val="478" w:hRule="exact"/>
        </w:trPr>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496,638.37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240,822.31</w:t>
            </w:r>
          </w:p>
        </w:tc>
      </w:tr>
      <w:tr>
        <w:trPr>
          <w:trHeight w:val="479" w:hRule="exact"/>
        </w:trPr>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70,057.77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4,889.56</w:t>
            </w:r>
          </w:p>
        </w:tc>
      </w:tr>
      <w:tr>
        <w:trPr>
          <w:trHeight w:val="47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863"/>
              <w:jc w:val="righ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12,913,317.24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14,961,556.89</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36</w:t>
      </w:r>
      <w:r>
        <w:rPr/>
        <w:t>、应付利息</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5" w:type="dxa"/>
        <w:tblLayout w:type="fixed"/>
        <w:tblCellMar>
          <w:top w:w="0" w:type="dxa"/>
          <w:left w:w="0" w:type="dxa"/>
          <w:bottom w:w="0" w:type="dxa"/>
          <w:right w:w="0" w:type="dxa"/>
        </w:tblCellMar>
        <w:tblLook w:val="01E0"/>
      </w:tblPr>
      <w:tblGrid>
        <w:gridCol w:w="4094"/>
        <w:gridCol w:w="2800"/>
        <w:gridCol w:w="2657"/>
      </w:tblGrid>
      <w:tr>
        <w:trPr>
          <w:trHeight w:val="479" w:hRule="exact"/>
        </w:trPr>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86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15,832.33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70,155.56</w:t>
            </w:r>
          </w:p>
        </w:tc>
      </w:tr>
      <w:tr>
        <w:trPr>
          <w:trHeight w:val="479" w:hRule="exact"/>
        </w:trPr>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863"/>
              <w:jc w:val="righ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15,832.33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70,155.56</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应付利息说明</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37</w:t>
      </w:r>
      <w:r>
        <w:rPr/>
        <w:t>、应付股利</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38</w:t>
      </w:r>
      <w:r>
        <w:rPr/>
        <w:t>、其他应付款</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78"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78"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1,293,484.08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127,867.14</w:t>
            </w:r>
          </w:p>
        </w:tc>
      </w:tr>
      <w:tr>
        <w:trPr>
          <w:trHeight w:val="479"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475,488.92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3,598,721.83</w:t>
            </w:r>
          </w:p>
        </w:tc>
      </w:tr>
      <w:tr>
        <w:trPr>
          <w:trHeight w:val="478"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1,768,973.00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3,726,588.97</w:t>
            </w:r>
          </w:p>
        </w:tc>
      </w:tr>
    </w:tbl>
    <w:p>
      <w:pPr>
        <w:spacing w:line="240" w:lineRule="auto" w:before="2"/>
        <w:rPr>
          <w:rFonts w:ascii="宋体" w:hAnsi="宋体" w:cs="宋体" w:eastAsia="宋体" w:hint="default"/>
          <w:sz w:val="19"/>
          <w:szCs w:val="19"/>
        </w:rPr>
      </w:pPr>
    </w:p>
    <w:p>
      <w:pPr>
        <w:pStyle w:val="Heading5"/>
        <w:spacing w:line="571" w:lineRule="auto" w:before="35"/>
        <w:ind w:left="574" w:right="1559" w:hanging="42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无</w:t>
      </w:r>
    </w:p>
    <w:p>
      <w:pPr>
        <w:spacing w:line="568" w:lineRule="auto" w:before="126"/>
        <w:ind w:left="574" w:right="315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日，本公司无大额的账龄超过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年的其他应付款。</w:t>
      </w:r>
    </w:p>
    <w:p>
      <w:pPr>
        <w:pStyle w:val="Heading5"/>
        <w:spacing w:line="240" w:lineRule="auto" w:before="82"/>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pPr>
      <w:r>
        <w:rPr>
          <w:rFonts w:ascii="Cambria" w:hAnsi="Cambria" w:cs="Cambria" w:eastAsia="Cambria" w:hint="default"/>
        </w:rPr>
        <w:t>39</w:t>
      </w:r>
      <w:r>
        <w:rPr/>
        <w:t>、预计负债</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40</w:t>
      </w:r>
      <w:r>
        <w:rPr/>
        <w:t>、一年内到期的非流动负债</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78"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9"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568" w:lineRule="auto" w:before="35"/>
        <w:ind w:left="574" w:right="713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）一年内到期的长期借款</w:t>
      </w:r>
      <w:r>
        <w:rPr>
          <w:w w:val="99"/>
        </w:rPr>
        <w:t> </w:t>
      </w:r>
      <w:r>
        <w:rPr>
          <w:rFonts w:ascii="宋体" w:hAnsi="宋体" w:cs="宋体" w:eastAsia="宋体" w:hint="default"/>
          <w:b w:val="0"/>
          <w:bCs w:val="0"/>
        </w:rPr>
        <w:t>无。</w:t>
      </w:r>
    </w:p>
    <w:p>
      <w:pPr>
        <w:pStyle w:val="Heading5"/>
        <w:spacing w:line="568" w:lineRule="auto" w:before="128"/>
        <w:ind w:left="574" w:right="7135"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）一年内到期的应付债券</w:t>
      </w:r>
      <w:r>
        <w:rPr>
          <w:w w:val="99"/>
        </w:rPr>
        <w:t> </w:t>
      </w:r>
      <w:r>
        <w:rPr>
          <w:rFonts w:ascii="宋体" w:hAnsi="宋体" w:cs="宋体" w:eastAsia="宋体" w:hint="default"/>
          <w:b w:val="0"/>
          <w:bCs w:val="0"/>
        </w:rPr>
        <w:t>无。</w:t>
      </w:r>
    </w:p>
    <w:p>
      <w:pPr>
        <w:pStyle w:val="Heading5"/>
        <w:spacing w:line="568" w:lineRule="auto" w:before="128"/>
        <w:ind w:left="574" w:right="6924"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）一年内到期的长期应付款</w:t>
      </w:r>
      <w:r>
        <w:rPr>
          <w:spacing w:val="1"/>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41</w:t>
      </w:r>
      <w:r>
        <w:rPr/>
        <w:t>、其他流动负债</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78"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60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13"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980"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79"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609"/>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其他流动负债说明</w:t>
      </w:r>
    </w:p>
    <w:p>
      <w:pPr>
        <w:spacing w:line="240" w:lineRule="auto" w:before="1"/>
        <w:rPr>
          <w:rFonts w:ascii="宋体" w:hAnsi="宋体" w:cs="宋体" w:eastAsia="宋体" w:hint="default"/>
          <w:sz w:val="26"/>
          <w:szCs w:val="26"/>
        </w:rPr>
      </w:pPr>
    </w:p>
    <w:p>
      <w:pPr>
        <w:pStyle w:val="Heading4"/>
        <w:spacing w:line="369" w:lineRule="auto"/>
        <w:ind w:right="148"/>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日，公司收到工业和信息化部随《工业和信息化部关于下达</w:t>
      </w:r>
      <w:r>
        <w:rPr>
          <w:rFonts w:ascii="Times New Roman" w:hAnsi="Times New Roman" w:cs="Times New Roman" w:eastAsia="Times New Roman" w:hint="default"/>
          <w:spacing w:val="-1"/>
        </w:rPr>
        <w:t>2012</w:t>
      </w:r>
      <w:r>
        <w:rPr>
          <w:spacing w:val="-1"/>
        </w:rPr>
        <w:t>年物联网发展专项</w:t>
      </w:r>
      <w:r>
        <w:rPr>
          <w:w w:val="99"/>
        </w:rPr>
        <w:t> </w:t>
      </w:r>
      <w:r>
        <w:rPr/>
        <w:t>资金项目支持计划的通知》（工信部科</w:t>
      </w:r>
      <w:r>
        <w:rPr>
          <w:rFonts w:ascii="Times New Roman" w:hAnsi="Times New Roman" w:cs="Times New Roman" w:eastAsia="Times New Roman" w:hint="default"/>
        </w:rPr>
        <w:t>[2012]583</w:t>
      </w:r>
      <w:r>
        <w:rPr/>
        <w:t>号）文拨付的</w:t>
      </w:r>
      <w:r>
        <w:rPr>
          <w:rFonts w:ascii="Times New Roman" w:hAnsi="Times New Roman" w:cs="Times New Roman" w:eastAsia="Times New Roman" w:hint="default"/>
        </w:rPr>
        <w:t>200</w:t>
      </w:r>
      <w:r>
        <w:rPr/>
        <w:t>万元项目补助，由于该项补助资金</w:t>
      </w:r>
      <w:r>
        <w:rPr>
          <w:w w:val="99"/>
        </w:rPr>
        <w:t> </w:t>
      </w:r>
      <w:r>
        <w:rPr>
          <w:spacing w:val="-1"/>
        </w:rPr>
        <w:t>用于补偿企业“面社会服务的物联网公共停车管理运营平台的研究和应用”项目后续相关费用，</w:t>
      </w:r>
      <w:r>
        <w:rPr>
          <w:rFonts w:ascii="Times New Roman" w:hAnsi="Times New Roman" w:cs="Times New Roman" w:eastAsia="Times New Roman" w:hint="default"/>
          <w:spacing w:val="-1"/>
        </w:rPr>
        <w:t>2012</w:t>
      </w:r>
      <w:r>
        <w:rPr>
          <w:rFonts w:ascii="Times New Roman" w:hAnsi="Times New Roman" w:cs="Times New Roman" w:eastAsia="Times New Roman" w:hint="default"/>
          <w:w w:val="99"/>
        </w:rPr>
        <w:t> </w:t>
      </w:r>
      <w:r>
        <w:rPr/>
        <w:t>年底确认为递延收益。</w:t>
      </w:r>
    </w:p>
    <w:p>
      <w:pPr>
        <w:spacing w:line="240" w:lineRule="auto" w:before="6"/>
        <w:rPr>
          <w:rFonts w:ascii="宋体" w:hAnsi="宋体" w:cs="宋体" w:eastAsia="宋体" w:hint="default"/>
          <w:sz w:val="15"/>
          <w:szCs w:val="15"/>
        </w:rPr>
      </w:pPr>
    </w:p>
    <w:p>
      <w:pPr>
        <w:pStyle w:val="Heading3"/>
        <w:spacing w:line="240" w:lineRule="auto"/>
        <w:ind w:right="0"/>
        <w:jc w:val="left"/>
      </w:pPr>
      <w:r>
        <w:rPr>
          <w:rFonts w:ascii="Cambria" w:hAnsi="Cambria" w:cs="Cambria" w:eastAsia="Cambria" w:hint="default"/>
        </w:rPr>
        <w:t>42</w:t>
      </w:r>
      <w:r>
        <w:rPr/>
        <w:t>、长期借款</w:t>
      </w:r>
    </w:p>
    <w:p>
      <w:pPr>
        <w:spacing w:line="240" w:lineRule="auto" w:before="1"/>
        <w:rPr>
          <w:rFonts w:ascii="黑体" w:hAnsi="黑体" w:cs="黑体" w:eastAsia="黑体" w:hint="default"/>
          <w:sz w:val="29"/>
          <w:szCs w:val="29"/>
        </w:rPr>
      </w:pPr>
    </w:p>
    <w:p>
      <w:pPr>
        <w:pStyle w:val="Heading5"/>
        <w:spacing w:line="568" w:lineRule="auto"/>
        <w:ind w:left="574" w:right="7979" w:hanging="421"/>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）长期借款分类</w:t>
      </w:r>
      <w:r>
        <w:rPr>
          <w:spacing w:val="1"/>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43</w:t>
      </w:r>
      <w:r>
        <w:rPr/>
        <w:t>、应付债券</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44</w:t>
      </w:r>
      <w:r>
        <w:rPr/>
        <w:t>、长期应付款</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45</w:t>
      </w:r>
      <w:r>
        <w:rPr/>
        <w:t>、专项应付款</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46</w:t>
      </w:r>
      <w:r>
        <w:rPr/>
        <w:t>、其他非流动负债</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47</w:t>
      </w:r>
      <w:r>
        <w:rPr/>
        <w:t>、股本</w:t>
      </w:r>
    </w:p>
    <w:p>
      <w:pPr>
        <w:spacing w:line="240" w:lineRule="auto" w:before="12"/>
        <w:rPr>
          <w:rFonts w:ascii="黑体" w:hAnsi="黑体" w:cs="黑体" w:eastAsia="黑体" w:hint="default"/>
          <w:sz w:val="23"/>
          <w:szCs w:val="23"/>
        </w:rPr>
      </w:pPr>
    </w:p>
    <w:p>
      <w:pPr>
        <w:pStyle w:val="BodyText"/>
        <w:spacing w:line="240" w:lineRule="auto"/>
        <w:ind w:left="0" w:right="150"/>
        <w:jc w:val="right"/>
      </w:pPr>
      <w:r>
        <w:rPr/>
        <w:t>单位：元</w:t>
      </w:r>
    </w:p>
    <w:p>
      <w:pPr>
        <w:spacing w:after="0" w:line="240" w:lineRule="auto"/>
        <w:jc w:val="right"/>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6"/>
        <w:gridCol w:w="1196"/>
        <w:gridCol w:w="1184"/>
        <w:gridCol w:w="1207"/>
      </w:tblGrid>
      <w:tr>
        <w:trPr>
          <w:trHeight w:val="245"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979" w:right="0"/>
              <w:jc w:val="left"/>
              <w:rPr>
                <w:rFonts w:ascii="宋体" w:hAnsi="宋体" w:cs="宋体" w:eastAsia="宋体" w:hint="default"/>
                <w:sz w:val="18"/>
                <w:szCs w:val="18"/>
              </w:rPr>
            </w:pPr>
            <w:r>
              <w:rPr>
                <w:rFonts w:ascii="宋体" w:hAnsi="宋体" w:cs="宋体" w:eastAsia="宋体" w:hint="default"/>
                <w:b/>
                <w:bCs/>
                <w:sz w:val="18"/>
                <w:szCs w:val="18"/>
              </w:rPr>
              <w:t>本期变动增减（＋、－）</w:t>
            </w:r>
            <w:r>
              <w:rPr>
                <w:rFonts w:ascii="宋体" w:hAnsi="宋体" w:cs="宋体" w:eastAsia="宋体" w:hint="default"/>
                <w:sz w:val="18"/>
                <w:szCs w:val="18"/>
              </w:rPr>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33"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321"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333"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235"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22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40"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43"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116" w:right="0"/>
              <w:jc w:val="left"/>
              <w:rPr>
                <w:rFonts w:ascii="Times New Roman" w:hAnsi="Times New Roman" w:cs="Times New Roman" w:eastAsia="Times New Roman" w:hint="default"/>
                <w:sz w:val="18"/>
                <w:szCs w:val="18"/>
              </w:rPr>
            </w:pPr>
            <w:r>
              <w:rPr>
                <w:rFonts w:ascii="Times New Roman"/>
                <w:sz w:val="18"/>
              </w:rPr>
              <w:t>42,000,000.00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7" w:right="0"/>
              <w:jc w:val="left"/>
              <w:rPr>
                <w:rFonts w:ascii="Times New Roman" w:hAnsi="Times New Roman" w:cs="Times New Roman" w:eastAsia="Times New Roman" w:hint="default"/>
                <w:sz w:val="18"/>
                <w:szCs w:val="18"/>
              </w:rPr>
            </w:pPr>
            <w:r>
              <w:rPr>
                <w:rFonts w:ascii="Times New Roman"/>
                <w:sz w:val="18"/>
              </w:rPr>
              <w:t>14,000,000.00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8" w:right="0"/>
              <w:jc w:val="left"/>
              <w:rPr>
                <w:rFonts w:ascii="Times New Roman" w:hAnsi="Times New Roman" w:cs="Times New Roman" w:eastAsia="Times New Roman" w:hint="default"/>
                <w:sz w:val="18"/>
                <w:szCs w:val="18"/>
              </w:rPr>
            </w:pPr>
            <w:r>
              <w:rPr>
                <w:rFonts w:ascii="Times New Roman"/>
                <w:sz w:val="18"/>
              </w:rPr>
              <w:t>14,000,000.00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0" w:right="0"/>
              <w:jc w:val="left"/>
              <w:rPr>
                <w:rFonts w:ascii="Times New Roman" w:hAnsi="Times New Roman" w:cs="Times New Roman" w:eastAsia="Times New Roman" w:hint="default"/>
                <w:sz w:val="18"/>
                <w:szCs w:val="18"/>
              </w:rPr>
            </w:pPr>
            <w:r>
              <w:rPr>
                <w:rFonts w:ascii="Times New Roman"/>
                <w:sz w:val="18"/>
              </w:rPr>
              <w:t>56,000,000.00</w:t>
            </w:r>
          </w:p>
        </w:tc>
      </w:tr>
    </w:tbl>
    <w:p>
      <w:pPr>
        <w:spacing w:line="240" w:lineRule="auto" w:before="1"/>
        <w:rPr>
          <w:rFonts w:ascii="宋体" w:hAnsi="宋体" w:cs="宋体" w:eastAsia="宋体" w:hint="default"/>
          <w:sz w:val="14"/>
          <w:szCs w:val="14"/>
        </w:rPr>
      </w:pPr>
    </w:p>
    <w:p>
      <w:pPr>
        <w:pStyle w:val="BodyText"/>
        <w:spacing w:line="398" w:lineRule="auto" w:before="35"/>
        <w:ind w:left="154" w:right="151" w:firstLine="420"/>
        <w:jc w:val="both"/>
      </w:pPr>
      <w:r>
        <w:rPr>
          <w:spacing w:val="-1"/>
        </w:rPr>
        <w:t>股本变动情况说明，本报告期内有增资或减资行为的，应披露执行验资的会计师事务所名称和验资报</w:t>
      </w:r>
      <w:r>
        <w:rPr/>
        <w:t> 告文号；运行不足</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年的股份有限公司，设立前的年份只需说明净资产情况；有限责任公司整体变更为股 份公司应说明公司设立时的验资情况</w:t>
      </w:r>
    </w:p>
    <w:p>
      <w:pPr>
        <w:spacing w:line="240" w:lineRule="auto" w:before="1"/>
        <w:rPr>
          <w:rFonts w:ascii="宋体" w:hAnsi="宋体" w:cs="宋体" w:eastAsia="宋体" w:hint="default"/>
          <w:sz w:val="16"/>
          <w:szCs w:val="16"/>
        </w:rPr>
      </w:pPr>
    </w:p>
    <w:p>
      <w:pPr>
        <w:pStyle w:val="BodyText"/>
        <w:tabs>
          <w:tab w:pos="3009" w:val="left" w:leader="none"/>
        </w:tabs>
        <w:spacing w:line="240" w:lineRule="auto"/>
        <w:ind w:right="0"/>
        <w:jc w:val="left"/>
        <w:rPr>
          <w:rFonts w:ascii="Times New Roman" w:hAnsi="Times New Roman" w:cs="Times New Roman" w:eastAsia="Times New Roman" w:hint="default"/>
        </w:rPr>
      </w:pPr>
      <w:r>
        <w:rPr/>
        <w:t>信永中和会计师事务所</w:t>
        <w:tab/>
      </w:r>
      <w:r>
        <w:rPr>
          <w:rFonts w:ascii="Times New Roman" w:hAnsi="Times New Roman" w:cs="Times New Roman" w:eastAsia="Times New Roman" w:hint="default"/>
        </w:rPr>
        <w:t>XYZH/2011JNA3058</w:t>
      </w:r>
    </w:p>
    <w:p>
      <w:pPr>
        <w:spacing w:line="240" w:lineRule="auto" w:before="11"/>
        <w:rPr>
          <w:rFonts w:ascii="Times New Roman" w:hAnsi="Times New Roman" w:cs="Times New Roman" w:eastAsia="Times New Roman" w:hint="default"/>
          <w:sz w:val="26"/>
          <w:szCs w:val="26"/>
        </w:rPr>
      </w:pPr>
    </w:p>
    <w:p>
      <w:pPr>
        <w:pStyle w:val="Heading3"/>
        <w:spacing w:line="240" w:lineRule="auto"/>
        <w:ind w:right="0"/>
        <w:jc w:val="left"/>
      </w:pPr>
      <w:r>
        <w:rPr>
          <w:rFonts w:ascii="Cambria" w:hAnsi="Cambria" w:cs="Cambria" w:eastAsia="Cambria" w:hint="default"/>
        </w:rPr>
        <w:t>48</w:t>
      </w:r>
      <w:r>
        <w:rPr/>
        <w:t>、库存股</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49</w:t>
      </w:r>
      <w:r>
        <w:rPr/>
        <w:t>、专项储备</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50</w:t>
      </w:r>
      <w:r>
        <w:rPr/>
        <w:t>、资本公积</w:t>
      </w:r>
    </w:p>
    <w:p>
      <w:pPr>
        <w:spacing w:line="240" w:lineRule="auto" w:before="12"/>
        <w:rPr>
          <w:rFonts w:ascii="黑体" w:hAnsi="黑体" w:cs="黑体" w:eastAsia="黑体" w:hint="default"/>
          <w:sz w:val="23"/>
          <w:szCs w:val="23"/>
        </w:rPr>
      </w:pPr>
    </w:p>
    <w:p>
      <w:pPr>
        <w:pStyle w:val="BodyText"/>
        <w:spacing w:line="240" w:lineRule="auto"/>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5" w:type="dxa"/>
        <w:tblLayout w:type="fixed"/>
        <w:tblCellMar>
          <w:top w:w="0" w:type="dxa"/>
          <w:left w:w="0" w:type="dxa"/>
          <w:bottom w:w="0" w:type="dxa"/>
          <w:right w:w="0" w:type="dxa"/>
        </w:tblCellMar>
        <w:tblLook w:val="01E0"/>
      </w:tblPr>
      <w:tblGrid>
        <w:gridCol w:w="2366"/>
        <w:gridCol w:w="1871"/>
        <w:gridCol w:w="1994"/>
        <w:gridCol w:w="1726"/>
        <w:gridCol w:w="1594"/>
      </w:tblGrid>
      <w:tr>
        <w:trPr>
          <w:trHeight w:val="479"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62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2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78"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22,138,240.03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323,840,172.98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345,978,413.01</w:t>
            </w:r>
          </w:p>
        </w:tc>
      </w:tr>
      <w:tr>
        <w:trPr>
          <w:trHeight w:val="479"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22,138,240.03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323,840,172.98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345,978,413.01</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资本公积说明</w:t>
      </w:r>
    </w:p>
    <w:p>
      <w:pPr>
        <w:spacing w:line="240" w:lineRule="auto" w:before="1"/>
        <w:rPr>
          <w:rFonts w:ascii="宋体" w:hAnsi="宋体" w:cs="宋体" w:eastAsia="宋体" w:hint="default"/>
          <w:sz w:val="26"/>
          <w:szCs w:val="26"/>
        </w:rPr>
      </w:pPr>
    </w:p>
    <w:p>
      <w:pPr>
        <w:pStyle w:val="Heading4"/>
        <w:spacing w:line="369" w:lineRule="auto"/>
        <w:ind w:left="154" w:right="147"/>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w:t>
      </w:r>
      <w:r>
        <w:rPr>
          <w:spacing w:val="3"/>
        </w:rPr>
        <w:t>公司首次向社会公众发行人民币普通股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股票</w:t>
      </w:r>
      <w:r>
        <w:rPr>
          <w:rFonts w:ascii="Times New Roman" w:hAnsi="Times New Roman" w:cs="Times New Roman" w:eastAsia="Times New Roman" w:hint="default"/>
          <w:spacing w:val="3"/>
        </w:rPr>
        <w:t>1,400</w:t>
      </w:r>
      <w:r>
        <w:rPr>
          <w:spacing w:val="3"/>
        </w:rPr>
        <w:t>万股</w:t>
      </w:r>
      <w:r>
        <w:rPr>
          <w:rFonts w:ascii="Times New Roman" w:hAnsi="Times New Roman" w:cs="Times New Roman" w:eastAsia="Times New Roman" w:hint="default"/>
          <w:spacing w:val="3"/>
        </w:rPr>
        <w:t>,</w:t>
      </w:r>
      <w:r>
        <w:rPr>
          <w:spacing w:val="3"/>
        </w:rPr>
        <w:t>每股面值</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每股发行价格</w:t>
      </w:r>
      <w:r>
        <w:rPr>
          <w:spacing w:val="4"/>
          <w:w w:val="99"/>
        </w:rPr>
        <w:t> </w:t>
      </w:r>
      <w:r>
        <w:rPr/>
        <w:t>为人民币</w:t>
      </w:r>
      <w:r>
        <w:rPr>
          <w:rFonts w:ascii="Times New Roman" w:hAnsi="Times New Roman" w:cs="Times New Roman" w:eastAsia="Times New Roman" w:hint="default"/>
        </w:rPr>
        <w:t>27.00</w:t>
      </w:r>
      <w:r>
        <w:rPr/>
        <w:t>元</w:t>
      </w:r>
      <w:r>
        <w:rPr>
          <w:rFonts w:ascii="Times New Roman" w:hAnsi="Times New Roman" w:cs="Times New Roman" w:eastAsia="Times New Roman" w:hint="default"/>
        </w:rPr>
        <w:t>,</w:t>
      </w:r>
      <w:r>
        <w:rPr/>
        <w:t>募集资金总额为人民币</w:t>
      </w:r>
      <w:r>
        <w:rPr>
          <w:rFonts w:ascii="Times New Roman" w:hAnsi="Times New Roman" w:cs="Times New Roman" w:eastAsia="Times New Roman" w:hint="default"/>
        </w:rPr>
        <w:t>378,000,000.00</w:t>
      </w:r>
      <w:r>
        <w:rPr/>
        <w:t>元</w:t>
      </w:r>
      <w:r>
        <w:rPr>
          <w:rFonts w:ascii="Times New Roman" w:hAnsi="Times New Roman" w:cs="Times New Roman" w:eastAsia="Times New Roman" w:hint="default"/>
        </w:rPr>
        <w:t>,</w:t>
      </w:r>
      <w:r>
        <w:rPr/>
        <w:t>扣除各项发行费用合计人民币</w:t>
      </w:r>
      <w:r>
        <w:rPr>
          <w:rFonts w:ascii="Times New Roman" w:hAnsi="Times New Roman" w:cs="Times New Roman" w:eastAsia="Times New Roman" w:hint="default"/>
        </w:rPr>
        <w:t>40,159,827.02</w:t>
      </w:r>
      <w:r>
        <w:rPr>
          <w:rFonts w:ascii="Times New Roman" w:hAnsi="Times New Roman" w:cs="Times New Roman" w:eastAsia="Times New Roman" w:hint="default"/>
          <w:w w:val="99"/>
        </w:rPr>
        <w:t> </w:t>
      </w:r>
      <w:r>
        <w:rPr/>
        <w:t>元</w:t>
      </w:r>
      <w:r>
        <w:rPr>
          <w:rFonts w:ascii="Times New Roman" w:hAnsi="Times New Roman" w:cs="Times New Roman" w:eastAsia="Times New Roman" w:hint="default"/>
        </w:rPr>
        <w:t>,</w:t>
      </w:r>
      <w:r>
        <w:rPr/>
        <w:t>实际募集资金净额为人民币</w:t>
      </w:r>
      <w:r>
        <w:rPr>
          <w:rFonts w:ascii="Times New Roman" w:hAnsi="Times New Roman" w:cs="Times New Roman" w:eastAsia="Times New Roman" w:hint="default"/>
        </w:rPr>
        <w:t>337,840,172.98</w:t>
      </w:r>
      <w:r>
        <w:rPr/>
        <w:t>元，计入资本公积</w:t>
      </w:r>
      <w:r>
        <w:rPr>
          <w:rFonts w:ascii="Times New Roman" w:hAnsi="Times New Roman" w:cs="Times New Roman" w:eastAsia="Times New Roman" w:hint="default"/>
        </w:rPr>
        <w:t>323,840,172.98</w:t>
      </w:r>
      <w:r>
        <w:rPr/>
        <w:t>元。</w:t>
      </w:r>
    </w:p>
    <w:p>
      <w:pPr>
        <w:pStyle w:val="Heading3"/>
        <w:spacing w:line="240" w:lineRule="auto" w:before="173"/>
        <w:ind w:right="0"/>
        <w:jc w:val="left"/>
      </w:pPr>
      <w:r>
        <w:rPr>
          <w:rFonts w:ascii="Cambria" w:hAnsi="Cambria" w:cs="Cambria" w:eastAsia="Cambria" w:hint="default"/>
        </w:rPr>
        <w:t>51</w:t>
      </w:r>
      <w:r>
        <w:rPr/>
        <w:t>、盈余公积</w:t>
      </w:r>
    </w:p>
    <w:p>
      <w:pPr>
        <w:spacing w:line="240" w:lineRule="auto" w:before="12"/>
        <w:rPr>
          <w:rFonts w:ascii="黑体" w:hAnsi="黑体" w:cs="黑体" w:eastAsia="黑体" w:hint="default"/>
          <w:sz w:val="23"/>
          <w:szCs w:val="23"/>
        </w:rPr>
      </w:pPr>
    </w:p>
    <w:p>
      <w:pPr>
        <w:pStyle w:val="BodyText"/>
        <w:spacing w:line="240" w:lineRule="auto"/>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78"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2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2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79"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left="886" w:right="0"/>
              <w:jc w:val="left"/>
              <w:rPr>
                <w:rFonts w:ascii="Times New Roman" w:hAnsi="Times New Roman" w:cs="Times New Roman" w:eastAsia="Times New Roman" w:hint="default"/>
                <w:sz w:val="18"/>
                <w:szCs w:val="18"/>
              </w:rPr>
            </w:pPr>
            <w:r>
              <w:rPr>
                <w:rFonts w:ascii="Times New Roman"/>
                <w:sz w:val="18"/>
              </w:rPr>
              <w:t>8,091,876.19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6" w:right="0"/>
              <w:jc w:val="left"/>
              <w:rPr>
                <w:rFonts w:ascii="Times New Roman" w:hAnsi="Times New Roman" w:cs="Times New Roman" w:eastAsia="Times New Roman" w:hint="default"/>
                <w:sz w:val="18"/>
                <w:szCs w:val="18"/>
              </w:rPr>
            </w:pPr>
            <w:r>
              <w:rPr>
                <w:rFonts w:ascii="Times New Roman"/>
                <w:sz w:val="18"/>
              </w:rPr>
              <w:t>3,837,156.48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2" w:right="0"/>
              <w:jc w:val="left"/>
              <w:rPr>
                <w:rFonts w:ascii="Times New Roman" w:hAnsi="Times New Roman" w:cs="Times New Roman" w:eastAsia="Times New Roman" w:hint="default"/>
                <w:sz w:val="18"/>
                <w:szCs w:val="18"/>
              </w:rPr>
            </w:pPr>
            <w:r>
              <w:rPr>
                <w:rFonts w:ascii="Times New Roman"/>
                <w:sz w:val="18"/>
              </w:rPr>
              <w:t>11,929,032.67</w:t>
            </w:r>
          </w:p>
        </w:tc>
      </w:tr>
    </w:tbl>
    <w:p>
      <w:pPr>
        <w:spacing w:after="0" w:line="240" w:lineRule="auto"/>
        <w:jc w:val="lef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83"/>
        <w:gridCol w:w="1871"/>
        <w:gridCol w:w="1994"/>
        <w:gridCol w:w="1726"/>
        <w:gridCol w:w="1594"/>
      </w:tblGrid>
      <w:tr>
        <w:trPr>
          <w:trHeight w:val="479"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left="886" w:right="0"/>
              <w:jc w:val="left"/>
              <w:rPr>
                <w:rFonts w:ascii="Times New Roman" w:hAnsi="Times New Roman" w:cs="Times New Roman" w:eastAsia="Times New Roman" w:hint="default"/>
                <w:sz w:val="18"/>
                <w:szCs w:val="18"/>
              </w:rPr>
            </w:pPr>
            <w:r>
              <w:rPr>
                <w:rFonts w:ascii="Times New Roman"/>
                <w:sz w:val="18"/>
              </w:rPr>
              <w:t>8,091,876.19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6" w:right="0"/>
              <w:jc w:val="left"/>
              <w:rPr>
                <w:rFonts w:ascii="Times New Roman" w:hAnsi="Times New Roman" w:cs="Times New Roman" w:eastAsia="Times New Roman" w:hint="default"/>
                <w:sz w:val="18"/>
                <w:szCs w:val="18"/>
              </w:rPr>
            </w:pPr>
            <w:r>
              <w:rPr>
                <w:rFonts w:ascii="Times New Roman"/>
                <w:sz w:val="18"/>
              </w:rPr>
              <w:t>3,837,156.48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2" w:right="0"/>
              <w:jc w:val="left"/>
              <w:rPr>
                <w:rFonts w:ascii="Times New Roman" w:hAnsi="Times New Roman" w:cs="Times New Roman" w:eastAsia="Times New Roman" w:hint="default"/>
                <w:sz w:val="18"/>
                <w:szCs w:val="18"/>
              </w:rPr>
            </w:pPr>
            <w:r>
              <w:rPr>
                <w:rFonts w:ascii="Times New Roman"/>
                <w:sz w:val="18"/>
              </w:rPr>
              <w:t>11,929,032.67</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盈余公积说明，用盈余公积转增股本、弥补亏损、分派股利的，应说明有关决议</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52</w:t>
      </w:r>
      <w:r>
        <w:rPr/>
        <w:t>、一般风险准备</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53</w:t>
      </w:r>
      <w:r>
        <w:rPr/>
        <w:t>、未分配利润</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23" w:right="0"/>
              <w:jc w:val="left"/>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pacing w:val="-1"/>
                <w:sz w:val="18"/>
              </w:rPr>
              <w:t>87,224,056.63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pacing w:val="-1"/>
                <w:sz w:val="18"/>
              </w:rPr>
              <w:t>87,224,056.63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pacing w:val="-1"/>
                <w:sz w:val="18"/>
              </w:rPr>
              <w:t>46,890,276.01</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3,837,156.48</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9"/>
              <w:ind w:right="12"/>
              <w:jc w:val="right"/>
              <w:rPr>
                <w:rFonts w:ascii="Times New Roman" w:hAnsi="Times New Roman" w:cs="Times New Roman" w:eastAsia="Times New Roman" w:hint="default"/>
                <w:sz w:val="18"/>
                <w:szCs w:val="18"/>
              </w:rPr>
            </w:pPr>
            <w:r>
              <w:rPr>
                <w:rFonts w:ascii="Times New Roman"/>
                <w:spacing w:val="-1"/>
                <w:sz w:val="18"/>
              </w:rPr>
              <w:t>130,277,176.16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调整年初未分配利润明细：</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25"/>
          <w:szCs w:val="25"/>
        </w:rPr>
      </w:pPr>
    </w:p>
    <w:p>
      <w:pPr>
        <w:pStyle w:val="BodyText"/>
        <w:spacing w:line="240" w:lineRule="auto"/>
        <w:ind w:left="573" w:right="0"/>
        <w:jc w:val="left"/>
      </w:pPr>
      <w:r>
        <w:rPr>
          <w:rFonts w:ascii="Times New Roman" w:hAnsi="Times New Roman" w:cs="Times New Roman" w:eastAsia="Times New Roman" w:hint="default"/>
        </w:rPr>
        <w:t>2)</w:t>
      </w:r>
      <w:r>
        <w:rPr/>
        <w:t>、由于会计政策变更，影响年初未分配利润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、由于重大会计差错更正，影响年初未分配利润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、由于同一控制导致的合并范围变更，影响年初未分配利润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5)</w:t>
      </w:r>
      <w:r>
        <w:rPr/>
        <w:t>、其他调整合计影响年初未分配利润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386" w:lineRule="auto"/>
        <w:ind w:left="153" w:right="144" w:firstLine="420"/>
        <w:jc w:val="left"/>
      </w:pPr>
      <w:r>
        <w:rPr/>
        <w:t>根据本公司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日第一次临时股东大会决议，为维护公司新老股东的利益，决定将截至发 行日前的滚存利润经由公司本次股票发行完成后的新老股东共同享有。</w:t>
      </w:r>
    </w:p>
    <w:p>
      <w:pPr>
        <w:spacing w:line="240" w:lineRule="auto" w:before="2"/>
        <w:rPr>
          <w:rFonts w:ascii="宋体" w:hAnsi="宋体" w:cs="宋体" w:eastAsia="宋体" w:hint="default"/>
          <w:sz w:val="15"/>
          <w:szCs w:val="15"/>
        </w:rPr>
      </w:pPr>
    </w:p>
    <w:p>
      <w:pPr>
        <w:pStyle w:val="Heading3"/>
        <w:spacing w:line="240" w:lineRule="auto"/>
        <w:ind w:right="0"/>
        <w:jc w:val="left"/>
      </w:pPr>
      <w:r>
        <w:rPr>
          <w:rFonts w:ascii="Cambria" w:hAnsi="Cambria" w:cs="Cambria" w:eastAsia="Cambria" w:hint="default"/>
        </w:rPr>
        <w:t>54</w:t>
      </w:r>
      <w:r>
        <w:rPr/>
        <w:t>、营业收入、营业成本</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0" w:right="148"/>
        <w:jc w:val="right"/>
      </w:pPr>
      <w:r>
        <w:rPr/>
        <w:t>单位： 元</w:t>
      </w:r>
    </w:p>
    <w:p>
      <w:pPr>
        <w:spacing w:after="0" w:line="240" w:lineRule="auto"/>
        <w:jc w:val="right"/>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3299"/>
        <w:gridCol w:w="3069"/>
        <w:gridCol w:w="3190"/>
      </w:tblGrid>
      <w:tr>
        <w:trPr>
          <w:trHeight w:val="4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281,796,893.72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298,665,994.74</w:t>
            </w:r>
          </w:p>
        </w:tc>
      </w:tr>
      <w:tr>
        <w:trPr>
          <w:trHeight w:val="4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173,708,253.42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201,900,433.34</w:t>
            </w:r>
          </w:p>
        </w:tc>
      </w:tr>
    </w:tbl>
    <w:p>
      <w:pPr>
        <w:spacing w:line="240" w:lineRule="auto" w:before="2"/>
        <w:rPr>
          <w:rFonts w:ascii="宋体" w:hAnsi="宋体" w:cs="宋体" w:eastAsia="宋体" w:hint="default"/>
          <w:sz w:val="19"/>
          <w:szCs w:val="19"/>
        </w:rPr>
      </w:pPr>
    </w:p>
    <w:p>
      <w:pPr>
        <w:pStyle w:val="Heading5"/>
        <w:spacing w:line="240" w:lineRule="auto" w:before="35"/>
        <w:ind w:left="534" w:right="13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953"/>
        <w:gridCol w:w="1726"/>
        <w:gridCol w:w="1861"/>
        <w:gridCol w:w="1727"/>
        <w:gridCol w:w="1727"/>
      </w:tblGrid>
      <w:tr>
        <w:trPr>
          <w:trHeight w:val="478" w:hRule="exact"/>
        </w:trPr>
        <w:tc>
          <w:tcPr>
            <w:tcW w:w="2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2953"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9"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嵌入式系统测试产品及技术服务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180,036,166.15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110,919,356.54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154,290,826.15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97,349,111.63</w:t>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嵌入式信息安全产品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87,556,118.75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54,128,113.91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135,904,523.37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99,462,949.73</w:t>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嵌入式行业智能移动终端及技术服务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14,204,608.82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8,660,782.97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8,470,645.22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5,088,3371.98</w:t>
            </w:r>
          </w:p>
        </w:tc>
      </w:tr>
      <w:tr>
        <w:trPr>
          <w:trHeight w:val="479"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281,796,893.72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173,708,253.42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298,665,994.74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201,900,433.34</w:t>
            </w:r>
          </w:p>
        </w:tc>
      </w:tr>
    </w:tbl>
    <w:p>
      <w:pPr>
        <w:spacing w:line="240" w:lineRule="auto" w:before="2"/>
        <w:rPr>
          <w:rFonts w:ascii="宋体" w:hAnsi="宋体" w:cs="宋体" w:eastAsia="宋体" w:hint="default"/>
          <w:sz w:val="19"/>
          <w:szCs w:val="19"/>
        </w:rPr>
      </w:pPr>
    </w:p>
    <w:p>
      <w:pPr>
        <w:pStyle w:val="Heading5"/>
        <w:spacing w:line="240" w:lineRule="auto" w:before="35"/>
        <w:ind w:left="534" w:right="13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953"/>
        <w:gridCol w:w="1726"/>
        <w:gridCol w:w="1861"/>
        <w:gridCol w:w="1727"/>
        <w:gridCol w:w="1727"/>
      </w:tblGrid>
      <w:tr>
        <w:trPr>
          <w:trHeight w:val="478" w:hRule="exact"/>
        </w:trPr>
        <w:tc>
          <w:tcPr>
            <w:tcW w:w="2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2953"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6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108,949,932.32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69,365,102.29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95,565,699.08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62,138,927.61</w:t>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71,086,233.83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41,554,254.25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58,725,127.07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35,210,184.02</w:t>
            </w:r>
          </w:p>
        </w:tc>
      </w:tr>
      <w:tr>
        <w:trPr>
          <w:trHeight w:val="479"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34,282,531.32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25,674,720.55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123,955,322.60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92,584,324.26</w:t>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53,273,587.43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28,453,393.36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11,949,200.77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6,878,625.47</w:t>
            </w:r>
          </w:p>
        </w:tc>
      </w:tr>
      <w:tr>
        <w:trPr>
          <w:trHeight w:val="47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嵌入式行业智能移动终端及技术服务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14,204,608.82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8,660,782.97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8,470,645.22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5,088,371.98</w:t>
            </w:r>
          </w:p>
        </w:tc>
      </w:tr>
      <w:tr>
        <w:trPr>
          <w:trHeight w:val="479"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281,796,893.72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173,708,253.42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298,665,994.74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201,900,433.34</w:t>
            </w:r>
          </w:p>
        </w:tc>
      </w:tr>
    </w:tbl>
    <w:p>
      <w:pPr>
        <w:spacing w:line="240" w:lineRule="auto" w:before="2"/>
        <w:rPr>
          <w:rFonts w:ascii="宋体" w:hAnsi="宋体" w:cs="宋体" w:eastAsia="宋体" w:hint="default"/>
          <w:sz w:val="19"/>
          <w:szCs w:val="19"/>
        </w:rPr>
      </w:pPr>
    </w:p>
    <w:p>
      <w:pPr>
        <w:pStyle w:val="Heading5"/>
        <w:spacing w:line="240" w:lineRule="auto" w:before="35"/>
        <w:ind w:left="534" w:right="13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52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78"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6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97" w:footer="1252" w:top="1340" w:bottom="1440" w:left="60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78"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4,219,232.26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3,113,879.09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11,827,958.07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8,488,002.67</w:t>
            </w:r>
          </w:p>
        </w:tc>
      </w:tr>
      <w:tr>
        <w:trPr>
          <w:trHeight w:val="479"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123,113,688.99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71,223,843.22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98,864,463.34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64,736,921.91</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95,640,167.05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60,250,263.18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94,481,690.47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62,798,102.36</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20,675,565.40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13,739,875.13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22,390,277.04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16,547,154.15</w:t>
            </w:r>
          </w:p>
        </w:tc>
      </w:tr>
      <w:tr>
        <w:trPr>
          <w:trHeight w:val="479"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3,927,966.18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1,997,193.54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432,863.25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272,440.83</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6,084,794.49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3,899,481.44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15,429,900.01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9,629,273.86</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21,025,860.83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14,293,831.97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34,440,878.68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24,302,669.44</w:t>
            </w:r>
          </w:p>
        </w:tc>
      </w:tr>
      <w:tr>
        <w:trPr>
          <w:trHeight w:val="479"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7,109,618.52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5,189,885.85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20,797,963.88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15,125,868.12</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281,796,893.72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173,708,253.42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298,665,994.74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201,900,433.34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19"/>
        <w:gridCol w:w="3260"/>
        <w:gridCol w:w="3190"/>
      </w:tblGrid>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82"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5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33,508,586.87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2"/>
                <w:sz w:val="18"/>
              </w:rPr>
              <w:t>11.89%</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SHANGHAI</w:t>
            </w:r>
            <w:r>
              <w:rPr>
                <w:rFonts w:ascii="Times New Roman"/>
                <w:spacing w:val="-12"/>
                <w:sz w:val="18"/>
              </w:rPr>
              <w:t> </w:t>
            </w:r>
            <w:r>
              <w:rPr>
                <w:rFonts w:ascii="Times New Roman"/>
                <w:sz w:val="18"/>
              </w:rPr>
              <w:t>SHENHANG</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25,495,182.33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9.05%</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北京联合创奇科技有限公司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9,534,187.91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3.38%</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中国电子集团第十研究所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8,251,916.16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2.93%</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北京昆仑凯利科技有限公司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6,998,290.92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2.48%</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83,788,164.19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29.73%</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55</w:t>
      </w:r>
      <w:r>
        <w:rPr/>
        <w:t>、合同项目收入</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56</w:t>
      </w:r>
      <w:r>
        <w:rPr/>
        <w:t>、营业税金及附加</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78"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5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79"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637,406.39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700,727.50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w:t>
            </w:r>
          </w:p>
        </w:tc>
      </w:tr>
      <w:tr>
        <w:trPr>
          <w:trHeight w:val="478"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1,317,329.55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1,370,537.40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782"/>
        <w:gridCol w:w="2004"/>
        <w:gridCol w:w="1861"/>
        <w:gridCol w:w="2921"/>
      </w:tblGrid>
      <w:tr>
        <w:trPr>
          <w:trHeight w:val="478"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943,691.80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616,495.09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w:t>
            </w:r>
          </w:p>
        </w:tc>
      </w:tr>
      <w:tr>
        <w:trPr>
          <w:trHeight w:val="479"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2,898,427.74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2,687,759.99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right="0"/>
        <w:jc w:val="left"/>
      </w:pPr>
      <w:r>
        <w:rPr/>
        <w:t>营业税金及附加的说明：无。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57</w:t>
      </w:r>
      <w:r>
        <w:rPr/>
        <w:t>、销售费用</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40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8,365,184.61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4,968,961.56</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3,074,344.92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2,078,557.10</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2,713,191.78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2,046,666.84</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2,561,870.56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1,456,454.72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2,044,588.64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1,643,544.05</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1,647,706.44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1,842,149.03</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6,608,287.31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7,853,768.93</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27,015,174.26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21,890,102.23</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58</w:t>
      </w:r>
      <w:r>
        <w:rPr/>
        <w:t>、管理费用</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12,852,364.46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10,942,581.82</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1,832,982.05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1,302,947.35</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1,258,632.96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836,101.25</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1,042,777.51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476,738.43</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546,405.03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233,627.30</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456,604.66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273,495.58</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447,515.60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441,985.63</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339,673.50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154,840.00</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8,481,809.55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4,808,274.51</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9"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27,258,765.32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19,470,591.87</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59</w:t>
      </w:r>
      <w:r>
        <w:rPr/>
        <w:t>、财务费用</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40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1,723,344.54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2,344,069.24</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-7,354,514.53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-1,031,613.49</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121,425.84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-222,331.59</w:t>
            </w:r>
          </w:p>
        </w:tc>
      </w:tr>
      <w:tr>
        <w:trPr>
          <w:trHeight w:val="47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666,293.26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112,508.67</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-4,843,450.89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1,202,632.83</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60</w:t>
      </w:r>
      <w:r>
        <w:rPr/>
        <w:t>、公允价值变动收益</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61</w:t>
      </w:r>
      <w:r>
        <w:rPr/>
        <w:t>、投资收益</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78"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-587,926.98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-34,796.37</w:t>
            </w:r>
          </w:p>
        </w:tc>
      </w:tr>
      <w:tr>
        <w:trPr>
          <w:trHeight w:val="478"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-1,194,934.36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272,323.01</w:t>
            </w:r>
          </w:p>
        </w:tc>
      </w:tr>
      <w:tr>
        <w:trPr>
          <w:trHeight w:val="478"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800"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97,319.58</w:t>
            </w:r>
          </w:p>
        </w:tc>
      </w:tr>
      <w:tr>
        <w:trPr>
          <w:trHeight w:val="479"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-1,782,861.34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334,846.22</w:t>
            </w:r>
          </w:p>
        </w:tc>
      </w:tr>
    </w:tbl>
    <w:p>
      <w:pPr>
        <w:spacing w:line="240" w:lineRule="auto" w:before="2"/>
        <w:rPr>
          <w:rFonts w:ascii="宋体" w:hAnsi="宋体" w:cs="宋体" w:eastAsia="宋体" w:hint="default"/>
          <w:sz w:val="19"/>
          <w:szCs w:val="19"/>
        </w:rPr>
      </w:pPr>
    </w:p>
    <w:p>
      <w:pPr>
        <w:pStyle w:val="Heading5"/>
        <w:spacing w:line="568" w:lineRule="auto" w:before="35"/>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）按成本法核算的长期股权投资收益</w:t>
      </w:r>
      <w:r>
        <w:rPr>
          <w:w w:val="99"/>
        </w:rPr>
        <w:t> </w:t>
      </w:r>
      <w:r>
        <w:rPr>
          <w:rFonts w:ascii="宋体" w:hAnsi="宋体" w:cs="宋体" w:eastAsia="宋体" w:hint="default"/>
          <w:b w:val="0"/>
          <w:bCs w:val="0"/>
        </w:rPr>
        <w:t>无。</w:t>
      </w:r>
    </w:p>
    <w:p>
      <w:pPr>
        <w:pStyle w:val="Heading5"/>
        <w:spacing w:line="568" w:lineRule="auto" w:before="128"/>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）按权益法核算的长期股权投资收益</w:t>
      </w:r>
      <w:r>
        <w:rPr>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left="254" w:right="0"/>
        <w:jc w:val="left"/>
      </w:pPr>
      <w:r>
        <w:rPr>
          <w:rFonts w:ascii="Cambria" w:hAnsi="Cambria" w:cs="Cambria" w:eastAsia="Cambria" w:hint="default"/>
        </w:rPr>
        <w:t>62</w:t>
      </w:r>
      <w:r>
        <w:rPr/>
        <w:t>、资产减值损失</w:t>
      </w:r>
    </w:p>
    <w:p>
      <w:pPr>
        <w:spacing w:line="240" w:lineRule="auto" w:before="3"/>
        <w:rPr>
          <w:rFonts w:ascii="黑体" w:hAnsi="黑体" w:cs="黑体" w:eastAsia="黑体" w:hint="default"/>
          <w:sz w:val="21"/>
          <w:szCs w:val="21"/>
        </w:rPr>
      </w:pPr>
    </w:p>
    <w:p>
      <w:pPr>
        <w:pStyle w:val="BodyText"/>
        <w:spacing w:line="240" w:lineRule="auto" w:before="35"/>
        <w:ind w:left="0" w:right="548"/>
        <w:jc w:val="right"/>
      </w:pPr>
      <w:r>
        <w:rPr/>
        <w:t>单位： 元</w:t>
      </w:r>
    </w:p>
    <w:p>
      <w:pPr>
        <w:spacing w:line="240" w:lineRule="auto" w:before="11"/>
        <w:rPr>
          <w:rFonts w:ascii="宋体" w:hAnsi="宋体" w:cs="宋体" w:eastAsia="宋体" w:hint="default"/>
          <w:sz w:val="21"/>
          <w:szCs w:val="21"/>
        </w:rPr>
      </w:pPr>
    </w:p>
    <w:tbl>
      <w:tblPr>
        <w:tblW w:w="0" w:type="auto"/>
        <w:jc w:val="left"/>
        <w:tblInd w:w="260" w:type="dxa"/>
        <w:tblLayout w:type="fixed"/>
        <w:tblCellMar>
          <w:top w:w="0" w:type="dxa"/>
          <w:left w:w="0" w:type="dxa"/>
          <w:bottom w:w="0" w:type="dxa"/>
          <w:right w:w="0" w:type="dxa"/>
        </w:tblCellMar>
        <w:tblLook w:val="01E0"/>
      </w:tblPr>
      <w:tblGrid>
        <w:gridCol w:w="4231"/>
        <w:gridCol w:w="2536"/>
        <w:gridCol w:w="2789"/>
      </w:tblGrid>
      <w:tr>
        <w:trPr>
          <w:trHeight w:val="478"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92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1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2,714,981.83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1,268,608.18</w:t>
            </w:r>
          </w:p>
        </w:tc>
      </w:tr>
      <w:tr>
        <w:trPr>
          <w:trHeight w:val="478"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854,392.74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1,443,845.73</w:t>
            </w:r>
          </w:p>
        </w:tc>
      </w:tr>
      <w:tr>
        <w:trPr>
          <w:trHeight w:val="479"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929"/>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3,569,374.57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2,712,453.91</w:t>
            </w:r>
          </w:p>
        </w:tc>
      </w:tr>
    </w:tbl>
    <w:p>
      <w:pPr>
        <w:spacing w:line="240" w:lineRule="auto" w:before="0"/>
        <w:rPr>
          <w:rFonts w:ascii="宋体" w:hAnsi="宋体" w:cs="宋体" w:eastAsia="宋体" w:hint="default"/>
          <w:sz w:val="13"/>
          <w:szCs w:val="13"/>
        </w:rPr>
      </w:pPr>
    </w:p>
    <w:p>
      <w:pPr>
        <w:pStyle w:val="Heading3"/>
        <w:spacing w:line="240" w:lineRule="auto" w:before="26"/>
        <w:ind w:left="254" w:right="0"/>
        <w:jc w:val="left"/>
      </w:pPr>
      <w:r>
        <w:rPr>
          <w:rFonts w:ascii="Cambria" w:hAnsi="Cambria" w:cs="Cambria" w:eastAsia="Cambria" w:hint="default"/>
        </w:rPr>
        <w:t>63</w:t>
      </w:r>
      <w:r>
        <w:rPr/>
        <w:t>、营业外收入</w:t>
      </w:r>
    </w:p>
    <w:p>
      <w:pPr>
        <w:spacing w:line="240" w:lineRule="auto" w:before="1"/>
        <w:rPr>
          <w:rFonts w:ascii="黑体" w:hAnsi="黑体" w:cs="黑体" w:eastAsia="黑体" w:hint="default"/>
          <w:sz w:val="29"/>
          <w:szCs w:val="29"/>
        </w:rPr>
      </w:pPr>
    </w:p>
    <w:p>
      <w:pPr>
        <w:pStyle w:val="Heading5"/>
        <w:spacing w:line="240" w:lineRule="auto"/>
        <w:ind w:left="254"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548"/>
        <w:jc w:val="right"/>
      </w:pPr>
      <w:r>
        <w:rPr/>
        <w:t>单位： 元</w:t>
      </w:r>
    </w:p>
    <w:p>
      <w:pPr>
        <w:spacing w:line="240" w:lineRule="auto" w:before="11"/>
        <w:rPr>
          <w:rFonts w:ascii="宋体" w:hAnsi="宋体" w:cs="宋体" w:eastAsia="宋体" w:hint="default"/>
          <w:sz w:val="21"/>
          <w:szCs w:val="21"/>
        </w:rPr>
      </w:pPr>
    </w:p>
    <w:tbl>
      <w:tblPr>
        <w:tblW w:w="0" w:type="auto"/>
        <w:jc w:val="left"/>
        <w:tblInd w:w="260" w:type="dxa"/>
        <w:tblLayout w:type="fixed"/>
        <w:tblCellMar>
          <w:top w:w="0" w:type="dxa"/>
          <w:left w:w="0" w:type="dxa"/>
          <w:bottom w:w="0" w:type="dxa"/>
          <w:right w:w="0" w:type="dxa"/>
        </w:tblCellMar>
        <w:tblLook w:val="01E0"/>
      </w:tblPr>
      <w:tblGrid>
        <w:gridCol w:w="3281"/>
        <w:gridCol w:w="1955"/>
        <w:gridCol w:w="2160"/>
        <w:gridCol w:w="2658"/>
      </w:tblGrid>
      <w:tr>
        <w:trPr>
          <w:trHeight w:val="478"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2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49"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9"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8,006.29</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9"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8,006.29</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2,515,006.58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1,585,662.50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2,708,792.05</w:t>
            </w: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3,185,835.64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203,172.58</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207,999.68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219,027.00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158,526.43</w:t>
            </w:r>
          </w:p>
        </w:tc>
      </w:tr>
      <w:tr>
        <w:trPr>
          <w:trHeight w:val="478"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5,908,841.90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1,796,841.37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2,867,318.48</w:t>
            </w:r>
          </w:p>
        </w:tc>
      </w:tr>
    </w:tbl>
    <w:p>
      <w:pPr>
        <w:spacing w:line="240" w:lineRule="auto" w:before="2"/>
        <w:rPr>
          <w:rFonts w:ascii="宋体" w:hAnsi="宋体" w:cs="宋体" w:eastAsia="宋体" w:hint="default"/>
          <w:sz w:val="19"/>
          <w:szCs w:val="19"/>
        </w:rPr>
      </w:pPr>
    </w:p>
    <w:p>
      <w:pPr>
        <w:pStyle w:val="Heading5"/>
        <w:spacing w:line="240" w:lineRule="auto" w:before="35"/>
        <w:ind w:left="254"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before="35"/>
        <w:ind w:left="0" w:right="548"/>
        <w:jc w:val="right"/>
      </w:pPr>
      <w:r>
        <w:rPr/>
        <w:t>单位： 元</w:t>
      </w:r>
    </w:p>
    <w:p>
      <w:pPr>
        <w:spacing w:line="240" w:lineRule="auto" w:before="11"/>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1985"/>
        <w:gridCol w:w="1276"/>
        <w:gridCol w:w="1277"/>
        <w:gridCol w:w="5172"/>
      </w:tblGrid>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8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8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5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中关村管委会上市补贴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5172" w:type="dxa"/>
            <w:tcBorders>
              <w:top w:val="single" w:sz="4" w:space="0" w:color="000000"/>
              <w:left w:val="single" w:sz="4" w:space="0" w:color="000000"/>
              <w:bottom w:val="single" w:sz="4" w:space="0" w:color="000000"/>
              <w:right w:val="single" w:sz="4" w:space="0" w:color="000000"/>
            </w:tcBorders>
          </w:tcPr>
          <w:p>
            <w:pPr/>
          </w:p>
        </w:tc>
      </w:tr>
      <w:tr>
        <w:trPr>
          <w:trHeight w:val="108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821,425.94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366,635.50</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34"/>
              <w:ind w:left="22" w:right="29"/>
              <w:jc w:val="left"/>
              <w:rPr>
                <w:rFonts w:ascii="宋体" w:hAnsi="宋体" w:cs="宋体" w:eastAsia="宋体" w:hint="default"/>
                <w:sz w:val="18"/>
                <w:szCs w:val="18"/>
              </w:rPr>
            </w:pPr>
            <w:r>
              <w:rPr>
                <w:rFonts w:ascii="宋体" w:hAnsi="宋体" w:cs="宋体" w:eastAsia="宋体" w:hint="default"/>
                <w:sz w:val="18"/>
                <w:szCs w:val="18"/>
              </w:rPr>
              <w:t>北京市经济和信息委员会、北京市经济和信息化委员会（京经信 委</w:t>
            </w:r>
            <w:r>
              <w:rPr>
                <w:rFonts w:ascii="Times New Roman" w:hAnsi="Times New Roman" w:cs="Times New Roman" w:eastAsia="Times New Roman" w:hint="default"/>
                <w:sz w:val="18"/>
                <w:szCs w:val="18"/>
              </w:rPr>
              <w:t>[2012]117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号）文，中关村科技园区管理委员会、中关村科技园 区管理委员会（中科园发</w:t>
            </w:r>
            <w:r>
              <w:rPr>
                <w:rFonts w:ascii="Times New Roman" w:hAnsi="Times New Roman" w:cs="Times New Roman" w:eastAsia="Times New Roman" w:hint="default"/>
                <w:sz w:val="18"/>
                <w:szCs w:val="18"/>
              </w:rPr>
              <w:t>[2009]28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号）文等</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97"/>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中关村科技园区海淀园管理委员会、海淀区加快核心区自主创新 和产业发展专项资金管理办法</w:t>
            </w:r>
            <w:r>
              <w:rPr>
                <w:rFonts w:ascii="Times New Roman" w:hAnsi="Times New Roman" w:cs="Times New Roman" w:eastAsia="Times New Roman" w:hint="default"/>
                <w:sz w:val="18"/>
                <w:szCs w:val="18"/>
              </w:rPr>
              <w:t>(</w:t>
            </w:r>
            <w:r>
              <w:rPr>
                <w:rFonts w:ascii="宋体" w:hAnsi="宋体" w:cs="宋体" w:eastAsia="宋体" w:hint="default"/>
                <w:sz w:val="18"/>
                <w:szCs w:val="18"/>
              </w:rPr>
              <w:t>海行规发《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工业增长奖金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35"/>
              <w:jc w:val="left"/>
              <w:rPr>
                <w:rFonts w:ascii="宋体" w:hAnsi="宋体" w:cs="宋体" w:eastAsia="宋体" w:hint="default"/>
                <w:sz w:val="18"/>
                <w:szCs w:val="18"/>
              </w:rPr>
            </w:pPr>
            <w:r>
              <w:rPr>
                <w:rFonts w:ascii="宋体" w:hAnsi="宋体" w:cs="宋体" w:eastAsia="宋体" w:hint="default"/>
                <w:sz w:val="18"/>
                <w:szCs w:val="18"/>
              </w:rPr>
              <w:t>北京市经济和信息化委员会、北京市经济和信息化委员会（京经 信委发《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号）文，北京市海淀区经济和信息化办公室、</w:t>
            </w:r>
          </w:p>
        </w:tc>
      </w:tr>
    </w:tbl>
    <w:p>
      <w:pPr>
        <w:spacing w:after="0" w:line="364" w:lineRule="auto"/>
        <w:jc w:val="left"/>
        <w:rPr>
          <w:rFonts w:ascii="宋体" w:hAnsi="宋体" w:cs="宋体" w:eastAsia="宋体" w:hint="default"/>
          <w:sz w:val="18"/>
          <w:szCs w:val="18"/>
        </w:rPr>
        <w:sectPr>
          <w:pgSz w:w="11910" w:h="16840"/>
          <w:pgMar w:header="997" w:footer="1252" w:top="1340" w:bottom="1440" w:left="880" w:right="580"/>
        </w:sectPr>
      </w:pPr>
    </w:p>
    <w:p>
      <w:pPr>
        <w:spacing w:line="240" w:lineRule="auto" w:before="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985"/>
        <w:gridCol w:w="1276"/>
        <w:gridCol w:w="1277"/>
        <w:gridCol w:w="5172"/>
      </w:tblGrid>
      <w:tr>
        <w:trPr>
          <w:trHeight w:val="368"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北京市海淀区统计局（海经信办发</w:t>
            </w:r>
            <w:r>
              <w:rPr>
                <w:rFonts w:ascii="Times New Roman" w:hAnsi="Times New Roman" w:cs="Times New Roman" w:eastAsia="Times New Roman" w:hint="default"/>
                <w:sz w:val="18"/>
                <w:szCs w:val="18"/>
              </w:rPr>
              <w:t>[2012]1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w:t>
            </w:r>
          </w:p>
        </w:tc>
      </w:tr>
      <w:tr>
        <w:trPr>
          <w:trHeight w:val="7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593,580.64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219,027.00</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4"/>
              <w:ind w:left="22" w:right="97"/>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中关村科技园区海淀园管理委员会《海淀区促进重点产业发展支 </w:t>
            </w:r>
            <w:r>
              <w:rPr>
                <w:rFonts w:ascii="宋体" w:hAnsi="宋体" w:cs="宋体" w:eastAsia="宋体" w:hint="default"/>
                <w:spacing w:val="-6"/>
                <w:sz w:val="18"/>
                <w:szCs w:val="18"/>
              </w:rPr>
              <w:t>持办法》（海行规发</w:t>
            </w:r>
            <w:r>
              <w:rPr>
                <w:rFonts w:ascii="Times New Roman" w:hAnsi="Times New Roman" w:cs="Times New Roman" w:eastAsia="Times New Roman" w:hint="default"/>
                <w:spacing w:val="-6"/>
                <w:sz w:val="18"/>
                <w:szCs w:val="18"/>
              </w:rPr>
              <w:t>[2012]5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号）文等</w:t>
            </w:r>
          </w:p>
        </w:tc>
      </w:tr>
      <w:tr>
        <w:trPr>
          <w:trHeight w:val="36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2,515,006.58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1,585,662.50</w:t>
            </w:r>
          </w:p>
        </w:tc>
        <w:tc>
          <w:tcPr>
            <w:tcW w:w="5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3"/>
          <w:szCs w:val="13"/>
        </w:rPr>
      </w:pPr>
    </w:p>
    <w:p>
      <w:pPr>
        <w:pStyle w:val="Heading3"/>
        <w:spacing w:line="240" w:lineRule="auto" w:before="26"/>
        <w:ind w:left="254" w:right="0"/>
        <w:jc w:val="left"/>
      </w:pPr>
      <w:r>
        <w:rPr>
          <w:rFonts w:ascii="Cambria" w:hAnsi="Cambria" w:cs="Cambria" w:eastAsia="Cambria" w:hint="default"/>
        </w:rPr>
        <w:t>64</w:t>
      </w:r>
      <w:r>
        <w:rPr/>
        <w:t>、营业外支出</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249" w:type="dxa"/>
        <w:tblLayout w:type="fixed"/>
        <w:tblCellMar>
          <w:top w:w="0" w:type="dxa"/>
          <w:left w:w="0" w:type="dxa"/>
          <w:bottom w:w="0" w:type="dxa"/>
          <w:right w:w="0" w:type="dxa"/>
        </w:tblCellMar>
        <w:tblLook w:val="01E0"/>
      </w:tblPr>
      <w:tblGrid>
        <w:gridCol w:w="3709"/>
        <w:gridCol w:w="2032"/>
        <w:gridCol w:w="1914"/>
        <w:gridCol w:w="1914"/>
      </w:tblGrid>
      <w:tr>
        <w:trPr>
          <w:trHeight w:val="184" w:hRule="exact"/>
        </w:trPr>
        <w:tc>
          <w:tcPr>
            <w:tcW w:w="3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680" w:right="48" w:hanging="633"/>
              <w:jc w:val="left"/>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360" w:hRule="exact"/>
        </w:trPr>
        <w:tc>
          <w:tcPr>
            <w:tcW w:w="3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56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914" w:type="dxa"/>
            <w:vMerge/>
            <w:tcBorders>
              <w:left w:val="single" w:sz="4" w:space="0" w:color="000000"/>
              <w:right w:val="single" w:sz="4" w:space="0" w:color="000000"/>
            </w:tcBorders>
            <w:shd w:val="clear" w:color="auto" w:fill="D3D3D3"/>
          </w:tcPr>
          <w:p>
            <w:pPr/>
          </w:p>
        </w:tc>
      </w:tr>
      <w:tr>
        <w:trPr>
          <w:trHeight w:val="184" w:hRule="exact"/>
        </w:trPr>
        <w:tc>
          <w:tcPr>
            <w:tcW w:w="3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7,924.17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6,320.04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7,924.17</w:t>
            </w:r>
          </w:p>
        </w:tc>
      </w:tr>
      <w:tr>
        <w:trPr>
          <w:trHeight w:val="478"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7,924.17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6,320.04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7,924.17</w:t>
            </w:r>
          </w:p>
        </w:tc>
      </w:tr>
      <w:tr>
        <w:trPr>
          <w:trHeight w:val="479"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7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350.00</w:t>
            </w:r>
          </w:p>
        </w:tc>
      </w:tr>
      <w:tr>
        <w:trPr>
          <w:trHeight w:val="479"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208,274.17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6,386.74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208,274.17</w:t>
            </w:r>
          </w:p>
        </w:tc>
      </w:tr>
    </w:tbl>
    <w:p>
      <w:pPr>
        <w:spacing w:line="240" w:lineRule="auto" w:before="0"/>
        <w:rPr>
          <w:rFonts w:ascii="宋体" w:hAnsi="宋体" w:cs="宋体" w:eastAsia="宋体" w:hint="default"/>
          <w:sz w:val="13"/>
          <w:szCs w:val="13"/>
        </w:rPr>
      </w:pPr>
    </w:p>
    <w:p>
      <w:pPr>
        <w:pStyle w:val="Heading3"/>
        <w:spacing w:line="240" w:lineRule="auto" w:before="26"/>
        <w:ind w:left="254" w:right="0"/>
        <w:jc w:val="left"/>
      </w:pPr>
      <w:r>
        <w:rPr>
          <w:rFonts w:ascii="Cambria" w:hAnsi="Cambria" w:cs="Cambria" w:eastAsia="Cambria" w:hint="default"/>
        </w:rPr>
        <w:t>65</w:t>
      </w:r>
      <w:r>
        <w:rPr/>
        <w:t>、所得税费用</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260" w:type="dxa"/>
        <w:tblLayout w:type="fixed"/>
        <w:tblCellMar>
          <w:top w:w="0" w:type="dxa"/>
          <w:left w:w="0" w:type="dxa"/>
          <w:bottom w:w="0" w:type="dxa"/>
          <w:right w:w="0" w:type="dxa"/>
        </w:tblCellMar>
        <w:tblLook w:val="01E0"/>
      </w:tblPr>
      <w:tblGrid>
        <w:gridCol w:w="4643"/>
        <w:gridCol w:w="2524"/>
        <w:gridCol w:w="2389"/>
      </w:tblGrid>
      <w:tr>
        <w:trPr>
          <w:trHeight w:val="478"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0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73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9,246,522.16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8,622,553.69</w:t>
            </w:r>
          </w:p>
        </w:tc>
      </w:tr>
      <w:tr>
        <w:trPr>
          <w:trHeight w:val="479"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-944,041.91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-919,589.54</w:t>
            </w:r>
          </w:p>
        </w:tc>
      </w:tr>
      <w:tr>
        <w:trPr>
          <w:trHeight w:val="478"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8,302,480.25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7,702,964.15</w:t>
            </w:r>
          </w:p>
        </w:tc>
      </w:tr>
    </w:tbl>
    <w:p>
      <w:pPr>
        <w:spacing w:line="240" w:lineRule="auto" w:before="0"/>
        <w:rPr>
          <w:rFonts w:ascii="宋体" w:hAnsi="宋体" w:cs="宋体" w:eastAsia="宋体" w:hint="default"/>
          <w:sz w:val="13"/>
          <w:szCs w:val="13"/>
        </w:rPr>
      </w:pPr>
    </w:p>
    <w:p>
      <w:pPr>
        <w:pStyle w:val="Heading3"/>
        <w:spacing w:line="240" w:lineRule="auto" w:before="26"/>
        <w:ind w:left="254" w:right="0"/>
        <w:jc w:val="left"/>
      </w:pPr>
      <w:r>
        <w:rPr>
          <w:rFonts w:ascii="Cambria" w:hAnsi="Cambria" w:cs="Cambria" w:eastAsia="Cambria" w:hint="default"/>
        </w:rPr>
        <w:t>66</w:t>
      </w:r>
      <w:r>
        <w:rPr/>
        <w:t>、基本每股收益和稀释每股收益的计算过程</w:t>
      </w:r>
    </w:p>
    <w:p>
      <w:pPr>
        <w:spacing w:line="240" w:lineRule="auto" w:before="1"/>
        <w:rPr>
          <w:rFonts w:ascii="黑体" w:hAnsi="黑体" w:cs="黑体" w:eastAsia="黑体" w:hint="default"/>
          <w:sz w:val="29"/>
          <w:szCs w:val="29"/>
        </w:rPr>
      </w:pPr>
    </w:p>
    <w:p>
      <w:pPr>
        <w:pStyle w:val="Heading5"/>
        <w:spacing w:line="240" w:lineRule="auto"/>
        <w:ind w:left="254" w:right="0"/>
        <w:jc w:val="left"/>
        <w:rPr>
          <w:b w:val="0"/>
          <w:bCs w:val="0"/>
        </w:rPr>
      </w:pPr>
      <w:r>
        <w:rPr/>
        <w:t>注：（</w:t>
      </w:r>
      <w:r>
        <w:rPr>
          <w:rFonts w:ascii="Times New Roman" w:hAnsi="Times New Roman" w:cs="Times New Roman" w:eastAsia="Times New Roman" w:hint="default"/>
        </w:rPr>
        <w:t>1</w:t>
      </w:r>
      <w:r>
        <w:rPr/>
        <w:t>）基本每股收益</w:t>
      </w:r>
      <w:r>
        <w:rPr>
          <w:b w:val="0"/>
          <w:bCs w:val="0"/>
        </w:rPr>
      </w:r>
    </w:p>
    <w:p>
      <w:pPr>
        <w:spacing w:line="240" w:lineRule="auto" w:before="7"/>
        <w:rPr>
          <w:rFonts w:ascii="宋体" w:hAnsi="宋体" w:cs="宋体" w:eastAsia="宋体" w:hint="default"/>
          <w:b/>
          <w:bCs/>
          <w:sz w:val="30"/>
          <w:szCs w:val="30"/>
        </w:rPr>
      </w:pPr>
    </w:p>
    <w:p>
      <w:pPr>
        <w:pStyle w:val="BodyText"/>
        <w:spacing w:line="516" w:lineRule="auto"/>
        <w:ind w:left="673" w:right="5981"/>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=P0÷S</w:t>
      </w:r>
      <w:r>
        <w:rPr>
          <w:rFonts w:ascii="Times New Roman" w:hAnsi="Times New Roman" w:cs="Times New Roman" w:eastAsia="Times New Roman" w:hint="default"/>
          <w:spacing w:val="-1"/>
        </w:rPr>
        <w:t> </w:t>
      </w:r>
      <w:r>
        <w:rPr>
          <w:rFonts w:ascii="Times New Roman" w:hAnsi="Times New Roman" w:cs="Times New Roman" w:eastAsia="Times New Roman" w:hint="default"/>
        </w:rPr>
        <w:t>S=S0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240" w:lineRule="auto" w:before="66"/>
        <w:ind w:left="673" w:right="0"/>
        <w:jc w:val="left"/>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31"/>
        </w:rPr>
        <w:t> </w:t>
      </w:r>
      <w:r>
        <w:rPr/>
        <w:t>为归属于公司普通股股东的净利润或扣除非经常性损益后归属于普通股股东的净利润；</w:t>
      </w:r>
    </w:p>
    <w:p>
      <w:pPr>
        <w:spacing w:line="240" w:lineRule="auto" w:before="6"/>
        <w:rPr>
          <w:rFonts w:ascii="宋体" w:hAnsi="宋体" w:cs="宋体" w:eastAsia="宋体" w:hint="default"/>
          <w:sz w:val="25"/>
          <w:szCs w:val="25"/>
        </w:rPr>
      </w:pPr>
    </w:p>
    <w:p>
      <w:pPr>
        <w:pStyle w:val="BodyText"/>
        <w:spacing w:line="240" w:lineRule="auto"/>
        <w:ind w:left="673" w:right="0"/>
        <w:jc w:val="left"/>
      </w:pPr>
      <w:r>
        <w:rPr>
          <w:rFonts w:ascii="Times New Roman" w:hAnsi="Times New Roman" w:cs="Times New Roman" w:eastAsia="Times New Roman" w:hint="default"/>
        </w:rPr>
        <w:t>S</w:t>
      </w:r>
      <w:r>
        <w:rPr>
          <w:rFonts w:ascii="Times New Roman" w:hAnsi="Times New Roman" w:cs="Times New Roman" w:eastAsia="Times New Roman" w:hint="default"/>
          <w:spacing w:val="39"/>
        </w:rPr>
        <w:t> </w:t>
      </w:r>
      <w:r>
        <w:rPr/>
        <w:t>为发行在外的普通股加权平均数；</w:t>
      </w:r>
    </w:p>
    <w:p>
      <w:pPr>
        <w:spacing w:line="240" w:lineRule="auto" w:before="6"/>
        <w:rPr>
          <w:rFonts w:ascii="宋体" w:hAnsi="宋体" w:cs="宋体" w:eastAsia="宋体" w:hint="default"/>
          <w:sz w:val="25"/>
          <w:szCs w:val="25"/>
        </w:rPr>
      </w:pPr>
    </w:p>
    <w:p>
      <w:pPr>
        <w:pStyle w:val="BodyText"/>
        <w:spacing w:line="240" w:lineRule="auto"/>
        <w:ind w:left="673" w:right="0"/>
        <w:jc w:val="left"/>
      </w:pPr>
      <w:r>
        <w:rPr>
          <w:rFonts w:ascii="Times New Roman" w:hAnsi="Times New Roman" w:cs="Times New Roman" w:eastAsia="Times New Roman" w:hint="default"/>
        </w:rPr>
        <w:t>S0</w:t>
      </w:r>
      <w:r>
        <w:rPr>
          <w:rFonts w:ascii="Times New Roman" w:hAnsi="Times New Roman" w:cs="Times New Roman" w:eastAsia="Times New Roman" w:hint="default"/>
          <w:spacing w:val="31"/>
        </w:rPr>
        <w:t> </w:t>
      </w:r>
      <w:r>
        <w:rPr/>
        <w:t>为期初股份总数；</w:t>
      </w:r>
    </w:p>
    <w:p>
      <w:pPr>
        <w:spacing w:after="0" w:line="240" w:lineRule="auto"/>
        <w:jc w:val="left"/>
        <w:sectPr>
          <w:pgSz w:w="11910" w:h="16840"/>
          <w:pgMar w:header="997" w:footer="1252" w:top="1340" w:bottom="1440" w:left="880" w:right="980"/>
        </w:sectPr>
      </w:pPr>
    </w:p>
    <w:p>
      <w:pPr>
        <w:spacing w:line="240" w:lineRule="auto" w:before="4"/>
        <w:rPr>
          <w:rFonts w:ascii="宋体" w:hAnsi="宋体" w:cs="宋体" w:eastAsia="宋体" w:hint="default"/>
          <w:sz w:val="11"/>
          <w:szCs w:val="11"/>
        </w:rPr>
      </w:pPr>
    </w:p>
    <w:p>
      <w:pPr>
        <w:pStyle w:val="BodyText"/>
        <w:spacing w:line="240" w:lineRule="auto" w:before="35"/>
        <w:ind w:right="101"/>
        <w:jc w:val="left"/>
      </w:pPr>
      <w:r>
        <w:rPr>
          <w:rFonts w:ascii="Times New Roman" w:hAnsi="Times New Roman" w:cs="Times New Roman" w:eastAsia="Times New Roman" w:hint="default"/>
        </w:rPr>
        <w:t>S1</w:t>
      </w:r>
      <w:r>
        <w:rPr>
          <w:rFonts w:ascii="Times New Roman" w:hAnsi="Times New Roman" w:cs="Times New Roman" w:eastAsia="Times New Roman" w:hint="default"/>
          <w:spacing w:val="31"/>
        </w:rPr>
        <w:t> </w:t>
      </w:r>
      <w:r>
        <w:rPr/>
        <w:t>为报告期因公积金转增股本或股票股利分配等增加股份数；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Si</w:t>
      </w:r>
      <w:r>
        <w:rPr>
          <w:rFonts w:ascii="Times New Roman" w:hAnsi="Times New Roman" w:cs="Times New Roman" w:eastAsia="Times New Roman" w:hint="default"/>
          <w:spacing w:val="30"/>
        </w:rPr>
        <w:t> </w:t>
      </w:r>
      <w:r>
        <w:rPr/>
        <w:t>为报告期因发行新股或债转股等增加股份数；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Sj</w:t>
      </w:r>
      <w:r>
        <w:rPr>
          <w:rFonts w:ascii="Times New Roman" w:hAnsi="Times New Roman" w:cs="Times New Roman" w:eastAsia="Times New Roman" w:hint="default"/>
          <w:spacing w:val="30"/>
        </w:rPr>
        <w:t> </w:t>
      </w:r>
      <w:r>
        <w:rPr/>
        <w:t>为报告期因回购等减少股份数；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Sk</w:t>
      </w:r>
      <w:r>
        <w:rPr>
          <w:rFonts w:ascii="Times New Roman" w:hAnsi="Times New Roman" w:cs="Times New Roman" w:eastAsia="Times New Roman" w:hint="default"/>
          <w:spacing w:val="31"/>
        </w:rPr>
        <w:t> </w:t>
      </w:r>
      <w:r>
        <w:rPr/>
        <w:t>为报告期缩股数；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M0</w:t>
      </w:r>
      <w:r>
        <w:rPr>
          <w:rFonts w:ascii="Times New Roman" w:hAnsi="Times New Roman" w:cs="Times New Roman" w:eastAsia="Times New Roman" w:hint="default"/>
          <w:spacing w:val="29"/>
        </w:rPr>
        <w:t> </w:t>
      </w:r>
      <w:r>
        <w:rPr/>
        <w:t>报告期月份数；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Mi</w:t>
      </w:r>
      <w:r>
        <w:rPr>
          <w:rFonts w:ascii="Times New Roman" w:hAnsi="Times New Roman" w:cs="Times New Roman" w:eastAsia="Times New Roman" w:hint="default"/>
          <w:spacing w:val="29"/>
        </w:rPr>
        <w:t> </w:t>
      </w:r>
      <w:r>
        <w:rPr/>
        <w:t>为增加股份次月起至报告期期末的累计月数；</w:t>
      </w:r>
    </w:p>
    <w:p>
      <w:pPr>
        <w:spacing w:line="240" w:lineRule="auto" w:before="6"/>
        <w:rPr>
          <w:rFonts w:ascii="宋体" w:hAnsi="宋体" w:cs="宋体" w:eastAsia="宋体" w:hint="default"/>
          <w:sz w:val="25"/>
          <w:szCs w:val="25"/>
        </w:rPr>
      </w:pPr>
    </w:p>
    <w:p>
      <w:pPr>
        <w:pStyle w:val="BodyText"/>
        <w:spacing w:line="240" w:lineRule="auto"/>
        <w:ind w:left="573" w:right="101"/>
        <w:jc w:val="left"/>
      </w:pPr>
      <w:r>
        <w:rPr>
          <w:rFonts w:ascii="Times New Roman" w:hAnsi="Times New Roman" w:cs="Times New Roman" w:eastAsia="Times New Roman" w:hint="default"/>
        </w:rPr>
        <w:t>Mj</w:t>
      </w:r>
      <w:r>
        <w:rPr>
          <w:rFonts w:ascii="Times New Roman" w:hAnsi="Times New Roman" w:cs="Times New Roman" w:eastAsia="Times New Roman" w:hint="default"/>
          <w:spacing w:val="29"/>
        </w:rPr>
        <w:t> </w:t>
      </w:r>
      <w:r>
        <w:rPr/>
        <w:t>为减少股份次月起至报告期期末的累计月数。</w:t>
      </w:r>
    </w:p>
    <w:p>
      <w:pPr>
        <w:pStyle w:val="BodyText"/>
        <w:spacing w:line="690" w:lineRule="atLeast" w:before="1"/>
        <w:ind w:right="101"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）稀释每股收益</w:t>
      </w:r>
      <w:r>
        <w:rPr>
          <w:rFonts w:ascii="宋体" w:hAnsi="宋体" w:cs="宋体" w:eastAsia="宋体" w:hint="default"/>
          <w:b/>
          <w:bCs/>
          <w:spacing w:val="1"/>
          <w:w w:val="99"/>
        </w:rPr>
        <w:t>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Si×Mi÷M0–Sj×Mj÷M0–Sk+</w:t>
      </w:r>
      <w:r>
        <w:rPr>
          <w:spacing w:val="-1"/>
        </w:rPr>
        <w:t>认股权证、股份期权、可转换债券等增加的普</w:t>
      </w:r>
    </w:p>
    <w:p>
      <w:pPr>
        <w:pStyle w:val="BodyText"/>
        <w:spacing w:line="240" w:lineRule="auto" w:before="177"/>
        <w:ind w:left="154" w:right="101"/>
        <w:jc w:val="left"/>
        <w:rPr>
          <w:rFonts w:ascii="Times New Roman" w:hAnsi="Times New Roman" w:cs="Times New Roman" w:eastAsia="Times New Roman" w:hint="default"/>
        </w:rPr>
      </w:pPr>
      <w:r>
        <w:rPr/>
        <w:t>通股加权平均数</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8"/>
          <w:szCs w:val="28"/>
        </w:rPr>
      </w:pPr>
    </w:p>
    <w:p>
      <w:pPr>
        <w:pStyle w:val="BodyText"/>
        <w:spacing w:line="403" w:lineRule="auto"/>
        <w:ind w:left="153" w:right="90" w:firstLine="420"/>
        <w:jc w:val="left"/>
      </w:pPr>
      <w:r>
        <w:rPr>
          <w:spacing w:val="-3"/>
        </w:rPr>
        <w:t>其中，</w:t>
      </w:r>
      <w:r>
        <w:rPr>
          <w:rFonts w:ascii="Times New Roman" w:hAnsi="Times New Roman" w:cs="Times New Roman" w:eastAsia="Times New Roman" w:hint="default"/>
          <w:spacing w:val="-3"/>
        </w:rPr>
        <w:t>P1</w:t>
      </w:r>
      <w:r>
        <w:rPr>
          <w:rFonts w:ascii="Times New Roman" w:hAnsi="Times New Roman" w:cs="Times New Roman" w:eastAsia="Times New Roman" w:hint="default"/>
          <w:spacing w:val="32"/>
        </w:rPr>
        <w:t> </w:t>
      </w:r>
      <w:r>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spacing w:line="240" w:lineRule="auto" w:before="5"/>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5954"/>
        <w:gridCol w:w="1417"/>
        <w:gridCol w:w="2126"/>
      </w:tblGrid>
      <w:tr>
        <w:trPr>
          <w:trHeight w:val="498" w:hRule="exact"/>
        </w:trPr>
        <w:tc>
          <w:tcPr>
            <w:tcW w:w="5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518"/>
              <w:jc w:val="right"/>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P0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46,890,276.01</w:t>
            </w:r>
          </w:p>
        </w:tc>
      </w:tr>
      <w:tr>
        <w:trPr>
          <w:trHeight w:val="504"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P0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44,803,082.98</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S0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S1</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Si</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Sj</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Sk</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w:t>
            </w:r>
          </w:p>
        </w:tc>
      </w:tr>
      <w:tr>
        <w:trPr>
          <w:trHeight w:val="504"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575"/>
              <w:jc w:val="right"/>
              <w:rPr>
                <w:rFonts w:ascii="Times New Roman" w:hAnsi="Times New Roman" w:cs="Times New Roman" w:eastAsia="Times New Roman" w:hint="default"/>
                <w:sz w:val="18"/>
                <w:szCs w:val="18"/>
              </w:rPr>
            </w:pPr>
            <w:r>
              <w:rPr>
                <w:rFonts w:ascii="Times New Roman"/>
                <w:spacing w:val="-1"/>
                <w:w w:val="95"/>
                <w:sz w:val="18"/>
              </w:rPr>
              <w:t>M0</w:t>
            </w:r>
            <w:r>
              <w:rPr>
                <w:rFonts w:ascii="Times New Roman"/>
                <w:w w:val="95"/>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Mi</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20"/>
        </w:sectPr>
      </w:pPr>
    </w:p>
    <w:p>
      <w:pPr>
        <w:spacing w:line="240" w:lineRule="auto" w:before="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954"/>
        <w:gridCol w:w="1417"/>
        <w:gridCol w:w="2126"/>
      </w:tblGrid>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595" w:right="0"/>
              <w:jc w:val="left"/>
              <w:rPr>
                <w:rFonts w:ascii="Times New Roman" w:hAnsi="Times New Roman" w:cs="Times New Roman" w:eastAsia="Times New Roman" w:hint="default"/>
                <w:sz w:val="18"/>
                <w:szCs w:val="18"/>
              </w:rPr>
            </w:pPr>
            <w:r>
              <w:rPr>
                <w:rFonts w:ascii="Times New Roman"/>
                <w:sz w:val="18"/>
              </w:rPr>
              <w:t>Mj</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650" w:right="0"/>
              <w:jc w:val="left"/>
              <w:rPr>
                <w:rFonts w:ascii="Times New Roman" w:hAnsi="Times New Roman" w:cs="Times New Roman" w:eastAsia="Times New Roman" w:hint="default"/>
                <w:sz w:val="18"/>
                <w:szCs w:val="18"/>
              </w:rPr>
            </w:pPr>
            <w:r>
              <w:rPr>
                <w:rFonts w:ascii="Times New Roman"/>
                <w:sz w:val="18"/>
              </w:rPr>
              <w:t>S</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50,166,666.67</w:t>
            </w:r>
          </w:p>
        </w:tc>
      </w:tr>
      <w:tr>
        <w:trPr>
          <w:trHeight w:val="504"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0.93</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0.89</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调整后的归属于普通股股东的当期净利润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605" w:right="0"/>
              <w:jc w:val="left"/>
              <w:rPr>
                <w:rFonts w:ascii="Times New Roman" w:hAnsi="Times New Roman" w:cs="Times New Roman" w:eastAsia="Times New Roman" w:hint="default"/>
                <w:sz w:val="18"/>
                <w:szCs w:val="18"/>
              </w:rPr>
            </w:pPr>
            <w:r>
              <w:rPr>
                <w:rFonts w:ascii="Times New Roman"/>
                <w:sz w:val="18"/>
              </w:rPr>
              <w:t>P1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46,890,276.01</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调整后扣除非经常性损益后归属于普通股股东的净利润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605" w:right="0"/>
              <w:jc w:val="left"/>
              <w:rPr>
                <w:rFonts w:ascii="Times New Roman" w:hAnsi="Times New Roman" w:cs="Times New Roman" w:eastAsia="Times New Roman" w:hint="default"/>
                <w:sz w:val="18"/>
                <w:szCs w:val="18"/>
              </w:rPr>
            </w:pPr>
            <w:r>
              <w:rPr>
                <w:rFonts w:ascii="Times New Roman"/>
                <w:sz w:val="18"/>
              </w:rPr>
              <w:t>P1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44,803,082.98</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认股权证、股份期权、可转换债券等增加的普通股加权平均数</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稀释后的发行在外普通股的加权平均数</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50,166,666.67</w:t>
            </w:r>
          </w:p>
        </w:tc>
      </w:tr>
      <w:tr>
        <w:trPr>
          <w:trHeight w:val="504"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0.93</w:t>
            </w:r>
          </w:p>
        </w:tc>
      </w:tr>
      <w:tr>
        <w:trPr>
          <w:trHeight w:val="503" w:hRule="exact"/>
        </w:trPr>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0.89</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67</w:t>
      </w:r>
      <w:r>
        <w:rPr/>
        <w:t>、其他综合收益</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79"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212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1,918.16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-64,406.43</w:t>
            </w:r>
          </w:p>
        </w:tc>
      </w:tr>
      <w:tr>
        <w:trPr>
          <w:trHeight w:val="478"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129"/>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1,918.16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-64,406.43</w:t>
            </w:r>
          </w:p>
        </w:tc>
      </w:tr>
      <w:tr>
        <w:trPr>
          <w:trHeight w:val="479"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2129"/>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1,918.16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-64,406.43</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68</w:t>
      </w:r>
      <w:r>
        <w:rPr/>
        <w:t>、现金流量表附注</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78"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60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3,691,642.93</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938,992.06</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4,600,230.17</w:t>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9,230,865.16</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78"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260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3,480,688.49</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3,110,729.23</w:t>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2,952,577.10</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1,514,577.23</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3,521,860.52</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3,108,275.59</w:t>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6,965,349.79</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14,691,759.88</w:t>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39,345,817.83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78"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60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79"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非同一控制下企业合并收到现金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412,510.40</w:t>
            </w:r>
          </w:p>
        </w:tc>
      </w:tr>
      <w:tr>
        <w:trPr>
          <w:trHeight w:val="478"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412,510.40</w:t>
            </w:r>
          </w:p>
        </w:tc>
      </w:tr>
    </w:tbl>
    <w:p>
      <w:pPr>
        <w:spacing w:line="240" w:lineRule="auto" w:before="2"/>
        <w:rPr>
          <w:rFonts w:ascii="宋体" w:hAnsi="宋体" w:cs="宋体" w:eastAsia="宋体" w:hint="default"/>
          <w:sz w:val="19"/>
          <w:szCs w:val="19"/>
        </w:rPr>
      </w:pPr>
    </w:p>
    <w:p>
      <w:pPr>
        <w:pStyle w:val="Heading5"/>
        <w:spacing w:line="568" w:lineRule="auto" w:before="35"/>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）支付的其他与投资活动有关的现金</w:t>
      </w:r>
      <w:r>
        <w:rPr>
          <w:w w:val="99"/>
        </w:rPr>
        <w:t> </w:t>
      </w:r>
      <w:r>
        <w:rPr>
          <w:rFonts w:ascii="宋体" w:hAnsi="宋体" w:cs="宋体" w:eastAsia="宋体" w:hint="default"/>
          <w:b w:val="0"/>
          <w:bCs w:val="0"/>
        </w:rPr>
        <w:t>无。</w:t>
      </w:r>
    </w:p>
    <w:p>
      <w:pPr>
        <w:pStyle w:val="Heading5"/>
        <w:spacing w:line="568" w:lineRule="auto" w:before="128"/>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）收到的其他与筹资活动有关的现金</w:t>
      </w:r>
      <w:r>
        <w:rPr>
          <w:w w:val="99"/>
        </w:rPr>
        <w:t> </w:t>
      </w:r>
      <w:r>
        <w:rPr>
          <w:rFonts w:ascii="宋体" w:hAnsi="宋体" w:cs="宋体" w:eastAsia="宋体" w:hint="default"/>
          <w:b w:val="0"/>
          <w:bCs w:val="0"/>
        </w:rPr>
        <w:t>无。</w:t>
      </w:r>
    </w:p>
    <w:p>
      <w:pPr>
        <w:pStyle w:val="Heading5"/>
        <w:spacing w:line="568" w:lineRule="auto" w:before="128"/>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）支付的其他与筹资活动有关的现金</w:t>
      </w:r>
      <w:r>
        <w:rPr>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997"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69</w:t>
      </w:r>
      <w:r>
        <w:rPr/>
        <w:t>、现金流量表补充资料</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47,805,575.44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43,224,357.27</w:t>
            </w:r>
          </w:p>
        </w:tc>
      </w:tr>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3,569,374.57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2,712,453.91</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1,995,702.39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1,268,673.91</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141,253.95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18,669.24</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160,695.59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23,188.88</w:t>
            </w:r>
          </w:p>
        </w:tc>
      </w:tr>
      <w:tr>
        <w:trPr>
          <w:trHeight w:val="947"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7,416.67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-1,686.25</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507.50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1,723,127.90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2,347,147.11</w:t>
            </w:r>
          </w:p>
        </w:tc>
      </w:tr>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1,782,861.34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-334,846.22</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-944,041.91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-919,589.54</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5,022,934.98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-2,809,732.63</w:t>
            </w:r>
          </w:p>
        </w:tc>
      </w:tr>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-37,788,343.77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-35,826,411.69</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-16,567,601.26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39,810,625.22</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6,909,463.39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49,512,849.21</w:t>
            </w:r>
          </w:p>
        </w:tc>
      </w:tr>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473,511,246.05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169,841,463.38</w:t>
            </w:r>
          </w:p>
        </w:tc>
      </w:tr>
      <w:tr>
        <w:trPr>
          <w:trHeight w:val="479"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169,841,463.38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101,872,098.23</w:t>
            </w:r>
          </w:p>
        </w:tc>
      </w:tr>
      <w:tr>
        <w:trPr>
          <w:trHeight w:val="478"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303,669,782.67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67,969,365.15</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pStyle w:val="Heading5"/>
        <w:spacing w:line="240" w:lineRule="auto" w:before="106"/>
        <w:ind w:left="814"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5137"/>
        <w:gridCol w:w="2376"/>
        <w:gridCol w:w="2656"/>
      </w:tblGrid>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36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91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5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14,219,200.00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z w:val="18"/>
              </w:rPr>
              <w:t>159,200.00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82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571,710.40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-412,510.40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1,868,446.71</w:t>
            </w: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18,769,576.69</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8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19,634,584.01</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8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488,732.03</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8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1,353,739.35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5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814"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820" w:type="dxa"/>
        <w:tblLayout w:type="fixed"/>
        <w:tblCellMar>
          <w:top w:w="0" w:type="dxa"/>
          <w:left w:w="0" w:type="dxa"/>
          <w:bottom w:w="0" w:type="dxa"/>
          <w:right w:w="0" w:type="dxa"/>
        </w:tblCellMar>
        <w:tblLook w:val="01E0"/>
      </w:tblPr>
      <w:tblGrid>
        <w:gridCol w:w="4364"/>
        <w:gridCol w:w="2536"/>
        <w:gridCol w:w="2657"/>
      </w:tblGrid>
      <w:tr>
        <w:trPr>
          <w:trHeight w:val="479"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473,511,246.05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169,841,463.38</w:t>
            </w:r>
          </w:p>
        </w:tc>
      </w:tr>
      <w:tr>
        <w:trPr>
          <w:trHeight w:val="478"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403,216.11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69,479.04</w:t>
            </w:r>
          </w:p>
        </w:tc>
      </w:tr>
      <w:tr>
        <w:trPr>
          <w:trHeight w:val="479"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473,108,029.94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169,771,984.34</w:t>
            </w:r>
          </w:p>
        </w:tc>
      </w:tr>
      <w:tr>
        <w:trPr>
          <w:trHeight w:val="478"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473,511,246.05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169,841,463.38</w:t>
            </w:r>
          </w:p>
        </w:tc>
      </w:tr>
    </w:tbl>
    <w:p>
      <w:pPr>
        <w:spacing w:line="240" w:lineRule="auto" w:before="0"/>
        <w:rPr>
          <w:rFonts w:ascii="宋体" w:hAnsi="宋体" w:cs="宋体" w:eastAsia="宋体" w:hint="default"/>
          <w:sz w:val="13"/>
          <w:szCs w:val="13"/>
        </w:rPr>
      </w:pPr>
    </w:p>
    <w:p>
      <w:pPr>
        <w:pStyle w:val="Heading3"/>
        <w:spacing w:line="240" w:lineRule="auto" w:before="26"/>
        <w:ind w:left="814" w:right="0"/>
        <w:jc w:val="left"/>
      </w:pPr>
      <w:r>
        <w:rPr>
          <w:rFonts w:ascii="Cambria" w:hAnsi="Cambria" w:cs="Cambria" w:eastAsia="Cambria" w:hint="default"/>
        </w:rPr>
        <w:t>70</w:t>
      </w:r>
      <w:r>
        <w:rPr/>
        <w:t>、所有者权益变动表项目注释</w:t>
      </w:r>
    </w:p>
    <w:p>
      <w:pPr>
        <w:spacing w:line="240" w:lineRule="auto" w:before="12"/>
        <w:rPr>
          <w:rFonts w:ascii="黑体" w:hAnsi="黑体" w:cs="黑体" w:eastAsia="黑体" w:hint="default"/>
          <w:sz w:val="23"/>
          <w:szCs w:val="23"/>
        </w:rPr>
      </w:pPr>
    </w:p>
    <w:p>
      <w:pPr>
        <w:pStyle w:val="BodyText"/>
        <w:spacing w:line="240" w:lineRule="auto"/>
        <w:ind w:left="1234"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left="814" w:right="0"/>
        <w:jc w:val="left"/>
      </w:pPr>
      <w:r>
        <w:rPr/>
        <w:t>八、资产证券化业务的会计处理</w:t>
      </w:r>
    </w:p>
    <w:p>
      <w:pPr>
        <w:spacing w:line="240" w:lineRule="auto" w:before="3"/>
        <w:rPr>
          <w:rFonts w:ascii="黑体" w:hAnsi="黑体" w:cs="黑体" w:eastAsia="黑体" w:hint="default"/>
          <w:sz w:val="28"/>
          <w:szCs w:val="28"/>
        </w:rPr>
      </w:pPr>
    </w:p>
    <w:p>
      <w:pPr>
        <w:pStyle w:val="Heading3"/>
        <w:spacing w:line="240" w:lineRule="auto"/>
        <w:ind w:left="814" w:right="0"/>
        <w:jc w:val="left"/>
      </w:pPr>
      <w:r>
        <w:rPr>
          <w:rFonts w:ascii="Cambria" w:hAnsi="Cambria" w:cs="Cambria" w:eastAsia="Cambria" w:hint="default"/>
        </w:rPr>
        <w:t>1</w:t>
      </w:r>
      <w:r>
        <w:rPr/>
        <w:t>、说明资产证券化业务的主要交易安排及其会计处理、破产隔离条款</w:t>
      </w:r>
    </w:p>
    <w:p>
      <w:pPr>
        <w:spacing w:line="240" w:lineRule="auto" w:before="12"/>
        <w:rPr>
          <w:rFonts w:ascii="黑体" w:hAnsi="黑体" w:cs="黑体" w:eastAsia="黑体" w:hint="default"/>
          <w:sz w:val="23"/>
          <w:szCs w:val="23"/>
        </w:rPr>
      </w:pPr>
    </w:p>
    <w:p>
      <w:pPr>
        <w:pStyle w:val="BodyText"/>
        <w:spacing w:line="240" w:lineRule="auto"/>
        <w:ind w:left="1234" w:right="0"/>
        <w:jc w:val="left"/>
      </w:pPr>
      <w:r>
        <w:rPr/>
        <w:t>不适用。</w:t>
      </w:r>
    </w:p>
    <w:p>
      <w:pPr>
        <w:spacing w:after="0" w:line="240" w:lineRule="auto"/>
        <w:jc w:val="left"/>
        <w:sectPr>
          <w:pgSz w:w="11910" w:h="16840"/>
          <w:pgMar w:header="997" w:footer="1252" w:top="1340" w:bottom="1440" w:left="32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left"/>
      </w:pPr>
      <w:r>
        <w:rPr>
          <w:rFonts w:ascii="Cambria" w:hAnsi="Cambria" w:cs="Cambria" w:eastAsia="Cambria" w:hint="default"/>
        </w:rPr>
        <w:t>2</w:t>
      </w:r>
      <w:r>
        <w:rPr/>
        <w:t>、公司不具有控制权但实质上承担其风险的特殊目的主体情况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left"/>
      </w:pPr>
      <w:r>
        <w:rPr/>
        <w:t>九、关联方及关联交易</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、本企业的母公司情况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after="0" w:line="240" w:lineRule="auto"/>
        <w:jc w:val="left"/>
        <w:sectPr>
          <w:pgSz w:w="11910" w:h="16840"/>
          <w:pgMar w:header="997" w:footer="1252" w:top="1340" w:bottom="1440" w:left="980" w:right="980"/>
        </w:sectPr>
      </w:pPr>
    </w:p>
    <w:p>
      <w:pPr>
        <w:spacing w:before="17"/>
        <w:ind w:left="99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p>
      <w:pPr>
        <w:spacing w:line="240" w:lineRule="auto" w:before="1"/>
        <w:rPr>
          <w:rFonts w:ascii="Times New Roman" w:hAnsi="Times New Roman" w:cs="Times New Roman" w:eastAsia="Times New Roman" w:hint="default"/>
          <w:sz w:val="13"/>
          <w:szCs w:val="13"/>
        </w:rPr>
      </w:pPr>
    </w:p>
    <w:p>
      <w:pPr>
        <w:spacing w:line="20" w:lineRule="exact"/>
        <w:ind w:left="9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1"/>
          <w:szCs w:val="11"/>
        </w:rPr>
      </w:pPr>
    </w:p>
    <w:p>
      <w:pPr>
        <w:pStyle w:val="Heading3"/>
        <w:spacing w:line="240" w:lineRule="auto" w:before="26"/>
        <w:ind w:left="959" w:right="0"/>
        <w:jc w:val="left"/>
      </w:pPr>
      <w:r>
        <w:rPr>
          <w:rFonts w:ascii="Cambria" w:hAnsi="Cambria" w:cs="Cambria" w:eastAsia="Cambria" w:hint="default"/>
        </w:rPr>
        <w:t>2</w:t>
      </w:r>
      <w:r>
        <w:rPr/>
        <w:t>、本企业的子公司情况</w:t>
      </w:r>
    </w:p>
    <w:p>
      <w:pPr>
        <w:spacing w:line="240" w:lineRule="auto" w:before="3"/>
        <w:rPr>
          <w:rFonts w:ascii="黑体" w:hAnsi="黑体" w:cs="黑体" w:eastAsia="黑体" w:hint="default"/>
          <w:sz w:val="21"/>
          <w:szCs w:val="21"/>
        </w:rPr>
      </w:pPr>
    </w:p>
    <w:p>
      <w:pPr>
        <w:pStyle w:val="BodyText"/>
        <w:spacing w:line="240" w:lineRule="auto" w:before="35"/>
        <w:ind w:left="0" w:right="758"/>
        <w:jc w:val="right"/>
      </w:pPr>
      <w:r>
        <w:rPr/>
        <w:t>单位： 元</w:t>
      </w:r>
    </w:p>
    <w:p>
      <w:pPr>
        <w:spacing w:line="240" w:lineRule="auto" w:before="11"/>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978"/>
        <w:gridCol w:w="1559"/>
        <w:gridCol w:w="1417"/>
        <w:gridCol w:w="1134"/>
        <w:gridCol w:w="1276"/>
        <w:gridCol w:w="1843"/>
        <w:gridCol w:w="1417"/>
        <w:gridCol w:w="1276"/>
        <w:gridCol w:w="1276"/>
        <w:gridCol w:w="1277"/>
      </w:tblGrid>
      <w:tr>
        <w:trPr>
          <w:trHeight w:val="478"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41"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34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表决权比例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北京旋极汉荣嵌入式技术有限公司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刘  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77157487-0</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陈为群</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66437288-6</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深圳旋极历通科技有限公司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2,480,000.00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72616871-8</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叶国雄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74642656-9</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66371819-5</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865,200.00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79851136-X</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福建百旺金赋信息科技有限公司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05432952-2</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周铂</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05380940-1</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厦门百旺金赋信息科技有限公司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05117681-5</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天津百望金赋科技有限公司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05527723-4</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陈茵</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05365613-4</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上海百旺金赋科技有限公司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陈为群</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05764344-5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7971" w:right="7353"/>
        <w:jc w:val="center"/>
        <w:rPr>
          <w:rFonts w:ascii="Times New Roman" w:hAnsi="Times New Roman" w:cs="Times New Roman" w:eastAsia="Times New Roman" w:hint="default"/>
        </w:rPr>
      </w:pPr>
      <w:r>
        <w:rPr>
          <w:rFonts w:ascii="Times New Roman"/>
        </w:rPr>
        <w:t>154</w:t>
      </w:r>
    </w:p>
    <w:p>
      <w:pPr>
        <w:spacing w:after="0" w:line="240" w:lineRule="auto"/>
        <w:jc w:val="center"/>
        <w:rPr>
          <w:rFonts w:ascii="Times New Roman" w:hAnsi="Times New Roman" w:cs="Times New Roman" w:eastAsia="Times New Roman" w:hint="default"/>
        </w:rPr>
        <w:sectPr>
          <w:headerReference w:type="default" r:id="rId40"/>
          <w:footerReference w:type="default" r:id="rId41"/>
          <w:pgSz w:w="16840" w:h="11910" w:orient="landscape"/>
          <w:pgMar w:header="0" w:footer="0" w:top="920" w:bottom="280" w:left="480" w:right="680"/>
        </w:sectPr>
      </w:pPr>
    </w:p>
    <w:p>
      <w:pPr>
        <w:spacing w:line="240" w:lineRule="auto" w:before="8"/>
        <w:rPr>
          <w:rFonts w:ascii="Times New Roman" w:hAnsi="Times New Roman" w:cs="Times New Roman" w:eastAsia="Times New Roman" w:hint="default"/>
          <w:sz w:val="11"/>
          <w:szCs w:val="11"/>
        </w:rPr>
      </w:pPr>
    </w:p>
    <w:p>
      <w:pPr>
        <w:pStyle w:val="Heading3"/>
        <w:spacing w:line="240" w:lineRule="auto" w:before="26"/>
        <w:ind w:left="534" w:right="0"/>
        <w:jc w:val="left"/>
      </w:pPr>
      <w:r>
        <w:rPr>
          <w:rFonts w:ascii="Cambria" w:hAnsi="Cambria" w:cs="Cambria" w:eastAsia="Cambria" w:hint="default"/>
        </w:rPr>
        <w:t>3</w:t>
      </w:r>
      <w:r>
        <w:rPr/>
        <w:t>、本企业的合营和联营企业情况</w:t>
      </w:r>
    </w:p>
    <w:p>
      <w:pPr>
        <w:spacing w:line="240" w:lineRule="auto" w:before="3"/>
        <w:rPr>
          <w:rFonts w:ascii="黑体" w:hAnsi="黑体" w:cs="黑体" w:eastAsia="黑体" w:hint="default"/>
          <w:sz w:val="21"/>
          <w:szCs w:val="21"/>
        </w:rPr>
      </w:pPr>
    </w:p>
    <w:p>
      <w:pPr>
        <w:pStyle w:val="BodyText"/>
        <w:spacing w:line="240" w:lineRule="auto" w:before="35"/>
        <w:ind w:left="0" w:right="688"/>
        <w:jc w:val="right"/>
      </w:pPr>
      <w:r>
        <w:rPr/>
        <w:t>单位： 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380"/>
        <w:gridCol w:w="955"/>
        <w:gridCol w:w="785"/>
        <w:gridCol w:w="1128"/>
        <w:gridCol w:w="958"/>
        <w:gridCol w:w="1032"/>
        <w:gridCol w:w="886"/>
        <w:gridCol w:w="1525"/>
        <w:gridCol w:w="850"/>
        <w:gridCol w:w="1134"/>
      </w:tblGrid>
      <w:tr>
        <w:trPr>
          <w:trHeight w:val="1087" w:hRule="exact"/>
        </w:trPr>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5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10"/>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1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88" w:lineRule="auto" w:before="33"/>
              <w:ind w:left="76" w:right="74"/>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本企业持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b/>
                <w:bCs/>
                <w:spacing w:val="1"/>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64" w:right="33" w:hanging="3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本企业在被投资单</w:t>
            </w:r>
            <w:r>
              <w:rPr>
                <w:rFonts w:ascii="宋体" w:hAnsi="宋体" w:cs="宋体" w:eastAsia="宋体" w:hint="default"/>
                <w:b/>
                <w:bCs/>
                <w:w w:val="99"/>
                <w:sz w:val="18"/>
                <w:szCs w:val="18"/>
              </w:rPr>
              <w:t> </w:t>
            </w:r>
            <w:r>
              <w:rPr>
                <w:rFonts w:ascii="宋体" w:hAnsi="宋体" w:cs="宋体" w:eastAsia="宋体" w:hint="default"/>
                <w:b/>
                <w:bCs/>
                <w:sz w:val="18"/>
                <w:szCs w:val="18"/>
              </w:rPr>
              <w:t>位表决权比例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364" w:lineRule="auto"/>
              <w:ind w:left="470" w:right="108" w:hanging="362"/>
              <w:jc w:val="left"/>
              <w:rPr>
                <w:rFonts w:ascii="宋体" w:hAnsi="宋体" w:cs="宋体" w:eastAsia="宋体" w:hint="default"/>
                <w:sz w:val="18"/>
                <w:szCs w:val="18"/>
              </w:rPr>
            </w:pPr>
            <w:r>
              <w:rPr>
                <w:rFonts w:ascii="宋体" w:hAnsi="宋体" w:cs="宋体" w:eastAsia="宋体" w:hint="default"/>
                <w:b/>
                <w:bCs/>
                <w:sz w:val="18"/>
                <w:szCs w:val="18"/>
              </w:rPr>
              <w:t>组织机构代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r>
      <w:tr>
        <w:trPr>
          <w:trHeight w:val="369" w:hRule="exact"/>
        </w:trPr>
        <w:tc>
          <w:tcPr>
            <w:tcW w:w="10632"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一、合营企业</w:t>
            </w:r>
            <w:r>
              <w:rPr>
                <w:rFonts w:ascii="宋体" w:hAnsi="宋体" w:cs="宋体" w:eastAsia="宋体" w:hint="default"/>
                <w:sz w:val="18"/>
                <w:szCs w:val="18"/>
              </w:rPr>
            </w:r>
          </w:p>
        </w:tc>
      </w:tr>
      <w:tr>
        <w:trPr>
          <w:trHeight w:val="368" w:hRule="exact"/>
        </w:trPr>
        <w:tc>
          <w:tcPr>
            <w:tcW w:w="10632"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二、联营企业</w:t>
            </w:r>
            <w:r>
              <w:rPr>
                <w:rFonts w:ascii="宋体" w:hAnsi="宋体" w:cs="宋体" w:eastAsia="宋体" w:hint="default"/>
                <w:sz w:val="18"/>
                <w:szCs w:val="18"/>
              </w:rPr>
            </w:r>
          </w:p>
        </w:tc>
      </w:tr>
      <w:tr>
        <w:trPr>
          <w:trHeight w:val="72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144" w:right="54" w:hanging="90"/>
              <w:jc w:val="left"/>
              <w:rPr>
                <w:rFonts w:ascii="宋体" w:hAnsi="宋体" w:cs="宋体" w:eastAsia="宋体" w:hint="default"/>
                <w:sz w:val="18"/>
                <w:szCs w:val="18"/>
              </w:rPr>
            </w:pPr>
            <w:r>
              <w:rPr>
                <w:rFonts w:ascii="宋体" w:hAnsi="宋体" w:cs="宋体" w:eastAsia="宋体" w:hint="default"/>
                <w:sz w:val="18"/>
                <w:szCs w:val="18"/>
              </w:rPr>
              <w:t>北京旋极泰科新 技术有限公司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曲海滨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参股企业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05143732-5</w:t>
            </w:r>
          </w:p>
        </w:tc>
      </w:tr>
    </w:tbl>
    <w:p>
      <w:pPr>
        <w:spacing w:line="240" w:lineRule="auto" w:before="0"/>
        <w:rPr>
          <w:rFonts w:ascii="宋体" w:hAnsi="宋体" w:cs="宋体" w:eastAsia="宋体" w:hint="default"/>
          <w:sz w:val="13"/>
          <w:szCs w:val="13"/>
        </w:rPr>
      </w:pPr>
    </w:p>
    <w:p>
      <w:pPr>
        <w:pStyle w:val="Heading3"/>
        <w:spacing w:line="240" w:lineRule="auto" w:before="26"/>
        <w:ind w:left="534" w:right="0"/>
        <w:jc w:val="left"/>
      </w:pPr>
      <w:r>
        <w:rPr>
          <w:rFonts w:ascii="Cambria" w:hAnsi="Cambria" w:cs="Cambria" w:eastAsia="Cambria" w:hint="default"/>
        </w:rPr>
        <w:t>4</w:t>
      </w:r>
      <w:r>
        <w:rPr/>
        <w:t>、本企业的其他关联方情况</w:t>
      </w:r>
    </w:p>
    <w:p>
      <w:pPr>
        <w:spacing w:line="240" w:lineRule="auto" w:before="2"/>
        <w:rPr>
          <w:rFonts w:ascii="黑体" w:hAnsi="黑体" w:cs="黑体" w:eastAsia="黑体" w:hint="default"/>
          <w:sz w:val="19"/>
          <w:szCs w:val="19"/>
        </w:rPr>
      </w:pPr>
    </w:p>
    <w:tbl>
      <w:tblPr>
        <w:tblW w:w="0" w:type="auto"/>
        <w:jc w:val="left"/>
        <w:tblInd w:w="529" w:type="dxa"/>
        <w:tblLayout w:type="fixed"/>
        <w:tblCellMar>
          <w:top w:w="0" w:type="dxa"/>
          <w:left w:w="0" w:type="dxa"/>
          <w:bottom w:w="0" w:type="dxa"/>
          <w:right w:w="0" w:type="dxa"/>
        </w:tblCellMar>
        <w:tblLook w:val="01E0"/>
      </w:tblPr>
      <w:tblGrid>
        <w:gridCol w:w="3402"/>
        <w:gridCol w:w="3970"/>
        <w:gridCol w:w="2197"/>
      </w:tblGrid>
      <w:tr>
        <w:trPr>
          <w:trHeight w:val="368"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刘希平</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8" w:right="0"/>
              <w:jc w:val="left"/>
              <w:rPr>
                <w:rFonts w:ascii="宋体" w:hAnsi="宋体" w:cs="宋体" w:eastAsia="宋体" w:hint="default"/>
                <w:sz w:val="18"/>
                <w:szCs w:val="18"/>
              </w:rPr>
            </w:pPr>
            <w:r>
              <w:rPr>
                <w:rFonts w:ascii="宋体" w:hAnsi="宋体" w:cs="宋体" w:eastAsia="宋体" w:hint="default"/>
                <w:sz w:val="18"/>
                <w:szCs w:val="18"/>
              </w:rPr>
              <w:t>陈江涛之妻、本公司股东之一</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陈为群</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08" w:right="0"/>
              <w:jc w:val="left"/>
              <w:rPr>
                <w:rFonts w:ascii="宋体" w:hAnsi="宋体" w:cs="宋体" w:eastAsia="宋体" w:hint="default"/>
                <w:sz w:val="18"/>
                <w:szCs w:val="18"/>
              </w:rPr>
            </w:pPr>
            <w:r>
              <w:rPr>
                <w:rFonts w:ascii="宋体" w:hAnsi="宋体" w:cs="宋体" w:eastAsia="宋体" w:hint="default"/>
                <w:sz w:val="18"/>
                <w:szCs w:val="18"/>
              </w:rPr>
              <w:t>陈江涛之妹、本公司股东之一</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6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本公司股东之一</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67876119-6</w:t>
            </w:r>
          </w:p>
        </w:tc>
      </w:tr>
      <w:tr>
        <w:trPr>
          <w:trHeight w:val="680" w:hRule="exact"/>
        </w:trPr>
        <w:tc>
          <w:tcPr>
            <w:tcW w:w="340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397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tabs>
                <w:tab w:pos="257" w:val="left" w:leader="none"/>
              </w:tabs>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w:t>
              <w:tab/>
              <w:t>公司董事任合伙人的企业，本公司股东之一</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69397863-3</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香港佳木有限公司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78" w:right="0"/>
              <w:jc w:val="left"/>
              <w:rPr>
                <w:rFonts w:ascii="宋体" w:hAnsi="宋体" w:cs="宋体" w:eastAsia="宋体" w:hint="default"/>
                <w:sz w:val="18"/>
                <w:szCs w:val="18"/>
              </w:rPr>
            </w:pPr>
            <w:r>
              <w:rPr>
                <w:rFonts w:ascii="宋体" w:hAnsi="宋体" w:cs="宋体" w:eastAsia="宋体" w:hint="default"/>
                <w:sz w:val="18"/>
                <w:szCs w:val="18"/>
              </w:rPr>
              <w:t>公司前董事控制的公司</w:t>
            </w: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sz w:val="13"/>
          <w:szCs w:val="13"/>
        </w:rPr>
      </w:pPr>
    </w:p>
    <w:p>
      <w:pPr>
        <w:pStyle w:val="Heading3"/>
        <w:spacing w:line="240" w:lineRule="auto" w:before="26"/>
        <w:ind w:left="534" w:right="0"/>
        <w:jc w:val="left"/>
      </w:pPr>
      <w:r>
        <w:rPr/>
        <w:pict>
          <v:group style="position:absolute;margin-left:228.179993pt;margin-top:-53.204071pt;width:195.7pt;height:17.95pt;mso-position-horizontal-relative:page;mso-position-vertical-relative:paragraph;z-index:-728560" coordorigin="4564,-1064" coordsize="3914,359">
            <v:shape style="position:absolute;left:4564;top:-1064;width:3914;height:359" coordorigin="4564,-1064" coordsize="3914,359" path="m4564,-705l8477,-705,8477,-1064,4564,-1064,4564,-705xe" filled="true" fillcolor="#ffffff" stroked="false">
              <v:path arrowok="t"/>
              <v:fill type="solid"/>
            </v:shape>
            <w10:wrap type="none"/>
          </v:group>
        </w:pict>
      </w:r>
      <w:r>
        <w:rPr>
          <w:rFonts w:ascii="Cambria" w:hAnsi="Cambria" w:cs="Cambria" w:eastAsia="Cambria" w:hint="default"/>
        </w:rPr>
        <w:t>5</w:t>
      </w:r>
      <w:r>
        <w:rPr/>
        <w:t>、关联方交易</w:t>
      </w:r>
    </w:p>
    <w:p>
      <w:pPr>
        <w:spacing w:line="240" w:lineRule="auto" w:before="1"/>
        <w:rPr>
          <w:rFonts w:ascii="黑体" w:hAnsi="黑体" w:cs="黑体" w:eastAsia="黑体" w:hint="default"/>
          <w:sz w:val="29"/>
          <w:szCs w:val="29"/>
        </w:rPr>
      </w:pPr>
    </w:p>
    <w:p>
      <w:pPr>
        <w:pStyle w:val="Heading5"/>
        <w:spacing w:line="568" w:lineRule="auto"/>
        <w:ind w:left="954" w:right="7253"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）采购商品、接受劳务情况表</w:t>
      </w:r>
      <w:r>
        <w:rPr>
          <w:spacing w:val="1"/>
          <w:w w:val="99"/>
        </w:rPr>
        <w:t> </w:t>
      </w:r>
      <w:r>
        <w:rPr>
          <w:rFonts w:ascii="宋体" w:hAnsi="宋体" w:cs="宋体" w:eastAsia="宋体" w:hint="default"/>
          <w:b w:val="0"/>
          <w:bCs w:val="0"/>
        </w:rPr>
        <w:t>不适用。</w:t>
      </w:r>
    </w:p>
    <w:p>
      <w:pPr>
        <w:spacing w:line="568" w:lineRule="auto" w:before="128"/>
        <w:ind w:left="954" w:right="803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）关联托管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承包情况</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568" w:lineRule="auto" w:before="128"/>
        <w:ind w:left="954" w:right="85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568" w:lineRule="auto" w:before="128"/>
        <w:ind w:left="954" w:right="85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after="0" w:line="568" w:lineRule="auto"/>
        <w:jc w:val="left"/>
        <w:rPr>
          <w:rFonts w:ascii="宋体" w:hAnsi="宋体" w:cs="宋体" w:eastAsia="宋体" w:hint="default"/>
          <w:sz w:val="21"/>
          <w:szCs w:val="21"/>
        </w:rPr>
        <w:sectPr>
          <w:footerReference w:type="default" r:id="rId42"/>
          <w:pgSz w:w="11910" w:h="16840"/>
          <w:pgMar w:footer="1252" w:header="0" w:top="1340" w:bottom="1440" w:left="600" w:right="440"/>
          <w:pgNumType w:start="155"/>
        </w:sectPr>
      </w:pPr>
    </w:p>
    <w:p>
      <w:pPr>
        <w:spacing w:line="568" w:lineRule="auto" w:before="106"/>
        <w:ind w:left="574" w:right="776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5"/>
        <w:spacing w:line="568" w:lineRule="auto" w:before="128"/>
        <w:ind w:left="574" w:right="5872"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）关联方资产转让、债务重组情况</w:t>
      </w:r>
      <w:r>
        <w:rPr>
          <w:w w:val="99"/>
        </w:rPr>
        <w:t> </w:t>
      </w:r>
      <w:r>
        <w:rPr>
          <w:rFonts w:ascii="宋体" w:hAnsi="宋体" w:cs="宋体" w:eastAsia="宋体" w:hint="default"/>
          <w:b w:val="0"/>
          <w:bCs w:val="0"/>
        </w:rPr>
        <w:t>不适用。</w:t>
      </w:r>
    </w:p>
    <w:p>
      <w:pPr>
        <w:spacing w:line="568" w:lineRule="auto" w:before="128"/>
        <w:ind w:left="574" w:right="797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3"/>
        <w:spacing w:line="240" w:lineRule="auto" w:before="38"/>
        <w:ind w:right="0"/>
        <w:jc w:val="left"/>
      </w:pPr>
      <w:r>
        <w:rPr>
          <w:rFonts w:ascii="Cambria" w:hAnsi="Cambria" w:cs="Cambria" w:eastAsia="Cambria" w:hint="default"/>
        </w:rPr>
        <w:t>6</w:t>
      </w:r>
      <w:r>
        <w:rPr/>
        <w:t>、关联方应收应付款项</w:t>
      </w:r>
    </w:p>
    <w:p>
      <w:pPr>
        <w:spacing w:line="240" w:lineRule="auto" w:before="12"/>
        <w:rPr>
          <w:rFonts w:ascii="黑体" w:hAnsi="黑体" w:cs="黑体" w:eastAsia="黑体" w:hint="default"/>
          <w:sz w:val="23"/>
          <w:szCs w:val="23"/>
        </w:rPr>
      </w:pPr>
    </w:p>
    <w:p>
      <w:pPr>
        <w:pStyle w:val="BodyText"/>
        <w:spacing w:line="240" w:lineRule="auto"/>
        <w:ind w:right="0"/>
        <w:jc w:val="left"/>
      </w:pPr>
      <w:r>
        <w:rPr/>
        <w:t>上市公司应付关联方款项</w:t>
      </w:r>
    </w:p>
    <w:p>
      <w:pPr>
        <w:spacing w:line="240" w:lineRule="auto" w:before="13"/>
        <w:rPr>
          <w:rFonts w:ascii="宋体" w:hAnsi="宋体" w:cs="宋体" w:eastAsia="宋体" w:hint="default"/>
          <w:sz w:val="23"/>
          <w:szCs w:val="23"/>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78"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851"/>
              <w:jc w:val="righ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7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其他关联关系方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52"/>
              <w:jc w:val="right"/>
              <w:rPr>
                <w:rFonts w:ascii="宋体" w:hAnsi="宋体" w:cs="宋体" w:eastAsia="宋体" w:hint="default"/>
                <w:sz w:val="18"/>
                <w:szCs w:val="18"/>
              </w:rPr>
            </w:pPr>
            <w:r>
              <w:rPr>
                <w:rFonts w:ascii="宋体" w:hAnsi="宋体" w:cs="宋体" w:eastAsia="宋体" w:hint="default"/>
                <w:sz w:val="18"/>
                <w:szCs w:val="18"/>
              </w:rPr>
              <w:t>陈江涛</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其他关联关系方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52"/>
              <w:jc w:val="right"/>
              <w:rPr>
                <w:rFonts w:ascii="宋体" w:hAnsi="宋体" w:cs="宋体" w:eastAsia="宋体" w:hint="default"/>
                <w:sz w:val="18"/>
                <w:szCs w:val="18"/>
              </w:rPr>
            </w:pPr>
            <w:r>
              <w:rPr>
                <w:rFonts w:ascii="宋体" w:hAnsi="宋体" w:cs="宋体" w:eastAsia="宋体" w:hint="default"/>
                <w:sz w:val="18"/>
                <w:szCs w:val="18"/>
              </w:rPr>
              <w:t>陈为群</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2,184,708.44</w:t>
            </w:r>
          </w:p>
        </w:tc>
      </w:tr>
      <w:tr>
        <w:trPr>
          <w:trHeight w:val="479"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其他关联关系方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52"/>
              <w:jc w:val="right"/>
              <w:rPr>
                <w:rFonts w:ascii="宋体" w:hAnsi="宋体" w:cs="宋体" w:eastAsia="宋体" w:hint="default"/>
                <w:sz w:val="18"/>
                <w:szCs w:val="18"/>
              </w:rPr>
            </w:pPr>
            <w:r>
              <w:rPr>
                <w:rFonts w:ascii="宋体" w:hAnsi="宋体" w:cs="宋体" w:eastAsia="宋体" w:hint="default"/>
                <w:sz w:val="18"/>
                <w:szCs w:val="18"/>
              </w:rPr>
              <w:t>叶国雄</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14" w:right="0"/>
              <w:jc w:val="left"/>
              <w:rPr>
                <w:rFonts w:ascii="Times New Roman" w:hAnsi="Times New Roman" w:cs="Times New Roman" w:eastAsia="Times New Roman" w:hint="default"/>
                <w:sz w:val="18"/>
                <w:szCs w:val="18"/>
              </w:rPr>
            </w:pPr>
            <w:r>
              <w:rPr>
                <w:rFonts w:ascii="Times New Roman"/>
                <w:sz w:val="18"/>
              </w:rPr>
              <w:t>626,524.29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626,524.29</w:t>
            </w:r>
          </w:p>
        </w:tc>
      </w:tr>
    </w:tbl>
    <w:p>
      <w:pPr>
        <w:spacing w:line="240" w:lineRule="auto" w:before="5"/>
        <w:rPr>
          <w:rFonts w:ascii="宋体" w:hAnsi="宋体" w:cs="宋体" w:eastAsia="宋体" w:hint="default"/>
          <w:sz w:val="17"/>
          <w:szCs w:val="17"/>
        </w:rPr>
      </w:pPr>
    </w:p>
    <w:p>
      <w:pPr>
        <w:pStyle w:val="Heading2"/>
        <w:spacing w:line="240" w:lineRule="auto" w:before="13"/>
        <w:ind w:right="0"/>
        <w:jc w:val="left"/>
      </w:pPr>
      <w:r>
        <w:rPr/>
        <w:t>十、股份支付</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、股份支付总体情况</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、以权益结算的股份支付情况</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、以现金结算的股份支付情况</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4</w:t>
      </w:r>
      <w:r>
        <w:rPr/>
        <w:t>、以股份支付服务情况</w:t>
      </w:r>
    </w:p>
    <w:p>
      <w:pPr>
        <w:spacing w:line="240" w:lineRule="auto" w:before="12"/>
        <w:rPr>
          <w:rFonts w:ascii="黑体" w:hAnsi="黑体" w:cs="黑体" w:eastAsia="黑体" w:hint="default"/>
          <w:sz w:val="23"/>
          <w:szCs w:val="23"/>
        </w:rPr>
      </w:pPr>
    </w:p>
    <w:p>
      <w:pPr>
        <w:pStyle w:val="BodyText"/>
        <w:spacing w:line="240" w:lineRule="auto"/>
        <w:ind w:left="555" w:right="8509"/>
        <w:jc w:val="center"/>
      </w:pPr>
      <w:r>
        <w:rPr/>
        <w:t>不适用。</w:t>
      </w:r>
    </w:p>
    <w:p>
      <w:pPr>
        <w:spacing w:after="0" w:line="240" w:lineRule="auto"/>
        <w:jc w:val="center"/>
        <w:sectPr>
          <w:pgSz w:w="11910" w:h="16840"/>
          <w:pgMar w:header="0"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right="0"/>
        <w:jc w:val="both"/>
      </w:pPr>
      <w:r>
        <w:rPr>
          <w:rFonts w:ascii="Cambria" w:hAnsi="Cambria" w:cs="Cambria" w:eastAsia="Cambria" w:hint="default"/>
        </w:rPr>
        <w:t>5</w:t>
      </w:r>
      <w:r>
        <w:rPr/>
        <w:t>、股份支付的修改、终止情况</w:t>
      </w:r>
    </w:p>
    <w:p>
      <w:pPr>
        <w:spacing w:line="240" w:lineRule="auto" w:before="12"/>
        <w:rPr>
          <w:rFonts w:ascii="黑体" w:hAnsi="黑体" w:cs="黑体" w:eastAsia="黑体" w:hint="default"/>
          <w:sz w:val="23"/>
          <w:szCs w:val="23"/>
        </w:rPr>
      </w:pPr>
    </w:p>
    <w:p>
      <w:pPr>
        <w:pStyle w:val="BodyText"/>
        <w:spacing w:line="240" w:lineRule="auto"/>
        <w:ind w:right="101"/>
        <w:jc w:val="left"/>
      </w:pPr>
      <w:r>
        <w:rPr/>
        <w:t>不适用。</w:t>
      </w:r>
    </w:p>
    <w:p>
      <w:pPr>
        <w:spacing w:line="240" w:lineRule="auto" w:before="4"/>
        <w:rPr>
          <w:rFonts w:ascii="宋体" w:hAnsi="宋体" w:cs="宋体" w:eastAsia="宋体" w:hint="default"/>
          <w:sz w:val="28"/>
          <w:szCs w:val="28"/>
        </w:rPr>
      </w:pPr>
    </w:p>
    <w:p>
      <w:pPr>
        <w:pStyle w:val="Heading2"/>
        <w:spacing w:line="240" w:lineRule="auto"/>
        <w:ind w:right="0"/>
        <w:jc w:val="both"/>
      </w:pPr>
      <w:r>
        <w:rPr/>
        <w:t>十一、或有事项</w:t>
      </w:r>
    </w:p>
    <w:p>
      <w:pPr>
        <w:spacing w:line="240" w:lineRule="auto" w:before="3"/>
        <w:rPr>
          <w:rFonts w:ascii="黑体" w:hAnsi="黑体" w:cs="黑体" w:eastAsia="黑体" w:hint="default"/>
          <w:sz w:val="28"/>
          <w:szCs w:val="28"/>
        </w:rPr>
      </w:pPr>
    </w:p>
    <w:p>
      <w:pPr>
        <w:pStyle w:val="Heading3"/>
        <w:spacing w:line="240" w:lineRule="auto"/>
        <w:ind w:right="0"/>
        <w:jc w:val="both"/>
      </w:pPr>
      <w:r>
        <w:rPr>
          <w:rFonts w:ascii="Cambria" w:hAnsi="Cambria" w:cs="Cambria" w:eastAsia="Cambria" w:hint="default"/>
        </w:rPr>
        <w:t>1</w:t>
      </w:r>
      <w:r>
        <w:rPr/>
        <w:t>、未决诉讼或仲裁形成的或有负债及其财务影响</w:t>
      </w:r>
    </w:p>
    <w:p>
      <w:pPr>
        <w:spacing w:line="240" w:lineRule="auto" w:before="4"/>
        <w:rPr>
          <w:rFonts w:ascii="黑体" w:hAnsi="黑体" w:cs="黑体" w:eastAsia="黑体" w:hint="default"/>
          <w:sz w:val="23"/>
          <w:szCs w:val="23"/>
        </w:rPr>
      </w:pPr>
    </w:p>
    <w:p>
      <w:pPr>
        <w:pStyle w:val="Heading4"/>
        <w:spacing w:line="369" w:lineRule="auto"/>
        <w:ind w:right="20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日，深圳朗科科技股份有限公司向广西壮族自治区南宁市中级人民法院递交《民事</w:t>
      </w:r>
      <w:r>
        <w:rPr>
          <w:spacing w:val="2"/>
          <w:w w:val="99"/>
        </w:rPr>
        <w:t> </w:t>
      </w:r>
      <w:r>
        <w:rPr/>
        <w:t>起诉状》。起诉北京旋极信息技术股份有限公司等单位侵犯朗科科技发明专利权（专利名称为</w:t>
      </w:r>
      <w:r>
        <w:rPr>
          <w:rFonts w:ascii="Times New Roman" w:hAnsi="Times New Roman" w:cs="Times New Roman" w:eastAsia="Times New Roman" w:hint="default"/>
        </w:rPr>
        <w:t>“</w:t>
      </w:r>
      <w:r>
        <w:rPr/>
        <w:t>用于</w:t>
      </w:r>
      <w:r>
        <w:rPr>
          <w:spacing w:val="-44"/>
        </w:rPr>
        <w:t> </w:t>
      </w:r>
      <w:r>
        <w:rPr>
          <w:spacing w:val="-6"/>
        </w:rPr>
        <w:t>数据处理系统的快闪电子式外存储方法及其装置</w:t>
      </w:r>
      <w:r>
        <w:rPr>
          <w:rFonts w:ascii="Times New Roman" w:hAnsi="Times New Roman" w:cs="Times New Roman" w:eastAsia="Times New Roman" w:hint="default"/>
          <w:spacing w:val="-6"/>
        </w:rPr>
        <w:t>”</w:t>
      </w:r>
      <w:r>
        <w:rPr>
          <w:spacing w:val="-6"/>
        </w:rPr>
        <w:t>，专利号：</w:t>
      </w:r>
      <w:r>
        <w:rPr>
          <w:rFonts w:ascii="Times New Roman" w:hAnsi="Times New Roman" w:cs="Times New Roman" w:eastAsia="Times New Roman" w:hint="default"/>
          <w:spacing w:val="-6"/>
        </w:rPr>
        <w:t>99117225.6</w:t>
      </w:r>
      <w:r>
        <w:rPr>
          <w:spacing w:val="-6"/>
        </w:rPr>
        <w:t>）。南宁市中级人民法院于</w:t>
      </w:r>
      <w:r>
        <w:rPr>
          <w:rFonts w:ascii="Times New Roman" w:hAnsi="Times New Roman" w:cs="Times New Roman" w:eastAsia="Times New Roman" w:hint="default"/>
          <w:spacing w:val="-6"/>
        </w:rPr>
        <w:t>2012</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日受理了本案。</w:t>
      </w:r>
    </w:p>
    <w:p>
      <w:pPr>
        <w:pStyle w:val="Heading4"/>
        <w:spacing w:line="369" w:lineRule="auto" w:before="188"/>
        <w:ind w:right="9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日，旋极信息收到法院送达的关于朗科科技起诉公司侵权案件的《应诉通知书》等</w:t>
      </w:r>
      <w:r>
        <w:rPr>
          <w:spacing w:val="2"/>
          <w:w w:val="99"/>
        </w:rPr>
        <w:t> </w:t>
      </w:r>
      <w:r>
        <w:rPr>
          <w:spacing w:val="2"/>
        </w:rPr>
        <w:t>诉讼文件。其诉讼请求如下：</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）判令三被告立即停止侵犯公司名称为</w:t>
      </w:r>
      <w:r>
        <w:rPr>
          <w:rFonts w:ascii="Times New Roman" w:hAnsi="Times New Roman" w:cs="Times New Roman" w:eastAsia="Times New Roman" w:hint="default"/>
          <w:spacing w:val="2"/>
        </w:rPr>
        <w:t>“</w:t>
      </w:r>
      <w:r>
        <w:rPr>
          <w:spacing w:val="2"/>
        </w:rPr>
        <w:t>用于数据处理系统的快闪</w:t>
      </w:r>
      <w:r>
        <w:rPr>
          <w:w w:val="99"/>
        </w:rPr>
        <w:t> </w:t>
      </w:r>
      <w:r>
        <w:rPr>
          <w:spacing w:val="-2"/>
        </w:rPr>
        <w:t>电子式外存储方法及其装置</w:t>
      </w:r>
      <w:r>
        <w:rPr>
          <w:rFonts w:ascii="Times New Roman" w:hAnsi="Times New Roman" w:cs="Times New Roman" w:eastAsia="Times New Roman" w:hint="default"/>
          <w:spacing w:val="-2"/>
        </w:rPr>
        <w:t>”</w:t>
      </w:r>
      <w:r>
        <w:rPr>
          <w:spacing w:val="-2"/>
        </w:rPr>
        <w:t>专利号：</w:t>
      </w:r>
      <w:r>
        <w:rPr>
          <w:rFonts w:ascii="Times New Roman" w:hAnsi="Times New Roman" w:cs="Times New Roman" w:eastAsia="Times New Roman" w:hint="default"/>
          <w:spacing w:val="-2"/>
        </w:rPr>
        <w:t>99117225.6</w:t>
      </w:r>
      <w:r>
        <w:rPr>
          <w:spacing w:val="-2"/>
        </w:rPr>
        <w:t>发明专利权的行为；（</w:t>
      </w:r>
      <w:r>
        <w:rPr>
          <w:rFonts w:ascii="Times New Roman" w:hAnsi="Times New Roman" w:cs="Times New Roman" w:eastAsia="Times New Roman" w:hint="default"/>
          <w:spacing w:val="-2"/>
        </w:rPr>
        <w:t>2</w:t>
      </w:r>
      <w:r>
        <w:rPr>
          <w:spacing w:val="-2"/>
        </w:rPr>
        <w:t>）判令被告一立即停止制造、</w:t>
      </w:r>
      <w:r>
        <w:rPr>
          <w:spacing w:val="-106"/>
        </w:rPr>
        <w:t> </w:t>
      </w:r>
      <w:r>
        <w:rPr>
          <w:spacing w:val="-106"/>
        </w:rPr>
      </w:r>
      <w:r>
        <w:rPr>
          <w:spacing w:val="-5"/>
          <w:w w:val="99"/>
        </w:rPr>
        <w:t>销售和许诺销售</w:t>
      </w:r>
      <w:r>
        <w:rPr>
          <w:rFonts w:ascii="Times New Roman" w:hAnsi="Times New Roman" w:cs="Times New Roman" w:eastAsia="Times New Roman" w:hint="default"/>
          <w:spacing w:val="-5"/>
          <w:w w:val="99"/>
        </w:rPr>
        <w:t>ComyiKEY220</w:t>
      </w:r>
      <w:r>
        <w:rPr>
          <w:spacing w:val="-5"/>
          <w:w w:val="99"/>
        </w:rPr>
        <w:t>产品；（</w:t>
      </w:r>
      <w:r>
        <w:rPr>
          <w:rFonts w:ascii="Times New Roman" w:hAnsi="Times New Roman" w:cs="Times New Roman" w:eastAsia="Times New Roman" w:hint="default"/>
          <w:spacing w:val="-5"/>
          <w:w w:val="99"/>
        </w:rPr>
        <w:t>2</w:t>
      </w:r>
      <w:r>
        <w:rPr>
          <w:spacing w:val="-5"/>
          <w:w w:val="99"/>
        </w:rPr>
        <w:t>）判令被告二和被告三立即停止销售和许诺销售</w:t>
      </w:r>
      <w:r>
        <w:rPr>
          <w:rFonts w:ascii="Times New Roman" w:hAnsi="Times New Roman" w:cs="Times New Roman" w:eastAsia="Times New Roman" w:hint="default"/>
          <w:spacing w:val="-5"/>
          <w:w w:val="99"/>
        </w:rPr>
        <w:t>ComyiKEY220</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48"/>
          <w:w w:val="99"/>
        </w:rPr>
      </w:r>
      <w:r>
        <w:rPr/>
        <w:t>产品；（</w:t>
      </w:r>
      <w:r>
        <w:rPr>
          <w:rFonts w:ascii="Times New Roman" w:hAnsi="Times New Roman" w:cs="Times New Roman" w:eastAsia="Times New Roman" w:hint="default"/>
        </w:rPr>
        <w:t>4</w:t>
      </w:r>
      <w:r>
        <w:rPr/>
        <w:t>）判令三被告共同赔偿公司经济损失共计人民币</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5</w:t>
      </w:r>
      <w:r>
        <w:rPr/>
        <w:t>）本案的诉讼费用由三被告</w:t>
      </w:r>
      <w:r>
        <w:rPr>
          <w:w w:val="99"/>
        </w:rPr>
        <w:t> </w:t>
      </w:r>
      <w:r>
        <w:rPr/>
        <w:t>共同承担</w:t>
      </w:r>
      <w:r>
        <w:rPr>
          <w:rFonts w:ascii="Times New Roman" w:hAnsi="Times New Roman" w:cs="Times New Roman" w:eastAsia="Times New Roman" w:hint="default"/>
        </w:rPr>
        <w:t>”</w:t>
      </w:r>
      <w:r>
        <w:rPr/>
        <w:t>。</w:t>
      </w:r>
    </w:p>
    <w:p>
      <w:pPr>
        <w:pStyle w:val="Heading4"/>
        <w:spacing w:line="240" w:lineRule="auto" w:before="188"/>
        <w:ind w:left="594" w:right="101" w:firstLine="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日，本案各方当事人在广西南宁市中级人民法院进行了证据交换。截至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p>
    <w:p>
      <w:pPr>
        <w:pStyle w:val="Heading4"/>
        <w:spacing w:line="384" w:lineRule="auto" w:before="163"/>
        <w:ind w:right="209" w:firstLine="0"/>
        <w:jc w:val="both"/>
      </w:pPr>
      <w:r>
        <w:rPr>
          <w:rFonts w:ascii="Times New Roman" w:hAnsi="Times New Roman" w:cs="Times New Roman" w:eastAsia="Times New Roman" w:hint="default"/>
          <w:spacing w:val="-1"/>
        </w:rPr>
        <w:t>31</w:t>
      </w:r>
      <w:r>
        <w:rPr>
          <w:spacing w:val="-1"/>
        </w:rPr>
        <w:t>日，尚未开庭审理。</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日，南宁市中级人民法院根据旋极公司的申请，向国家知识产权局</w:t>
      </w:r>
      <w:r>
        <w:rPr>
          <w:w w:val="99"/>
        </w:rPr>
        <w:t> </w:t>
      </w:r>
      <w:r>
        <w:rPr>
          <w:spacing w:val="-1"/>
        </w:rPr>
        <w:t>专利复审委员会和北京市第一中级人民法院调取了证据，用以证明涉案产品没有落入朗科公司的专利</w:t>
      </w:r>
      <w:r>
        <w:rPr>
          <w:w w:val="99"/>
        </w:rPr>
        <w:t> </w:t>
      </w:r>
      <w:r>
        <w:rPr>
          <w:spacing w:val="-1"/>
        </w:rPr>
        <w:t>保护范围。经办律所认为，法院认定涉案产品构成对涉案专利的侵权可能性较小，朗科公司也未能提</w:t>
      </w:r>
      <w:r>
        <w:rPr>
          <w:w w:val="99"/>
        </w:rPr>
        <w:t> </w:t>
      </w:r>
      <w:r>
        <w:rPr>
          <w:spacing w:val="-1"/>
        </w:rPr>
        <w:t>供充分证据证明其所受到的损失或旋极公司因涉案产品的获利情况，其诉讼请求得到法院支持的可能</w:t>
      </w:r>
      <w:r>
        <w:rPr>
          <w:w w:val="99"/>
        </w:rPr>
        <w:t> </w:t>
      </w:r>
      <w:r>
        <w:rPr/>
        <w:t>性比较小。</w:t>
      </w:r>
    </w:p>
    <w:p>
      <w:pPr>
        <w:spacing w:line="240" w:lineRule="auto" w:before="8"/>
        <w:rPr>
          <w:rFonts w:ascii="宋体" w:hAnsi="宋体" w:cs="宋体" w:eastAsia="宋体" w:hint="default"/>
          <w:sz w:val="15"/>
          <w:szCs w:val="15"/>
        </w:rPr>
      </w:pPr>
    </w:p>
    <w:p>
      <w:pPr>
        <w:pStyle w:val="Heading4"/>
        <w:spacing w:line="384" w:lineRule="auto"/>
        <w:ind w:right="167"/>
        <w:jc w:val="both"/>
        <w:rPr>
          <w:rFonts w:ascii="Times New Roman" w:hAnsi="Times New Roman" w:cs="Times New Roman" w:eastAsia="Times New Roman" w:hint="default"/>
        </w:rPr>
      </w:pPr>
      <w:r>
        <w:rPr/>
        <w:t>公司大股东、实际控制人陈江涛已对本案件向旋极信息做出书面承诺：</w:t>
      </w:r>
      <w:r>
        <w:rPr>
          <w:rFonts w:ascii="Times New Roman" w:hAnsi="Times New Roman" w:cs="Times New Roman" w:eastAsia="Times New Roman" w:hint="default"/>
        </w:rPr>
        <w:t>“</w:t>
      </w:r>
      <w:r>
        <w:rPr/>
        <w:t>如果公司因本次侵权案</w:t>
      </w:r>
      <w:r>
        <w:rPr>
          <w:spacing w:val="2"/>
          <w:w w:val="99"/>
        </w:rPr>
        <w:t> </w:t>
      </w:r>
      <w:r>
        <w:rPr>
          <w:w w:val="95"/>
        </w:rPr>
        <w:t>件最终败诉，并因此需要支付任何侵权赔偿金、相关诉讼费用，或因本次诉讼导致公司的生产、经营</w:t>
      </w:r>
      <w:r>
        <w:rPr>
          <w:spacing w:val="20"/>
          <w:w w:val="95"/>
        </w:rPr>
        <w:t> </w:t>
      </w:r>
      <w:r>
        <w:rPr>
          <w:spacing w:val="20"/>
          <w:w w:val="95"/>
        </w:rPr>
      </w:r>
      <w:r>
        <w:rPr/>
        <w:t>遭受损失，公司实际控制人陈江涛先生将承担公司因本次诉讼产生的侵权赔偿金、案件费用及生产、</w:t>
      </w:r>
      <w:r>
        <w:rPr>
          <w:w w:val="99"/>
        </w:rPr>
        <w:t> </w:t>
      </w:r>
      <w:r>
        <w:rPr/>
        <w:t>经营损失。</w:t>
      </w:r>
      <w:r>
        <w:rPr>
          <w:rFonts w:ascii="Times New Roman" w:hAnsi="Times New Roman" w:cs="Times New Roman" w:eastAsia="Times New Roman" w:hint="default"/>
        </w:rPr>
        <w:t>”</w:t>
      </w:r>
    </w:p>
    <w:p>
      <w:pPr>
        <w:pStyle w:val="Heading3"/>
        <w:spacing w:line="240" w:lineRule="auto" w:before="158"/>
        <w:ind w:right="0"/>
        <w:jc w:val="both"/>
      </w:pPr>
      <w:r>
        <w:rPr>
          <w:rFonts w:ascii="Cambria" w:hAnsi="Cambria" w:cs="Cambria" w:eastAsia="Cambria" w:hint="default"/>
        </w:rPr>
        <w:t>2</w:t>
      </w:r>
      <w:r>
        <w:rPr/>
        <w:t>、为其他单位提供债务担保形成的或有负债及其财务影响</w:t>
      </w:r>
    </w:p>
    <w:p>
      <w:pPr>
        <w:spacing w:line="240" w:lineRule="auto" w:before="12"/>
        <w:rPr>
          <w:rFonts w:ascii="黑体" w:hAnsi="黑体" w:cs="黑体" w:eastAsia="黑体" w:hint="default"/>
          <w:sz w:val="23"/>
          <w:szCs w:val="23"/>
        </w:rPr>
      </w:pPr>
    </w:p>
    <w:p>
      <w:pPr>
        <w:pStyle w:val="BodyText"/>
        <w:spacing w:line="240" w:lineRule="auto"/>
        <w:ind w:right="101"/>
        <w:jc w:val="left"/>
      </w:pPr>
      <w:r>
        <w:rPr/>
        <w:t>无。</w:t>
      </w:r>
    </w:p>
    <w:p>
      <w:pPr>
        <w:spacing w:after="0" w:line="240" w:lineRule="auto"/>
        <w:jc w:val="left"/>
        <w:sectPr>
          <w:footerReference w:type="default" r:id="rId43"/>
          <w:pgSz w:w="11910" w:h="16840"/>
          <w:pgMar w:footer="1252" w:header="0" w:top="1340" w:bottom="1440" w:left="980" w:right="920"/>
          <w:pgNumType w:start="157"/>
        </w:sectPr>
      </w:pPr>
    </w:p>
    <w:p>
      <w:pPr>
        <w:spacing w:line="240" w:lineRule="auto" w:before="8"/>
        <w:rPr>
          <w:rFonts w:ascii="宋体" w:hAnsi="宋体" w:cs="宋体" w:eastAsia="宋体" w:hint="default"/>
          <w:sz w:val="14"/>
          <w:szCs w:val="14"/>
        </w:rPr>
      </w:pPr>
    </w:p>
    <w:p>
      <w:pPr>
        <w:pStyle w:val="Heading2"/>
        <w:spacing w:line="240" w:lineRule="auto" w:before="13"/>
        <w:ind w:right="0"/>
        <w:jc w:val="left"/>
      </w:pPr>
      <w:r>
        <w:rPr/>
        <w:t>十二、承诺事项</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、重大承诺事项</w:t>
      </w:r>
    </w:p>
    <w:p>
      <w:pPr>
        <w:spacing w:line="240" w:lineRule="auto" w:before="4"/>
        <w:rPr>
          <w:rFonts w:ascii="黑体" w:hAnsi="黑体" w:cs="黑体" w:eastAsia="黑体" w:hint="default"/>
          <w:sz w:val="23"/>
          <w:szCs w:val="23"/>
        </w:rPr>
      </w:pPr>
    </w:p>
    <w:p>
      <w:pPr>
        <w:spacing w:before="0"/>
        <w:ind w:left="594" w:right="0" w:firstLine="0"/>
        <w:jc w:val="left"/>
        <w:rPr>
          <w:rFonts w:ascii="宋体" w:hAnsi="宋体" w:cs="宋体" w:eastAsia="宋体" w:hint="default"/>
          <w:sz w:val="21"/>
          <w:szCs w:val="21"/>
        </w:rPr>
      </w:pPr>
      <w:r>
        <w:rPr>
          <w:rFonts w:ascii="宋体" w:hAnsi="宋体" w:cs="宋体" w:eastAsia="宋体" w:hint="default"/>
          <w:sz w:val="22"/>
          <w:szCs w:val="22"/>
        </w:rPr>
        <w:t>详见“第五节</w:t>
      </w:r>
      <w:r>
        <w:rPr>
          <w:rFonts w:ascii="宋体" w:hAnsi="宋体" w:cs="宋体" w:eastAsia="宋体" w:hint="default"/>
          <w:spacing w:val="-1"/>
          <w:sz w:val="22"/>
          <w:szCs w:val="22"/>
        </w:rPr>
        <w:t> </w:t>
      </w:r>
      <w:r>
        <w:rPr>
          <w:rFonts w:ascii="宋体" w:hAnsi="宋体" w:cs="宋体" w:eastAsia="宋体" w:hint="default"/>
          <w:sz w:val="21"/>
          <w:szCs w:val="21"/>
        </w:rPr>
        <w:t>重要事项”之八、承诺事项履行情况。</w:t>
      </w:r>
    </w:p>
    <w:p>
      <w:pPr>
        <w:spacing w:line="240" w:lineRule="auto" w:before="7"/>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、前期承诺履行情况</w:t>
      </w:r>
    </w:p>
    <w:p>
      <w:pPr>
        <w:spacing w:line="240" w:lineRule="auto" w:before="12"/>
        <w:rPr>
          <w:rFonts w:ascii="黑体" w:hAnsi="黑体" w:cs="黑体" w:eastAsia="黑体" w:hint="default"/>
          <w:sz w:val="23"/>
          <w:szCs w:val="23"/>
        </w:rPr>
      </w:pPr>
    </w:p>
    <w:p>
      <w:pPr>
        <w:pStyle w:val="BodyText"/>
        <w:spacing w:line="240" w:lineRule="auto"/>
        <w:ind w:right="0"/>
        <w:jc w:val="left"/>
      </w:pPr>
      <w:r>
        <w:rPr/>
        <w:t>截至本报告期末，没有任何违反承诺的事项发生。</w:t>
      </w:r>
    </w:p>
    <w:p>
      <w:pPr>
        <w:spacing w:line="240" w:lineRule="auto" w:before="4"/>
        <w:rPr>
          <w:rFonts w:ascii="宋体" w:hAnsi="宋体" w:cs="宋体" w:eastAsia="宋体" w:hint="default"/>
          <w:sz w:val="28"/>
          <w:szCs w:val="28"/>
        </w:rPr>
      </w:pPr>
    </w:p>
    <w:p>
      <w:pPr>
        <w:pStyle w:val="Heading2"/>
        <w:spacing w:line="240" w:lineRule="auto"/>
        <w:ind w:right="0"/>
        <w:jc w:val="left"/>
      </w:pPr>
      <w:r>
        <w:rPr/>
        <w:t>十三、资产负债表日后事项</w:t>
      </w:r>
    </w:p>
    <w:p>
      <w:pPr>
        <w:spacing w:line="240" w:lineRule="auto" w:before="3"/>
        <w:rPr>
          <w:rFonts w:ascii="黑体" w:hAnsi="黑体" w:cs="黑体" w:eastAsia="黑体" w:hint="default"/>
          <w:sz w:val="28"/>
          <w:szCs w:val="28"/>
        </w:rPr>
      </w:pPr>
    </w:p>
    <w:p>
      <w:pPr>
        <w:pStyle w:val="Heading3"/>
        <w:spacing w:line="240" w:lineRule="auto"/>
        <w:ind w:right="0"/>
        <w:jc w:val="left"/>
      </w:pPr>
      <w:r>
        <w:rPr>
          <w:rFonts w:ascii="Cambria" w:hAnsi="Cambria" w:cs="Cambria" w:eastAsia="Cambria" w:hint="default"/>
        </w:rPr>
        <w:t>1</w:t>
      </w:r>
      <w:r>
        <w:rPr/>
        <w:t>、重要的资产负债表日后事项说明</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、资产负债表日后利润分配情况说明</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、其他资产负债表日后事项说明</w:t>
      </w:r>
    </w:p>
    <w:p>
      <w:pPr>
        <w:spacing w:line="240" w:lineRule="auto" w:before="12"/>
        <w:rPr>
          <w:rFonts w:ascii="黑体" w:hAnsi="黑体" w:cs="黑体" w:eastAsia="黑体" w:hint="default"/>
          <w:sz w:val="23"/>
          <w:szCs w:val="23"/>
        </w:rPr>
      </w:pPr>
    </w:p>
    <w:p>
      <w:pPr>
        <w:pStyle w:val="BodyText"/>
        <w:spacing w:line="240" w:lineRule="auto"/>
        <w:ind w:right="0"/>
        <w:jc w:val="left"/>
        <w:rPr>
          <w:rFonts w:ascii="Times New Roman" w:hAnsi="Times New Roman" w:cs="Times New Roman" w:eastAsia="Times New Roman" w:hint="default"/>
        </w:rPr>
      </w:pPr>
      <w:r>
        <w:rPr/>
        <w:t>根据本公司</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日第二届董事会第十五次会议通过的利润分配预案，以</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p>
    <w:p>
      <w:pPr>
        <w:pStyle w:val="BodyText"/>
        <w:spacing w:line="240" w:lineRule="auto" w:before="177"/>
        <w:ind w:left="154" w:right="0"/>
        <w:jc w:val="left"/>
      </w:pPr>
      <w:r>
        <w:rPr/>
        <w:t>日总股本</w:t>
      </w:r>
      <w:r>
        <w:rPr>
          <w:spacing w:val="-39"/>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万股为基数，每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股派发现金股利人民币</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元（含税</w:t>
      </w:r>
      <w:r>
        <w:rPr>
          <w:spacing w:val="-105"/>
        </w:rPr>
        <w:t>）</w:t>
      </w:r>
      <w:r>
        <w:rPr/>
        <w:t>，</w:t>
      </w:r>
      <w:r>
        <w:rPr>
          <w:spacing w:val="-2"/>
        </w:rPr>
        <w:t>同</w:t>
      </w:r>
      <w:r>
        <w:rPr/>
        <w:t>时以资本公积金转增股本，向</w:t>
      </w:r>
    </w:p>
    <w:p>
      <w:pPr>
        <w:pStyle w:val="BodyText"/>
        <w:spacing w:line="240" w:lineRule="auto" w:before="177"/>
        <w:ind w:left="154" w:right="0"/>
        <w:jc w:val="left"/>
      </w:pPr>
      <w:r>
        <w:rPr/>
        <w:t>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股。该决议尚需经股东大会审议通过。</w:t>
      </w:r>
    </w:p>
    <w:p>
      <w:pPr>
        <w:spacing w:line="240" w:lineRule="auto" w:before="9"/>
        <w:rPr>
          <w:rFonts w:ascii="宋体" w:hAnsi="宋体" w:cs="宋体" w:eastAsia="宋体" w:hint="default"/>
          <w:sz w:val="23"/>
          <w:szCs w:val="23"/>
        </w:rPr>
      </w:pPr>
    </w:p>
    <w:p>
      <w:pPr>
        <w:pStyle w:val="Heading3"/>
        <w:spacing w:line="240" w:lineRule="auto"/>
        <w:ind w:right="0"/>
        <w:jc w:val="left"/>
      </w:pPr>
      <w:r>
        <w:rPr/>
        <w:t>十四、其他重要事项</w:t>
      </w:r>
    </w:p>
    <w:p>
      <w:pPr>
        <w:spacing w:line="240" w:lineRule="auto" w:before="9"/>
        <w:rPr>
          <w:rFonts w:ascii="黑体" w:hAnsi="黑体" w:cs="黑体" w:eastAsia="黑体" w:hint="default"/>
          <w:sz w:val="23"/>
          <w:szCs w:val="23"/>
        </w:rPr>
      </w:pPr>
    </w:p>
    <w:p>
      <w:pPr>
        <w:pStyle w:val="Heading3"/>
        <w:spacing w:line="240" w:lineRule="auto"/>
        <w:ind w:left="153" w:right="0"/>
        <w:jc w:val="left"/>
      </w:pPr>
      <w:r>
        <w:rPr>
          <w:rFonts w:ascii="Cambria" w:hAnsi="Cambria" w:cs="Cambria" w:eastAsia="Cambria" w:hint="default"/>
        </w:rPr>
        <w:t>1</w:t>
      </w:r>
      <w:r>
        <w:rPr/>
        <w:t>、非货币性资产交换</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2</w:t>
      </w:r>
      <w:r>
        <w:rPr/>
        <w:t>、债务重组</w:t>
      </w:r>
    </w:p>
    <w:p>
      <w:pPr>
        <w:spacing w:line="240" w:lineRule="auto" w:before="12"/>
        <w:rPr>
          <w:rFonts w:ascii="黑体" w:hAnsi="黑体" w:cs="黑体" w:eastAsia="黑体" w:hint="default"/>
          <w:sz w:val="23"/>
          <w:szCs w:val="23"/>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right="0"/>
        <w:jc w:val="left"/>
      </w:pPr>
      <w:r>
        <w:rPr>
          <w:rFonts w:ascii="Cambria" w:hAnsi="Cambria" w:cs="Cambria" w:eastAsia="Cambria" w:hint="default"/>
        </w:rPr>
        <w:t>3</w:t>
      </w:r>
      <w:r>
        <w:rPr/>
        <w:t>、企业合并</w:t>
      </w:r>
    </w:p>
    <w:p>
      <w:pPr>
        <w:spacing w:line="240" w:lineRule="auto" w:before="12"/>
        <w:rPr>
          <w:rFonts w:ascii="黑体" w:hAnsi="黑体" w:cs="黑体" w:eastAsia="黑体" w:hint="default"/>
          <w:sz w:val="23"/>
          <w:szCs w:val="23"/>
        </w:rPr>
      </w:pPr>
    </w:p>
    <w:p>
      <w:pPr>
        <w:pStyle w:val="BodyText"/>
        <w:spacing w:line="240" w:lineRule="auto"/>
        <w:ind w:right="0"/>
        <w:jc w:val="left"/>
      </w:pPr>
      <w:r>
        <w:rPr/>
        <w:t>不适用。</w:t>
      </w:r>
    </w:p>
    <w:p>
      <w:pPr>
        <w:spacing w:after="0" w:line="240" w:lineRule="auto"/>
        <w:jc w:val="left"/>
        <w:sectPr>
          <w:pgSz w:w="11910" w:h="16840"/>
          <w:pgMar w:header="0" w:footer="1252" w:top="1340" w:bottom="1440" w:left="980" w:right="980"/>
        </w:sectPr>
      </w:pPr>
    </w:p>
    <w:p>
      <w:pPr>
        <w:spacing w:line="240" w:lineRule="auto" w:before="3"/>
        <w:rPr>
          <w:rFonts w:ascii="宋体" w:hAnsi="宋体" w:cs="宋体" w:eastAsia="宋体" w:hint="default"/>
          <w:sz w:val="10"/>
          <w:szCs w:val="10"/>
        </w:rPr>
      </w:pPr>
    </w:p>
    <w:p>
      <w:pPr>
        <w:pStyle w:val="Heading3"/>
        <w:spacing w:line="240" w:lineRule="auto" w:before="26"/>
        <w:ind w:left="534" w:right="0"/>
        <w:jc w:val="left"/>
      </w:pPr>
      <w:r>
        <w:rPr>
          <w:rFonts w:ascii="Cambria" w:hAnsi="Cambria" w:cs="Cambria" w:eastAsia="Cambria" w:hint="default"/>
        </w:rPr>
        <w:t>4</w:t>
      </w:r>
      <w:r>
        <w:rPr/>
        <w:t>、租赁</w:t>
      </w:r>
    </w:p>
    <w:p>
      <w:pPr>
        <w:spacing w:line="240" w:lineRule="auto" w:before="12"/>
        <w:rPr>
          <w:rFonts w:ascii="黑体" w:hAnsi="黑体" w:cs="黑体" w:eastAsia="黑体" w:hint="default"/>
          <w:sz w:val="23"/>
          <w:szCs w:val="23"/>
        </w:rPr>
      </w:pPr>
    </w:p>
    <w:p>
      <w:pPr>
        <w:pStyle w:val="BodyText"/>
        <w:spacing w:line="240" w:lineRule="auto"/>
        <w:ind w:left="954"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left="534" w:right="0"/>
        <w:jc w:val="left"/>
      </w:pPr>
      <w:r>
        <w:rPr>
          <w:rFonts w:ascii="Cambria" w:hAnsi="Cambria" w:cs="Cambria" w:eastAsia="Cambria" w:hint="default"/>
        </w:rPr>
        <w:t>5</w:t>
      </w:r>
      <w:r>
        <w:rPr/>
        <w:t>、期末发行在外的、可转换为股份的金融工具</w:t>
      </w:r>
    </w:p>
    <w:p>
      <w:pPr>
        <w:spacing w:line="240" w:lineRule="auto" w:before="12"/>
        <w:rPr>
          <w:rFonts w:ascii="黑体" w:hAnsi="黑体" w:cs="黑体" w:eastAsia="黑体" w:hint="default"/>
          <w:sz w:val="23"/>
          <w:szCs w:val="23"/>
        </w:rPr>
      </w:pPr>
    </w:p>
    <w:p>
      <w:pPr>
        <w:pStyle w:val="BodyText"/>
        <w:spacing w:line="240" w:lineRule="auto"/>
        <w:ind w:left="954" w:right="0"/>
        <w:jc w:val="left"/>
      </w:pPr>
      <w:r>
        <w:rPr/>
        <w:t>无。</w:t>
      </w:r>
    </w:p>
    <w:p>
      <w:pPr>
        <w:spacing w:line="240" w:lineRule="auto" w:before="12"/>
        <w:rPr>
          <w:rFonts w:ascii="宋体" w:hAnsi="宋体" w:cs="宋体" w:eastAsia="宋体" w:hint="default"/>
          <w:sz w:val="24"/>
          <w:szCs w:val="24"/>
        </w:rPr>
      </w:pPr>
    </w:p>
    <w:p>
      <w:pPr>
        <w:pStyle w:val="Heading3"/>
        <w:spacing w:line="240" w:lineRule="auto"/>
        <w:ind w:left="534" w:right="0"/>
        <w:jc w:val="left"/>
      </w:pPr>
      <w:r>
        <w:rPr>
          <w:rFonts w:ascii="Cambria" w:hAnsi="Cambria" w:cs="Cambria" w:eastAsia="Cambria" w:hint="default"/>
        </w:rPr>
        <w:t>6</w:t>
      </w:r>
      <w:r>
        <w:rPr/>
        <w:t>、以公允价值计量的资产和负债</w:t>
      </w:r>
    </w:p>
    <w:p>
      <w:pPr>
        <w:spacing w:line="240" w:lineRule="auto" w:before="3"/>
        <w:rPr>
          <w:rFonts w:ascii="黑体" w:hAnsi="黑体" w:cs="黑体" w:eastAsia="黑体" w:hint="default"/>
          <w:sz w:val="21"/>
          <w:szCs w:val="21"/>
        </w:rPr>
      </w:pPr>
    </w:p>
    <w:p>
      <w:pPr>
        <w:pStyle w:val="BodyText"/>
        <w:spacing w:line="240" w:lineRule="auto" w:before="35"/>
        <w:ind w:left="0" w:right="408"/>
        <w:jc w:val="right"/>
      </w:pPr>
      <w:r>
        <w:rPr/>
        <w:t>单位： 元</w:t>
      </w:r>
    </w:p>
    <w:p>
      <w:pPr>
        <w:spacing w:line="240" w:lineRule="auto" w:before="11"/>
        <w:rPr>
          <w:rFonts w:ascii="宋体" w:hAnsi="宋体" w:cs="宋体" w:eastAsia="宋体" w:hint="default"/>
          <w:sz w:val="21"/>
          <w:szCs w:val="21"/>
        </w:rPr>
      </w:pPr>
    </w:p>
    <w:tbl>
      <w:tblPr>
        <w:tblW w:w="0" w:type="auto"/>
        <w:jc w:val="left"/>
        <w:tblInd w:w="291" w:type="dxa"/>
        <w:tblLayout w:type="fixed"/>
        <w:tblCellMar>
          <w:top w:w="0" w:type="dxa"/>
          <w:left w:w="0" w:type="dxa"/>
          <w:bottom w:w="0" w:type="dxa"/>
          <w:right w:w="0" w:type="dxa"/>
        </w:tblCellMar>
        <w:tblLook w:val="01E0"/>
      </w:tblPr>
      <w:tblGrid>
        <w:gridCol w:w="3102"/>
        <w:gridCol w:w="1712"/>
        <w:gridCol w:w="1271"/>
        <w:gridCol w:w="1411"/>
        <w:gridCol w:w="1566"/>
        <w:gridCol w:w="1063"/>
      </w:tblGrid>
      <w:tr>
        <w:trPr>
          <w:trHeight w:val="185" w:hRule="exact"/>
        </w:trPr>
        <w:tc>
          <w:tcPr>
            <w:tcW w:w="31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1"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265" w:right="90" w:hanging="180"/>
              <w:jc w:val="left"/>
              <w:rPr>
                <w:rFonts w:ascii="宋体" w:hAnsi="宋体" w:cs="宋体" w:eastAsia="宋体" w:hint="default"/>
                <w:sz w:val="18"/>
                <w:szCs w:val="18"/>
              </w:rPr>
            </w:pPr>
            <w:r>
              <w:rPr>
                <w:rFonts w:ascii="宋体" w:hAnsi="宋体" w:cs="宋体" w:eastAsia="宋体" w:hint="default"/>
                <w:b/>
                <w:bCs/>
                <w:sz w:val="18"/>
                <w:szCs w:val="18"/>
              </w:rPr>
              <w:t>本期公允价值</w:t>
            </w:r>
            <w:r>
              <w:rPr>
                <w:rFonts w:ascii="宋体" w:hAnsi="宋体" w:cs="宋体" w:eastAsia="宋体" w:hint="default"/>
                <w:b/>
                <w:bCs/>
                <w:w w:val="99"/>
                <w:sz w:val="18"/>
                <w:szCs w:val="18"/>
              </w:rPr>
              <w:t> </w:t>
            </w:r>
            <w:r>
              <w:rPr>
                <w:rFonts w:ascii="宋体" w:hAnsi="宋体" w:cs="宋体" w:eastAsia="宋体" w:hint="default"/>
                <w:b/>
                <w:bCs/>
                <w:sz w:val="18"/>
                <w:szCs w:val="18"/>
              </w:rPr>
              <w:t>变动损益</w:t>
            </w:r>
            <w:r>
              <w:rPr>
                <w:rFonts w:ascii="宋体" w:hAnsi="宋体" w:cs="宋体" w:eastAsia="宋体" w:hint="default"/>
                <w:sz w:val="18"/>
                <w:szCs w:val="18"/>
              </w:rPr>
            </w: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61" w:right="64"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8" w:hRule="exact"/>
        </w:trPr>
        <w:tc>
          <w:tcPr>
            <w:tcW w:w="31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8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271" w:type="dxa"/>
            <w:vMerge/>
            <w:tcBorders>
              <w:left w:val="single" w:sz="4" w:space="0" w:color="000000"/>
              <w:right w:val="single" w:sz="4" w:space="0" w:color="000000"/>
            </w:tcBorders>
            <w:shd w:val="clear" w:color="auto" w:fill="D3D3D3"/>
          </w:tcPr>
          <w:p>
            <w:pPr/>
          </w:p>
        </w:tc>
        <w:tc>
          <w:tcPr>
            <w:tcW w:w="1411" w:type="dxa"/>
            <w:vMerge/>
            <w:tcBorders>
              <w:left w:val="single" w:sz="4" w:space="0" w:color="000000"/>
              <w:right w:val="single" w:sz="4" w:space="0" w:color="000000"/>
            </w:tcBorders>
            <w:shd w:val="clear" w:color="auto" w:fill="D3D3D3"/>
          </w:tcPr>
          <w:p>
            <w:pPr/>
          </w:p>
        </w:tc>
        <w:tc>
          <w:tcPr>
            <w:tcW w:w="1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48" w:right="0"/>
              <w:jc w:val="left"/>
              <w:rPr>
                <w:rFonts w:ascii="宋体" w:hAnsi="宋体" w:cs="宋体" w:eastAsia="宋体" w:hint="default"/>
                <w:sz w:val="18"/>
                <w:szCs w:val="18"/>
              </w:rPr>
            </w:pPr>
            <w:r>
              <w:rPr>
                <w:rFonts w:ascii="宋体" w:hAnsi="宋体" w:cs="宋体" w:eastAsia="宋体" w:hint="default"/>
                <w:b/>
                <w:bCs/>
                <w:sz w:val="18"/>
                <w:szCs w:val="18"/>
              </w:rPr>
              <w:t>本期计提的减值</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6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185" w:hRule="exact"/>
        </w:trPr>
        <w:tc>
          <w:tcPr>
            <w:tcW w:w="31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1411" w:type="dxa"/>
            <w:vMerge/>
            <w:tcBorders>
              <w:left w:val="single" w:sz="4" w:space="0" w:color="000000"/>
              <w:bottom w:val="single" w:sz="4" w:space="0" w:color="000000"/>
              <w:right w:val="single" w:sz="4" w:space="0" w:color="000000"/>
            </w:tcBorders>
            <w:shd w:val="clear" w:color="auto" w:fill="D3D3D3"/>
          </w:tcPr>
          <w:p>
            <w:pPr/>
          </w:p>
        </w:tc>
        <w:tc>
          <w:tcPr>
            <w:tcW w:w="1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8" w:hRule="exact"/>
        </w:trPr>
        <w:tc>
          <w:tcPr>
            <w:tcW w:w="1012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金融资产</w:t>
            </w:r>
          </w:p>
        </w:tc>
      </w:tr>
      <w:tr>
        <w:trPr>
          <w:trHeight w:val="727"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 益的金融资产（不含衍生金融资产）</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2" w:type="dxa"/>
            <w:tcBorders>
              <w:top w:val="single" w:sz="4" w:space="0" w:color="000000"/>
              <w:left w:val="single" w:sz="13" w:space="0" w:color="D3D3D3"/>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3"/>
          <w:szCs w:val="13"/>
        </w:rPr>
      </w:pPr>
    </w:p>
    <w:p>
      <w:pPr>
        <w:pStyle w:val="Heading3"/>
        <w:spacing w:line="240" w:lineRule="auto" w:before="26"/>
        <w:ind w:left="534" w:right="0"/>
        <w:jc w:val="left"/>
      </w:pPr>
      <w:r>
        <w:rPr>
          <w:rFonts w:ascii="Cambria" w:hAnsi="Cambria" w:cs="Cambria" w:eastAsia="Cambria" w:hint="default"/>
        </w:rPr>
        <w:t>7</w:t>
      </w:r>
      <w:r>
        <w:rPr/>
        <w:t>、外币金融资产和外币金融负债</w:t>
      </w:r>
    </w:p>
    <w:p>
      <w:pPr>
        <w:spacing w:line="240" w:lineRule="auto" w:before="3"/>
        <w:rPr>
          <w:rFonts w:ascii="黑体" w:hAnsi="黑体" w:cs="黑体" w:eastAsia="黑体" w:hint="default"/>
          <w:sz w:val="21"/>
          <w:szCs w:val="21"/>
        </w:rPr>
      </w:pPr>
    </w:p>
    <w:p>
      <w:pPr>
        <w:pStyle w:val="BodyText"/>
        <w:spacing w:line="240" w:lineRule="auto" w:before="35"/>
        <w:ind w:left="0" w:right="408"/>
        <w:jc w:val="right"/>
      </w:pPr>
      <w:r>
        <w:rPr/>
        <w:pict>
          <v:group style="position:absolute;margin-left:184.559998pt;margin-top:94.113976pt;width:77.5pt;height:26.95pt;mso-position-horizontal-relative:page;mso-position-vertical-relative:paragraph;z-index:-728536" coordorigin="3691,1882" coordsize="1550,539">
            <v:group style="position:absolute;left:3691;top:2241;width:1550;height:180" coordorigin="3691,2241" coordsize="1550,180">
              <v:shape style="position:absolute;left:3691;top:2241;width:1550;height:180" coordorigin="3691,2241" coordsize="1550,180" path="m3691,2421l5240,2421,5240,2241,3691,2241,3691,2421xe" filled="true" fillcolor="#ffffff" stroked="false">
                <v:path arrowok="t"/>
                <v:fill type="solid"/>
              </v:shape>
            </v:group>
            <v:group style="position:absolute;left:3714;top:1882;width:1503;height:358" coordorigin="3714,1882" coordsize="1503,358">
              <v:shape style="position:absolute;left:3714;top:1882;width:1503;height:358" coordorigin="3714,1882" coordsize="1503,358" path="m3714,2240l5216,2240,5216,1882,3714,1882,3714,2240xe" filled="true" fillcolor="#ffffff" stroked="false">
                <v:path arrowok="t"/>
                <v:fill type="solid"/>
              </v:shape>
            </v:group>
            <w10:wrap type="none"/>
          </v:group>
        </w:pict>
      </w:r>
      <w:r>
        <w:rPr/>
        <w:t>单位： 元</w:t>
      </w:r>
    </w:p>
    <w:p>
      <w:pPr>
        <w:spacing w:line="240" w:lineRule="auto" w:before="11"/>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2961"/>
        <w:gridCol w:w="1570"/>
        <w:gridCol w:w="1553"/>
        <w:gridCol w:w="1418"/>
        <w:gridCol w:w="1270"/>
        <w:gridCol w:w="1564"/>
      </w:tblGrid>
      <w:tr>
        <w:trPr>
          <w:trHeight w:val="184" w:hRule="exact"/>
        </w:trPr>
        <w:tc>
          <w:tcPr>
            <w:tcW w:w="29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5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3"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587" w:right="50" w:hanging="542"/>
              <w:jc w:val="left"/>
              <w:rPr>
                <w:rFonts w:ascii="宋体" w:hAnsi="宋体" w:cs="宋体" w:eastAsia="宋体" w:hint="default"/>
                <w:sz w:val="18"/>
                <w:szCs w:val="18"/>
              </w:rPr>
            </w:pPr>
            <w:r>
              <w:rPr>
                <w:rFonts w:ascii="宋体" w:hAnsi="宋体" w:cs="宋体" w:eastAsia="宋体" w:hint="default"/>
                <w:b/>
                <w:bCs/>
                <w:sz w:val="18"/>
                <w:szCs w:val="18"/>
              </w:rPr>
              <w:t>本期公允价值变动</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62" w:right="72" w:hanging="92"/>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270"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542" w:right="83" w:hanging="452"/>
              <w:jc w:val="left"/>
              <w:rPr>
                <w:rFonts w:ascii="宋体" w:hAnsi="宋体" w:cs="宋体" w:eastAsia="宋体" w:hint="default"/>
                <w:sz w:val="18"/>
                <w:szCs w:val="18"/>
              </w:rPr>
            </w:pPr>
            <w:r>
              <w:rPr>
                <w:rFonts w:ascii="宋体" w:hAnsi="宋体" w:cs="宋体" w:eastAsia="宋体" w:hint="default"/>
                <w:b/>
                <w:bCs/>
                <w:sz w:val="18"/>
                <w:szCs w:val="18"/>
              </w:rPr>
              <w:t>本期计提的减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56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9" w:hRule="exact"/>
        </w:trPr>
        <w:tc>
          <w:tcPr>
            <w:tcW w:w="29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1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53"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270" w:type="dxa"/>
            <w:vMerge/>
            <w:tcBorders>
              <w:left w:val="single" w:sz="4" w:space="0" w:color="000000"/>
              <w:right w:val="single" w:sz="4" w:space="0" w:color="000000"/>
            </w:tcBorders>
            <w:shd w:val="clear" w:color="auto" w:fill="D3D3D3"/>
          </w:tcPr>
          <w:p>
            <w:pPr/>
          </w:p>
        </w:tc>
        <w:tc>
          <w:tcPr>
            <w:tcW w:w="15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1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184" w:hRule="exact"/>
        </w:trPr>
        <w:tc>
          <w:tcPr>
            <w:tcW w:w="29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5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3"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270" w:type="dxa"/>
            <w:vMerge/>
            <w:tcBorders>
              <w:left w:val="single" w:sz="4" w:space="0" w:color="000000"/>
              <w:bottom w:val="single" w:sz="4" w:space="0" w:color="000000"/>
              <w:right w:val="single" w:sz="4" w:space="0" w:color="000000"/>
            </w:tcBorders>
            <w:shd w:val="clear" w:color="auto" w:fill="D3D3D3"/>
          </w:tcPr>
          <w:p>
            <w:pPr/>
          </w:p>
        </w:tc>
        <w:tc>
          <w:tcPr>
            <w:tcW w:w="156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9" w:hRule="exact"/>
        </w:trPr>
        <w:tc>
          <w:tcPr>
            <w:tcW w:w="1033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1"/>
              <w:jc w:val="center"/>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727" w:hRule="exact"/>
        </w:trPr>
        <w:tc>
          <w:tcPr>
            <w:tcW w:w="2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5" w:lineRule="auto" w:before="33"/>
              <w:ind w:left="11"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 </w:t>
            </w:r>
            <w:r>
              <w:rPr>
                <w:rFonts w:ascii="宋体" w:hAnsi="宋体" w:cs="宋体" w:eastAsia="宋体" w:hint="default"/>
                <w:spacing w:val="-3"/>
                <w:sz w:val="18"/>
                <w:szCs w:val="18"/>
              </w:rPr>
              <w:t>损益的金融资产（不含衍生金融资产</w:t>
            </w:r>
          </w:p>
        </w:tc>
        <w:tc>
          <w:tcPr>
            <w:tcW w:w="15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173" w:lineRule="exact"/>
              <w:ind w:right="26"/>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02"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Times New Roman" w:hAnsi="Times New Roman" w:cs="Times New Roman" w:eastAsia="Times New Roman" w:hint="default"/>
                <w:sz w:val="18"/>
                <w:szCs w:val="18"/>
              </w:rPr>
            </w:pPr>
            <w:r>
              <w:rPr>
                <w:rFonts w:ascii="Times New Roman"/>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52" w:top="1340" w:bottom="1440" w:left="600" w:right="720"/>
        </w:sectPr>
      </w:pPr>
    </w:p>
    <w:p>
      <w:pPr>
        <w:spacing w:line="240" w:lineRule="auto" w:before="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950"/>
        <w:gridCol w:w="1588"/>
        <w:gridCol w:w="1559"/>
        <w:gridCol w:w="1418"/>
        <w:gridCol w:w="1276"/>
        <w:gridCol w:w="1559"/>
      </w:tblGrid>
      <w:tr>
        <w:trPr>
          <w:trHeight w:val="478" w:hRule="exact"/>
        </w:trPr>
        <w:tc>
          <w:tcPr>
            <w:tcW w:w="2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r>
        <w:trPr>
          <w:trHeight w:val="479" w:hRule="exact"/>
        </w:trPr>
        <w:tc>
          <w:tcPr>
            <w:tcW w:w="2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3"/>
          <w:szCs w:val="13"/>
        </w:rPr>
      </w:pPr>
    </w:p>
    <w:p>
      <w:pPr>
        <w:pStyle w:val="Heading3"/>
        <w:spacing w:line="240" w:lineRule="auto" w:before="26"/>
        <w:ind w:left="534" w:right="0"/>
        <w:jc w:val="left"/>
      </w:pPr>
      <w:r>
        <w:rPr>
          <w:rFonts w:ascii="Cambria" w:hAnsi="Cambria" w:cs="Cambria" w:eastAsia="Cambria" w:hint="default"/>
        </w:rPr>
        <w:t>8</w:t>
      </w:r>
      <w:r>
        <w:rPr/>
        <w:t>、年金计划主要内容及重大变化</w:t>
      </w:r>
    </w:p>
    <w:p>
      <w:pPr>
        <w:spacing w:line="240" w:lineRule="auto" w:before="12"/>
        <w:rPr>
          <w:rFonts w:ascii="黑体" w:hAnsi="黑体" w:cs="黑体" w:eastAsia="黑体" w:hint="default"/>
          <w:sz w:val="23"/>
          <w:szCs w:val="23"/>
        </w:rPr>
      </w:pPr>
    </w:p>
    <w:p>
      <w:pPr>
        <w:pStyle w:val="BodyText"/>
        <w:spacing w:line="240" w:lineRule="auto"/>
        <w:ind w:left="954" w:right="0"/>
        <w:jc w:val="left"/>
      </w:pPr>
      <w:r>
        <w:rPr/>
        <w:t>不适用。</w:t>
      </w:r>
    </w:p>
    <w:p>
      <w:pPr>
        <w:spacing w:line="240" w:lineRule="auto" w:before="12"/>
        <w:rPr>
          <w:rFonts w:ascii="宋体" w:hAnsi="宋体" w:cs="宋体" w:eastAsia="宋体" w:hint="default"/>
          <w:sz w:val="24"/>
          <w:szCs w:val="24"/>
        </w:rPr>
      </w:pPr>
    </w:p>
    <w:p>
      <w:pPr>
        <w:pStyle w:val="Heading3"/>
        <w:spacing w:line="240" w:lineRule="auto"/>
        <w:ind w:left="534" w:right="0"/>
        <w:jc w:val="left"/>
      </w:pPr>
      <w:r>
        <w:rPr>
          <w:rFonts w:ascii="Cambria" w:hAnsi="Cambria" w:cs="Cambria" w:eastAsia="Cambria" w:hint="default"/>
        </w:rPr>
        <w:t>9</w:t>
      </w:r>
      <w:r>
        <w:rPr/>
        <w:t>、其他</w:t>
      </w:r>
    </w:p>
    <w:p>
      <w:pPr>
        <w:spacing w:line="240" w:lineRule="auto" w:before="12"/>
        <w:rPr>
          <w:rFonts w:ascii="黑体" w:hAnsi="黑体" w:cs="黑体" w:eastAsia="黑体" w:hint="default"/>
          <w:sz w:val="23"/>
          <w:szCs w:val="23"/>
        </w:rPr>
      </w:pPr>
    </w:p>
    <w:p>
      <w:pPr>
        <w:pStyle w:val="BodyText"/>
        <w:spacing w:line="240" w:lineRule="auto"/>
        <w:ind w:left="935" w:right="9189"/>
        <w:jc w:val="center"/>
      </w:pPr>
      <w:r>
        <w:rPr/>
        <w:t>无。</w:t>
      </w:r>
    </w:p>
    <w:p>
      <w:pPr>
        <w:spacing w:line="240" w:lineRule="auto" w:before="4"/>
        <w:rPr>
          <w:rFonts w:ascii="宋体" w:hAnsi="宋体" w:cs="宋体" w:eastAsia="宋体" w:hint="default"/>
          <w:sz w:val="28"/>
          <w:szCs w:val="28"/>
        </w:rPr>
      </w:pPr>
    </w:p>
    <w:p>
      <w:pPr>
        <w:pStyle w:val="Heading2"/>
        <w:spacing w:line="240" w:lineRule="auto"/>
        <w:ind w:left="534" w:right="0"/>
        <w:jc w:val="left"/>
      </w:pPr>
      <w:r>
        <w:rPr/>
        <w:t>十五、母公司财务报表主要项目注释</w:t>
      </w:r>
    </w:p>
    <w:p>
      <w:pPr>
        <w:spacing w:line="240" w:lineRule="auto" w:before="3"/>
        <w:rPr>
          <w:rFonts w:ascii="黑体" w:hAnsi="黑体" w:cs="黑体" w:eastAsia="黑体" w:hint="default"/>
          <w:sz w:val="28"/>
          <w:szCs w:val="28"/>
        </w:rPr>
      </w:pPr>
    </w:p>
    <w:p>
      <w:pPr>
        <w:pStyle w:val="Heading3"/>
        <w:spacing w:line="240" w:lineRule="auto"/>
        <w:ind w:left="534" w:right="0"/>
        <w:jc w:val="left"/>
      </w:pPr>
      <w:r>
        <w:rPr>
          <w:rFonts w:ascii="Cambria" w:hAnsi="Cambria" w:cs="Cambria" w:eastAsia="Cambria" w:hint="default"/>
        </w:rPr>
        <w:t>1</w:t>
      </w:r>
      <w:r>
        <w:rPr/>
        <w:t>、应收账款</w:t>
      </w:r>
    </w:p>
    <w:p>
      <w:pPr>
        <w:spacing w:line="240" w:lineRule="auto" w:before="1"/>
        <w:rPr>
          <w:rFonts w:ascii="黑体" w:hAnsi="黑体" w:cs="黑体" w:eastAsia="黑体" w:hint="default"/>
          <w:sz w:val="29"/>
          <w:szCs w:val="29"/>
        </w:rPr>
      </w:pPr>
    </w:p>
    <w:p>
      <w:pPr>
        <w:pStyle w:val="Heading5"/>
        <w:spacing w:line="240" w:lineRule="auto"/>
        <w:ind w:left="534"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408"/>
        <w:jc w:val="right"/>
      </w:pPr>
      <w:r>
        <w:rPr/>
        <w:t>单位： 元</w:t>
      </w:r>
    </w:p>
    <w:p>
      <w:pPr>
        <w:spacing w:line="240" w:lineRule="auto" w:before="11"/>
        <w:rPr>
          <w:rFonts w:ascii="宋体" w:hAnsi="宋体" w:cs="宋体" w:eastAsia="宋体" w:hint="default"/>
          <w:sz w:val="21"/>
          <w:szCs w:val="21"/>
        </w:rPr>
      </w:pPr>
    </w:p>
    <w:tbl>
      <w:tblPr>
        <w:tblW w:w="0" w:type="auto"/>
        <w:jc w:val="left"/>
        <w:tblInd w:w="529" w:type="dxa"/>
        <w:tblLayout w:type="fixed"/>
        <w:tblCellMar>
          <w:top w:w="0" w:type="dxa"/>
          <w:left w:w="0" w:type="dxa"/>
          <w:bottom w:w="0" w:type="dxa"/>
          <w:right w:w="0" w:type="dxa"/>
        </w:tblCellMar>
        <w:tblLook w:val="01E0"/>
      </w:tblPr>
      <w:tblGrid>
        <w:gridCol w:w="1276"/>
        <w:gridCol w:w="1277"/>
        <w:gridCol w:w="709"/>
        <w:gridCol w:w="1134"/>
        <w:gridCol w:w="850"/>
        <w:gridCol w:w="1276"/>
        <w:gridCol w:w="851"/>
        <w:gridCol w:w="1276"/>
        <w:gridCol w:w="922"/>
      </w:tblGrid>
      <w:tr>
        <w:trPr>
          <w:trHeight w:val="478"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3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8" w:hRule="exact"/>
        </w:trPr>
        <w:tc>
          <w:tcPr>
            <w:tcW w:w="1276" w:type="dxa"/>
            <w:vMerge/>
            <w:tcBorders>
              <w:left w:val="single" w:sz="4" w:space="0" w:color="000000"/>
              <w:right w:val="single" w:sz="4" w:space="0" w:color="000000"/>
            </w:tcBorders>
            <w:shd w:val="clear" w:color="auto" w:fill="D3D3D3"/>
          </w:tcPr>
          <w:p>
            <w:pP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947"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99" w:right="0" w:hanging="32"/>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8"/>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按组合计提坏账准备的应收账款</w:t>
            </w:r>
            <w:r>
              <w:rPr>
                <w:rFonts w:ascii="宋体" w:hAnsi="宋体" w:cs="宋体" w:eastAsia="宋体" w:hint="default"/>
                <w:sz w:val="18"/>
                <w:szCs w:val="18"/>
              </w:rPr>
            </w:r>
          </w:p>
        </w:tc>
      </w:tr>
      <w:tr>
        <w:trPr>
          <w:trHeight w:val="47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93,029,960.62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3" w:right="0"/>
              <w:jc w:val="center"/>
              <w:rPr>
                <w:rFonts w:ascii="Times New Roman" w:hAnsi="Times New Roman" w:cs="Times New Roman" w:eastAsia="Times New Roman" w:hint="default"/>
                <w:sz w:val="18"/>
                <w:szCs w:val="18"/>
              </w:rPr>
            </w:pPr>
            <w:r>
              <w:rPr>
                <w:rFonts w:ascii="Times New Roman"/>
                <w:sz w:val="18"/>
              </w:rPr>
              <w:t>4,370,566.08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63,371,318.19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2,642,625.47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4.17%</w:t>
            </w:r>
          </w:p>
        </w:tc>
      </w:tr>
      <w:tr>
        <w:trPr>
          <w:trHeight w:val="479"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93,029,960.62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3" w:right="0"/>
              <w:jc w:val="center"/>
              <w:rPr>
                <w:rFonts w:ascii="Times New Roman" w:hAnsi="Times New Roman" w:cs="Times New Roman" w:eastAsia="Times New Roman" w:hint="default"/>
                <w:sz w:val="18"/>
                <w:szCs w:val="18"/>
              </w:rPr>
            </w:pPr>
            <w:r>
              <w:rPr>
                <w:rFonts w:ascii="Times New Roman"/>
                <w:sz w:val="18"/>
              </w:rPr>
              <w:t>4,370,566.08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63,371,318.19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2,642,625.47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4.17%</w:t>
            </w:r>
          </w:p>
        </w:tc>
      </w:tr>
      <w:tr>
        <w:trPr>
          <w:trHeight w:val="478"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93,029,960.62</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left="121" w:right="0"/>
              <w:jc w:val="center"/>
              <w:rPr>
                <w:rFonts w:ascii="Times New Roman" w:hAnsi="Times New Roman" w:cs="Times New Roman" w:eastAsia="Times New Roman" w:hint="default"/>
                <w:sz w:val="18"/>
                <w:szCs w:val="18"/>
              </w:rPr>
            </w:pPr>
            <w:r>
              <w:rPr>
                <w:rFonts w:ascii="Times New Roman"/>
                <w:sz w:val="18"/>
              </w:rPr>
              <w:t>4,370,566.08</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63,371,318.19</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2,642,625.47</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953" w:right="4991"/>
        <w:jc w:val="left"/>
      </w:pPr>
      <w:r>
        <w:rPr/>
        <w:t>应收账款种类的说明 期末单项金额重大并单项计提坏账准备的应收账款</w:t>
      </w:r>
    </w:p>
    <w:p>
      <w:pPr>
        <w:pStyle w:val="BodyText"/>
        <w:spacing w:line="516" w:lineRule="auto" w:before="82"/>
        <w:ind w:left="954" w:right="49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组合中，采用账龄分析法计提坏账准备的应收账款</w:t>
      </w:r>
    </w:p>
    <w:p>
      <w:pPr>
        <w:spacing w:after="0" w:line="516" w:lineRule="auto"/>
        <w:jc w:val="left"/>
        <w:sectPr>
          <w:pgSz w:w="11910" w:h="16840"/>
          <w:pgMar w:header="0" w:footer="1252" w:top="1340" w:bottom="1440" w:left="600" w:right="720"/>
        </w:sectPr>
      </w:pPr>
    </w:p>
    <w:p>
      <w:pPr>
        <w:spacing w:line="240" w:lineRule="auto" w:before="4"/>
        <w:rPr>
          <w:rFonts w:ascii="宋体" w:hAnsi="宋体" w:cs="宋体" w:eastAsia="宋体" w:hint="default"/>
          <w:sz w:val="11"/>
          <w:szCs w:val="11"/>
        </w:rPr>
      </w:pPr>
    </w:p>
    <w:p>
      <w:pPr>
        <w:pStyle w:val="BodyText"/>
        <w:spacing w:line="240" w:lineRule="auto" w:before="35"/>
        <w:ind w:left="954"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486"/>
        <w:gridCol w:w="1634"/>
        <w:gridCol w:w="1030"/>
        <w:gridCol w:w="1462"/>
        <w:gridCol w:w="1760"/>
        <w:gridCol w:w="1030"/>
        <w:gridCol w:w="1594"/>
      </w:tblGrid>
      <w:tr>
        <w:trPr>
          <w:trHeight w:val="478" w:hRule="exact"/>
        </w:trPr>
        <w:tc>
          <w:tcPr>
            <w:tcW w:w="14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1486" w:type="dxa"/>
            <w:vMerge/>
            <w:tcBorders>
              <w:left w:val="single" w:sz="4" w:space="0" w:color="000000"/>
              <w:right w:val="single" w:sz="4" w:space="0" w:color="000000"/>
            </w:tcBorders>
            <w:shd w:val="clear" w:color="auto" w:fill="D3D3D3"/>
          </w:tcPr>
          <w:p>
            <w:pP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486" w:type="dxa"/>
            <w:vMerge/>
            <w:tcBorders>
              <w:left w:val="single" w:sz="4" w:space="0" w:color="000000"/>
              <w:bottom w:val="single" w:sz="4" w:space="0" w:color="000000"/>
              <w:right w:val="single" w:sz="4" w:space="0" w:color="000000"/>
            </w:tcBorders>
            <w:shd w:val="clear" w:color="auto" w:fill="D3D3D3"/>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7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1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999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r>
      <w:tr>
        <w:trPr>
          <w:trHeight w:val="479"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69"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3"/>
              <w:ind w:left="4"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66,710,655.77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71.71%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2,667,124.41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57,466,134.22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1,925,852.73</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66,710,655.77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71.71%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2,667,124.41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57,466,134.22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1,925,852.73</w:t>
            </w:r>
          </w:p>
        </w:tc>
      </w:tr>
      <w:tr>
        <w:trPr>
          <w:trHeight w:val="479"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22,162,931.78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15.54%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987,059.97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3,790,413.87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342,192.64</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1,252,375.97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176,777.70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882,973.73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96,987.60</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1,213,872.09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211,950.00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639,901.36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123,982.50</w:t>
            </w:r>
          </w:p>
        </w:tc>
      </w:tr>
      <w:tr>
        <w:trPr>
          <w:trHeight w:val="479"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652,365.01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214,080.00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591,895.01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153,610.00</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93,029,960.62</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4,370,566.08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63,371,318.19</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2,642,625.47</w:t>
            </w:r>
          </w:p>
        </w:tc>
      </w:tr>
    </w:tbl>
    <w:p>
      <w:pPr>
        <w:pStyle w:val="BodyText"/>
        <w:spacing w:line="240" w:lineRule="auto" w:before="63"/>
        <w:ind w:left="954" w:right="133"/>
        <w:jc w:val="left"/>
      </w:pPr>
      <w:r>
        <w:rPr/>
        <w:t>组合中，采用余额百分比法计提坏账准备的应收账款</w:t>
      </w:r>
    </w:p>
    <w:p>
      <w:pPr>
        <w:spacing w:line="240" w:lineRule="auto" w:before="9"/>
        <w:rPr>
          <w:rFonts w:ascii="宋体" w:hAnsi="宋体" w:cs="宋体" w:eastAsia="宋体" w:hint="default"/>
          <w:sz w:val="26"/>
          <w:szCs w:val="26"/>
        </w:rPr>
      </w:pPr>
    </w:p>
    <w:p>
      <w:pPr>
        <w:pStyle w:val="BodyText"/>
        <w:spacing w:line="516" w:lineRule="auto"/>
        <w:ind w:left="954"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组合中，采用其他方法计提坏账准备的应收账款</w:t>
      </w:r>
    </w:p>
    <w:p>
      <w:pPr>
        <w:pStyle w:val="BodyText"/>
        <w:spacing w:line="516" w:lineRule="auto" w:before="107"/>
        <w:ind w:left="954" w:right="43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期末单项金额虽不重大但单项计提坏账准备的应收账款</w:t>
      </w:r>
    </w:p>
    <w:p>
      <w:pPr>
        <w:pStyle w:val="BodyText"/>
        <w:spacing w:line="240" w:lineRule="auto" w:before="107"/>
        <w:ind w:left="954" w:right="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568" w:lineRule="auto"/>
        <w:ind w:left="95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）本报告期转回或收回的应收账款情况</w:t>
      </w:r>
      <w:r>
        <w:rPr>
          <w:spacing w:val="1"/>
          <w:w w:val="99"/>
        </w:rPr>
        <w:t> </w:t>
      </w:r>
      <w:r>
        <w:rPr>
          <w:rFonts w:ascii="宋体" w:hAnsi="宋体" w:cs="宋体" w:eastAsia="宋体" w:hint="default"/>
          <w:b w:val="0"/>
          <w:bCs w:val="0"/>
        </w:rPr>
        <w:t>无。</w:t>
      </w:r>
    </w:p>
    <w:p>
      <w:pPr>
        <w:pStyle w:val="Heading5"/>
        <w:spacing w:line="571" w:lineRule="auto" w:before="128"/>
        <w:ind w:left="95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）本报告期实际核销的应收账款情况</w:t>
      </w:r>
      <w:r>
        <w:rPr>
          <w:w w:val="99"/>
        </w:rPr>
        <w:t> </w:t>
      </w:r>
      <w:r>
        <w:rPr>
          <w:rFonts w:ascii="宋体" w:hAnsi="宋体" w:cs="宋体" w:eastAsia="宋体" w:hint="default"/>
          <w:b w:val="0"/>
          <w:bCs w:val="0"/>
        </w:rPr>
        <w:t>无。</w:t>
      </w:r>
    </w:p>
    <w:p>
      <w:pPr>
        <w:spacing w:after="0" w:line="571" w:lineRule="auto"/>
        <w:jc w:val="left"/>
        <w:rPr>
          <w:rFonts w:ascii="宋体" w:hAnsi="宋体" w:cs="宋体" w:eastAsia="宋体" w:hint="default"/>
        </w:rPr>
        <w:sectPr>
          <w:pgSz w:w="11910" w:h="16840"/>
          <w:pgMar w:header="0" w:footer="1252" w:top="1340" w:bottom="1440" w:left="600" w:right="980"/>
        </w:sectPr>
      </w:pPr>
    </w:p>
    <w:p>
      <w:pPr>
        <w:pStyle w:val="Heading5"/>
        <w:spacing w:line="568" w:lineRule="auto" w:before="106"/>
        <w:ind w:left="954" w:right="2309"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spacing w:val="1"/>
          <w:w w:val="99"/>
        </w:rPr>
        <w:t> </w:t>
      </w:r>
      <w:r>
        <w:rPr>
          <w:rFonts w:ascii="宋体" w:hAnsi="宋体" w:cs="宋体" w:eastAsia="宋体" w:hint="default"/>
          <w:b w:val="0"/>
          <w:bCs w:val="0"/>
        </w:rPr>
        <w:t>无。</w:t>
      </w:r>
    </w:p>
    <w:p>
      <w:pPr>
        <w:pStyle w:val="Heading5"/>
        <w:spacing w:line="568" w:lineRule="auto" w:before="128"/>
        <w:ind w:left="954" w:right="5570" w:hanging="421"/>
        <w:jc w:val="left"/>
        <w:rPr>
          <w:rFonts w:ascii="宋体" w:hAnsi="宋体" w:cs="宋体" w:eastAsia="宋体" w:hint="default"/>
          <w:b w:val="0"/>
          <w:bCs w:val="0"/>
        </w:rPr>
      </w:pPr>
      <w:r>
        <w:rPr/>
        <w:t>（</w:t>
      </w:r>
      <w:r>
        <w:rPr>
          <w:rFonts w:ascii="Times New Roman" w:hAnsi="Times New Roman" w:cs="Times New Roman" w:eastAsia="Times New Roman" w:hint="default"/>
        </w:rPr>
        <w:t>5</w:t>
      </w:r>
      <w:r>
        <w:rPr/>
        <w:t>）金额较大的其他的应收账款的性质或内容</w:t>
      </w:r>
      <w:r>
        <w:rPr>
          <w:w w:val="99"/>
        </w:rPr>
        <w:t> </w:t>
      </w:r>
      <w:r>
        <w:rPr>
          <w:rFonts w:ascii="宋体" w:hAnsi="宋体" w:cs="宋体" w:eastAsia="宋体" w:hint="default"/>
          <w:b w:val="0"/>
          <w:bCs w:val="0"/>
        </w:rPr>
        <w:t>不适用。</w:t>
      </w:r>
    </w:p>
    <w:p>
      <w:pPr>
        <w:pStyle w:val="Heading5"/>
        <w:spacing w:line="240" w:lineRule="auto" w:before="128"/>
        <w:ind w:left="534"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268"/>
        <w:jc w:val="right"/>
      </w:pPr>
      <w:r>
        <w:rPr/>
        <w:t>单位： 元</w:t>
      </w:r>
    </w:p>
    <w:p>
      <w:pPr>
        <w:spacing w:line="240" w:lineRule="auto" w:before="12"/>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978"/>
        <w:gridCol w:w="1417"/>
        <w:gridCol w:w="1772"/>
        <w:gridCol w:w="1771"/>
        <w:gridCol w:w="2268"/>
      </w:tblGrid>
      <w:tr>
        <w:trPr>
          <w:trHeight w:val="478"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7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16,239,999.00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17.46%</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北京联合创奇科技有限公司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5,849,460.00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6.29%</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西安航天恒星科技实业（集团）公司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5,620,000.00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6.04%</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西安空间无线电技术研究所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4,099,240.00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4.41%</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北京昆仑凯利科技有限公司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3,974,400.00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4.27%</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35,783,099.00</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38.47%</w:t>
            </w:r>
          </w:p>
        </w:tc>
      </w:tr>
    </w:tbl>
    <w:p>
      <w:pPr>
        <w:spacing w:line="240" w:lineRule="auto" w:before="2"/>
        <w:rPr>
          <w:rFonts w:ascii="宋体" w:hAnsi="宋体" w:cs="宋体" w:eastAsia="宋体" w:hint="default"/>
          <w:sz w:val="19"/>
          <w:szCs w:val="19"/>
        </w:rPr>
      </w:pPr>
    </w:p>
    <w:p>
      <w:pPr>
        <w:pStyle w:val="Heading5"/>
        <w:spacing w:line="240" w:lineRule="auto" w:before="35"/>
        <w:ind w:left="534"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268"/>
        <w:jc w:val="right"/>
      </w:pPr>
      <w:r>
        <w:rPr/>
        <w:t>单位： 元</w:t>
      </w: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704"/>
        <w:gridCol w:w="2430"/>
        <w:gridCol w:w="2430"/>
        <w:gridCol w:w="2430"/>
      </w:tblGrid>
      <w:tr>
        <w:trPr>
          <w:trHeight w:val="478" w:hRule="exact"/>
        </w:trPr>
        <w:tc>
          <w:tcPr>
            <w:tcW w:w="2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5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9"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16,239,999.00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17.46%</w:t>
            </w:r>
          </w:p>
        </w:tc>
      </w:tr>
      <w:tr>
        <w:trPr>
          <w:trHeight w:val="478"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3.71%</w:t>
            </w:r>
          </w:p>
        </w:tc>
      </w:tr>
      <w:tr>
        <w:trPr>
          <w:trHeight w:val="478"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2,937,370.57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3.16%</w:t>
            </w:r>
          </w:p>
        </w:tc>
      </w:tr>
      <w:tr>
        <w:trPr>
          <w:trHeight w:val="479"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深圳旋极历通科技有限公司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2,710,274.76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2.91%</w:t>
            </w:r>
          </w:p>
        </w:tc>
      </w:tr>
      <w:tr>
        <w:trPr>
          <w:trHeight w:val="478"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1,790,000.00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1.92%</w:t>
            </w:r>
          </w:p>
        </w:tc>
      </w:tr>
      <w:tr>
        <w:trPr>
          <w:trHeight w:val="478" w:hRule="exact"/>
        </w:trPr>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宁波百旺金赋科技有限公司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129,600.00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0.14%</w:t>
            </w:r>
          </w:p>
        </w:tc>
      </w:tr>
      <w:tr>
        <w:trPr>
          <w:trHeight w:val="479" w:hRule="exact"/>
        </w:trPr>
        <w:tc>
          <w:tcPr>
            <w:tcW w:w="2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27,257,244.33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52" w:top="1340" w:bottom="1440" w:left="600" w:right="860"/>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8</w:t>
      </w:r>
      <w:r>
        <w:rPr/>
        <w:t>）不符合终止确认条件的应收账款的转移金额为</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r>
        <w:rPr>
          <w:b w:val="0"/>
          <w:bCs w:val="0"/>
        </w:rPr>
      </w:r>
    </w:p>
    <w:p>
      <w:pPr>
        <w:spacing w:line="240" w:lineRule="auto" w:before="8"/>
        <w:rPr>
          <w:rFonts w:ascii="宋体" w:hAnsi="宋体" w:cs="宋体" w:eastAsia="宋体" w:hint="default"/>
          <w:b/>
          <w:bCs/>
          <w:sz w:val="24"/>
          <w:szCs w:val="24"/>
        </w:rPr>
      </w:pPr>
    </w:p>
    <w:p>
      <w:pPr>
        <w:pStyle w:val="Heading5"/>
        <w:spacing w:line="568" w:lineRule="auto"/>
        <w:ind w:left="574" w:right="3040" w:hanging="421"/>
        <w:jc w:val="left"/>
        <w:rPr>
          <w:rFonts w:ascii="宋体" w:hAnsi="宋体" w:cs="宋体" w:eastAsia="宋体" w:hint="default"/>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w w:val="99"/>
        </w:rPr>
        <w:t> </w:t>
      </w:r>
      <w:r>
        <w:rPr>
          <w:rFonts w:ascii="宋体" w:hAnsi="宋体" w:cs="宋体" w:eastAsia="宋体" w:hint="default"/>
          <w:b w:val="0"/>
          <w:bCs w:val="0"/>
        </w:rPr>
        <w:t>不适用。</w:t>
      </w:r>
    </w:p>
    <w:p>
      <w:pPr>
        <w:pStyle w:val="Heading3"/>
        <w:spacing w:line="240" w:lineRule="auto" w:before="38"/>
        <w:ind w:right="0"/>
        <w:jc w:val="left"/>
      </w:pPr>
      <w:r>
        <w:rPr>
          <w:rFonts w:ascii="Cambria" w:hAnsi="Cambria" w:cs="Cambria" w:eastAsia="Cambria" w:hint="default"/>
        </w:rPr>
        <w:t>2</w:t>
      </w:r>
      <w:r>
        <w:rPr/>
        <w:t>、其他应收款</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26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701"/>
        <w:gridCol w:w="1417"/>
        <w:gridCol w:w="851"/>
        <w:gridCol w:w="1276"/>
        <w:gridCol w:w="756"/>
        <w:gridCol w:w="1229"/>
        <w:gridCol w:w="708"/>
        <w:gridCol w:w="142"/>
        <w:gridCol w:w="960"/>
        <w:gridCol w:w="742"/>
      </w:tblGrid>
      <w:tr>
        <w:trPr>
          <w:trHeight w:val="369" w:hRule="exact"/>
        </w:trPr>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30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7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68" w:hRule="exact"/>
        </w:trPr>
        <w:tc>
          <w:tcPr>
            <w:tcW w:w="1701" w:type="dxa"/>
            <w:vMerge/>
            <w:tcBorders>
              <w:left w:val="single" w:sz="4" w:space="0" w:color="000000"/>
              <w:right w:val="single" w:sz="4" w:space="0" w:color="000000"/>
            </w:tcBorders>
            <w:shd w:val="clear" w:color="auto" w:fill="D3D3D3"/>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4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7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68"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89"/>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41"/>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9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32"/>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r>
      <w:tr>
        <w:trPr>
          <w:trHeight w:val="370" w:hRule="exact"/>
        </w:trPr>
        <w:tc>
          <w:tcPr>
            <w:tcW w:w="978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按组合计提坏账准备的其他应收款</w:t>
            </w:r>
            <w:r>
              <w:rPr>
                <w:rFonts w:ascii="宋体" w:hAnsi="宋体" w:cs="宋体" w:eastAsia="宋体" w:hint="default"/>
                <w:sz w:val="18"/>
                <w:szCs w:val="18"/>
              </w:rPr>
            </w:r>
          </w:p>
        </w:tc>
      </w:tr>
      <w:tr>
        <w:trPr>
          <w:trHeight w:val="478"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10,462,720.86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1,496,968.44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7,800,980.77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9" w:right="0"/>
              <w:jc w:val="left"/>
              <w:rPr>
                <w:rFonts w:ascii="Times New Roman" w:hAnsi="Times New Roman" w:cs="Times New Roman" w:eastAsia="Times New Roman" w:hint="default"/>
                <w:sz w:val="18"/>
                <w:szCs w:val="18"/>
              </w:rPr>
            </w:pPr>
            <w:r>
              <w:rPr>
                <w:rFonts w:ascii="Times New Roman"/>
                <w:sz w:val="18"/>
              </w:rPr>
              <w:t>946,773.33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12.14%</w:t>
            </w:r>
          </w:p>
        </w:tc>
      </w:tr>
      <w:tr>
        <w:trPr>
          <w:trHeight w:val="478"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8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10,462,720.86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1,496,968.44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14.31%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7,800,980.77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9" w:right="0"/>
              <w:jc w:val="left"/>
              <w:rPr>
                <w:rFonts w:ascii="Times New Roman" w:hAnsi="Times New Roman" w:cs="Times New Roman" w:eastAsia="Times New Roman" w:hint="default"/>
                <w:sz w:val="18"/>
                <w:szCs w:val="18"/>
              </w:rPr>
            </w:pPr>
            <w:r>
              <w:rPr>
                <w:rFonts w:ascii="Times New Roman"/>
                <w:sz w:val="18"/>
              </w:rPr>
              <w:t>946,773.33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12.14%</w:t>
            </w:r>
          </w:p>
        </w:tc>
      </w:tr>
      <w:tr>
        <w:trPr>
          <w:trHeight w:val="479"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10,462,720.86</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1,496,968.44</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7,800,980.77</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110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left="247" w:right="0"/>
              <w:jc w:val="left"/>
              <w:rPr>
                <w:rFonts w:ascii="Times New Roman" w:hAnsi="Times New Roman" w:cs="Times New Roman" w:eastAsia="Times New Roman" w:hint="default"/>
                <w:sz w:val="18"/>
                <w:szCs w:val="18"/>
              </w:rPr>
            </w:pPr>
            <w:r>
              <w:rPr>
                <w:rFonts w:ascii="Times New Roman"/>
                <w:sz w:val="18"/>
              </w:rPr>
              <w:t>946,773.33</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573" w:right="4641"/>
        <w:jc w:val="left"/>
      </w:pPr>
      <w:r>
        <w:rPr/>
        <w:t>其他应收款种类的说明 期末单项金额重大并单项计提坏账准备的其他应收款</w:t>
      </w:r>
    </w:p>
    <w:p>
      <w:pPr>
        <w:pStyle w:val="BodyText"/>
        <w:spacing w:line="516" w:lineRule="auto" w:before="82"/>
        <w:ind w:right="46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组合中，采用账龄分析法计提坏账准备的其他应收款</w:t>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0" w:right="268"/>
        <w:jc w:val="right"/>
      </w:pPr>
      <w:r>
        <w:rPr/>
        <w:t>单位： 元</w:t>
      </w: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266"/>
        <w:gridCol w:w="1570"/>
        <w:gridCol w:w="1134"/>
        <w:gridCol w:w="1560"/>
        <w:gridCol w:w="1649"/>
        <w:gridCol w:w="901"/>
        <w:gridCol w:w="1489"/>
      </w:tblGrid>
      <w:tr>
        <w:trPr>
          <w:trHeight w:val="478"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2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40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79" w:hRule="exact"/>
        </w:trPr>
        <w:tc>
          <w:tcPr>
            <w:tcW w:w="1266" w:type="dxa"/>
            <w:vMerge/>
            <w:tcBorders>
              <w:left w:val="single" w:sz="4" w:space="0" w:color="000000"/>
              <w:right w:val="single" w:sz="4" w:space="0" w:color="000000"/>
            </w:tcBorders>
            <w:shd w:val="clear" w:color="auto" w:fill="D3D3D3"/>
          </w:tcPr>
          <w:p>
            <w:pPr/>
          </w:p>
        </w:tc>
        <w:tc>
          <w:tcPr>
            <w:tcW w:w="27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8"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9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3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vMerge/>
            <w:tcBorders>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63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89"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r>
      <w:tr>
        <w:trPr>
          <w:trHeight w:val="479"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5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713"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680" w:right="0"/>
              <w:jc w:val="lef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26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1" w:right="0"/>
              <w:jc w:val="left"/>
              <w:rPr>
                <w:rFonts w:ascii="Times New Roman" w:hAnsi="Times New Roman" w:cs="Times New Roman" w:eastAsia="Times New Roman" w:hint="default"/>
                <w:sz w:val="18"/>
                <w:szCs w:val="18"/>
              </w:rPr>
            </w:pPr>
            <w:r>
              <w:rPr>
                <w:rFonts w:ascii="Times New Roman"/>
                <w:sz w:val="18"/>
              </w:rPr>
              <w:t>5,280,561.32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Times New Roman" w:hAnsi="Times New Roman" w:cs="Times New Roman" w:eastAsia="Times New Roman" w:hint="default"/>
                <w:sz w:val="18"/>
                <w:szCs w:val="18"/>
              </w:rPr>
            </w:pPr>
            <w:r>
              <w:rPr>
                <w:rFonts w:ascii="Times New Roman"/>
                <w:sz w:val="18"/>
              </w:rPr>
              <w:t>50.47%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16" w:right="0"/>
              <w:jc w:val="left"/>
              <w:rPr>
                <w:rFonts w:ascii="Times New Roman" w:hAnsi="Times New Roman" w:cs="Times New Roman" w:eastAsia="Times New Roman" w:hint="default"/>
                <w:sz w:val="18"/>
                <w:szCs w:val="18"/>
              </w:rPr>
            </w:pPr>
            <w:r>
              <w:rPr>
                <w:rFonts w:ascii="Times New Roman"/>
                <w:sz w:val="18"/>
              </w:rPr>
              <w:t>199,544.89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70" w:right="0"/>
              <w:jc w:val="left"/>
              <w:rPr>
                <w:rFonts w:ascii="Times New Roman" w:hAnsi="Times New Roman" w:cs="Times New Roman" w:eastAsia="Times New Roman" w:hint="default"/>
                <w:sz w:val="18"/>
                <w:szCs w:val="18"/>
              </w:rPr>
            </w:pPr>
            <w:r>
              <w:rPr>
                <w:rFonts w:ascii="Times New Roman"/>
                <w:sz w:val="18"/>
              </w:rPr>
              <w:t>4,347,508.22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4" w:right="0"/>
              <w:jc w:val="left"/>
              <w:rPr>
                <w:rFonts w:ascii="Times New Roman" w:hAnsi="Times New Roman" w:cs="Times New Roman" w:eastAsia="Times New Roman" w:hint="default"/>
                <w:sz w:val="18"/>
                <w:szCs w:val="18"/>
              </w:rPr>
            </w:pPr>
            <w:r>
              <w:rPr>
                <w:rFonts w:ascii="Times New Roman"/>
                <w:sz w:val="18"/>
              </w:rPr>
              <w:t>55.73%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6" w:right="0"/>
              <w:jc w:val="left"/>
              <w:rPr>
                <w:rFonts w:ascii="Times New Roman" w:hAnsi="Times New Roman" w:cs="Times New Roman" w:eastAsia="Times New Roman" w:hint="default"/>
                <w:sz w:val="18"/>
                <w:szCs w:val="18"/>
              </w:rPr>
            </w:pPr>
            <w:r>
              <w:rPr>
                <w:rFonts w:ascii="Times New Roman"/>
                <w:sz w:val="18"/>
              </w:rPr>
              <w:t>195,026.50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52" w:top="1340" w:bottom="1440" w:left="980" w:right="860"/>
        </w:sectPr>
      </w:pP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66"/>
        <w:gridCol w:w="1570"/>
        <w:gridCol w:w="1134"/>
        <w:gridCol w:w="1560"/>
        <w:gridCol w:w="1649"/>
        <w:gridCol w:w="901"/>
        <w:gridCol w:w="1489"/>
      </w:tblGrid>
      <w:tr>
        <w:trPr>
          <w:trHeight w:val="478"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5,280,561.32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199,544.89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4,347,508.22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55.73%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195,026.50</w:t>
            </w:r>
          </w:p>
        </w:tc>
      </w:tr>
      <w:tr>
        <w:trPr>
          <w:trHeight w:val="479"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2,746,977.24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sz w:val="18"/>
              </w:rPr>
              <w:t>26.25%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274,697.72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1,008,592.38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12.93%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100,859.24</w:t>
            </w:r>
          </w:p>
        </w:tc>
      </w:tr>
      <w:tr>
        <w:trPr>
          <w:trHeight w:val="478"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895,502.13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179,100.43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1,995,126.02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25.58%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399,025.20</w:t>
            </w:r>
          </w:p>
        </w:tc>
      </w:tr>
      <w:tr>
        <w:trPr>
          <w:trHeight w:val="478"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1,392,109.54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
              <w:jc w:val="right"/>
              <w:rPr>
                <w:rFonts w:ascii="Times New Roman" w:hAnsi="Times New Roman" w:cs="Times New Roman" w:eastAsia="Times New Roman" w:hint="default"/>
                <w:sz w:val="18"/>
                <w:szCs w:val="18"/>
              </w:rPr>
            </w:pPr>
            <w:r>
              <w:rPr>
                <w:rFonts w:ascii="Times New Roman"/>
                <w:sz w:val="18"/>
              </w:rPr>
              <w:t>13.31%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696,054.77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395,783.52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5.07%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197,891.76</w:t>
            </w:r>
          </w:p>
        </w:tc>
      </w:tr>
      <w:tr>
        <w:trPr>
          <w:trHeight w:val="479"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147,570.63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147,570.63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53,970.63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53,970.63</w:t>
            </w:r>
          </w:p>
        </w:tc>
      </w:tr>
      <w:tr>
        <w:trPr>
          <w:trHeight w:val="478"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10,462,720.86</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1,496,968.44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11,434,187.35</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946,773.33</w:t>
            </w:r>
          </w:p>
        </w:tc>
      </w:tr>
    </w:tbl>
    <w:p>
      <w:pPr>
        <w:pStyle w:val="BodyText"/>
        <w:spacing w:line="240" w:lineRule="auto" w:before="63"/>
        <w:ind w:right="0"/>
        <w:jc w:val="left"/>
      </w:pPr>
      <w:r>
        <w:rPr/>
        <w:t>组合中，采用余额百分比法计提坏账准备的其他应收款</w:t>
      </w:r>
    </w:p>
    <w:p>
      <w:pPr>
        <w:spacing w:line="240" w:lineRule="auto" w:before="9"/>
        <w:rPr>
          <w:rFonts w:ascii="宋体" w:hAnsi="宋体" w:cs="宋体" w:eastAsia="宋体" w:hint="default"/>
          <w:sz w:val="26"/>
          <w:szCs w:val="26"/>
        </w:rPr>
      </w:pPr>
    </w:p>
    <w:p>
      <w:pPr>
        <w:pStyle w:val="BodyText"/>
        <w:spacing w:line="516" w:lineRule="auto"/>
        <w:ind w:right="47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516" w:lineRule="auto" w:before="107"/>
        <w:ind w:right="410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期末单项金额虽不重大但单项计提坏账准备的其他应收款</w:t>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5"/>
        <w:spacing w:line="568" w:lineRule="auto"/>
        <w:ind w:left="574" w:right="5660" w:hanging="42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）本报告期转回或收回的其他应收款情况</w:t>
      </w:r>
      <w:r>
        <w:rPr>
          <w:spacing w:val="1"/>
          <w:w w:val="99"/>
        </w:rPr>
        <w:t> </w:t>
      </w:r>
      <w:r>
        <w:rPr>
          <w:rFonts w:ascii="宋体" w:hAnsi="宋体" w:cs="宋体" w:eastAsia="宋体" w:hint="default"/>
          <w:b w:val="0"/>
          <w:bCs w:val="0"/>
        </w:rPr>
        <w:t>无。</w:t>
      </w:r>
    </w:p>
    <w:p>
      <w:pPr>
        <w:pStyle w:val="Heading5"/>
        <w:spacing w:line="571" w:lineRule="auto" w:before="128"/>
        <w:ind w:left="57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）本报告期实际核销的其他应收款情况</w:t>
      </w:r>
      <w:r>
        <w:rPr>
          <w:spacing w:val="1"/>
          <w:w w:val="99"/>
        </w:rPr>
        <w:t> </w:t>
      </w:r>
      <w:r>
        <w:rPr>
          <w:rFonts w:ascii="宋体" w:hAnsi="宋体" w:cs="宋体" w:eastAsia="宋体" w:hint="default"/>
          <w:b w:val="0"/>
          <w:bCs w:val="0"/>
        </w:rPr>
        <w:t>无。</w:t>
      </w:r>
    </w:p>
    <w:p>
      <w:pPr>
        <w:pStyle w:val="Heading5"/>
        <w:spacing w:line="568" w:lineRule="auto" w:before="126"/>
        <w:ind w:left="574" w:right="1980" w:hanging="42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）本报告期其他应收款中持有公司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无。</w:t>
      </w:r>
    </w:p>
    <w:p>
      <w:pPr>
        <w:pStyle w:val="Heading5"/>
        <w:spacing w:line="568" w:lineRule="auto" w:before="128"/>
        <w:ind w:left="574" w:right="5870"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）金额较大的其他应收款的性质或内容</w:t>
      </w:r>
      <w:r>
        <w:rPr>
          <w:spacing w:val="1"/>
          <w:w w:val="99"/>
        </w:rPr>
        <w:t> </w:t>
      </w:r>
      <w:r>
        <w:rPr>
          <w:rFonts w:ascii="宋体" w:hAnsi="宋体" w:cs="宋体" w:eastAsia="宋体" w:hint="default"/>
          <w:b w:val="0"/>
          <w:bCs w:val="0"/>
        </w:rPr>
        <w:t>无。</w:t>
      </w:r>
    </w:p>
    <w:p>
      <w:pPr>
        <w:pStyle w:val="Heading5"/>
        <w:spacing w:line="240" w:lineRule="auto" w:before="12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after="0" w:line="240" w:lineRule="auto"/>
        <w:jc w:val="right"/>
        <w:sectPr>
          <w:pgSz w:w="11910" w:h="16840"/>
          <w:pgMar w:header="0"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3403"/>
        <w:gridCol w:w="1559"/>
        <w:gridCol w:w="1206"/>
        <w:gridCol w:w="2338"/>
        <w:gridCol w:w="1490"/>
      </w:tblGrid>
      <w:tr>
        <w:trPr>
          <w:trHeight w:val="727"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4" w:lineRule="auto" w:before="33"/>
              <w:ind w:left="229" w:right="107" w:hanging="1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解放军某部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5,643,764.86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53.94%</w:t>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深圳旋极历通科技有限公司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850,000.00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8.12%</w:t>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中国联合网络通信有限公司杭州市分公司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362,185.64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3.46%</w:t>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中国农业银行股份有限公司江苏省分行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234,000.00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2.24%</w:t>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付立家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207,276.31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1.98%</w:t>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7,297,226.81</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69.74%</w:t>
            </w:r>
          </w:p>
        </w:tc>
      </w:tr>
    </w:tbl>
    <w:p>
      <w:pPr>
        <w:spacing w:line="240" w:lineRule="auto" w:before="2"/>
        <w:rPr>
          <w:rFonts w:ascii="宋体" w:hAnsi="宋体" w:cs="宋体" w:eastAsia="宋体" w:hint="default"/>
          <w:sz w:val="19"/>
          <w:szCs w:val="19"/>
        </w:rPr>
      </w:pPr>
    </w:p>
    <w:p>
      <w:pPr>
        <w:pStyle w:val="Heading5"/>
        <w:spacing w:line="568" w:lineRule="auto" w:before="35"/>
        <w:ind w:left="953" w:right="6925"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）其他应收关联方账款情况</w:t>
      </w:r>
      <w:r>
        <w:rPr>
          <w:spacing w:val="1"/>
          <w:w w:val="99"/>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0" w:footer="1252" w:top="1340" w:bottom="1440" w:left="600" w:right="980"/>
        </w:sectPr>
      </w:pPr>
    </w:p>
    <w:p>
      <w:pPr>
        <w:spacing w:line="240" w:lineRule="auto" w:before="3"/>
        <w:rPr>
          <w:rFonts w:ascii="宋体" w:hAnsi="宋体" w:cs="宋体" w:eastAsia="宋体" w:hint="default"/>
          <w:sz w:val="10"/>
          <w:szCs w:val="10"/>
        </w:rPr>
      </w:pPr>
    </w:p>
    <w:p>
      <w:pPr>
        <w:pStyle w:val="Heading3"/>
        <w:spacing w:line="240" w:lineRule="auto" w:before="26"/>
        <w:ind w:left="959" w:right="0"/>
        <w:jc w:val="left"/>
      </w:pPr>
      <w:r>
        <w:rPr>
          <w:rFonts w:ascii="Cambria" w:hAnsi="Cambria" w:cs="Cambria" w:eastAsia="Cambria" w:hint="default"/>
        </w:rPr>
        <w:t>3</w:t>
      </w:r>
      <w:r>
        <w:rPr/>
        <w:t>、长期股权投资</w:t>
      </w:r>
    </w:p>
    <w:p>
      <w:pPr>
        <w:spacing w:line="240" w:lineRule="auto" w:before="3"/>
        <w:rPr>
          <w:rFonts w:ascii="黑体" w:hAnsi="黑体" w:cs="黑体" w:eastAsia="黑体" w:hint="default"/>
          <w:sz w:val="21"/>
          <w:szCs w:val="21"/>
        </w:rPr>
      </w:pPr>
    </w:p>
    <w:p>
      <w:pPr>
        <w:pStyle w:val="BodyText"/>
        <w:spacing w:line="240" w:lineRule="auto" w:before="35"/>
        <w:ind w:left="0" w:right="618"/>
        <w:jc w:val="right"/>
      </w:pPr>
      <w:r>
        <w:rPr/>
        <w:pict>
          <v:group style="position:absolute;margin-left:29.691pt;margin-top:30.273666pt;width:141.3pt;height:53.85pt;mso-position-horizontal-relative:page;mso-position-vertical-relative:paragraph;z-index:-728512" coordorigin="594,605" coordsize="2826,1077">
            <v:group style="position:absolute;left:594;top:605;width:2826;height:1077" coordorigin="594,605" coordsize="2826,1077">
              <v:shape style="position:absolute;left:594;top:605;width:2826;height:1077" coordorigin="594,605" coordsize="2826,1077" path="m3420,964l3420,605,594,605,594,1682,617,1679,617,964,3420,964xe" filled="true" fillcolor="#d3d3d3" stroked="false">
                <v:path arrowok="t"/>
                <v:fill type="solid"/>
              </v:shape>
              <v:shape style="position:absolute;left:594;top:605;width:2826;height:1077" coordorigin="594,605" coordsize="2826,1077" path="m3420,1323l617,1323,617,1679,3420,1323xe" filled="true" fillcolor="#d3d3d3" stroked="false">
                <v:path arrowok="t"/>
                <v:fill type="solid"/>
              </v:shape>
              <v:shape style="position:absolute;left:594;top:605;width:2826;height:1077" coordorigin="594,605" coordsize="2826,1077" path="m3420,1323l3420,964,3397,964,3397,1323,3420,1323xe" filled="true" fillcolor="#d3d3d3" stroked="false">
                <v:path arrowok="t"/>
                <v:fill type="solid"/>
              </v:shape>
            </v:group>
            <v:group style="position:absolute;left:617;top:964;width:2781;height:359" coordorigin="617,964" coordsize="2781,359">
              <v:shape style="position:absolute;left:617;top:964;width:2781;height:359" coordorigin="617,964" coordsize="2781,359" path="m617,964l3397,964,3397,1323,617,1323,617,964xe" filled="true" fillcolor="#d3d3d3" stroked="false">
                <v:path arrowok="t"/>
                <v:fill type="solid"/>
              </v:shape>
            </v:group>
            <w10:wrap type="none"/>
          </v:group>
        </w:pict>
      </w:r>
      <w:r>
        <w:rPr/>
        <w:pict>
          <v:group style="position:absolute;margin-left:214.011002pt;margin-top:30.273666pt;width:70.4pt;height:53.85pt;mso-position-horizontal-relative:page;mso-position-vertical-relative:paragraph;z-index:-728488" coordorigin="4280,605" coordsize="1408,1077">
            <v:group style="position:absolute;left:4280;top:605;width:1408;height:1077" coordorigin="4280,605" coordsize="1408,1077">
              <v:shape style="position:absolute;left:4280;top:605;width:1408;height:1077" coordorigin="4280,605" coordsize="1408,1077" path="m5688,964l5688,605,4280,605,4749,964,5688,964xe" filled="true" fillcolor="#d3d3d3" stroked="false">
                <v:path arrowok="t"/>
                <v:fill type="solid"/>
              </v:shape>
              <v:shape style="position:absolute;left:4280;top:605;width:1408;height:1077" coordorigin="4280,605" coordsize="1408,1077" path="m5219,1323l4749,964,4303,964,4303,1323,5219,1323xe" filled="true" fillcolor="#d3d3d3" stroked="false">
                <v:path arrowok="t"/>
                <v:fill type="solid"/>
              </v:shape>
              <v:shape style="position:absolute;left:4280;top:605;width:1408;height:1077" coordorigin="4280,605" coordsize="1408,1077" path="m5688,1682l5688,1323,5219,1323,5688,1682xe" filled="true" fillcolor="#d3d3d3" stroked="false">
                <v:path arrowok="t"/>
                <v:fill type="solid"/>
              </v:shape>
              <v:shape style="position:absolute;left:4280;top:605;width:1408;height:1077" coordorigin="4280,605" coordsize="1408,1077" path="m5688,1323l5688,964,5665,964,5665,1323,5688,1323xe" filled="true" fillcolor="#d3d3d3" stroked="false">
                <v:path arrowok="t"/>
                <v:fill type="solid"/>
              </v:shape>
            </v:group>
            <v:group style="position:absolute;left:4303;top:964;width:1362;height:359" coordorigin="4303,964" coordsize="1362,359">
              <v:shape style="position:absolute;left:4303;top:964;width:1362;height:359" coordorigin="4303,964" coordsize="1362,359" path="m4303,964l5665,964,5665,1323,4303,1323,4303,964xe" filled="true" fillcolor="#d3d3d3" stroked="false">
                <v:path arrowok="t"/>
                <v:fill type="solid"/>
              </v:shape>
            </v:group>
            <w10:wrap type="none"/>
          </v:group>
        </w:pict>
      </w:r>
      <w:r>
        <w:rPr/>
        <w:t>单位： 元</w:t>
      </w:r>
    </w:p>
    <w:p>
      <w:pPr>
        <w:spacing w:line="240" w:lineRule="auto" w:before="11"/>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836"/>
        <w:gridCol w:w="851"/>
        <w:gridCol w:w="1417"/>
        <w:gridCol w:w="1134"/>
        <w:gridCol w:w="1134"/>
        <w:gridCol w:w="1559"/>
        <w:gridCol w:w="1277"/>
        <w:gridCol w:w="1134"/>
        <w:gridCol w:w="1700"/>
        <w:gridCol w:w="568"/>
        <w:gridCol w:w="850"/>
        <w:gridCol w:w="851"/>
      </w:tblGrid>
      <w:tr>
        <w:trPr>
          <w:trHeight w:val="185" w:hRule="exact"/>
        </w:trPr>
        <w:tc>
          <w:tcPr>
            <w:tcW w:w="2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851"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35"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109" w:right="108"/>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位表决权比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364" w:lineRule="auto" w:before="33"/>
              <w:ind w:left="32" w:right="29"/>
              <w:jc w:val="center"/>
              <w:rPr>
                <w:rFonts w:ascii="宋体" w:hAnsi="宋体" w:cs="宋体" w:eastAsia="宋体" w:hint="default"/>
                <w:sz w:val="18"/>
                <w:szCs w:val="18"/>
              </w:rPr>
            </w:pPr>
            <w:r>
              <w:rPr>
                <w:rFonts w:ascii="宋体" w:hAnsi="宋体" w:cs="宋体" w:eastAsia="宋体" w:hint="default"/>
                <w:b/>
                <w:bCs/>
                <w:sz w:val="18"/>
                <w:szCs w:val="18"/>
              </w:rPr>
              <w:t>在被投资单位持股比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例与表决权比例不一</w:t>
            </w:r>
            <w:r>
              <w:rPr>
                <w:rFonts w:ascii="宋体" w:hAnsi="宋体" w:cs="宋体" w:eastAsia="宋体" w:hint="default"/>
                <w:b/>
                <w:bCs/>
                <w:spacing w:val="1"/>
                <w:w w:val="99"/>
                <w:sz w:val="18"/>
                <w:szCs w:val="18"/>
              </w:rPr>
              <w:t> </w:t>
            </w:r>
            <w:r>
              <w:rPr>
                <w:rFonts w:ascii="宋体" w:hAnsi="宋体" w:cs="宋体" w:eastAsia="宋体" w:hint="default"/>
                <w:b/>
                <w:bCs/>
                <w:sz w:val="18"/>
                <w:szCs w:val="18"/>
              </w:rPr>
              <w:t>致的说明</w:t>
            </w:r>
            <w:r>
              <w:rPr>
                <w:rFonts w:ascii="宋体" w:hAnsi="宋体" w:cs="宋体" w:eastAsia="宋体" w:hint="default"/>
                <w:sz w:val="18"/>
                <w:szCs w:val="18"/>
              </w:rPr>
            </w: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9" w:hRule="exact"/>
        </w:trPr>
        <w:tc>
          <w:tcPr>
            <w:tcW w:w="2836" w:type="dxa"/>
            <w:vMerge/>
            <w:tcBorders>
              <w:left w:val="single" w:sz="4" w:space="0" w:color="000000"/>
              <w:right w:val="single" w:sz="4" w:space="0" w:color="000000"/>
            </w:tcBorders>
            <w:shd w:val="clear" w:color="auto" w:fill="D3D3D3"/>
          </w:tcPr>
          <w:p>
            <w:pPr/>
          </w:p>
        </w:tc>
        <w:tc>
          <w:tcPr>
            <w:tcW w:w="851" w:type="dxa"/>
            <w:vMerge/>
            <w:tcBorders>
              <w:left w:val="single" w:sz="4" w:space="0" w:color="000000"/>
              <w:bottom w:val="nil" w:sz="6" w:space="0" w:color="auto"/>
              <w:right w:val="single" w:sz="4" w:space="0" w:color="000000"/>
            </w:tcBorders>
            <w:shd w:val="clear" w:color="auto" w:fill="D3D3D3"/>
          </w:tcPr>
          <w:p>
            <w:pPr/>
          </w:p>
        </w:tc>
        <w:tc>
          <w:tcPr>
            <w:tcW w:w="1417" w:type="dxa"/>
            <w:vMerge/>
            <w:tcBorders>
              <w:left w:val="single" w:sz="9" w:space="0" w:color="D3D3D3"/>
              <w:right w:val="single" w:sz="13" w:space="0" w:color="D3D3D3"/>
            </w:tcBorders>
          </w:tcPr>
          <w:p>
            <w:pPr/>
          </w:p>
        </w:tc>
        <w:tc>
          <w:tcPr>
            <w:tcW w:w="1134" w:type="dxa"/>
            <w:vMerge/>
            <w:tcBorders>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bottom w:val="nil" w:sz="6" w:space="0" w:color="auto"/>
              <w:right w:val="single" w:sz="4" w:space="0" w:color="000000"/>
            </w:tcBorders>
            <w:shd w:val="clear" w:color="auto" w:fill="D3D3D3"/>
          </w:tcPr>
          <w:p>
            <w:pPr/>
          </w:p>
        </w:tc>
        <w:tc>
          <w:tcPr>
            <w:tcW w:w="1559" w:type="dxa"/>
            <w:vMerge/>
            <w:tcBorders>
              <w:left w:val="single" w:sz="4" w:space="0" w:color="000000"/>
              <w:bottom w:val="nil" w:sz="6" w:space="0" w:color="auto"/>
              <w:right w:val="single" w:sz="4" w:space="0" w:color="000000"/>
            </w:tcBorders>
            <w:shd w:val="clear" w:color="auto" w:fill="D3D3D3"/>
          </w:tcPr>
          <w:p>
            <w:pPr/>
          </w:p>
        </w:tc>
        <w:tc>
          <w:tcPr>
            <w:tcW w:w="1277"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122" w:right="89" w:hanging="3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4" w:type="dxa"/>
            <w:vMerge/>
            <w:tcBorders>
              <w:left w:val="single" w:sz="4" w:space="0" w:color="000000"/>
              <w:right w:val="single" w:sz="4" w:space="0" w:color="000000"/>
            </w:tcBorders>
            <w:shd w:val="clear" w:color="auto" w:fill="D3D3D3"/>
          </w:tcPr>
          <w:p>
            <w:pPr/>
          </w:p>
        </w:tc>
        <w:tc>
          <w:tcPr>
            <w:tcW w:w="1700" w:type="dxa"/>
            <w:vMerge/>
            <w:tcBorders>
              <w:left w:val="single" w:sz="4" w:space="0" w:color="000000"/>
              <w:right w:val="single" w:sz="4" w:space="0" w:color="000000"/>
            </w:tcBorders>
            <w:shd w:val="clear" w:color="auto" w:fill="D3D3D3"/>
          </w:tcPr>
          <w:p>
            <w:pPr/>
          </w:p>
        </w:tc>
        <w:tc>
          <w:tcPr>
            <w:tcW w:w="568"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97" w:right="96"/>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58" w:right="56"/>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851" w:type="dxa"/>
            <w:vMerge w:val="restart"/>
            <w:tcBorders>
              <w:top w:val="nil" w:sz="6" w:space="0" w:color="auto"/>
              <w:left w:val="single" w:sz="4" w:space="0" w:color="000000"/>
              <w:right w:val="single" w:sz="4" w:space="0" w:color="000000"/>
            </w:tcBorders>
            <w:shd w:val="clear" w:color="auto" w:fill="D3D3D3"/>
          </w:tcPr>
          <w:p>
            <w:pPr>
              <w:pStyle w:val="TableParagraph"/>
              <w:spacing w:line="364" w:lineRule="auto" w:before="33"/>
              <w:ind w:left="239" w:right="59" w:hanging="182"/>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359" w:hRule="exact"/>
        </w:trPr>
        <w:tc>
          <w:tcPr>
            <w:tcW w:w="2836" w:type="dxa"/>
            <w:vMerge/>
            <w:tcBorders>
              <w:left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417" w:type="dxa"/>
            <w:vMerge/>
            <w:tcBorders>
              <w:left w:val="single" w:sz="9" w:space="0" w:color="D3D3D3"/>
              <w:right w:val="single" w:sz="13" w:space="0" w:color="D3D3D3"/>
            </w:tcBorders>
          </w:tcPr>
          <w:p>
            <w:pP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2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201" w:right="0"/>
              <w:jc w:val="left"/>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7"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1700" w:type="dxa"/>
            <w:vMerge/>
            <w:tcBorders>
              <w:left w:val="single" w:sz="4" w:space="0" w:color="000000"/>
              <w:right w:val="single" w:sz="4" w:space="0" w:color="000000"/>
            </w:tcBorders>
            <w:shd w:val="clear" w:color="auto" w:fill="D3D3D3"/>
          </w:tcPr>
          <w:p>
            <w:pPr/>
          </w:p>
        </w:tc>
        <w:tc>
          <w:tcPr>
            <w:tcW w:w="568"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r>
      <w:tr>
        <w:trPr>
          <w:trHeight w:val="180" w:hRule="exact"/>
        </w:trPr>
        <w:tc>
          <w:tcPr>
            <w:tcW w:w="2836" w:type="dxa"/>
            <w:vMerge/>
            <w:tcBorders>
              <w:left w:val="single" w:sz="4" w:space="0" w:color="000000"/>
              <w:right w:val="single" w:sz="4" w:space="0" w:color="000000"/>
            </w:tcBorders>
            <w:shd w:val="clear" w:color="auto" w:fill="D3D3D3"/>
          </w:tcPr>
          <w:p>
            <w:pPr/>
          </w:p>
        </w:tc>
        <w:tc>
          <w:tcPr>
            <w:tcW w:w="851" w:type="dxa"/>
            <w:vMerge w:val="restart"/>
            <w:tcBorders>
              <w:top w:val="nil" w:sz="6" w:space="0" w:color="auto"/>
              <w:left w:val="single" w:sz="4" w:space="0" w:color="000000"/>
              <w:right w:val="single" w:sz="4" w:space="0" w:color="000000"/>
            </w:tcBorders>
            <w:shd w:val="clear" w:color="auto" w:fill="D3D3D3"/>
          </w:tcPr>
          <w:p>
            <w:pPr/>
          </w:p>
        </w:tc>
        <w:tc>
          <w:tcPr>
            <w:tcW w:w="1417" w:type="dxa"/>
            <w:vMerge/>
            <w:tcBorders>
              <w:left w:val="single" w:sz="9" w:space="0" w:color="D3D3D3"/>
              <w:right w:val="single" w:sz="13" w:space="0" w:color="D3D3D3"/>
            </w:tcBorders>
          </w:tcPr>
          <w:p>
            <w:pPr/>
          </w:p>
        </w:tc>
        <w:tc>
          <w:tcPr>
            <w:tcW w:w="1134" w:type="dxa"/>
            <w:vMerge w:val="restart"/>
            <w:tcBorders>
              <w:top w:val="nil" w:sz="6" w:space="0" w:color="auto"/>
              <w:left w:val="single" w:sz="4" w:space="0" w:color="000000"/>
              <w:right w:val="single" w:sz="4" w:space="0" w:color="000000"/>
            </w:tcBorders>
            <w:shd w:val="clear" w:color="auto" w:fill="D3D3D3"/>
          </w:tcPr>
          <w:p>
            <w:pPr/>
          </w:p>
        </w:tc>
        <w:tc>
          <w:tcPr>
            <w:tcW w:w="1134" w:type="dxa"/>
            <w:vMerge w:val="restart"/>
            <w:tcBorders>
              <w:top w:val="nil" w:sz="6" w:space="0" w:color="auto"/>
              <w:left w:val="single" w:sz="4" w:space="0" w:color="000000"/>
              <w:right w:val="single" w:sz="4" w:space="0" w:color="000000"/>
            </w:tcBorders>
            <w:shd w:val="clear" w:color="auto" w:fill="D3D3D3"/>
          </w:tcPr>
          <w:p>
            <w:pPr/>
          </w:p>
        </w:tc>
        <w:tc>
          <w:tcPr>
            <w:tcW w:w="1559" w:type="dxa"/>
            <w:vMerge w:val="restart"/>
            <w:tcBorders>
              <w:top w:val="nil" w:sz="6" w:space="0" w:color="auto"/>
              <w:left w:val="single" w:sz="4" w:space="0" w:color="000000"/>
              <w:right w:val="single" w:sz="4" w:space="0" w:color="000000"/>
            </w:tcBorders>
            <w:shd w:val="clear" w:color="auto" w:fill="D3D3D3"/>
          </w:tcPr>
          <w:p>
            <w:pPr/>
          </w:p>
        </w:tc>
        <w:tc>
          <w:tcPr>
            <w:tcW w:w="1277" w:type="dxa"/>
            <w:vMerge/>
            <w:tcBorders>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1700" w:type="dxa"/>
            <w:vMerge/>
            <w:tcBorders>
              <w:left w:val="single" w:sz="4" w:space="0" w:color="000000"/>
              <w:right w:val="single" w:sz="4" w:space="0" w:color="000000"/>
            </w:tcBorders>
            <w:shd w:val="clear" w:color="auto" w:fill="D3D3D3"/>
          </w:tcPr>
          <w:p>
            <w:pPr/>
          </w:p>
        </w:tc>
        <w:tc>
          <w:tcPr>
            <w:tcW w:w="568"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9" w:space="0" w:color="D3D3D3"/>
              <w:bottom w:val="single" w:sz="4" w:space="0" w:color="000000"/>
              <w:right w:val="single" w:sz="13" w:space="0" w:color="D3D3D3"/>
            </w:tcBorders>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北京旋极汉荣嵌入式技术有限公司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4,485,000.00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4,485,000.00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深圳旋极历通科技有限公司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1,736,000.00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1,736,000.00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1,812,701.00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1,812,701.00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1,812,701.00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865,200.00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865,200.00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865,200.00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4,934,766.48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4,934,766.48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4,934,766.48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福建百旺金赋信息科技有限公司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厦门百旺金赋信息科技有限公司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700,000.00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天津百旺金赋科技有限公司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杭州百旺金赋科技有限公司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1,560,000.00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1,560,000.00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2,679,543.59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2,679,543.59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4"/>
          <w:footerReference w:type="default" r:id="rId45"/>
          <w:pgSz w:w="16840" w:h="11910" w:orient="landscape"/>
          <w:pgMar w:header="997" w:footer="1249" w:top="1340" w:bottom="1440" w:left="480" w:right="820"/>
          <w:pgNumType w:start="166"/>
        </w:sectPr>
      </w:pPr>
    </w:p>
    <w:p>
      <w:pPr>
        <w:spacing w:line="240" w:lineRule="auto" w:before="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836"/>
        <w:gridCol w:w="851"/>
        <w:gridCol w:w="1417"/>
        <w:gridCol w:w="1134"/>
        <w:gridCol w:w="1134"/>
        <w:gridCol w:w="1559"/>
        <w:gridCol w:w="1277"/>
        <w:gridCol w:w="1134"/>
        <w:gridCol w:w="1700"/>
        <w:gridCol w:w="568"/>
        <w:gridCol w:w="850"/>
        <w:gridCol w:w="851"/>
      </w:tblGrid>
      <w:tr>
        <w:trPr>
          <w:trHeight w:val="47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1,675,000.00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1,343,037.05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5" w:right="0"/>
              <w:jc w:val="center"/>
              <w:rPr>
                <w:rFonts w:ascii="Times New Roman" w:hAnsi="Times New Roman" w:cs="Times New Roman" w:eastAsia="Times New Roman" w:hint="default"/>
                <w:sz w:val="18"/>
                <w:szCs w:val="18"/>
              </w:rPr>
            </w:pPr>
            <w:r>
              <w:rPr>
                <w:rFonts w:ascii="Times New Roman"/>
                <w:sz w:val="18"/>
              </w:rPr>
              <w:t>-1,343,037.05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37,568,667.48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11,241,938.05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 w:right="0"/>
              <w:jc w:val="center"/>
              <w:rPr>
                <w:rFonts w:ascii="Times New Roman" w:hAnsi="Times New Roman" w:cs="Times New Roman" w:eastAsia="Times New Roman" w:hint="default"/>
                <w:sz w:val="18"/>
                <w:szCs w:val="18"/>
              </w:rPr>
            </w:pPr>
            <w:r>
              <w:rPr>
                <w:rFonts w:ascii="Times New Roman"/>
                <w:sz w:val="18"/>
              </w:rPr>
              <w:t>24,131,273.02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35,373,211.07</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379" w:right="0"/>
        <w:jc w:val="left"/>
      </w:pPr>
      <w:r>
        <w:rPr/>
        <w:t>长期股权投资的说明</w:t>
      </w:r>
    </w:p>
    <w:p>
      <w:pPr>
        <w:spacing w:after="0" w:line="240" w:lineRule="auto"/>
        <w:jc w:val="left"/>
        <w:sectPr>
          <w:pgSz w:w="16840" w:h="11910" w:orient="landscape"/>
          <w:pgMar w:header="997" w:footer="1249" w:top="1340" w:bottom="1440" w:left="480" w:right="820"/>
        </w:sectPr>
      </w:pPr>
    </w:p>
    <w:p>
      <w:pPr>
        <w:spacing w:line="240" w:lineRule="auto" w:before="3"/>
        <w:rPr>
          <w:rFonts w:ascii="宋体" w:hAnsi="宋体" w:cs="宋体" w:eastAsia="宋体" w:hint="default"/>
          <w:sz w:val="10"/>
          <w:szCs w:val="10"/>
        </w:rPr>
      </w:pPr>
    </w:p>
    <w:p>
      <w:pPr>
        <w:pStyle w:val="Heading3"/>
        <w:spacing w:line="240" w:lineRule="auto" w:before="26"/>
        <w:ind w:left="674" w:right="1980"/>
        <w:jc w:val="left"/>
      </w:pPr>
      <w:r>
        <w:rPr>
          <w:rFonts w:ascii="Cambria" w:hAnsi="Cambria" w:cs="Cambria" w:eastAsia="Cambria" w:hint="default"/>
        </w:rPr>
        <w:t>4</w:t>
      </w:r>
      <w:r>
        <w:rPr/>
        <w:t>、营业收入和营业成本</w:t>
      </w:r>
    </w:p>
    <w:p>
      <w:pPr>
        <w:spacing w:line="240" w:lineRule="auto" w:before="1"/>
        <w:rPr>
          <w:rFonts w:ascii="黑体" w:hAnsi="黑体" w:cs="黑体" w:eastAsia="黑体" w:hint="default"/>
          <w:sz w:val="29"/>
          <w:szCs w:val="29"/>
        </w:rPr>
      </w:pPr>
    </w:p>
    <w:p>
      <w:pPr>
        <w:pStyle w:val="Heading5"/>
        <w:spacing w:line="240" w:lineRule="auto"/>
        <w:ind w:left="674" w:right="198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680" w:type="dxa"/>
        <w:tblLayout w:type="fixed"/>
        <w:tblCellMar>
          <w:top w:w="0" w:type="dxa"/>
          <w:left w:w="0" w:type="dxa"/>
          <w:bottom w:w="0" w:type="dxa"/>
          <w:right w:w="0" w:type="dxa"/>
        </w:tblCellMar>
        <w:tblLook w:val="01E0"/>
      </w:tblPr>
      <w:tblGrid>
        <w:gridCol w:w="2502"/>
        <w:gridCol w:w="3466"/>
        <w:gridCol w:w="3588"/>
      </w:tblGrid>
      <w:tr>
        <w:trPr>
          <w:trHeight w:val="479"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253,461,203.20</w:t>
            </w:r>
          </w:p>
        </w:tc>
      </w:tr>
      <w:tr>
        <w:trPr>
          <w:trHeight w:val="478"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253,461,203.20</w:t>
            </w:r>
          </w:p>
        </w:tc>
      </w:tr>
      <w:tr>
        <w:trPr>
          <w:trHeight w:val="479"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117,194,160.49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179,792,873.07</w:t>
            </w:r>
          </w:p>
        </w:tc>
      </w:tr>
    </w:tbl>
    <w:p>
      <w:pPr>
        <w:spacing w:line="240" w:lineRule="auto" w:before="2"/>
        <w:rPr>
          <w:rFonts w:ascii="宋体" w:hAnsi="宋体" w:cs="宋体" w:eastAsia="宋体" w:hint="default"/>
          <w:sz w:val="19"/>
          <w:szCs w:val="19"/>
        </w:rPr>
      </w:pPr>
    </w:p>
    <w:p>
      <w:pPr>
        <w:pStyle w:val="Heading5"/>
        <w:spacing w:line="240" w:lineRule="auto" w:before="35"/>
        <w:ind w:left="674" w:right="198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243" w:type="dxa"/>
        <w:tblLayout w:type="fixed"/>
        <w:tblCellMar>
          <w:top w:w="0" w:type="dxa"/>
          <w:left w:w="0" w:type="dxa"/>
          <w:bottom w:w="0" w:type="dxa"/>
          <w:right w:w="0" w:type="dxa"/>
        </w:tblCellMar>
        <w:tblLook w:val="01E0"/>
      </w:tblPr>
      <w:tblGrid>
        <w:gridCol w:w="2978"/>
        <w:gridCol w:w="1843"/>
        <w:gridCol w:w="1586"/>
        <w:gridCol w:w="1861"/>
        <w:gridCol w:w="1726"/>
      </w:tblGrid>
      <w:tr>
        <w:trPr>
          <w:trHeight w:val="478" w:hRule="exact"/>
        </w:trPr>
        <w:tc>
          <w:tcPr>
            <w:tcW w:w="29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4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2978" w:type="dxa"/>
            <w:vMerge/>
            <w:tcBorders>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2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嵌入式系统测试产品及技术服务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97,173,461.89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53,110,657.54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110,319,325.17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75,340,780.73</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嵌入式信息安全产品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82,144,350.22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54,822,893.22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135,904,523.37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99,462,949.73</w:t>
            </w:r>
          </w:p>
        </w:tc>
      </w:tr>
      <w:tr>
        <w:trPr>
          <w:trHeight w:val="4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嵌入式行业智能移动终端及技术服务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14,334,350.13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9,260,609.73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7,237,354.66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4,989,142.61</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117,194,160.49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253,461,203.20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179,792,873.07</w:t>
            </w:r>
          </w:p>
        </w:tc>
      </w:tr>
    </w:tbl>
    <w:p>
      <w:pPr>
        <w:spacing w:line="240" w:lineRule="auto" w:before="2"/>
        <w:rPr>
          <w:rFonts w:ascii="宋体" w:hAnsi="宋体" w:cs="宋体" w:eastAsia="宋体" w:hint="default"/>
          <w:sz w:val="19"/>
          <w:szCs w:val="19"/>
        </w:rPr>
      </w:pPr>
    </w:p>
    <w:p>
      <w:pPr>
        <w:pStyle w:val="Heading5"/>
        <w:spacing w:line="240" w:lineRule="auto" w:before="35"/>
        <w:ind w:left="674" w:right="198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828"/>
        <w:gridCol w:w="1861"/>
        <w:gridCol w:w="1860"/>
        <w:gridCol w:w="1861"/>
        <w:gridCol w:w="1726"/>
      </w:tblGrid>
      <w:tr>
        <w:trPr>
          <w:trHeight w:val="478" w:hRule="exact"/>
        </w:trPr>
        <w:tc>
          <w:tcPr>
            <w:tcW w:w="28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2828"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8"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67,755,239.25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43,435,440.34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67,850,723.22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47,264,402.06</w:t>
            </w:r>
          </w:p>
        </w:tc>
      </w:tr>
      <w:tr>
        <w:trPr>
          <w:trHeight w:val="479"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嵌入式系统测试服务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29,418,222.64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9,675,217.20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42,468,601.95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28,076,378.67</w:t>
            </w:r>
          </w:p>
        </w:tc>
      </w:tr>
      <w:tr>
        <w:trPr>
          <w:trHeight w:val="478"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34,282,531.32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25,674,720.55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123,955,322.60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92,107,266.90</w:t>
            </w:r>
          </w:p>
        </w:tc>
      </w:tr>
      <w:tr>
        <w:trPr>
          <w:trHeight w:val="478"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47,861,818.90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29,148,172.67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11,949,200.77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7,355,682.83</w:t>
            </w:r>
          </w:p>
        </w:tc>
      </w:tr>
      <w:tr>
        <w:trPr>
          <w:trHeight w:val="479"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行业智能移动终端及技术服务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14,334,350.13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9,260,609.73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7,237,354.66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4,989,142.61</w:t>
            </w:r>
          </w:p>
        </w:tc>
      </w:tr>
      <w:tr>
        <w:trPr>
          <w:trHeight w:val="478" w:hRule="exact"/>
        </w:trPr>
        <w:tc>
          <w:tcPr>
            <w:tcW w:w="2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117,194,160.49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253,461,203.20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179,792,873.07</w:t>
            </w:r>
          </w:p>
        </w:tc>
      </w:tr>
    </w:tbl>
    <w:p>
      <w:pPr>
        <w:spacing w:after="0" w:line="240" w:lineRule="auto"/>
        <w:jc w:val="right"/>
        <w:rPr>
          <w:rFonts w:ascii="Times New Roman" w:hAnsi="Times New Roman" w:cs="Times New Roman" w:eastAsia="Times New Roman" w:hint="default"/>
          <w:sz w:val="18"/>
          <w:szCs w:val="18"/>
        </w:rPr>
        <w:sectPr>
          <w:headerReference w:type="default" r:id="rId46"/>
          <w:footerReference w:type="default" r:id="rId47"/>
          <w:pgSz w:w="11910" w:h="16840"/>
          <w:pgMar w:header="997" w:footer="1252" w:top="1340" w:bottom="1440" w:left="460" w:right="980"/>
          <w:pgNumType w:start="168"/>
        </w:sectPr>
      </w:pPr>
    </w:p>
    <w:p>
      <w:pPr>
        <w:pStyle w:val="Heading5"/>
        <w:spacing w:line="240" w:lineRule="auto" w:before="10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78"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8"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4,219,232.26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3,113,879.09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8,560,561.88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6,297,599.11</w:t>
            </w:r>
          </w:p>
        </w:tc>
      </w:tr>
      <w:tr>
        <w:trPr>
          <w:trHeight w:val="47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111,793,235.50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68,674,900.62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95,717,225.80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65,948,064.42</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48,754,669.48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25,660,484.32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53,041,624.74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37,992,863.19</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5,225,277.36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3,882,063.03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34,212,800.71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24,360,845.59</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4,670,556.87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2,892,550.70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1,836,596.90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1,312,164.44</w:t>
            </w:r>
          </w:p>
        </w:tc>
      </w:tr>
      <w:tr>
        <w:trPr>
          <w:trHeight w:val="479"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6,048,119.28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3,872,407.80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17,042,634.58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11,676,587.52</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5,831,452.97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3,907,989.08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16,197,402.01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12,320,088.12</w:t>
            </w:r>
          </w:p>
        </w:tc>
      </w:tr>
      <w:tr>
        <w:trPr>
          <w:trHeight w:val="47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7,109,618.52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5,189,885.85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26,852,356.58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19,884,660.68</w:t>
            </w:r>
          </w:p>
        </w:tc>
      </w:tr>
      <w:tr>
        <w:trPr>
          <w:trHeight w:val="479"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193,652,162.24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117,194,160.49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253,461,203.20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179,792,873.07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line="240" w:lineRule="auto" w:before="12"/>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828"/>
        <w:gridCol w:w="2693"/>
        <w:gridCol w:w="3047"/>
      </w:tblGrid>
      <w:tr>
        <w:trPr>
          <w:trHeight w:val="478"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799" w:right="0"/>
              <w:jc w:val="left"/>
              <w:rPr>
                <w:rFonts w:ascii="宋体" w:hAnsi="宋体" w:cs="宋体" w:eastAsia="宋体" w:hint="default"/>
                <w:sz w:val="18"/>
                <w:szCs w:val="18"/>
              </w:rPr>
            </w:pPr>
            <w:r>
              <w:rPr>
                <w:rFonts w:ascii="宋体" w:hAnsi="宋体" w:cs="宋体" w:eastAsia="宋体" w:hint="default"/>
                <w:b/>
                <w:bCs/>
                <w:sz w:val="18"/>
                <w:szCs w:val="18"/>
              </w:rPr>
              <w:t>营业收入总额</w:t>
            </w:r>
            <w:r>
              <w:rPr>
                <w:rFonts w:ascii="宋体" w:hAnsi="宋体" w:cs="宋体" w:eastAsia="宋体" w:hint="default"/>
                <w:sz w:val="18"/>
                <w:szCs w:val="18"/>
              </w:rPr>
            </w:r>
          </w:p>
        </w:tc>
        <w:tc>
          <w:tcPr>
            <w:tcW w:w="3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2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33,508,586.87</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17.3%</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北京联合创奇科技有限公司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9,534,187.91</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4.92%</w:t>
            </w:r>
          </w:p>
        </w:tc>
      </w:tr>
      <w:tr>
        <w:trPr>
          <w:trHeight w:val="47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北京昆仑凯利科技有限公司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6,998,290.92</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3.61%</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西安航天恒星科技有限公司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5,973,600.00</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3.08%</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解放军某部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5,710,769.24</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2.95%</w:t>
            </w:r>
          </w:p>
        </w:tc>
      </w:tr>
      <w:tr>
        <w:trPr>
          <w:trHeight w:val="479"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61,725,434.94</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31.86%</w:t>
            </w:r>
          </w:p>
        </w:tc>
      </w:tr>
    </w:tbl>
    <w:p>
      <w:pPr>
        <w:spacing w:line="240" w:lineRule="auto" w:before="0"/>
        <w:rPr>
          <w:rFonts w:ascii="宋体" w:hAnsi="宋体" w:cs="宋体" w:eastAsia="宋体" w:hint="default"/>
          <w:sz w:val="13"/>
          <w:szCs w:val="13"/>
        </w:rPr>
      </w:pPr>
    </w:p>
    <w:p>
      <w:pPr>
        <w:pStyle w:val="Heading3"/>
        <w:spacing w:line="240" w:lineRule="auto" w:before="26"/>
        <w:ind w:right="0"/>
        <w:jc w:val="left"/>
      </w:pPr>
      <w:r>
        <w:rPr>
          <w:rFonts w:ascii="Cambria" w:hAnsi="Cambria" w:cs="Cambria" w:eastAsia="Cambria" w:hint="default"/>
        </w:rPr>
        <w:t>5</w:t>
      </w:r>
      <w:r>
        <w:rPr/>
        <w:t>、投资收益</w:t>
      </w:r>
    </w:p>
    <w:p>
      <w:pPr>
        <w:spacing w:line="240" w:lineRule="auto" w:before="1"/>
        <w:rPr>
          <w:rFonts w:ascii="黑体" w:hAnsi="黑体" w:cs="黑体" w:eastAsia="黑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before="35"/>
        <w:ind w:left="0" w:right="148"/>
        <w:jc w:val="right"/>
      </w:pPr>
      <w:r>
        <w:rPr/>
        <w:t>单位： 元</w:t>
      </w:r>
    </w:p>
    <w:p>
      <w:pPr>
        <w:spacing w:after="0" w:line="240" w:lineRule="auto"/>
        <w:jc w:val="right"/>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78"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1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80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79"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-587,926.98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-34,796.37</w:t>
            </w:r>
          </w:p>
        </w:tc>
      </w:tr>
      <w:tr>
        <w:trPr>
          <w:trHeight w:val="478"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3,440,507.36</w:t>
            </w:r>
          </w:p>
        </w:tc>
      </w:tr>
      <w:tr>
        <w:trPr>
          <w:trHeight w:val="478"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97,319.58</w:t>
            </w:r>
          </w:p>
        </w:tc>
      </w:tr>
      <w:tr>
        <w:trPr>
          <w:trHeight w:val="479"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-587,926.98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3,503,030.57</w:t>
            </w:r>
          </w:p>
        </w:tc>
      </w:tr>
    </w:tbl>
    <w:p>
      <w:pPr>
        <w:spacing w:line="240" w:lineRule="auto" w:before="2"/>
        <w:rPr>
          <w:rFonts w:ascii="宋体" w:hAnsi="宋体" w:cs="宋体" w:eastAsia="宋体" w:hint="default"/>
          <w:sz w:val="19"/>
          <w:szCs w:val="19"/>
        </w:rPr>
      </w:pPr>
    </w:p>
    <w:p>
      <w:pPr>
        <w:pStyle w:val="Heading5"/>
        <w:spacing w:line="568" w:lineRule="auto" w:before="35"/>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）按成本法核算的长期股权投资收益</w:t>
      </w:r>
      <w:r>
        <w:rPr>
          <w:w w:val="99"/>
        </w:rPr>
        <w:t> </w:t>
      </w:r>
      <w:r>
        <w:rPr>
          <w:rFonts w:ascii="宋体" w:hAnsi="宋体" w:cs="宋体" w:eastAsia="宋体" w:hint="default"/>
          <w:b w:val="0"/>
          <w:bCs w:val="0"/>
        </w:rPr>
        <w:t>无。</w:t>
      </w:r>
    </w:p>
    <w:p>
      <w:pPr>
        <w:pStyle w:val="Heading5"/>
        <w:spacing w:line="568" w:lineRule="auto" w:before="128"/>
        <w:ind w:left="574" w:right="608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）按权益法核算的长期股权投资收益</w:t>
      </w:r>
      <w:r>
        <w:rPr>
          <w:w w:val="99"/>
        </w:rPr>
        <w:t> </w:t>
      </w:r>
      <w:r>
        <w:rPr>
          <w:rFonts w:ascii="宋体" w:hAnsi="宋体" w:cs="宋体" w:eastAsia="宋体" w:hint="default"/>
          <w:b w:val="0"/>
          <w:bCs w:val="0"/>
        </w:rPr>
        <w:t>无。</w:t>
      </w:r>
    </w:p>
    <w:p>
      <w:pPr>
        <w:pStyle w:val="Heading3"/>
        <w:spacing w:line="240" w:lineRule="auto" w:before="38"/>
        <w:ind w:right="0"/>
        <w:jc w:val="left"/>
      </w:pPr>
      <w:r>
        <w:rPr>
          <w:rFonts w:ascii="Cambria" w:hAnsi="Cambria" w:cs="Cambria" w:eastAsia="Cambria" w:hint="default"/>
        </w:rPr>
        <w:t>6</w:t>
      </w:r>
      <w:r>
        <w:rPr/>
        <w:t>、现金流量表补充资料</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38,371,564.84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37,691,587.42</w:t>
            </w:r>
          </w:p>
        </w:tc>
      </w:tr>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3,132,528.46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2,409,968.86</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1,324,466.72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873,702.06</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118,194.57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18,669.24</w:t>
            </w:r>
          </w:p>
        </w:tc>
      </w:tr>
      <w:tr>
        <w:trPr>
          <w:trHeight w:val="947"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451" w:lineRule="auto" w:before="89"/>
              <w:ind w:left="11"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5,869.92</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1,723,127.90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2,347,147.11</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587,926.98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-3,503,030.57</w:t>
            </w:r>
          </w:p>
        </w:tc>
      </w:tr>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-456,889.21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-402,845.93</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10,806,310.80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4,263,771.93</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-28,096,341.41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-37,707,354.08</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-19,236,576.33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27,303,707.79</w:t>
            </w:r>
          </w:p>
        </w:tc>
      </w:tr>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8,280,183.24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33,295,323.83</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980" w:right="980"/>
        </w:sectPr>
      </w:pPr>
    </w:p>
    <w:p>
      <w:pPr>
        <w:spacing w:line="240" w:lineRule="auto" w:before="2"/>
        <w:rPr>
          <w:rFonts w:ascii="宋体" w:hAnsi="宋体" w:cs="宋体" w:eastAsia="宋体" w:hint="default"/>
          <w:sz w:val="9"/>
          <w:szCs w:val="9"/>
        </w:rPr>
      </w:pPr>
    </w:p>
    <w:tbl>
      <w:tblPr>
        <w:tblW w:w="0" w:type="auto"/>
        <w:jc w:val="left"/>
        <w:tblInd w:w="540" w:type="dxa"/>
        <w:tblLayout w:type="fixed"/>
        <w:tblCellMar>
          <w:top w:w="0" w:type="dxa"/>
          <w:left w:w="0" w:type="dxa"/>
          <w:bottom w:w="0" w:type="dxa"/>
          <w:right w:w="0" w:type="dxa"/>
        </w:tblCellMar>
        <w:tblLook w:val="01E0"/>
      </w:tblPr>
      <w:tblGrid>
        <w:gridCol w:w="5029"/>
        <w:gridCol w:w="2269"/>
        <w:gridCol w:w="2258"/>
      </w:tblGrid>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413,716,409.30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133,059,396.09</w:t>
            </w:r>
          </w:p>
        </w:tc>
      </w:tr>
      <w:tr>
        <w:trPr>
          <w:trHeight w:val="478"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133,059,396.09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76,982,040.37</w:t>
            </w:r>
          </w:p>
        </w:tc>
      </w:tr>
      <w:tr>
        <w:trPr>
          <w:trHeight w:val="479"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280,657,013.21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56,077,355.72</w:t>
            </w:r>
          </w:p>
        </w:tc>
      </w:tr>
    </w:tbl>
    <w:p>
      <w:pPr>
        <w:spacing w:line="240" w:lineRule="auto" w:before="0"/>
        <w:rPr>
          <w:rFonts w:ascii="宋体" w:hAnsi="宋体" w:cs="宋体" w:eastAsia="宋体" w:hint="default"/>
          <w:sz w:val="13"/>
          <w:szCs w:val="13"/>
        </w:rPr>
      </w:pPr>
    </w:p>
    <w:p>
      <w:pPr>
        <w:pStyle w:val="Heading3"/>
        <w:spacing w:line="240" w:lineRule="auto" w:before="26"/>
        <w:ind w:left="534" w:right="133"/>
        <w:jc w:val="left"/>
      </w:pPr>
      <w:r>
        <w:rPr>
          <w:rFonts w:ascii="Cambria" w:hAnsi="Cambria" w:cs="Cambria" w:eastAsia="Cambria" w:hint="default"/>
        </w:rPr>
        <w:t>7</w:t>
      </w:r>
      <w:r>
        <w:rPr/>
        <w:t>、反向购买下以评估值入账的资产、负债情况</w:t>
      </w:r>
    </w:p>
    <w:p>
      <w:pPr>
        <w:spacing w:line="240" w:lineRule="auto" w:before="12"/>
        <w:rPr>
          <w:rFonts w:ascii="黑体" w:hAnsi="黑体" w:cs="黑体" w:eastAsia="黑体" w:hint="default"/>
          <w:sz w:val="23"/>
          <w:szCs w:val="23"/>
        </w:rPr>
      </w:pPr>
    </w:p>
    <w:p>
      <w:pPr>
        <w:pStyle w:val="BodyText"/>
        <w:spacing w:line="240" w:lineRule="auto"/>
        <w:ind w:left="954" w:right="133"/>
        <w:jc w:val="left"/>
      </w:pPr>
      <w:r>
        <w:rPr/>
        <w:t>不适用。</w:t>
      </w:r>
    </w:p>
    <w:p>
      <w:pPr>
        <w:spacing w:line="240" w:lineRule="auto" w:before="4"/>
        <w:rPr>
          <w:rFonts w:ascii="宋体" w:hAnsi="宋体" w:cs="宋体" w:eastAsia="宋体" w:hint="default"/>
          <w:sz w:val="28"/>
          <w:szCs w:val="28"/>
        </w:rPr>
      </w:pPr>
    </w:p>
    <w:p>
      <w:pPr>
        <w:pStyle w:val="Heading2"/>
        <w:spacing w:line="240" w:lineRule="auto"/>
        <w:ind w:left="534" w:right="133"/>
        <w:jc w:val="left"/>
      </w:pPr>
      <w:r>
        <w:rPr/>
        <w:t>十六、补充资料</w:t>
      </w:r>
    </w:p>
    <w:p>
      <w:pPr>
        <w:spacing w:line="240" w:lineRule="auto" w:before="3"/>
        <w:rPr>
          <w:rFonts w:ascii="黑体" w:hAnsi="黑体" w:cs="黑体" w:eastAsia="黑体" w:hint="default"/>
          <w:sz w:val="28"/>
          <w:szCs w:val="28"/>
        </w:rPr>
      </w:pPr>
    </w:p>
    <w:p>
      <w:pPr>
        <w:pStyle w:val="Heading3"/>
        <w:spacing w:line="240" w:lineRule="auto"/>
        <w:ind w:left="534" w:right="133"/>
        <w:jc w:val="left"/>
      </w:pPr>
      <w:r>
        <w:rPr>
          <w:rFonts w:ascii="Cambria" w:hAnsi="Cambria" w:cs="Cambria" w:eastAsia="Cambria" w:hint="default"/>
        </w:rPr>
        <w:t>1</w:t>
      </w:r>
      <w:r>
        <w:rPr/>
        <w:t>、净资产收益率及每股收益</w:t>
      </w:r>
    </w:p>
    <w:p>
      <w:pPr>
        <w:spacing w:line="240" w:lineRule="auto" w:before="3"/>
        <w:rPr>
          <w:rFonts w:ascii="黑体" w:hAnsi="黑体" w:cs="黑体" w:eastAsia="黑体" w:hint="default"/>
          <w:sz w:val="21"/>
          <w:szCs w:val="21"/>
        </w:rPr>
      </w:pPr>
    </w:p>
    <w:p>
      <w:pPr>
        <w:pStyle w:val="BodyText"/>
        <w:spacing w:line="240" w:lineRule="auto" w:before="35"/>
        <w:ind w:left="0" w:right="148"/>
        <w:jc w:val="right"/>
      </w:pPr>
      <w:r>
        <w:rPr/>
        <w:t>单位： 元</w:t>
      </w:r>
    </w:p>
    <w:p>
      <w:pPr>
        <w:spacing w:line="240" w:lineRule="auto" w:before="11"/>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4243"/>
        <w:gridCol w:w="2409"/>
        <w:gridCol w:w="1843"/>
        <w:gridCol w:w="1478"/>
      </w:tblGrid>
      <w:tr>
        <w:trPr>
          <w:trHeight w:val="245" w:hRule="exact"/>
        </w:trPr>
        <w:tc>
          <w:tcPr>
            <w:tcW w:w="4243"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12"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33" w:hRule="exact"/>
        </w:trPr>
        <w:tc>
          <w:tcPr>
            <w:tcW w:w="42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right="1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4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8"/>
              <w:ind w:left="25"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320" w:type="dxa"/>
            <w:gridSpan w:val="2"/>
            <w:vMerge/>
            <w:tcBorders>
              <w:left w:val="single" w:sz="4" w:space="0" w:color="000000"/>
              <w:bottom w:val="single" w:sz="4" w:space="0" w:color="000000"/>
              <w:right w:val="single" w:sz="4" w:space="0" w:color="000000"/>
            </w:tcBorders>
            <w:shd w:val="clear" w:color="auto" w:fill="D3D3D3"/>
          </w:tcPr>
          <w:p>
            <w:pPr/>
          </w:p>
        </w:tc>
      </w:tr>
      <w:tr>
        <w:trPr>
          <w:trHeight w:val="235" w:hRule="exact"/>
        </w:trPr>
        <w:tc>
          <w:tcPr>
            <w:tcW w:w="4243" w:type="dxa"/>
            <w:vMerge/>
            <w:tcBorders>
              <w:left w:val="single" w:sz="4" w:space="0" w:color="000000"/>
              <w:bottom w:val="nil" w:sz="6" w:space="0" w:color="auto"/>
              <w:right w:val="single" w:sz="4" w:space="0" w:color="000000"/>
            </w:tcBorders>
            <w:shd w:val="clear" w:color="auto" w:fill="D3D3D3"/>
          </w:tcPr>
          <w:p>
            <w:pPr/>
          </w:p>
        </w:tc>
        <w:tc>
          <w:tcPr>
            <w:tcW w:w="2409" w:type="dxa"/>
            <w:vMerge/>
            <w:tcBorders>
              <w:left w:val="single" w:sz="4" w:space="0" w:color="000000"/>
              <w:bottom w:val="nil" w:sz="6" w:space="0" w:color="auto"/>
              <w:right w:val="single" w:sz="4" w:space="0" w:color="000000"/>
            </w:tcBorders>
            <w:shd w:val="clear" w:color="auto" w:fill="D3D3D3"/>
          </w:tcPr>
          <w:p>
            <w:pP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374"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9"/>
              <w:ind w:left="198"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243" w:hRule="exact"/>
        </w:trPr>
        <w:tc>
          <w:tcPr>
            <w:tcW w:w="4243"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c>
          <w:tcPr>
            <w:tcW w:w="1478" w:type="dxa"/>
            <w:vMerge/>
            <w:tcBorders>
              <w:left w:val="single" w:sz="4" w:space="0" w:color="000000"/>
              <w:bottom w:val="single" w:sz="4" w:space="0" w:color="000000"/>
              <w:right w:val="single" w:sz="4" w:space="0" w:color="000000"/>
            </w:tcBorders>
            <w:shd w:val="clear" w:color="auto" w:fill="D3D3D3"/>
          </w:tcPr>
          <w:p>
            <w:pPr/>
          </w:p>
        </w:tc>
      </w:tr>
      <w:tr>
        <w:trPr>
          <w:trHeight w:val="478" w:hRule="exact"/>
        </w:trPr>
        <w:tc>
          <w:tcPr>
            <w:tcW w:w="4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0.93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0.93</w:t>
            </w:r>
          </w:p>
        </w:tc>
      </w:tr>
      <w:tr>
        <w:trPr>
          <w:trHeight w:val="479" w:hRule="exact"/>
        </w:trPr>
        <w:tc>
          <w:tcPr>
            <w:tcW w:w="4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0.89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0.89</w:t>
            </w:r>
          </w:p>
        </w:tc>
      </w:tr>
    </w:tbl>
    <w:p>
      <w:pPr>
        <w:spacing w:line="240" w:lineRule="auto" w:before="0"/>
        <w:rPr>
          <w:rFonts w:ascii="宋体" w:hAnsi="宋体" w:cs="宋体" w:eastAsia="宋体" w:hint="default"/>
          <w:sz w:val="13"/>
          <w:szCs w:val="13"/>
        </w:rPr>
      </w:pPr>
    </w:p>
    <w:p>
      <w:pPr>
        <w:pStyle w:val="Heading3"/>
        <w:spacing w:line="240" w:lineRule="auto" w:before="26"/>
        <w:ind w:left="534" w:right="133"/>
        <w:jc w:val="left"/>
      </w:pPr>
      <w:r>
        <w:rPr>
          <w:rFonts w:ascii="Cambria" w:hAnsi="Cambria" w:cs="Cambria" w:eastAsia="Cambria" w:hint="default"/>
        </w:rPr>
        <w:t>2</w:t>
      </w:r>
      <w:r>
        <w:rPr/>
        <w:t>、公司主要会计报表项目的异常情况及原因的说明</w:t>
      </w:r>
    </w:p>
    <w:p>
      <w:pPr>
        <w:spacing w:line="240" w:lineRule="auto" w:before="4"/>
        <w:rPr>
          <w:rFonts w:ascii="黑体" w:hAnsi="黑体" w:cs="黑体" w:eastAsia="黑体" w:hint="default"/>
          <w:sz w:val="23"/>
          <w:szCs w:val="23"/>
        </w:rPr>
      </w:pPr>
    </w:p>
    <w:p>
      <w:pPr>
        <w:pStyle w:val="Heading4"/>
        <w:spacing w:line="240" w:lineRule="auto"/>
        <w:ind w:left="974" w:right="133" w:firstLine="0"/>
        <w:jc w:val="left"/>
      </w:pPr>
      <w:r>
        <w:rPr/>
        <w:t>年末合并资产负债表较年初变动幅度较大的项目列示如下：</w:t>
      </w:r>
    </w:p>
    <w:p>
      <w:pPr>
        <w:spacing w:line="240" w:lineRule="auto" w:before="6"/>
        <w:rPr>
          <w:rFonts w:ascii="宋体" w:hAnsi="宋体" w:cs="宋体" w:eastAsia="宋体" w:hint="default"/>
          <w:sz w:val="21"/>
          <w:szCs w:val="21"/>
        </w:rPr>
      </w:pPr>
    </w:p>
    <w:tbl>
      <w:tblPr>
        <w:tblW w:w="0" w:type="auto"/>
        <w:jc w:val="left"/>
        <w:tblInd w:w="1519" w:type="dxa"/>
        <w:tblLayout w:type="fixed"/>
        <w:tblCellMar>
          <w:top w:w="0" w:type="dxa"/>
          <w:left w:w="0" w:type="dxa"/>
          <w:bottom w:w="0" w:type="dxa"/>
          <w:right w:w="0" w:type="dxa"/>
        </w:tblCellMar>
        <w:tblLook w:val="01E0"/>
      </w:tblPr>
      <w:tblGrid>
        <w:gridCol w:w="2490"/>
        <w:gridCol w:w="1672"/>
        <w:gridCol w:w="1672"/>
        <w:gridCol w:w="1819"/>
      </w:tblGrid>
      <w:tr>
        <w:trPr>
          <w:trHeight w:val="503" w:hRule="exact"/>
        </w:trPr>
        <w:tc>
          <w:tcPr>
            <w:tcW w:w="24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46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46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8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27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473,511,246.05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169,841,463.38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178.80</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1,977,120.00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4,212,700.00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-53.07</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72,674,628.50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46,240,905.04</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57.17</w:t>
            </w:r>
          </w:p>
        </w:tc>
      </w:tr>
      <w:tr>
        <w:trPr>
          <w:trHeight w:val="504"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10,422,298.58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7,220,913.99</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44.33</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2,679,543.59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
              <w:jc w:val="right"/>
              <w:rPr>
                <w:rFonts w:ascii="Times New Roman" w:hAnsi="Times New Roman" w:cs="Times New Roman" w:eastAsia="Times New Roman" w:hint="default"/>
                <w:sz w:val="18"/>
                <w:szCs w:val="18"/>
              </w:rPr>
            </w:pPr>
            <w:r>
              <w:rPr>
                <w:rFonts w:ascii="Times New Roman"/>
                <w:spacing w:val="-1"/>
                <w:sz w:val="18"/>
              </w:rPr>
              <w:t>1,343,037.05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99.51</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1,585,476.32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851,432.70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86.21</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2,435,738.26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1,491,696.35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63.29</w:t>
            </w:r>
          </w:p>
        </w:tc>
      </w:tr>
      <w:tr>
        <w:trPr>
          <w:trHeight w:val="504"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9,500,000.00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44,500,000.00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-78.65</w:t>
            </w:r>
          </w:p>
        </w:tc>
      </w:tr>
    </w:tbl>
    <w:p>
      <w:pPr>
        <w:spacing w:after="0" w:line="240" w:lineRule="auto"/>
        <w:jc w:val="right"/>
        <w:rPr>
          <w:rFonts w:ascii="Times New Roman" w:hAnsi="Times New Roman" w:cs="Times New Roman" w:eastAsia="Times New Roman" w:hint="default"/>
          <w:sz w:val="18"/>
          <w:szCs w:val="18"/>
        </w:rPr>
        <w:sectPr>
          <w:pgSz w:w="11910" w:h="16840"/>
          <w:pgMar w:header="997" w:footer="1252" w:top="1340" w:bottom="1440" w:left="600" w:right="980"/>
        </w:sectPr>
      </w:pPr>
    </w:p>
    <w:p>
      <w:pPr>
        <w:spacing w:line="240" w:lineRule="auto" w:before="2"/>
        <w:rPr>
          <w:rFonts w:ascii="宋体" w:hAnsi="宋体" w:cs="宋体" w:eastAsia="宋体" w:hint="default"/>
          <w:sz w:val="9"/>
          <w:szCs w:val="9"/>
        </w:rPr>
      </w:pPr>
    </w:p>
    <w:tbl>
      <w:tblPr>
        <w:tblW w:w="0" w:type="auto"/>
        <w:jc w:val="left"/>
        <w:tblInd w:w="1139" w:type="dxa"/>
        <w:tblLayout w:type="fixed"/>
        <w:tblCellMar>
          <w:top w:w="0" w:type="dxa"/>
          <w:left w:w="0" w:type="dxa"/>
          <w:bottom w:w="0" w:type="dxa"/>
          <w:right w:w="0" w:type="dxa"/>
        </w:tblCellMar>
        <w:tblLook w:val="01E0"/>
      </w:tblPr>
      <w:tblGrid>
        <w:gridCol w:w="2490"/>
        <w:gridCol w:w="1672"/>
        <w:gridCol w:w="1672"/>
        <w:gridCol w:w="1819"/>
      </w:tblGrid>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46,624,316.22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55,398,610.68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-15.84</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8,554,925.34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14,630,650.60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-41.53</w:t>
            </w:r>
          </w:p>
        </w:tc>
      </w:tr>
      <w:tr>
        <w:trPr>
          <w:trHeight w:val="504"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2,590,616.28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1,937,024.68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33.74</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15,832.33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z w:val="18"/>
              </w:rPr>
              <w:t>70,155.56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-77.43</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1,768,973.00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3,726,588.97</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-52.53</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348,668.15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z w:val="18"/>
              </w:rPr>
              <w:t>100</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56,000,000.00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42,000,000.00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33.33</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345,978,413.01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22,138,240.03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1462.81</w:t>
            </w:r>
          </w:p>
        </w:tc>
      </w:tr>
      <w:tr>
        <w:trPr>
          <w:trHeight w:val="504"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11,929,032.67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8,091,876.19</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47.42</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130,277,176.16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87,224,056.63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49.36</w:t>
            </w:r>
          </w:p>
        </w:tc>
      </w:tr>
      <w:tr>
        <w:trPr>
          <w:trHeight w:val="503"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8,057,758.53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1,624,046.38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396.15</w:t>
            </w:r>
          </w:p>
        </w:tc>
      </w:tr>
    </w:tbl>
    <w:p>
      <w:pPr>
        <w:spacing w:line="240" w:lineRule="auto" w:before="9"/>
        <w:rPr>
          <w:rFonts w:ascii="宋体" w:hAnsi="宋体" w:cs="宋体" w:eastAsia="宋体" w:hint="default"/>
          <w:sz w:val="13"/>
          <w:szCs w:val="13"/>
        </w:rPr>
      </w:pPr>
    </w:p>
    <w:p>
      <w:pPr>
        <w:pStyle w:val="Heading4"/>
        <w:spacing w:line="240" w:lineRule="auto" w:before="31"/>
        <w:ind w:left="594" w:right="0" w:firstLine="0"/>
        <w:jc w:val="left"/>
      </w:pPr>
      <w:r>
        <w:rPr>
          <w:rFonts w:ascii="Times New Roman" w:hAnsi="Times New Roman" w:cs="Times New Roman" w:eastAsia="Times New Roman" w:hint="default"/>
          <w:spacing w:val="15"/>
        </w:rPr>
        <w:t>1.</w:t>
      </w:r>
      <w:r>
        <w:rPr>
          <w:spacing w:val="15"/>
        </w:rPr>
        <w:t>货币资金年末金额比年初金额增长</w:t>
      </w:r>
      <w:r>
        <w:rPr>
          <w:rFonts w:ascii="Times New Roman" w:hAnsi="Times New Roman" w:cs="Times New Roman" w:eastAsia="Times New Roman" w:hint="default"/>
          <w:spacing w:val="15"/>
        </w:rPr>
        <w:t>178.8%</w:t>
      </w:r>
      <w:r>
        <w:rPr>
          <w:spacing w:val="15"/>
        </w:rPr>
        <w:t>，主要系公司首次公开发行股票收到募集资金</w:t>
      </w:r>
    </w:p>
    <w:p>
      <w:pPr>
        <w:pStyle w:val="Heading4"/>
        <w:spacing w:line="240" w:lineRule="auto" w:before="163"/>
        <w:ind w:left="154" w:right="0" w:firstLine="0"/>
        <w:jc w:val="left"/>
      </w:pPr>
      <w:r>
        <w:rPr>
          <w:rFonts w:ascii="Times New Roman" w:hAnsi="Times New Roman" w:cs="Times New Roman" w:eastAsia="Times New Roman" w:hint="default"/>
        </w:rPr>
        <w:t>33,784.02</w:t>
      </w:r>
      <w:r>
        <w:rPr/>
        <w:t>万元所致。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2.</w:t>
      </w:r>
      <w:r>
        <w:rPr/>
        <w:t>应收票据年末金额比年初金额减少</w:t>
      </w:r>
      <w:r>
        <w:rPr>
          <w:rFonts w:ascii="Times New Roman" w:hAnsi="Times New Roman" w:cs="Times New Roman" w:eastAsia="Times New Roman" w:hint="default"/>
        </w:rPr>
        <w:t>53.07%</w:t>
      </w:r>
      <w:r>
        <w:rPr/>
        <w:t>，主要系期末公司本期收到银行承兑汇票减少所致。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3.</w:t>
      </w:r>
      <w:r>
        <w:rPr/>
        <w:t>应收账款年末金额比年初金额增长</w:t>
      </w:r>
      <w:r>
        <w:rPr>
          <w:rFonts w:ascii="Times New Roman" w:hAnsi="Times New Roman" w:cs="Times New Roman" w:eastAsia="Times New Roman" w:hint="default"/>
        </w:rPr>
        <w:t>57.17%</w:t>
      </w:r>
      <w:r>
        <w:rPr/>
        <w:t>，主要系公司信用期增长所致。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4.</w:t>
      </w:r>
      <w:r>
        <w:rPr/>
        <w:t>其他应收款年末金额比年初金额增长</w:t>
      </w:r>
      <w:r>
        <w:rPr>
          <w:rFonts w:ascii="Times New Roman" w:hAnsi="Times New Roman" w:cs="Times New Roman" w:eastAsia="Times New Roman" w:hint="default"/>
        </w:rPr>
        <w:t>44.33%</w:t>
      </w:r>
      <w:r>
        <w:rPr/>
        <w:t>，主要系公司项目保证金增加所致。</w:t>
      </w:r>
    </w:p>
    <w:p>
      <w:pPr>
        <w:spacing w:line="240" w:lineRule="auto" w:before="5"/>
        <w:rPr>
          <w:rFonts w:ascii="宋体" w:hAnsi="宋体" w:cs="宋体" w:eastAsia="宋体" w:hint="default"/>
          <w:sz w:val="24"/>
          <w:szCs w:val="24"/>
        </w:rPr>
      </w:pPr>
    </w:p>
    <w:p>
      <w:pPr>
        <w:pStyle w:val="Heading4"/>
        <w:spacing w:line="369" w:lineRule="auto"/>
        <w:ind w:left="154" w:right="0"/>
        <w:jc w:val="left"/>
      </w:pPr>
      <w:r>
        <w:rPr>
          <w:rFonts w:ascii="Times New Roman" w:hAnsi="Times New Roman" w:cs="Times New Roman" w:eastAsia="Times New Roman" w:hint="default"/>
          <w:w w:val="95"/>
        </w:rPr>
        <w:t>5.</w:t>
      </w:r>
      <w:r>
        <w:rPr>
          <w:w w:val="95"/>
        </w:rPr>
        <w:t>长期股权投资年末金额比年初金额增长</w:t>
      </w:r>
      <w:r>
        <w:rPr>
          <w:rFonts w:ascii="Times New Roman" w:hAnsi="Times New Roman" w:cs="Times New Roman" w:eastAsia="Times New Roman" w:hint="default"/>
          <w:w w:val="95"/>
        </w:rPr>
        <w:t>99.51%</w:t>
      </w:r>
      <w:r>
        <w:rPr>
          <w:w w:val="95"/>
        </w:rPr>
        <w:t>，主要系公司新增对北京旋极泰科新技术有限公</w:t>
      </w:r>
      <w:r>
        <w:rPr>
          <w:spacing w:val="-99"/>
          <w:w w:val="95"/>
        </w:rPr>
        <w:t> </w:t>
      </w:r>
      <w:r>
        <w:rPr>
          <w:spacing w:val="-99"/>
          <w:w w:val="95"/>
        </w:rPr>
      </w:r>
      <w:r>
        <w:rPr/>
        <w:t>司权益法核算长期股权投资增加所致。</w:t>
      </w:r>
    </w:p>
    <w:p>
      <w:pPr>
        <w:spacing w:line="240" w:lineRule="auto" w:before="8"/>
        <w:rPr>
          <w:rFonts w:ascii="宋体" w:hAnsi="宋体" w:cs="宋体" w:eastAsia="宋体" w:hint="default"/>
          <w:sz w:val="16"/>
          <w:szCs w:val="16"/>
        </w:rPr>
      </w:pPr>
    </w:p>
    <w:p>
      <w:pPr>
        <w:pStyle w:val="Heading4"/>
        <w:spacing w:line="240" w:lineRule="auto"/>
        <w:ind w:left="594" w:right="0" w:firstLine="0"/>
        <w:jc w:val="left"/>
      </w:pPr>
      <w:r>
        <w:rPr>
          <w:rFonts w:ascii="Times New Roman" w:hAnsi="Times New Roman" w:cs="Times New Roman" w:eastAsia="Times New Roman" w:hint="default"/>
        </w:rPr>
        <w:t>6.</w:t>
      </w:r>
      <w:r>
        <w:rPr/>
        <w:t>无形资产年末金额比年初金额增长</w:t>
      </w:r>
      <w:r>
        <w:rPr>
          <w:rFonts w:ascii="Times New Roman" w:hAnsi="Times New Roman" w:cs="Times New Roman" w:eastAsia="Times New Roman" w:hint="default"/>
        </w:rPr>
        <w:t>86.21%</w:t>
      </w:r>
      <w:r>
        <w:rPr/>
        <w:t>，主要系公司本年购置管理软件所致。</w:t>
      </w:r>
    </w:p>
    <w:p>
      <w:pPr>
        <w:spacing w:line="240" w:lineRule="auto" w:before="5"/>
        <w:rPr>
          <w:rFonts w:ascii="宋体" w:hAnsi="宋体" w:cs="宋体" w:eastAsia="宋体" w:hint="default"/>
          <w:sz w:val="24"/>
          <w:szCs w:val="24"/>
        </w:rPr>
      </w:pPr>
    </w:p>
    <w:p>
      <w:pPr>
        <w:pStyle w:val="Heading4"/>
        <w:spacing w:line="369" w:lineRule="auto"/>
        <w:ind w:left="154" w:right="0"/>
        <w:jc w:val="left"/>
      </w:pPr>
      <w:r>
        <w:rPr>
          <w:rFonts w:ascii="Times New Roman" w:hAnsi="Times New Roman" w:cs="Times New Roman" w:eastAsia="Times New Roman" w:hint="default"/>
          <w:w w:val="95"/>
        </w:rPr>
        <w:t>7.</w:t>
      </w:r>
      <w:r>
        <w:rPr>
          <w:w w:val="95"/>
        </w:rPr>
        <w:t>递延所得税资产年末金额比年初金额增长</w:t>
      </w:r>
      <w:r>
        <w:rPr>
          <w:rFonts w:ascii="Times New Roman" w:hAnsi="Times New Roman" w:cs="Times New Roman" w:eastAsia="Times New Roman" w:hint="default"/>
          <w:w w:val="95"/>
        </w:rPr>
        <w:t>63.29%</w:t>
      </w:r>
      <w:r>
        <w:rPr>
          <w:w w:val="95"/>
        </w:rPr>
        <w:t>，主要系合并报表时确认未实现内部交易损益</w:t>
      </w:r>
      <w:r>
        <w:rPr>
          <w:spacing w:val="-99"/>
          <w:w w:val="95"/>
        </w:rPr>
        <w:t> </w:t>
      </w:r>
      <w:r>
        <w:rPr>
          <w:spacing w:val="-99"/>
          <w:w w:val="95"/>
        </w:rPr>
      </w:r>
      <w:r>
        <w:rPr/>
        <w:t>以及公司计提坏账准备增加所致。</w:t>
      </w:r>
    </w:p>
    <w:p>
      <w:pPr>
        <w:spacing w:line="240" w:lineRule="auto" w:before="8"/>
        <w:rPr>
          <w:rFonts w:ascii="宋体" w:hAnsi="宋体" w:cs="宋体" w:eastAsia="宋体" w:hint="default"/>
          <w:sz w:val="16"/>
          <w:szCs w:val="16"/>
        </w:rPr>
      </w:pPr>
    </w:p>
    <w:p>
      <w:pPr>
        <w:pStyle w:val="Heading4"/>
        <w:spacing w:line="240" w:lineRule="auto"/>
        <w:ind w:left="594" w:right="0" w:firstLine="0"/>
        <w:jc w:val="left"/>
      </w:pPr>
      <w:r>
        <w:rPr>
          <w:rFonts w:ascii="Times New Roman" w:hAnsi="Times New Roman" w:cs="Times New Roman" w:eastAsia="Times New Roman" w:hint="default"/>
        </w:rPr>
        <w:t>8.</w:t>
      </w:r>
      <w:r>
        <w:rPr/>
        <w:t>短期借款年末金额比年初金额减少</w:t>
      </w:r>
      <w:r>
        <w:rPr>
          <w:rFonts w:ascii="Times New Roman" w:hAnsi="Times New Roman" w:cs="Times New Roman" w:eastAsia="Times New Roman" w:hint="default"/>
        </w:rPr>
        <w:t>78.65%</w:t>
      </w:r>
      <w:r>
        <w:rPr/>
        <w:t>，主要系公司募集资金到账归还到期贷款所致。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9.</w:t>
      </w:r>
      <w:r>
        <w:rPr/>
        <w:t>应付账款年末金额比年初金额减少</w:t>
      </w:r>
      <w:r>
        <w:rPr>
          <w:rFonts w:ascii="Times New Roman" w:hAnsi="Times New Roman" w:cs="Times New Roman" w:eastAsia="Times New Roman" w:hint="default"/>
        </w:rPr>
        <w:t>8,774,294.46</w:t>
      </w:r>
      <w:r>
        <w:rPr/>
        <w:t>元，主要系公司信息安全产品订单减少所致。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10.</w:t>
      </w:r>
      <w:r>
        <w:rPr/>
        <w:t>预收账款年末金额比年初金额减少</w:t>
      </w:r>
      <w:r>
        <w:rPr>
          <w:rFonts w:ascii="Times New Roman" w:hAnsi="Times New Roman" w:cs="Times New Roman" w:eastAsia="Times New Roman" w:hint="default"/>
        </w:rPr>
        <w:t>41.53%</w:t>
      </w:r>
      <w:r>
        <w:rPr/>
        <w:t>，本年度预收款项减少所致。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spacing w:val="2"/>
        </w:rPr>
        <w:t>11.</w:t>
      </w:r>
      <w:r>
        <w:rPr>
          <w:spacing w:val="2"/>
        </w:rPr>
        <w:t>应付职工薪酬年末金额比年初金额增加</w:t>
      </w:r>
      <w:r>
        <w:rPr>
          <w:rFonts w:ascii="Times New Roman" w:hAnsi="Times New Roman" w:cs="Times New Roman" w:eastAsia="Times New Roman" w:hint="default"/>
          <w:spacing w:val="2"/>
        </w:rPr>
        <w:t>33.74%</w:t>
      </w:r>
      <w:r>
        <w:rPr>
          <w:spacing w:val="2"/>
        </w:rPr>
        <w:t>，主要系公司年末未支付的工会经费、职工教</w:t>
      </w:r>
    </w:p>
    <w:p>
      <w:pPr>
        <w:spacing w:after="0" w:line="240" w:lineRule="auto"/>
        <w:jc w:val="left"/>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240" w:lineRule="auto" w:before="31"/>
        <w:ind w:left="154" w:right="0" w:firstLine="0"/>
        <w:jc w:val="left"/>
      </w:pPr>
      <w:r>
        <w:rPr/>
        <w:t>育经费增加以及合并范围内公司增加所致。</w:t>
      </w:r>
    </w:p>
    <w:p>
      <w:pPr>
        <w:spacing w:line="240" w:lineRule="auto" w:before="9"/>
        <w:rPr>
          <w:rFonts w:ascii="宋体" w:hAnsi="宋体" w:cs="宋体" w:eastAsia="宋体" w:hint="default"/>
          <w:sz w:val="25"/>
          <w:szCs w:val="25"/>
        </w:rPr>
      </w:pPr>
    </w:p>
    <w:p>
      <w:pPr>
        <w:pStyle w:val="Heading4"/>
        <w:spacing w:line="240" w:lineRule="auto"/>
        <w:ind w:left="594" w:right="0" w:firstLine="0"/>
        <w:jc w:val="left"/>
      </w:pPr>
      <w:r>
        <w:rPr>
          <w:rFonts w:ascii="Times New Roman" w:hAnsi="Times New Roman" w:cs="Times New Roman" w:eastAsia="Times New Roman" w:hint="default"/>
        </w:rPr>
        <w:t>12.</w:t>
      </w:r>
      <w:r>
        <w:rPr/>
        <w:t>应付利息年末金额比年初金额减少</w:t>
      </w:r>
      <w:r>
        <w:rPr>
          <w:rFonts w:ascii="Times New Roman" w:hAnsi="Times New Roman" w:cs="Times New Roman" w:eastAsia="Times New Roman" w:hint="default"/>
        </w:rPr>
        <w:t>77.43%</w:t>
      </w:r>
      <w:r>
        <w:rPr/>
        <w:t>，主要系年末公司借款减少所致。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13.</w:t>
      </w:r>
      <w:r>
        <w:rPr/>
        <w:t>其他应付款年末金额比年初金额减少</w:t>
      </w:r>
      <w:r>
        <w:rPr>
          <w:rFonts w:ascii="Times New Roman" w:hAnsi="Times New Roman" w:cs="Times New Roman" w:eastAsia="Times New Roman" w:hint="default"/>
        </w:rPr>
        <w:t>52.53%</w:t>
      </w:r>
      <w:r>
        <w:rPr/>
        <w:t>，主要系公司支付关联方款项所致。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14.</w:t>
      </w:r>
      <w:r>
        <w:rPr/>
        <w:t>商誉年末金额，为非同一控制下企业合并北京麦禾信通科技有限公司形成。</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15.</w:t>
      </w:r>
      <w:r>
        <w:rPr/>
        <w:t>股本年末金额年末金额比上年增长</w:t>
      </w:r>
      <w:r>
        <w:rPr>
          <w:rFonts w:ascii="Times New Roman" w:hAnsi="Times New Roman" w:cs="Times New Roman" w:eastAsia="Times New Roman" w:hint="default"/>
        </w:rPr>
        <w:t>33.33%</w:t>
      </w:r>
      <w:r>
        <w:rPr/>
        <w:t>，为公司首次公开发行股票</w:t>
      </w:r>
      <w:r>
        <w:rPr>
          <w:rFonts w:ascii="Times New Roman" w:hAnsi="Times New Roman" w:cs="Times New Roman" w:eastAsia="Times New Roman" w:hint="default"/>
        </w:rPr>
        <w:t>1400</w:t>
      </w:r>
      <w:r>
        <w:rPr/>
        <w:t>万股所致。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16.</w:t>
      </w:r>
      <w:r>
        <w:rPr/>
        <w:t>资本公积比上年增长</w:t>
      </w:r>
      <w:r>
        <w:rPr>
          <w:rFonts w:ascii="Times New Roman" w:hAnsi="Times New Roman" w:cs="Times New Roman" w:eastAsia="Times New Roman" w:hint="default"/>
        </w:rPr>
        <w:t>1,462.81%</w:t>
      </w:r>
      <w:r>
        <w:rPr/>
        <w:t>，主要系本期公开发行股票并形成资本溢价所致。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17.</w:t>
      </w:r>
      <w:r>
        <w:rPr/>
        <w:t>盈余公积比上年增长</w:t>
      </w:r>
      <w:r>
        <w:rPr>
          <w:rFonts w:ascii="Times New Roman" w:hAnsi="Times New Roman" w:cs="Times New Roman" w:eastAsia="Times New Roman" w:hint="default"/>
        </w:rPr>
        <w:t>47.42%</w:t>
      </w:r>
      <w:r>
        <w:rPr/>
        <w:t>，为计提法定盈余公积所致。</w:t>
      </w:r>
    </w:p>
    <w:p>
      <w:pPr>
        <w:spacing w:line="240" w:lineRule="auto" w:before="5"/>
        <w:rPr>
          <w:rFonts w:ascii="宋体" w:hAnsi="宋体" w:cs="宋体" w:eastAsia="宋体" w:hint="default"/>
          <w:sz w:val="24"/>
          <w:szCs w:val="24"/>
        </w:rPr>
      </w:pPr>
    </w:p>
    <w:p>
      <w:pPr>
        <w:pStyle w:val="Heading4"/>
        <w:spacing w:line="240" w:lineRule="auto"/>
        <w:ind w:left="594" w:right="0" w:firstLine="0"/>
        <w:jc w:val="left"/>
      </w:pPr>
      <w:r>
        <w:rPr>
          <w:rFonts w:ascii="Times New Roman" w:hAnsi="Times New Roman" w:cs="Times New Roman" w:eastAsia="Times New Roman" w:hint="default"/>
        </w:rPr>
        <w:t>18.</w:t>
      </w:r>
      <w:r>
        <w:rPr/>
        <w:t>未分配利润比上年增长</w:t>
      </w:r>
      <w:r>
        <w:rPr>
          <w:rFonts w:ascii="Times New Roman" w:hAnsi="Times New Roman" w:cs="Times New Roman" w:eastAsia="Times New Roman" w:hint="default"/>
        </w:rPr>
        <w:t>49.36%</w:t>
      </w:r>
      <w:r>
        <w:rPr/>
        <w:t>，为本期公司净利润留存。</w:t>
      </w:r>
    </w:p>
    <w:p>
      <w:pPr>
        <w:spacing w:line="240" w:lineRule="auto" w:before="5"/>
        <w:rPr>
          <w:rFonts w:ascii="宋体" w:hAnsi="宋体" w:cs="宋体" w:eastAsia="宋体" w:hint="default"/>
          <w:sz w:val="24"/>
          <w:szCs w:val="24"/>
        </w:rPr>
      </w:pPr>
    </w:p>
    <w:p>
      <w:pPr>
        <w:pStyle w:val="Heading4"/>
        <w:spacing w:line="491" w:lineRule="auto"/>
        <w:ind w:left="594" w:right="3097" w:firstLine="0"/>
        <w:jc w:val="left"/>
      </w:pPr>
      <w:r>
        <w:rPr>
          <w:rFonts w:ascii="Times New Roman" w:hAnsi="Times New Roman" w:cs="Times New Roman" w:eastAsia="Times New Roman" w:hint="default"/>
        </w:rPr>
        <w:t>19.</w:t>
      </w:r>
      <w:r>
        <w:rPr/>
        <w:t>少数股东权益比上年增长</w:t>
      </w:r>
      <w:r>
        <w:rPr>
          <w:rFonts w:ascii="Times New Roman" w:hAnsi="Times New Roman" w:cs="Times New Roman" w:eastAsia="Times New Roman" w:hint="default"/>
        </w:rPr>
        <w:t>31.03%</w:t>
      </w:r>
      <w:r>
        <w:rPr/>
        <w:t>，主要系公司合并范围变化。</w:t>
      </w:r>
      <w:r>
        <w:rPr>
          <w:w w:val="99"/>
        </w:rPr>
        <w:t> </w:t>
      </w:r>
      <w:r>
        <w:rPr/>
        <w:t>本年度合并利润表较上年度变动幅度较大的项目列示如下：</w:t>
      </w:r>
    </w:p>
    <w:p>
      <w:pPr>
        <w:spacing w:line="240" w:lineRule="auto" w:before="11"/>
        <w:rPr>
          <w:rFonts w:ascii="宋体" w:hAnsi="宋体" w:cs="宋体" w:eastAsia="宋体" w:hint="default"/>
          <w:sz w:val="3"/>
          <w:szCs w:val="3"/>
        </w:rPr>
      </w:pPr>
    </w:p>
    <w:tbl>
      <w:tblPr>
        <w:tblW w:w="0" w:type="auto"/>
        <w:jc w:val="left"/>
        <w:tblInd w:w="1278" w:type="dxa"/>
        <w:tblLayout w:type="fixed"/>
        <w:tblCellMar>
          <w:top w:w="0" w:type="dxa"/>
          <w:left w:w="0" w:type="dxa"/>
          <w:bottom w:w="0" w:type="dxa"/>
          <w:right w:w="0" w:type="dxa"/>
        </w:tblCellMar>
        <w:tblLook w:val="01E0"/>
      </w:tblPr>
      <w:tblGrid>
        <w:gridCol w:w="2377"/>
        <w:gridCol w:w="1544"/>
        <w:gridCol w:w="1548"/>
        <w:gridCol w:w="1906"/>
      </w:tblGrid>
      <w:tr>
        <w:trPr>
          <w:trHeight w:val="502" w:hRule="exact"/>
        </w:trPr>
        <w:tc>
          <w:tcPr>
            <w:tcW w:w="2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40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40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9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9"/>
              <w:ind w:left="313"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281,796,893.72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298,665,994.74</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-5.65</w:t>
            </w:r>
          </w:p>
        </w:tc>
      </w:tr>
      <w:tr>
        <w:trPr>
          <w:trHeight w:val="504"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173,708,253.42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201,900,433.34</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-13.96</w:t>
            </w:r>
          </w:p>
        </w:tc>
      </w:tr>
      <w:tr>
        <w:trPr>
          <w:trHeight w:val="50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27,015,174.26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21,890,102.23</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z w:val="18"/>
              </w:rPr>
              <w:t>23.41</w:t>
            </w:r>
          </w:p>
        </w:tc>
      </w:tr>
      <w:tr>
        <w:trPr>
          <w:trHeight w:val="50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27,258,765.32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19,470,591.87</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40.00</w:t>
            </w:r>
          </w:p>
        </w:tc>
      </w:tr>
      <w:tr>
        <w:trPr>
          <w:trHeight w:val="50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-4,843,450.89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1,202,632.83</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-502.74</w:t>
            </w:r>
          </w:p>
        </w:tc>
      </w:tr>
      <w:tr>
        <w:trPr>
          <w:trHeight w:val="503"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3,569,374.57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2,712,453.91</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31.59</w:t>
            </w:r>
          </w:p>
        </w:tc>
      </w:tr>
      <w:tr>
        <w:trPr>
          <w:trHeight w:val="504"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5,908,841.90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1,796,841.37</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228.85</w:t>
            </w:r>
          </w:p>
        </w:tc>
      </w:tr>
    </w:tbl>
    <w:p>
      <w:pPr>
        <w:spacing w:line="240" w:lineRule="auto" w:before="9"/>
        <w:rPr>
          <w:rFonts w:ascii="宋体" w:hAnsi="宋体" w:cs="宋体" w:eastAsia="宋体" w:hint="default"/>
          <w:sz w:val="13"/>
          <w:szCs w:val="13"/>
        </w:rPr>
      </w:pPr>
    </w:p>
    <w:p>
      <w:pPr>
        <w:pStyle w:val="Heading4"/>
        <w:spacing w:line="369" w:lineRule="auto" w:before="31"/>
        <w:ind w:right="149"/>
        <w:jc w:val="both"/>
      </w:pPr>
      <w:r>
        <w:rPr>
          <w:rFonts w:ascii="Times New Roman" w:hAnsi="Times New Roman" w:cs="Times New Roman" w:eastAsia="Times New Roman" w:hint="default"/>
        </w:rPr>
        <w:t>1.</w:t>
      </w:r>
      <w:r>
        <w:rPr/>
        <w:t>营业收入本年金额比上年金额减少</w:t>
      </w:r>
      <w:r>
        <w:rPr>
          <w:rFonts w:ascii="Times New Roman" w:hAnsi="Times New Roman" w:cs="Times New Roman" w:eastAsia="Times New Roman" w:hint="default"/>
        </w:rPr>
        <w:t>5.65%</w:t>
      </w:r>
      <w:r>
        <w:rPr/>
        <w:t>，主要系公司嵌入式信息安全产品中</w:t>
      </w:r>
      <w:r>
        <w:rPr>
          <w:rFonts w:ascii="Times New Roman" w:hAnsi="Times New Roman" w:cs="Times New Roman" w:eastAsia="Times New Roman" w:hint="default"/>
        </w:rPr>
        <w:t>USBKEY</w:t>
      </w:r>
      <w:r>
        <w:rPr/>
        <w:t>产品处</w:t>
      </w:r>
      <w:r>
        <w:rPr>
          <w:w w:val="99"/>
        </w:rPr>
        <w:t> </w:t>
      </w:r>
      <w:r>
        <w:rPr>
          <w:spacing w:val="-1"/>
        </w:rPr>
        <w:t>于更新换代期，一代</w:t>
      </w:r>
      <w:r>
        <w:rPr>
          <w:rFonts w:ascii="Times New Roman" w:hAnsi="Times New Roman" w:cs="Times New Roman" w:eastAsia="Times New Roman" w:hint="default"/>
          <w:spacing w:val="-1"/>
        </w:rPr>
        <w:t>USBKEY</w:t>
      </w:r>
      <w:r>
        <w:rPr>
          <w:spacing w:val="-1"/>
        </w:rPr>
        <w:t>产品需求大幅降低，公司参与的其他</w:t>
      </w:r>
      <w:r>
        <w:rPr>
          <w:rFonts w:ascii="Times New Roman" w:hAnsi="Times New Roman" w:cs="Times New Roman" w:eastAsia="Times New Roman" w:hint="default"/>
          <w:spacing w:val="-1"/>
        </w:rPr>
        <w:t>USBKEY</w:t>
      </w:r>
      <w:r>
        <w:rPr>
          <w:spacing w:val="-1"/>
        </w:rPr>
        <w:t>产品的招标尚未完成，未</w:t>
      </w:r>
      <w:r>
        <w:rPr>
          <w:w w:val="99"/>
        </w:rPr>
        <w:t> </w:t>
      </w:r>
      <w:r>
        <w:rPr/>
        <w:t>成规模销售所致。</w:t>
      </w:r>
    </w:p>
    <w:p>
      <w:pPr>
        <w:spacing w:line="240" w:lineRule="auto" w:before="8"/>
        <w:rPr>
          <w:rFonts w:ascii="宋体" w:hAnsi="宋体" w:cs="宋体" w:eastAsia="宋体" w:hint="default"/>
          <w:sz w:val="16"/>
          <w:szCs w:val="16"/>
        </w:rPr>
      </w:pPr>
    </w:p>
    <w:p>
      <w:pPr>
        <w:pStyle w:val="Heading4"/>
        <w:spacing w:line="369" w:lineRule="auto"/>
        <w:ind w:left="154" w:right="149"/>
        <w:jc w:val="both"/>
      </w:pPr>
      <w:r>
        <w:rPr>
          <w:rFonts w:ascii="Times New Roman" w:hAnsi="Times New Roman" w:cs="Times New Roman" w:eastAsia="Times New Roman" w:hint="default"/>
          <w:w w:val="95"/>
        </w:rPr>
        <w:t>2.</w:t>
      </w:r>
      <w:r>
        <w:rPr>
          <w:w w:val="95"/>
        </w:rPr>
        <w:t>主营成本本年金额比上年金额减少</w:t>
      </w:r>
      <w:r>
        <w:rPr>
          <w:rFonts w:ascii="Times New Roman" w:hAnsi="Times New Roman" w:cs="Times New Roman" w:eastAsia="Times New Roman" w:hint="default"/>
          <w:w w:val="95"/>
        </w:rPr>
        <w:t>13.96%</w:t>
      </w:r>
      <w:r>
        <w:rPr>
          <w:w w:val="95"/>
        </w:rPr>
        <w:t>，主要系</w:t>
      </w:r>
      <w:r>
        <w:rPr>
          <w:rFonts w:ascii="Times New Roman" w:hAnsi="Times New Roman" w:cs="Times New Roman" w:eastAsia="Times New Roman" w:hint="default"/>
          <w:w w:val="95"/>
        </w:rPr>
        <w:t>USBKEY</w:t>
      </w:r>
      <w:r>
        <w:rPr>
          <w:w w:val="95"/>
        </w:rPr>
        <w:t>产品收入下降，毛利较高的嵌入式</w:t>
      </w:r>
      <w:r>
        <w:rPr>
          <w:spacing w:val="-102"/>
          <w:w w:val="95"/>
        </w:rPr>
        <w:t> </w:t>
      </w:r>
      <w:r>
        <w:rPr>
          <w:spacing w:val="-102"/>
          <w:w w:val="95"/>
        </w:rPr>
      </w:r>
      <w:r>
        <w:rPr/>
        <w:t>系统测试产品及服务收入上升所致。</w:t>
      </w:r>
    </w:p>
    <w:p>
      <w:pPr>
        <w:spacing w:line="240" w:lineRule="auto" w:before="8"/>
        <w:rPr>
          <w:rFonts w:ascii="宋体" w:hAnsi="宋体" w:cs="宋体" w:eastAsia="宋体" w:hint="default"/>
          <w:sz w:val="16"/>
          <w:szCs w:val="16"/>
        </w:rPr>
      </w:pPr>
    </w:p>
    <w:p>
      <w:pPr>
        <w:pStyle w:val="Heading4"/>
        <w:spacing w:line="240" w:lineRule="auto"/>
        <w:ind w:left="594" w:right="0" w:firstLine="0"/>
        <w:jc w:val="left"/>
      </w:pPr>
      <w:r>
        <w:rPr>
          <w:rFonts w:ascii="Times New Roman" w:hAnsi="Times New Roman" w:cs="Times New Roman" w:eastAsia="Times New Roman" w:hint="default"/>
        </w:rPr>
        <w:t>3.</w:t>
      </w:r>
      <w:r>
        <w:rPr/>
        <w:t>销售费用本年金额比上年金额增加</w:t>
      </w:r>
      <w:r>
        <w:rPr>
          <w:rFonts w:ascii="Times New Roman" w:hAnsi="Times New Roman" w:cs="Times New Roman" w:eastAsia="Times New Roman" w:hint="default"/>
        </w:rPr>
        <w:t>23.41%</w:t>
      </w:r>
      <w:r>
        <w:rPr/>
        <w:t>，主要系公司合并范围内子公司增加、销售员工人数</w:t>
      </w:r>
    </w:p>
    <w:p>
      <w:pPr>
        <w:spacing w:after="0" w:line="240" w:lineRule="auto"/>
        <w:jc w:val="left"/>
        <w:sectPr>
          <w:pgSz w:w="11910" w:h="16840"/>
          <w:pgMar w:header="997" w:footer="1252" w:top="1340" w:bottom="1440" w:left="980" w:right="980"/>
        </w:sectPr>
      </w:pPr>
    </w:p>
    <w:p>
      <w:pPr>
        <w:spacing w:line="240" w:lineRule="auto" w:before="12"/>
        <w:rPr>
          <w:rFonts w:ascii="宋体" w:hAnsi="宋体" w:cs="宋体" w:eastAsia="宋体" w:hint="default"/>
          <w:sz w:val="10"/>
          <w:szCs w:val="10"/>
        </w:rPr>
      </w:pPr>
    </w:p>
    <w:p>
      <w:pPr>
        <w:pStyle w:val="Heading4"/>
        <w:spacing w:line="240" w:lineRule="auto" w:before="31"/>
        <w:ind w:left="154" w:right="101" w:firstLine="0"/>
        <w:jc w:val="left"/>
      </w:pPr>
      <w:r>
        <w:rPr/>
        <w:t>增加所致。</w:t>
      </w:r>
    </w:p>
    <w:p>
      <w:pPr>
        <w:spacing w:line="240" w:lineRule="auto" w:before="9"/>
        <w:rPr>
          <w:rFonts w:ascii="宋体" w:hAnsi="宋体" w:cs="宋体" w:eastAsia="宋体" w:hint="default"/>
          <w:sz w:val="25"/>
          <w:szCs w:val="25"/>
        </w:rPr>
      </w:pPr>
    </w:p>
    <w:p>
      <w:pPr>
        <w:pStyle w:val="Heading4"/>
        <w:spacing w:line="369" w:lineRule="auto"/>
        <w:ind w:right="101"/>
        <w:jc w:val="left"/>
      </w:pPr>
      <w:r>
        <w:rPr>
          <w:rFonts w:ascii="Times New Roman" w:hAnsi="Times New Roman" w:cs="Times New Roman" w:eastAsia="Times New Roman" w:hint="default"/>
          <w:w w:val="95"/>
        </w:rPr>
        <w:t>4.</w:t>
      </w:r>
      <w:r>
        <w:rPr>
          <w:w w:val="95"/>
        </w:rPr>
        <w:t>管理费用本年金额比上年金额增加</w:t>
      </w:r>
      <w:r>
        <w:rPr>
          <w:rFonts w:ascii="Times New Roman" w:hAnsi="Times New Roman" w:cs="Times New Roman" w:eastAsia="Times New Roman" w:hint="default"/>
          <w:w w:val="95"/>
        </w:rPr>
        <w:t>40.00%</w:t>
      </w:r>
      <w:r>
        <w:rPr>
          <w:w w:val="95"/>
        </w:rPr>
        <w:t>，主要系公司合并范围内子公司增加、研发和管理员</w:t>
      </w:r>
      <w:r>
        <w:rPr>
          <w:spacing w:val="-100"/>
          <w:w w:val="95"/>
        </w:rPr>
        <w:t> </w:t>
      </w:r>
      <w:r>
        <w:rPr>
          <w:spacing w:val="-100"/>
          <w:w w:val="95"/>
        </w:rPr>
      </w:r>
      <w:r>
        <w:rPr/>
        <w:t>工人数增加和报告期内公司上市费用增加所致。</w:t>
      </w:r>
    </w:p>
    <w:p>
      <w:pPr>
        <w:spacing w:line="240" w:lineRule="auto" w:before="8"/>
        <w:rPr>
          <w:rFonts w:ascii="宋体" w:hAnsi="宋体" w:cs="宋体" w:eastAsia="宋体" w:hint="default"/>
          <w:sz w:val="16"/>
          <w:szCs w:val="16"/>
        </w:rPr>
      </w:pPr>
    </w:p>
    <w:p>
      <w:pPr>
        <w:pStyle w:val="Heading4"/>
        <w:spacing w:line="369" w:lineRule="auto"/>
        <w:ind w:right="101"/>
        <w:jc w:val="left"/>
      </w:pPr>
      <w:r>
        <w:rPr>
          <w:rFonts w:ascii="Times New Roman" w:hAnsi="Times New Roman" w:cs="Times New Roman" w:eastAsia="Times New Roman" w:hint="default"/>
          <w:w w:val="95"/>
        </w:rPr>
        <w:t>5.</w:t>
      </w:r>
      <w:r>
        <w:rPr>
          <w:w w:val="95"/>
        </w:rPr>
        <w:t>财务费用本年金额比上年金额减少</w:t>
      </w:r>
      <w:r>
        <w:rPr>
          <w:rFonts w:ascii="Times New Roman" w:hAnsi="Times New Roman" w:cs="Times New Roman" w:eastAsia="Times New Roman" w:hint="default"/>
          <w:w w:val="95"/>
        </w:rPr>
        <w:t>502.74%</w:t>
      </w:r>
      <w:r>
        <w:rPr>
          <w:w w:val="95"/>
        </w:rPr>
        <w:t>，主要系公司本年度募集资金到账，银行存款增加、</w:t>
      </w:r>
      <w:r>
        <w:rPr>
          <w:spacing w:val="-93"/>
          <w:w w:val="95"/>
        </w:rPr>
        <w:t> </w:t>
      </w:r>
      <w:r>
        <w:rPr>
          <w:spacing w:val="-93"/>
          <w:w w:val="95"/>
        </w:rPr>
      </w:r>
      <w:r>
        <w:rPr/>
        <w:t>银行贷款减少所致。</w:t>
      </w:r>
    </w:p>
    <w:p>
      <w:pPr>
        <w:spacing w:line="240" w:lineRule="auto" w:before="8"/>
        <w:rPr>
          <w:rFonts w:ascii="宋体" w:hAnsi="宋体" w:cs="宋体" w:eastAsia="宋体" w:hint="default"/>
          <w:sz w:val="16"/>
          <w:szCs w:val="16"/>
        </w:rPr>
      </w:pPr>
    </w:p>
    <w:p>
      <w:pPr>
        <w:pStyle w:val="Heading4"/>
        <w:spacing w:line="369" w:lineRule="auto"/>
        <w:ind w:right="101"/>
        <w:jc w:val="left"/>
      </w:pPr>
      <w:r>
        <w:rPr>
          <w:rFonts w:ascii="Times New Roman" w:hAnsi="Times New Roman" w:cs="Times New Roman" w:eastAsia="Times New Roman" w:hint="default"/>
          <w:w w:val="95"/>
        </w:rPr>
        <w:t>6.</w:t>
      </w:r>
      <w:r>
        <w:rPr>
          <w:w w:val="95"/>
        </w:rPr>
        <w:t>资产减值损失本年金额比上年金额增加</w:t>
      </w:r>
      <w:r>
        <w:rPr>
          <w:rFonts w:ascii="Times New Roman" w:hAnsi="Times New Roman" w:cs="Times New Roman" w:eastAsia="Times New Roman" w:hint="default"/>
          <w:w w:val="95"/>
        </w:rPr>
        <w:t>31.59%</w:t>
      </w:r>
      <w:r>
        <w:rPr>
          <w:w w:val="95"/>
        </w:rPr>
        <w:t>，主要系报告期内应收账款增加，相应计提的坏</w:t>
      </w:r>
      <w:r>
        <w:rPr>
          <w:spacing w:val="-99"/>
          <w:w w:val="95"/>
        </w:rPr>
        <w:t> </w:t>
      </w:r>
      <w:r>
        <w:rPr>
          <w:spacing w:val="-99"/>
          <w:w w:val="95"/>
        </w:rPr>
      </w:r>
      <w:r>
        <w:rPr/>
        <w:t>账准备增加所致。</w:t>
      </w:r>
    </w:p>
    <w:p>
      <w:pPr>
        <w:spacing w:line="240" w:lineRule="auto" w:before="8"/>
        <w:rPr>
          <w:rFonts w:ascii="宋体" w:hAnsi="宋体" w:cs="宋体" w:eastAsia="宋体" w:hint="default"/>
          <w:sz w:val="16"/>
          <w:szCs w:val="16"/>
        </w:rPr>
      </w:pPr>
    </w:p>
    <w:p>
      <w:pPr>
        <w:pStyle w:val="Heading4"/>
        <w:spacing w:line="369" w:lineRule="auto"/>
        <w:ind w:left="154" w:right="205"/>
        <w:jc w:val="left"/>
      </w:pPr>
      <w:r>
        <w:rPr>
          <w:rFonts w:ascii="Times New Roman" w:hAnsi="Times New Roman" w:cs="Times New Roman" w:eastAsia="Times New Roman" w:hint="default"/>
          <w:spacing w:val="2"/>
        </w:rPr>
        <w:t>7.</w:t>
      </w:r>
      <w:r>
        <w:rPr>
          <w:spacing w:val="2"/>
        </w:rPr>
        <w:t>营业外收入本年金额比上年金额增加</w:t>
      </w:r>
      <w:r>
        <w:rPr>
          <w:rFonts w:ascii="Times New Roman" w:hAnsi="Times New Roman" w:cs="Times New Roman" w:eastAsia="Times New Roman" w:hint="default"/>
          <w:spacing w:val="2"/>
        </w:rPr>
        <w:t>228.85%</w:t>
      </w:r>
      <w:r>
        <w:rPr>
          <w:spacing w:val="2"/>
        </w:rPr>
        <w:t>，主要系报告期内收到增值税返还、政府工业保</w:t>
      </w:r>
      <w:r>
        <w:rPr>
          <w:spacing w:val="3"/>
          <w:w w:val="99"/>
        </w:rPr>
        <w:t> </w:t>
      </w:r>
      <w:r>
        <w:rPr/>
        <w:t>增长补助及保增长流贷贴息等政府补助增加所致。</w:t>
      </w:r>
    </w:p>
    <w:p>
      <w:pPr>
        <w:spacing w:after="0" w:line="369" w:lineRule="auto"/>
        <w:jc w:val="left"/>
        <w:sectPr>
          <w:pgSz w:w="11910" w:h="16840"/>
          <w:pgMar w:header="997" w:footer="1252" w:top="1340" w:bottom="1440" w:left="980" w:right="920"/>
        </w:sectPr>
      </w:pPr>
    </w:p>
    <w:p>
      <w:pPr>
        <w:spacing w:line="240" w:lineRule="auto" w:before="1"/>
        <w:rPr>
          <w:rFonts w:ascii="宋体" w:hAnsi="宋体" w:cs="宋体" w:eastAsia="宋体" w:hint="default"/>
          <w:sz w:val="13"/>
          <w:szCs w:val="13"/>
        </w:rPr>
      </w:pPr>
    </w:p>
    <w:p>
      <w:pPr>
        <w:pStyle w:val="Heading1"/>
        <w:spacing w:line="240" w:lineRule="auto"/>
        <w:ind w:left="3773" w:right="0"/>
        <w:jc w:val="left"/>
      </w:pPr>
      <w:bookmarkStart w:name="_TOC_250000" w:id="9"/>
      <w:r>
        <w:rPr/>
        <w:t>第十节</w:t>
      </w:r>
      <w:r>
        <w:rPr>
          <w:spacing w:val="-5"/>
        </w:rPr>
        <w:t> </w:t>
      </w:r>
      <w:bookmarkEnd w:id="9"/>
      <w:r>
        <w:rPr/>
        <w:t>备查文件目录</w:t>
      </w:r>
    </w:p>
    <w:p>
      <w:pPr>
        <w:spacing w:line="240" w:lineRule="auto" w:before="6"/>
        <w:rPr>
          <w:rFonts w:ascii="黑体" w:hAnsi="黑体" w:cs="黑体" w:eastAsia="黑体" w:hint="default"/>
          <w:sz w:val="28"/>
          <w:szCs w:val="28"/>
        </w:rPr>
      </w:pPr>
    </w:p>
    <w:p>
      <w:pPr>
        <w:pStyle w:val="BodyText"/>
        <w:spacing w:line="240" w:lineRule="auto"/>
        <w:ind w:right="0"/>
        <w:jc w:val="left"/>
      </w:pPr>
      <w:r>
        <w:rPr>
          <w:rFonts w:ascii="Times New Roman" w:hAnsi="Times New Roman" w:cs="Times New Roman" w:eastAsia="Times New Roman" w:hint="default"/>
        </w:rPr>
        <w:t>1</w:t>
      </w:r>
      <w:r>
        <w:rPr/>
        <w:t>、载有公司法定代表人签名的</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年年度报告文本；</w:t>
      </w:r>
    </w:p>
    <w:p>
      <w:pPr>
        <w:spacing w:line="240" w:lineRule="auto" w:before="6"/>
        <w:rPr>
          <w:rFonts w:ascii="宋体" w:hAnsi="宋体" w:cs="宋体" w:eastAsia="宋体" w:hint="default"/>
          <w:sz w:val="25"/>
          <w:szCs w:val="25"/>
        </w:rPr>
      </w:pPr>
    </w:p>
    <w:p>
      <w:pPr>
        <w:pStyle w:val="BodyText"/>
        <w:spacing w:line="386" w:lineRule="auto"/>
        <w:ind w:left="153" w:right="0" w:firstLine="420"/>
        <w:jc w:val="left"/>
      </w:pPr>
      <w:r>
        <w:rPr>
          <w:rFonts w:ascii="Times New Roman" w:hAnsi="Times New Roman" w:cs="Times New Roman" w:eastAsia="Times New Roman" w:hint="default"/>
        </w:rPr>
        <w:t>2</w:t>
      </w:r>
      <w:r>
        <w:rPr/>
        <w:t>、载有单位负责人、主管会计工作负责人、公司会计机构负责人（会计主管人员）签名并盖章的财</w:t>
      </w:r>
      <w:r>
        <w:rPr>
          <w:spacing w:val="2"/>
        </w:rPr>
        <w:t> </w:t>
      </w:r>
      <w:r>
        <w:rPr/>
        <w:t>务报表；</w:t>
      </w:r>
    </w:p>
    <w:p>
      <w:pPr>
        <w:spacing w:line="240" w:lineRule="auto" w:before="12"/>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6"/>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spacing w:line="240" w:lineRule="auto" w:before="6"/>
        <w:rPr>
          <w:rFonts w:ascii="宋体" w:hAnsi="宋体" w:cs="宋体" w:eastAsia="宋体" w:hint="default"/>
          <w:sz w:val="25"/>
          <w:szCs w:val="25"/>
        </w:rPr>
      </w:pPr>
    </w:p>
    <w:p>
      <w:pPr>
        <w:pStyle w:val="BodyText"/>
        <w:spacing w:line="516" w:lineRule="auto"/>
        <w:ind w:right="5780" w:hanging="1"/>
        <w:jc w:val="left"/>
      </w:pPr>
      <w:r>
        <w:rPr>
          <w:rFonts w:ascii="Times New Roman" w:hAnsi="Times New Roman" w:cs="Times New Roman" w:eastAsia="Times New Roman" w:hint="default"/>
        </w:rPr>
        <w:t>5</w:t>
      </w:r>
      <w:r>
        <w:rPr/>
        <w:t>、其他有关资料。 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496" w:lineRule="auto" w:before="0"/>
        <w:ind w:left="5999" w:right="133" w:firstLine="2182"/>
        <w:jc w:val="left"/>
        <w:rPr>
          <w:rFonts w:ascii="宋体" w:hAnsi="宋体" w:cs="宋体" w:eastAsia="宋体" w:hint="default"/>
          <w:sz w:val="23"/>
          <w:szCs w:val="23"/>
        </w:rPr>
      </w:pPr>
      <w:r>
        <w:rPr>
          <w:rFonts w:ascii="宋体" w:hAnsi="宋体" w:cs="宋体" w:eastAsia="宋体" w:hint="default"/>
          <w:sz w:val="23"/>
          <w:szCs w:val="23"/>
        </w:rPr>
        <w:t>董事长：陈江涛</w:t>
      </w:r>
      <w:r>
        <w:rPr>
          <w:rFonts w:ascii="宋体" w:hAnsi="宋体" w:cs="宋体" w:eastAsia="宋体" w:hint="default"/>
          <w:w w:val="100"/>
          <w:sz w:val="23"/>
          <w:szCs w:val="23"/>
        </w:rPr>
        <w:t> </w:t>
      </w:r>
      <w:r>
        <w:rPr>
          <w:rFonts w:ascii="宋体" w:hAnsi="宋体" w:cs="宋体" w:eastAsia="宋体" w:hint="default"/>
          <w:spacing w:val="-1"/>
          <w:sz w:val="23"/>
          <w:szCs w:val="23"/>
        </w:rPr>
        <w:t>董事会批准报送日期：</w:t>
      </w:r>
      <w:r>
        <w:rPr>
          <w:rFonts w:ascii="Times New Roman" w:hAnsi="Times New Roman" w:cs="Times New Roman" w:eastAsia="Times New Roman" w:hint="default"/>
          <w:spacing w:val="-1"/>
          <w:sz w:val="23"/>
          <w:szCs w:val="23"/>
        </w:rPr>
        <w:t>2013</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3</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29</w:t>
      </w:r>
      <w:r>
        <w:rPr>
          <w:rFonts w:ascii="宋体" w:hAnsi="宋体" w:cs="宋体" w:eastAsia="宋体" w:hint="default"/>
          <w:spacing w:val="-1"/>
          <w:sz w:val="23"/>
          <w:szCs w:val="23"/>
        </w:rPr>
        <w:t>日</w:t>
      </w:r>
    </w:p>
    <w:sectPr>
      <w:pgSz w:w="11910" w:h="16840"/>
      <w:pgMar w:header="997" w:footer="1252" w:top="1340" w:bottom="14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908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870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868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9988pt;margin-top:768.390625pt;width:19.75pt;height:12.5pt;mso-position-horizontal-relative:page;mso-position-vertical-relative:page;z-index:-72865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11pt;margin-top:768.390625pt;width:19.4pt;height:12.5pt;mso-position-horizontal-relative:page;mso-position-vertical-relative:page;z-index:-72863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770508pt;margin-top:521.790955pt;width:19.4pt;height:12.5pt;mso-position-horizontal-relative:page;mso-position-vertical-relative:page;z-index:-72856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80011pt;margin-top:768.390625pt;width:19.4pt;height:12.5pt;mso-position-horizontal-relative:page;mso-position-vertical-relative:page;z-index:-72848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9988pt;margin-top:768.390625pt;width:19.75pt;height:12.5pt;mso-position-horizontal-relative:page;mso-position-vertical-relative:page;z-index:-72846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9988pt;margin-top:768.390625pt;width:19.75pt;height:12.5pt;mso-position-horizontal-relative:page;mso-position-vertical-relative:page;z-index:-72844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155</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9988pt;margin-top:768.390625pt;width:19.75pt;height:12.5pt;mso-position-horizontal-relative:page;mso-position-vertical-relative:page;z-index:-72841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906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590515pt;margin-top:521.790955pt;width:19.75pt;height:12.5pt;mso-position-horizontal-relative:page;mso-position-vertical-relative:page;z-index:-72834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166</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9988pt;margin-top:768.390625pt;width:19.75pt;height:12.5pt;mso-position-horizontal-relative:page;mso-position-vertical-relative:page;z-index:-72827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904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901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899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4.170502pt;margin-top:521.790955pt;width:14.6pt;height:12.5pt;mso-position-horizontal-relative:page;mso-position-vertical-relative:page;z-index:-72892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80005pt;margin-top:768.390625pt;width:14.6pt;height:12.5pt;mso-position-horizontal-relative:page;mso-position-vertical-relative:page;z-index:-72884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4.170502pt;margin-top:521.790955pt;width:14.6pt;height:12.5pt;mso-position-horizontal-relative:page;mso-position-vertical-relative:page;z-index:-72877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7.440018pt;width:484.95pt;height:.1pt;mso-position-horizontal-relative:page;mso-position-vertical-relative:page;z-index:-729136" coordorigin="1104,1349" coordsize="9699,2">
          <v:shape style="position:absolute;left:1104;top:1349;width:9699;height:2" coordorigin="1104,1349" coordsize="9699,0" path="m1104,1349l10802,1349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87.119995pt;margin-top:48.865326pt;width:248pt;height:11.5pt;mso-position-horizontal-relative:page;mso-position-vertical-relative:page;z-index:-729112"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67.440002pt;width:700.95pt;height:.1pt;mso-position-horizontal-relative:page;mso-position-vertical-relative:page;z-index:-728392" coordorigin="1410,1349" coordsize="14019,2">
          <v:shape style="position:absolute;left:1410;top:1349;width:14019;height:2" coordorigin="1410,1349" coordsize="14019,0" path="m1410,1349l15428,1349e" filled="false" stroked="true" strokeweight=".72pt" strokecolor="#000000">
            <v:path arrowok="t"/>
          </v:shape>
          <w10:wrap type="none"/>
        </v:group>
      </w:pict>
    </w:r>
    <w:r>
      <w:rPr/>
      <w:pict>
        <v:shape style="position:absolute;margin-left:518.410522pt;margin-top:48.865623pt;width:248pt;height:11.5pt;mso-position-horizontal-relative:page;mso-position-vertical-relative:page;z-index:-728368"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7.440018pt;width:484.95pt;height:.1pt;mso-position-horizontal-relative:page;mso-position-vertical-relative:page;z-index:-728320" coordorigin="1104,1349" coordsize="9699,2">
          <v:shape style="position:absolute;left:1104;top:1349;width:9699;height:2" coordorigin="1104,1349" coordsize="9699,0" path="m1104,1349l10802,1349e" filled="false" stroked="true" strokeweight=".71997pt" strokecolor="#000000">
            <v:path arrowok="t"/>
          </v:shape>
          <w10:wrap type="none"/>
        </v:group>
      </w:pict>
    </w:r>
    <w:r>
      <w:rPr/>
      <w:pict>
        <v:shape style="position:absolute;margin-left:287.119995pt;margin-top:48.865326pt;width:248pt;height:11.5pt;mso-position-horizontal-relative:page;mso-position-vertical-relative:page;z-index:-728296"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67.440002pt;width:700.95pt;height:.1pt;mso-position-horizontal-relative:page;mso-position-vertical-relative:page;z-index:-728968" coordorigin="1410,1349" coordsize="14019,2">
          <v:shape style="position:absolute;left:1410;top:1349;width:14019;height:2" coordorigin="1410,1349" coordsize="14019,0" path="m1410,1349l15428,1349e" filled="false" stroked="true" strokeweight=".72pt" strokecolor="#000000">
            <v:path arrowok="t"/>
          </v:shape>
          <w10:wrap type="none"/>
        </v:group>
      </w:pict>
    </w:r>
    <w:r>
      <w:rPr/>
      <w:pict>
        <v:shape style="position:absolute;margin-left:518.410522pt;margin-top:48.865623pt;width:248pt;height:11.5pt;mso-position-horizontal-relative:page;mso-position-vertical-relative:page;z-index:-72894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7.440018pt;width:484.95pt;height:.1pt;mso-position-horizontal-relative:page;mso-position-vertical-relative:page;z-index:-728896" coordorigin="1104,1349" coordsize="9699,2">
          <v:shape style="position:absolute;left:1104;top:1349;width:9699;height:2" coordorigin="1104,1349" coordsize="9699,0" path="m1104,1349l10802,1349e" filled="false" stroked="true" strokeweight=".71997pt" strokecolor="#000000">
            <v:path arrowok="t"/>
          </v:shape>
          <w10:wrap type="none"/>
        </v:group>
      </w:pict>
    </w:r>
    <w:r>
      <w:rPr/>
      <w:pict>
        <v:shape style="position:absolute;margin-left:287.119995pt;margin-top:48.865326pt;width:248pt;height:11.5pt;mso-position-horizontal-relative:page;mso-position-vertical-relative:page;z-index:-728872"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67.440002pt;width:700.95pt;height:.1pt;mso-position-horizontal-relative:page;mso-position-vertical-relative:page;z-index:-728824" coordorigin="1410,1349" coordsize="14019,2">
          <v:shape style="position:absolute;left:1410;top:1349;width:14019;height:2" coordorigin="1410,1349" coordsize="14019,0" path="m1410,1349l15428,1349e" filled="false" stroked="true" strokeweight=".72pt" strokecolor="#000000">
            <v:path arrowok="t"/>
          </v:shape>
          <w10:wrap type="none"/>
        </v:group>
      </w:pict>
    </w:r>
    <w:r>
      <w:rPr/>
      <w:pict>
        <v:shape style="position:absolute;margin-left:518.410522pt;margin-top:48.865623pt;width:248pt;height:11.5pt;mso-position-horizontal-relative:page;mso-position-vertical-relative:page;z-index:-72880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7.440018pt;width:484.95pt;height:.1pt;mso-position-horizontal-relative:page;mso-position-vertical-relative:page;z-index:-728752" coordorigin="1104,1349" coordsize="9699,2">
          <v:shape style="position:absolute;left:1104;top:1349;width:9699;height:2" coordorigin="1104,1349" coordsize="9699,0" path="m1104,1349l10802,1349e" filled="false" stroked="true" strokeweight=".71997pt" strokecolor="#000000">
            <v:path arrowok="t"/>
          </v:shape>
          <w10:wrap type="none"/>
        </v:group>
      </w:pict>
    </w:r>
    <w:r>
      <w:rPr/>
      <w:pict>
        <v:shape style="position:absolute;margin-left:287.119995pt;margin-top:48.865326pt;width:248pt;height:11.5pt;mso-position-horizontal-relative:page;mso-position-vertical-relative:page;z-index:-728728"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67.440002pt;width:700.95pt;height:.1pt;mso-position-horizontal-relative:page;mso-position-vertical-relative:page;z-index:-728608" coordorigin="1410,1349" coordsize="14019,2">
          <v:shape style="position:absolute;left:1410;top:1349;width:14019;height:2" coordorigin="1410,1349" coordsize="14019,0" path="m1410,1349l15428,1349e" filled="false" stroked="true" strokeweight=".72pt" strokecolor="#000000">
            <v:path arrowok="t"/>
          </v:shape>
          <w10:wrap type="none"/>
        </v:group>
      </w:pict>
    </w:r>
    <w:r>
      <w:rPr/>
      <w:pict>
        <v:shape style="position:absolute;margin-left:518.410522pt;margin-top:48.865623pt;width:248pt;height:11.5pt;mso-position-horizontal-relative:page;mso-position-vertical-relative:page;z-index:-728584"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7.440018pt;width:484.95pt;height:.1pt;mso-position-horizontal-relative:page;mso-position-vertical-relative:page;z-index:-728536" coordorigin="1104,1349" coordsize="9699,2">
          <v:shape style="position:absolute;left:1104;top:1349;width:9699;height:2" coordorigin="1104,1349" coordsize="9699,0" path="m1104,1349l10802,1349e" filled="false" stroked="true" strokeweight=".71997pt" strokecolor="#000000">
            <v:path arrowok="t"/>
          </v:shape>
          <w10:wrap type="none"/>
        </v:group>
      </w:pict>
    </w:r>
    <w:r>
      <w:rPr/>
      <w:pict>
        <v:shape style="position:absolute;margin-left:287.119995pt;margin-top:48.865326pt;width:248pt;height:11.5pt;mso-position-horizontal-relative:page;mso-position-vertical-relative:page;z-index:-728512"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北京旋极信息技术股份有限公司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2013-008</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3"/>
      <w:ind w:left="574"/>
    </w:pPr>
    <w:rPr>
      <w:rFonts w:ascii="宋体" w:hAnsi="宋体" w:eastAsia="宋体"/>
      <w:sz w:val="21"/>
      <w:szCs w:val="21"/>
    </w:rPr>
  </w:style>
  <w:style w:styleId="BodyText" w:type="paragraph">
    <w:name w:val="Body Text"/>
    <w:basedOn w:val="Normal"/>
    <w:uiPriority w:val="1"/>
    <w:qFormat/>
    <w:pPr>
      <w:ind w:left="574"/>
    </w:pPr>
    <w:rPr>
      <w:rFonts w:ascii="宋体" w:hAnsi="宋体" w:eastAsia="宋体"/>
      <w:sz w:val="21"/>
      <w:szCs w:val="21"/>
    </w:rPr>
  </w:style>
  <w:style w:styleId="Heading1" w:type="paragraph">
    <w:name w:val="Heading 1"/>
    <w:basedOn w:val="Normal"/>
    <w:uiPriority w:val="1"/>
    <w:qFormat/>
    <w:pPr>
      <w:spacing w:before="1"/>
      <w:ind w:left="4074"/>
      <w:outlineLvl w:val="1"/>
    </w:pPr>
    <w:rPr>
      <w:rFonts w:ascii="黑体" w:hAnsi="黑体" w:eastAsia="黑体"/>
      <w:sz w:val="32"/>
      <w:szCs w:val="32"/>
    </w:rPr>
  </w:style>
  <w:style w:styleId="Heading2" w:type="paragraph">
    <w:name w:val="Heading 2"/>
    <w:basedOn w:val="Normal"/>
    <w:uiPriority w:val="1"/>
    <w:qFormat/>
    <w:pPr>
      <w:ind w:left="154"/>
      <w:outlineLvl w:val="2"/>
    </w:pPr>
    <w:rPr>
      <w:rFonts w:ascii="黑体" w:hAnsi="黑体" w:eastAsia="黑体"/>
      <w:sz w:val="28"/>
      <w:szCs w:val="28"/>
    </w:rPr>
  </w:style>
  <w:style w:styleId="Heading3" w:type="paragraph">
    <w:name w:val="Heading 3"/>
    <w:basedOn w:val="Normal"/>
    <w:uiPriority w:val="1"/>
    <w:qFormat/>
    <w:pPr>
      <w:ind w:left="154"/>
      <w:outlineLvl w:val="3"/>
    </w:pPr>
    <w:rPr>
      <w:rFonts w:ascii="黑体" w:hAnsi="黑体" w:eastAsia="黑体"/>
      <w:sz w:val="24"/>
      <w:szCs w:val="24"/>
    </w:rPr>
  </w:style>
  <w:style w:styleId="Heading4" w:type="paragraph">
    <w:name w:val="Heading 4"/>
    <w:basedOn w:val="Normal"/>
    <w:uiPriority w:val="1"/>
    <w:qFormat/>
    <w:pPr>
      <w:ind w:left="153" w:firstLine="440"/>
      <w:outlineLvl w:val="4"/>
    </w:pPr>
    <w:rPr>
      <w:rFonts w:ascii="宋体" w:hAnsi="宋体" w:eastAsia="宋体"/>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watertek.com/" TargetMode="External"/><Relationship Id="rId15" Type="http://schemas.openxmlformats.org/officeDocument/2006/relationships/hyperlink" Target="mailto:investor@watertek.com" TargetMode="External"/><Relationship Id="rId16" Type="http://schemas.openxmlformats.org/officeDocument/2006/relationships/hyperlink" Target="http://www.cninfo.com.cn/" TargetMode="Externa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header" Target="header2.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3.xml"/><Relationship Id="rId24" Type="http://schemas.openxmlformats.org/officeDocument/2006/relationships/footer" Target="footer7.xml"/><Relationship Id="rId25" Type="http://schemas.openxmlformats.org/officeDocument/2006/relationships/header" Target="header4.xml"/><Relationship Id="rId26" Type="http://schemas.openxmlformats.org/officeDocument/2006/relationships/footer" Target="footer8.xml"/><Relationship Id="rId27" Type="http://schemas.openxmlformats.org/officeDocument/2006/relationships/image" Target="media/image8.jpeg"/><Relationship Id="rId28" Type="http://schemas.openxmlformats.org/officeDocument/2006/relationships/header" Target="header5.xml"/><Relationship Id="rId29" Type="http://schemas.openxmlformats.org/officeDocument/2006/relationships/footer" Target="footer9.xml"/><Relationship Id="rId30" Type="http://schemas.openxmlformats.org/officeDocument/2006/relationships/header" Target="header6.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7.xml"/><Relationship Id="rId36" Type="http://schemas.openxmlformats.org/officeDocument/2006/relationships/footer" Target="footer14.xml"/><Relationship Id="rId37" Type="http://schemas.openxmlformats.org/officeDocument/2006/relationships/header" Target="header8.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header" Target="header10.xml"/><Relationship Id="rId45" Type="http://schemas.openxmlformats.org/officeDocument/2006/relationships/footer" Target="footer20.xml"/><Relationship Id="rId46" Type="http://schemas.openxmlformats.org/officeDocument/2006/relationships/header" Target="header11.xml"/><Relationship Id="rId47"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benbenyatou</dc:creator>
  <dc:title>&lt;4D6963726F736F667420576F7264202D20D0FDBCABD0C5CFA2A3BA32303132C4EAB6C8B1A8B8E6C8ABCEC4&gt;</dc:title>
  <dcterms:created xsi:type="dcterms:W3CDTF">2020-05-04T02:15:58Z</dcterms:created>
  <dcterms:modified xsi:type="dcterms:W3CDTF">2020-05-04T02:15:58Z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PScript5.dll Version 5.2.2</vt:lpwstr>
  </property>
  <property fmtid="{D5CDD505-2E9C-101B-9397-08002B2CF9AE}" pid="4" name="LastSaved">
    <vt:filetime>2020-05-03T00:00:00Z</vt:filetime>
  </property>
</Properties>
</file>