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5.xml" ContentType="application/vnd.openxmlformats-officedocument.wordprocessingml.header+xml"/>
  <Override PartName="/word/footer24.xml" ContentType="application/vnd.openxmlformats-officedocument.wordprocessingml.footer+xml"/>
  <Override PartName="/word/header16.xml" ContentType="application/vnd.openxmlformats-officedocument.wordprocessingml.header+xml"/>
  <Override PartName="/word/footer2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9.xml" ContentType="application/vnd.openxmlformats-officedocument.wordprocessingml.header+xml"/>
  <Override PartName="/word/footer32.xml" ContentType="application/vnd.openxmlformats-officedocument.wordprocessingml.footer+xml"/>
  <Override PartName="/word/header20.xml" ContentType="application/vnd.openxmlformats-officedocument.wordprocessingml.header+xml"/>
  <Override PartName="/word/footer33.xml" ContentType="application/vnd.openxmlformats-officedocument.wordprocessingml.footer+xml"/>
  <Override PartName="/word/header2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2.xml" ContentType="application/vnd.openxmlformats-officedocument.wordprocessingml.header+xml"/>
  <Override PartName="/word/footer36.xml" ContentType="application/vnd.openxmlformats-officedocument.wordprocessingml.footer+xml"/>
  <Override PartName="/word/header2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4.xml" ContentType="application/vnd.openxmlformats-officedocument.wordprocessingml.header+xml"/>
  <Override PartName="/word/footer40.xml" ContentType="application/vnd.openxmlformats-officedocument.wordprocessingml.footer+xml"/>
  <Override PartName="/word/header25.xml" ContentType="application/vnd.openxmlformats-officedocument.wordprocessingml.header+xml"/>
  <Override PartName="/word/footer41.xml" ContentType="application/vnd.openxmlformats-officedocument.wordprocessingml.footer+xml"/>
  <Override PartName="/word/header26.xml" ContentType="application/vnd.openxmlformats-officedocument.wordprocessingml.header+xml"/>
  <Override PartName="/word/footer42.xml" ContentType="application/vnd.openxmlformats-officedocument.wordprocessingml.footer+xml"/>
  <Override PartName="/word/header27.xml" ContentType="application/vnd.openxmlformats-officedocument.wordprocessingml.header+xml"/>
  <Override PartName="/word/footer4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8"/>
          <w:szCs w:val="8"/>
        </w:rPr>
      </w:pPr>
      <w:r>
        <w:rPr/>
        <w:pict>
          <v:shape style="position:absolute;margin-left:0pt;margin-top:756.47998pt;width:595.320pt;height:72.48pt;mso-position-horizontal-relative:page;mso-position-vertical-relative:page;z-index:1096" type="#_x0000_t75" stroked="false">
            <v:imagedata r:id="rId5" o:title=""/>
          </v:shape>
        </w:pict>
      </w:r>
    </w:p>
    <w:p>
      <w:pPr>
        <w:spacing w:line="331" w:lineRule="exact"/>
        <w:ind w:left="16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3190613" cy="21031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190613" cy="210311"/>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before="39"/>
        <w:ind w:left="1660" w:right="0" w:firstLine="0"/>
        <w:jc w:val="left"/>
        <w:rPr>
          <w:rFonts w:ascii="Arial" w:hAnsi="Arial" w:cs="Arial" w:eastAsia="Arial" w:hint="default"/>
          <w:sz w:val="23"/>
          <w:szCs w:val="23"/>
        </w:rPr>
      </w:pPr>
      <w:r>
        <w:rPr/>
        <w:pict>
          <v:shape style="position:absolute;margin-left:36.712601pt;margin-top:-17.26313pt;width:39.83197pt;height:30.48pt;mso-position-horizontal-relative:page;mso-position-vertical-relative:paragraph;z-index:1072" type="#_x0000_t75" stroked="false">
            <v:imagedata r:id="rId7" o:title=""/>
          </v:shape>
        </w:pict>
      </w:r>
      <w:r>
        <w:rPr>
          <w:rFonts w:ascii="Arial"/>
          <w:sz w:val="23"/>
        </w:rPr>
        <w:t>Beijing Watertek Information Technology</w:t>
      </w:r>
      <w:r>
        <w:rPr>
          <w:rFonts w:ascii="Arial"/>
          <w:spacing w:val="16"/>
          <w:sz w:val="23"/>
        </w:rPr>
        <w:t> </w:t>
      </w:r>
      <w:r>
        <w:rPr>
          <w:rFonts w:ascii="Arial"/>
          <w:sz w:val="23"/>
        </w:rPr>
        <w:t>Co.,Ltd.</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2"/>
          <w:szCs w:val="22"/>
        </w:rPr>
      </w:pPr>
    </w:p>
    <w:p>
      <w:pPr>
        <w:spacing w:line="758" w:lineRule="exact"/>
        <w:ind w:left="7073" w:right="0" w:firstLine="0"/>
        <w:rPr>
          <w:rFonts w:ascii="Arial" w:hAnsi="Arial" w:cs="Arial" w:eastAsia="Arial" w:hint="default"/>
          <w:sz w:val="20"/>
          <w:szCs w:val="20"/>
        </w:rPr>
      </w:pPr>
      <w:r>
        <w:rPr>
          <w:rFonts w:ascii="Arial" w:hAnsi="Arial" w:cs="Arial" w:eastAsia="Arial" w:hint="default"/>
          <w:position w:val="-14"/>
          <w:sz w:val="20"/>
          <w:szCs w:val="20"/>
        </w:rPr>
        <w:drawing>
          <wp:inline distT="0" distB="0" distL="0" distR="0">
            <wp:extent cx="2492761" cy="481583"/>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492761" cy="481583"/>
                    </a:xfrm>
                    <a:prstGeom prst="rect">
                      <a:avLst/>
                    </a:prstGeom>
                  </pic:spPr>
                </pic:pic>
              </a:graphicData>
            </a:graphic>
          </wp:inline>
        </w:drawing>
      </w:r>
      <w:r>
        <w:rPr>
          <w:rFonts w:ascii="Arial" w:hAnsi="Arial" w:cs="Arial" w:eastAsia="Arial" w:hint="default"/>
          <w:position w:val="-14"/>
          <w:sz w:val="20"/>
          <w:szCs w:val="20"/>
        </w:rPr>
      </w:r>
    </w:p>
    <w:p>
      <w:pPr>
        <w:spacing w:line="240" w:lineRule="auto" w:before="3"/>
        <w:rPr>
          <w:rFonts w:ascii="Arial" w:hAnsi="Arial" w:cs="Arial" w:eastAsia="Arial" w:hint="default"/>
          <w:sz w:val="14"/>
          <w:szCs w:val="14"/>
        </w:rPr>
      </w:pPr>
    </w:p>
    <w:p>
      <w:pPr>
        <w:spacing w:line="7132" w:lineRule="exact"/>
        <w:ind w:left="0" w:right="0" w:firstLine="0"/>
        <w:rPr>
          <w:rFonts w:ascii="Arial" w:hAnsi="Arial" w:cs="Arial" w:eastAsia="Arial" w:hint="default"/>
          <w:sz w:val="20"/>
          <w:szCs w:val="20"/>
        </w:rPr>
      </w:pPr>
      <w:r>
        <w:rPr>
          <w:rFonts w:ascii="Arial" w:hAnsi="Arial" w:cs="Arial" w:eastAsia="Arial" w:hint="default"/>
          <w:position w:val="-142"/>
          <w:sz w:val="20"/>
          <w:szCs w:val="20"/>
        </w:rPr>
        <w:pict>
          <v:group style="width:569.2pt;height:356.65pt;mso-position-horizontal-relative:char;mso-position-vertical-relative:line" coordorigin="0,0" coordsize="11384,7133">
            <v:shape style="position:absolute;left:0;top:0;width:11383;height:7133" type="#_x0000_t75" stroked="false">
              <v:imagedata r:id="rId9" o:title=""/>
            </v:shape>
            <v:shapetype id="_x0000_t202" o:spt="202" coordsize="21600,21600" path="m,l,21600r21600,l21600,xe">
              <v:stroke joinstyle="miter"/>
              <v:path gradientshapeok="t" o:connecttype="rect"/>
            </v:shapetype>
            <v:shape style="position:absolute;left:7630;top:470;width:2028;height:480" type="#_x0000_t202" filled="false" stroked="false">
              <v:textbox inset="0,0,0,0">
                <w:txbxContent>
                  <w:p>
                    <w:pPr>
                      <w:spacing w:line="480" w:lineRule="exact" w:before="0"/>
                      <w:ind w:left="0" w:right="0" w:firstLine="0"/>
                      <w:jc w:val="left"/>
                      <w:rPr>
                        <w:rFonts w:ascii="Arial" w:hAnsi="Arial" w:cs="Arial" w:eastAsia="Arial" w:hint="default"/>
                        <w:sz w:val="48"/>
                        <w:szCs w:val="48"/>
                      </w:rPr>
                    </w:pPr>
                    <w:r>
                      <w:rPr>
                        <w:rFonts w:ascii="Arial"/>
                        <w:w w:val="95"/>
                        <w:sz w:val="48"/>
                      </w:rPr>
                      <w:t>2018-038</w:t>
                    </w:r>
                    <w:r>
                      <w:rPr>
                        <w:rFonts w:ascii="Arial"/>
                        <w:sz w:val="48"/>
                      </w:rPr>
                    </w:r>
                  </w:p>
                </w:txbxContent>
              </v:textbox>
              <w10:wrap type="none"/>
            </v:shape>
          </v:group>
        </w:pict>
      </w:r>
      <w:r>
        <w:rPr>
          <w:rFonts w:ascii="Arial" w:hAnsi="Arial" w:cs="Arial" w:eastAsia="Arial" w:hint="default"/>
          <w:position w:val="-142"/>
          <w:sz w:val="20"/>
          <w:szCs w:val="20"/>
        </w:rPr>
      </w:r>
    </w:p>
    <w:p>
      <w:pPr>
        <w:spacing w:after="0" w:line="7132" w:lineRule="exact"/>
        <w:rPr>
          <w:rFonts w:ascii="Arial" w:hAnsi="Arial" w:cs="Arial" w:eastAsia="Arial" w:hint="default"/>
          <w:sz w:val="20"/>
          <w:szCs w:val="20"/>
        </w:rPr>
        <w:sectPr>
          <w:type w:val="continuous"/>
          <w:pgSz w:w="11910" w:h="16840"/>
          <w:pgMar w:top="1200" w:bottom="0" w:left="0" w:right="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3"/>
          <w:szCs w:val="23"/>
        </w:rPr>
      </w:pPr>
    </w:p>
    <w:p>
      <w:pPr>
        <w:pStyle w:val="Heading1"/>
        <w:spacing w:line="240" w:lineRule="auto"/>
        <w:ind w:left="2813" w:right="11"/>
        <w:jc w:val="left"/>
      </w:pPr>
      <w:bookmarkStart w:name="_bookmark0" w:id="1"/>
      <w:bookmarkEnd w:id="1"/>
      <w:r>
        <w:rPr/>
      </w:r>
      <w:r>
        <w:rPr/>
        <w:t>第一节</w:t>
      </w:r>
      <w:r>
        <w:rPr>
          <w:spacing w:val="-3"/>
        </w:rPr>
        <w:t> </w:t>
      </w:r>
      <w:r>
        <w:rPr/>
        <w:t>重要提示、目录和释义</w:t>
      </w:r>
    </w:p>
    <w:p>
      <w:pPr>
        <w:spacing w:line="240" w:lineRule="auto" w:before="13"/>
        <w:rPr>
          <w:rFonts w:ascii="黑体" w:hAnsi="黑体" w:cs="黑体" w:eastAsia="黑体" w:hint="default"/>
          <w:sz w:val="46"/>
          <w:szCs w:val="46"/>
        </w:rPr>
      </w:pPr>
    </w:p>
    <w:p>
      <w:pPr>
        <w:pStyle w:val="BodyText"/>
        <w:spacing w:line="408" w:lineRule="auto"/>
        <w:ind w:right="11" w:firstLine="420"/>
        <w:jc w:val="left"/>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386" w:lineRule="auto" w:before="144"/>
        <w:ind w:right="11" w:firstLine="420"/>
        <w:jc w:val="left"/>
      </w:pPr>
      <w:r>
        <w:rPr/>
        <w:t>公司负责人陈江涛、主管会计工作负责人刘明及会计机构负责人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张琼声明：保证年度</w:t>
      </w:r>
      <w:r>
        <w:rPr>
          <w:w w:val="100"/>
        </w:rPr>
        <w:t> </w:t>
      </w:r>
      <w:r>
        <w:rPr/>
        <w:t>报告中财务报告的真实、准确、完整。</w:t>
      </w:r>
    </w:p>
    <w:p>
      <w:pPr>
        <w:pStyle w:val="BodyText"/>
        <w:spacing w:line="240" w:lineRule="auto" w:before="166"/>
        <w:ind w:left="573" w:right="11"/>
        <w:jc w:val="left"/>
      </w:pPr>
      <w:r>
        <w:rPr/>
        <w:t>所有董事均已出席了审议本报告的董事会会议。</w:t>
      </w:r>
    </w:p>
    <w:p>
      <w:pPr>
        <w:spacing w:line="240" w:lineRule="auto" w:before="6"/>
        <w:rPr>
          <w:rFonts w:ascii="宋体" w:hAnsi="宋体" w:cs="宋体" w:eastAsia="宋体" w:hint="default"/>
          <w:sz w:val="22"/>
          <w:szCs w:val="22"/>
        </w:rPr>
      </w:pPr>
    </w:p>
    <w:p>
      <w:pPr>
        <w:pStyle w:val="BodyText"/>
        <w:spacing w:line="386" w:lineRule="auto"/>
        <w:ind w:right="11" w:firstLine="420"/>
        <w:jc w:val="left"/>
      </w:pPr>
      <w:r>
        <w:rPr/>
        <w:t>公司在本报告第四节</w:t>
      </w:r>
      <w:r>
        <w:rPr>
          <w:rFonts w:ascii="Times New Roman" w:hAnsi="Times New Roman" w:cs="Times New Roman" w:eastAsia="Times New Roman" w:hint="default"/>
        </w:rPr>
        <w:t>“ </w:t>
      </w:r>
      <w:r>
        <w:rPr/>
        <w:t>经营情况讨论与分析</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中</w:t>
      </w:r>
      <w:r>
        <w:rPr>
          <w:rFonts w:ascii="Times New Roman" w:hAnsi="Times New Roman" w:cs="Times New Roman" w:eastAsia="Times New Roman" w:hint="default"/>
        </w:rPr>
        <w:t>“</w:t>
      </w:r>
      <w:r>
        <w:rPr/>
        <w:t>公司未来发展的展望</w:t>
      </w:r>
      <w:r>
        <w:rPr>
          <w:rFonts w:ascii="Times New Roman" w:hAnsi="Times New Roman" w:cs="Times New Roman" w:eastAsia="Times New Roman" w:hint="default"/>
        </w:rPr>
        <w:t>”</w:t>
      </w:r>
      <w:r>
        <w:rPr/>
        <w:t>部分，详细描述了公司经营中</w:t>
      </w:r>
      <w:r>
        <w:rPr>
          <w:w w:val="100"/>
        </w:rPr>
        <w:t> </w:t>
      </w:r>
      <w:r>
        <w:rPr/>
        <w:t>可能存在的风险及应对措施，敬请投资者关注相关内容。</w:t>
      </w:r>
    </w:p>
    <w:p>
      <w:pPr>
        <w:pStyle w:val="BodyText"/>
        <w:spacing w:line="240" w:lineRule="auto" w:before="163"/>
        <w:ind w:left="573" w:right="11"/>
        <w:jc w:val="left"/>
      </w:pPr>
      <w:r>
        <w:rPr/>
        <w:t>公司经本次董事会审议通过的利润分配预案为：以</w:t>
      </w:r>
      <w:r>
        <w:rPr>
          <w:spacing w:val="-48"/>
        </w:rPr>
        <w:t> </w:t>
      </w:r>
      <w:r>
        <w:rPr>
          <w:rFonts w:ascii="Times New Roman" w:hAnsi="Times New Roman" w:cs="Times New Roman" w:eastAsia="Times New Roman" w:hint="default"/>
        </w:rPr>
        <w:t>1,165,647,898</w:t>
      </w:r>
      <w:r>
        <w:rPr>
          <w:rFonts w:ascii="Times New Roman" w:hAnsi="Times New Roman" w:cs="Times New Roman" w:eastAsia="Times New Roman" w:hint="default"/>
          <w:spacing w:val="7"/>
        </w:rPr>
        <w:t> </w:t>
      </w:r>
      <w:r>
        <w:rPr/>
        <w:t>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w:t>
      </w:r>
    </w:p>
    <w:p>
      <w:pPr>
        <w:pStyle w:val="BodyText"/>
        <w:spacing w:line="240" w:lineRule="auto" w:before="177"/>
        <w:ind w:right="11"/>
        <w:jc w:val="left"/>
      </w:pPr>
      <w:r>
        <w:rPr>
          <w:w w:val="100"/>
        </w:rPr>
        <w:t>金</w:t>
      </w:r>
      <w:r>
        <w:rPr>
          <w:spacing w:val="-3"/>
          <w:w w:val="100"/>
        </w:rPr>
        <w:t>红</w:t>
      </w:r>
      <w:r>
        <w:rPr>
          <w:w w:val="100"/>
        </w:rPr>
        <w:t>利</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送</w:t>
      </w:r>
      <w:r>
        <w:rPr>
          <w:spacing w:val="-3"/>
          <w:w w:val="100"/>
        </w:rPr>
        <w:t>红</w:t>
      </w:r>
      <w:r>
        <w:rPr>
          <w:w w:val="100"/>
        </w:rPr>
        <w:t>股</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w:t>
      </w:r>
      <w:r>
        <w:rPr>
          <w:spacing w:val="-3"/>
          <w:w w:val="100"/>
        </w:rPr>
        <w:t>含</w:t>
      </w:r>
      <w:r>
        <w:rPr>
          <w:w w:val="100"/>
        </w:rPr>
        <w:t>税</w:t>
      </w:r>
      <w:r>
        <w:rPr>
          <w:spacing w:val="-108"/>
          <w:w w:val="100"/>
        </w:rPr>
        <w:t>）</w:t>
      </w:r>
      <w:r>
        <w:rPr>
          <w:w w:val="100"/>
        </w:rPr>
        <w:t>，</w:t>
      </w:r>
      <w:r>
        <w:rPr>
          <w:spacing w:val="-3"/>
          <w:w w:val="100"/>
        </w:rPr>
        <w:t>以资</w:t>
      </w:r>
      <w:r>
        <w:rPr>
          <w:w w:val="100"/>
        </w:rPr>
        <w:t>本公</w:t>
      </w:r>
      <w:r>
        <w:rPr>
          <w:spacing w:val="-3"/>
          <w:w w:val="100"/>
        </w:rPr>
        <w:t>积</w:t>
      </w:r>
      <w:r>
        <w:rPr>
          <w:w w:val="100"/>
        </w:rPr>
        <w:t>金</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股。</w:t>
      </w:r>
      <w:r>
        <w:rPr>
          <w:w w:val="100"/>
        </w:rPr>
      </w:r>
    </w:p>
    <w:p>
      <w:pPr>
        <w:spacing w:after="0" w:line="240" w:lineRule="auto"/>
        <w:jc w:val="left"/>
        <w:sectPr>
          <w:headerReference w:type="default" r:id="rId10"/>
          <w:footerReference w:type="default" r:id="rId11"/>
          <w:pgSz w:w="11910" w:h="16840"/>
          <w:pgMar w:header="882" w:footer="1132" w:top="1280" w:bottom="1320" w:left="980" w:right="980"/>
          <w:pgNumType w:start="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555" w:right="555" w:firstLine="0"/>
        <w:jc w:val="center"/>
        <w:rPr>
          <w:rFonts w:ascii="黑体" w:hAnsi="黑体" w:cs="黑体" w:eastAsia="黑体" w:hint="default"/>
          <w:sz w:val="32"/>
          <w:szCs w:val="32"/>
        </w:rPr>
      </w:pPr>
      <w:r>
        <w:rPr>
          <w:rFonts w:ascii="黑体" w:hAnsi="黑体" w:cs="黑体" w:eastAsia="黑体" w:hint="default"/>
          <w:sz w:val="32"/>
          <w:szCs w:val="32"/>
        </w:rPr>
        <w:t>目录</w:t>
      </w:r>
    </w:p>
    <w:sdt>
      <w:sdtPr>
        <w:docPartObj>
          <w:docPartGallery w:val="Table of Contents"/>
          <w:docPartUnique/>
        </w:docPartObj>
      </w:sdtPr>
      <w:sdtEndPr/>
      <w:sdtContent>
        <w:p>
          <w:pPr>
            <w:pStyle w:val="TOC1"/>
            <w:tabs>
              <w:tab w:pos="9553" w:val="left" w:leader="dot"/>
            </w:tabs>
            <w:spacing w:line="240" w:lineRule="auto" w:before="614"/>
            <w:ind w:right="11"/>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553" w:val="left" w:leader="dot"/>
            </w:tabs>
            <w:spacing w:line="240" w:lineRule="auto" w:before="275"/>
            <w:ind w:right="11"/>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hyperlink>
        </w:p>
        <w:p>
          <w:pPr>
            <w:pStyle w:val="TOC1"/>
            <w:tabs>
              <w:tab w:pos="9553" w:val="left" w:leader="dot"/>
            </w:tabs>
            <w:spacing w:line="240" w:lineRule="auto"/>
            <w:ind w:right="11"/>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3"/>
              </w:rPr>
              <w:t>13</w:t>
            </w:r>
            <w:r>
              <w:rPr>
                <w:rFonts w:ascii="Times New Roman" w:hAnsi="Times New Roman" w:cs="Times New Roman" w:eastAsia="Times New Roman" w:hint="default"/>
              </w:rPr>
            </w:r>
          </w:hyperlink>
        </w:p>
        <w:p>
          <w:pPr>
            <w:pStyle w:val="TOC1"/>
            <w:tabs>
              <w:tab w:pos="9553" w:val="left" w:leader="dot"/>
            </w:tabs>
            <w:spacing w:line="240" w:lineRule="auto"/>
            <w:ind w:right="11"/>
            <w:jc w:val="left"/>
            <w:rPr>
              <w:rFonts w:ascii="Times New Roman" w:hAnsi="Times New Roman" w:cs="Times New Roman" w:eastAsia="Times New Roman" w:hint="default"/>
            </w:rPr>
          </w:pPr>
          <w:hyperlink w:history="true" w:anchor="_bookmark3">
            <w:r>
              <w:rPr/>
              <w:t>第四节</w:t>
            </w:r>
            <w:r>
              <w:rPr>
                <w:spacing w:val="-3"/>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3"/>
              </w:rPr>
              <w:t>19</w:t>
            </w:r>
            <w:r>
              <w:rPr>
                <w:rFonts w:ascii="Times New Roman" w:hAnsi="Times New Roman" w:cs="Times New Roman" w:eastAsia="Times New Roman" w:hint="default"/>
              </w:rPr>
            </w:r>
          </w:hyperlink>
        </w:p>
        <w:p>
          <w:pPr>
            <w:pStyle w:val="TOC1"/>
            <w:tabs>
              <w:tab w:pos="9553" w:val="left" w:leader="dot"/>
            </w:tabs>
            <w:spacing w:line="240" w:lineRule="auto" w:before="276"/>
            <w:ind w:right="11"/>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r>
            <w:r>
              <w:rPr>
                <w:rFonts w:ascii="Times New Roman" w:hAnsi="Times New Roman" w:cs="Times New Roman" w:eastAsia="Times New Roman" w:hint="default"/>
                <w:spacing w:val="-3"/>
              </w:rPr>
              <w:t>52</w:t>
            </w:r>
            <w:r>
              <w:rPr>
                <w:rFonts w:ascii="Times New Roman" w:hAnsi="Times New Roman" w:cs="Times New Roman" w:eastAsia="Times New Roman" w:hint="default"/>
              </w:rPr>
            </w:r>
          </w:hyperlink>
        </w:p>
        <w:p>
          <w:pPr>
            <w:pStyle w:val="TOC1"/>
            <w:tabs>
              <w:tab w:pos="9553" w:val="left" w:leader="dot"/>
            </w:tabs>
            <w:spacing w:line="240" w:lineRule="auto"/>
            <w:ind w:right="11"/>
            <w:jc w:val="left"/>
            <w:rPr>
              <w:rFonts w:ascii="Times New Roman" w:hAnsi="Times New Roman" w:cs="Times New Roman" w:eastAsia="Times New Roman" w:hint="default"/>
            </w:rPr>
          </w:pPr>
          <w:hyperlink w:history="true" w:anchor="_bookmark5">
            <w:r>
              <w:rPr/>
              <w:t>第六节</w:t>
            </w:r>
            <w:r>
              <w:rPr>
                <w:spacing w:val="-3"/>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91</w:t>
            </w:r>
            <w:r>
              <w:rPr>
                <w:rFonts w:ascii="Times New Roman" w:hAnsi="Times New Roman" w:cs="Times New Roman" w:eastAsia="Times New Roman" w:hint="default"/>
              </w:rPr>
            </w:r>
          </w:hyperlink>
        </w:p>
        <w:p>
          <w:pPr>
            <w:pStyle w:val="TOC1"/>
            <w:tabs>
              <w:tab w:pos="9449" w:val="left" w:leader="dot"/>
            </w:tabs>
            <w:spacing w:line="240" w:lineRule="auto"/>
            <w:ind w:right="11"/>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104</w:t>
            </w:r>
          </w:hyperlink>
        </w:p>
        <w:p>
          <w:pPr>
            <w:pStyle w:val="TOC1"/>
            <w:tabs>
              <w:tab w:pos="9447" w:val="left" w:leader="dot"/>
            </w:tabs>
            <w:spacing w:line="240" w:lineRule="auto" w:before="275"/>
            <w:ind w:right="11"/>
            <w:jc w:val="left"/>
            <w:rPr>
              <w:rFonts w:ascii="Times New Roman" w:hAnsi="Times New Roman" w:cs="Times New Roman" w:eastAsia="Times New Roman" w:hint="default"/>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rPr>
              <w:tab/>
              <w:t>105</w:t>
            </w:r>
          </w:hyperlink>
        </w:p>
        <w:p>
          <w:pPr>
            <w:pStyle w:val="TOC1"/>
            <w:tabs>
              <w:tab w:pos="9447" w:val="left" w:leader="dot"/>
            </w:tabs>
            <w:spacing w:line="240" w:lineRule="auto"/>
            <w:ind w:right="11"/>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r>
            <w:r>
              <w:rPr>
                <w:rFonts w:ascii="Times New Roman" w:hAnsi="Times New Roman" w:cs="Times New Roman" w:eastAsia="Times New Roman" w:hint="default"/>
                <w:spacing w:val="-3"/>
              </w:rPr>
              <w:t>117</w:t>
            </w:r>
          </w:hyperlink>
        </w:p>
        <w:p>
          <w:pPr>
            <w:pStyle w:val="TOC1"/>
            <w:tabs>
              <w:tab w:pos="9449" w:val="left" w:leader="dot"/>
            </w:tabs>
            <w:spacing w:line="240" w:lineRule="auto"/>
            <w:ind w:right="11"/>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122</w:t>
            </w:r>
          </w:hyperlink>
        </w:p>
        <w:p>
          <w:pPr>
            <w:pStyle w:val="TOC1"/>
            <w:tabs>
              <w:tab w:pos="9397" w:val="left" w:leader="dot"/>
            </w:tabs>
            <w:spacing w:line="240" w:lineRule="auto" w:before="275"/>
            <w:ind w:right="11"/>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123</w:t>
            </w:r>
          </w:hyperlink>
        </w:p>
        <w:p>
          <w:pPr>
            <w:pStyle w:val="TOC1"/>
            <w:tabs>
              <w:tab w:pos="9397" w:val="left" w:leader="dot"/>
            </w:tabs>
            <w:spacing w:line="240" w:lineRule="auto"/>
            <w:ind w:right="11"/>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288</w:t>
            </w:r>
          </w:hyperlink>
        </w:p>
        <w:p>
          <w:pPr/>
          <w:r>
            <w:fldChar w:fldCharType="end"/>
          </w:r>
        </w:p>
      </w:sdtContent>
    </w:sdt>
    <w:p>
      <w:pPr>
        <w:spacing w:after="0"/>
        <w:sectPr>
          <w:pgSz w:w="11910" w:h="16840"/>
          <w:pgMar w:header="882" w:footer="1132" w:top="1280" w:bottom="1320" w:left="980" w:right="980"/>
        </w:sectPr>
      </w:pPr>
    </w:p>
    <w:p>
      <w:pPr>
        <w:spacing w:before="500"/>
        <w:ind w:left="555" w:right="555" w:firstLine="0"/>
        <w:jc w:val="center"/>
        <w:rPr>
          <w:rFonts w:ascii="黑体" w:hAnsi="黑体" w:cs="黑体" w:eastAsia="黑体" w:hint="default"/>
          <w:sz w:val="32"/>
          <w:szCs w:val="32"/>
        </w:rPr>
      </w:pPr>
      <w:r>
        <w:rPr>
          <w:rFonts w:ascii="黑体" w:hAnsi="黑体" w:cs="黑体" w:eastAsia="黑体" w:hint="default"/>
          <w:sz w:val="32"/>
          <w:szCs w:val="32"/>
        </w:rPr>
        <w:t>释义</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3539"/>
        <w:gridCol w:w="596"/>
        <w:gridCol w:w="5436"/>
      </w:tblGrid>
      <w:tr>
        <w:trPr>
          <w:trHeight w:val="444"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2"/>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旋极信息、本公司、公司</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left="30"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上海旋极</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上海旋极信息技术有限公司，本公司全资子公司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北京中软金卡信息技术有限公司，本公司全资子公司</w:t>
            </w:r>
          </w:p>
        </w:tc>
      </w:tr>
      <w:tr>
        <w:trPr>
          <w:trHeight w:val="447"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西安西谷</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1"/>
              <w:ind w:left="30"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西安西谷微电子有限责任公司，本公司全资子公司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泰豪智能</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北京泰豪智能工程有限公司，本公司全资子公司</w:t>
            </w:r>
          </w:p>
        </w:tc>
      </w:tr>
      <w:tr>
        <w:trPr>
          <w:trHeight w:val="444"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旋极伏羲</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北京旋极伏羲大数据技术有限公司，本公司控股子公司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赛瑞工信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left="30" w:right="0"/>
              <w:jc w:val="left"/>
              <w:rPr>
                <w:rFonts w:ascii="宋体" w:hAnsi="宋体" w:cs="宋体" w:eastAsia="宋体" w:hint="default"/>
                <w:sz w:val="18"/>
                <w:szCs w:val="18"/>
              </w:rPr>
            </w:pPr>
            <w:r>
              <w:rPr>
                <w:rFonts w:ascii="宋体" w:hAnsi="宋体" w:cs="宋体" w:eastAsia="宋体" w:hint="default"/>
                <w:sz w:val="18"/>
                <w:szCs w:val="18"/>
              </w:rPr>
              <w:t>赛瑞工信科技（北京）有限公司，本公司控股子公司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北京旋极百旺科技有限公司，本公司控股子公司</w:t>
            </w:r>
          </w:p>
        </w:tc>
      </w:tr>
      <w:tr>
        <w:trPr>
          <w:trHeight w:val="161"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北京百旺</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16" w:lineRule="auto" w:before="70"/>
              <w:ind w:left="30" w:right="20"/>
              <w:jc w:val="left"/>
              <w:rPr>
                <w:rFonts w:ascii="宋体" w:hAnsi="宋体" w:cs="宋体" w:eastAsia="宋体" w:hint="default"/>
                <w:sz w:val="18"/>
                <w:szCs w:val="18"/>
              </w:rPr>
            </w:pPr>
            <w:r>
              <w:rPr>
                <w:rFonts w:ascii="宋体" w:hAnsi="宋体" w:cs="宋体" w:eastAsia="宋体" w:hint="default"/>
                <w:spacing w:val="-2"/>
                <w:sz w:val="18"/>
                <w:szCs w:val="18"/>
              </w:rPr>
              <w:t>北京百旺金赋科技有限公司，本公司控股子公司，北京地区税务信息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化产品销售、服务提供商</w:t>
            </w:r>
          </w:p>
        </w:tc>
      </w:tr>
      <w:tr>
        <w:trPr>
          <w:trHeight w:val="437"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vMerge/>
            <w:tcBorders>
              <w:left w:val="single" w:sz="10" w:space="0" w:color="D2D2D2"/>
              <w:right w:val="single" w:sz="4" w:space="0" w:color="000000"/>
            </w:tcBorders>
          </w:tcPr>
          <w:p>
            <w:pPr/>
          </w:p>
        </w:tc>
      </w:tr>
      <w:tr>
        <w:trPr>
          <w:trHeight w:val="161"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百望金赋科技有限公司，旋极百旺控股子公司</w:t>
            </w:r>
          </w:p>
        </w:tc>
      </w:tr>
      <w:tr>
        <w:trPr>
          <w:trHeight w:val="161"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上海百旺</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16" w:lineRule="auto" w:before="71"/>
              <w:ind w:left="30" w:right="20"/>
              <w:jc w:val="left"/>
              <w:rPr>
                <w:rFonts w:ascii="宋体" w:hAnsi="宋体" w:cs="宋体" w:eastAsia="宋体" w:hint="default"/>
                <w:sz w:val="18"/>
                <w:szCs w:val="18"/>
              </w:rPr>
            </w:pPr>
            <w:r>
              <w:rPr>
                <w:rFonts w:ascii="宋体" w:hAnsi="宋体" w:cs="宋体" w:eastAsia="宋体" w:hint="default"/>
                <w:spacing w:val="-2"/>
                <w:sz w:val="18"/>
                <w:szCs w:val="18"/>
              </w:rPr>
              <w:t>上海百旺金赋科技有限公司，百望金赋控股子公司，上海地区税务信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息化产品销售、服务提供商</w:t>
            </w:r>
          </w:p>
        </w:tc>
      </w:tr>
      <w:tr>
        <w:trPr>
          <w:trHeight w:val="437"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vMerge/>
            <w:tcBorders>
              <w:left w:val="single" w:sz="10" w:space="0" w:color="D2D2D2"/>
              <w:right w:val="single" w:sz="4" w:space="0" w:color="000000"/>
            </w:tcBorders>
          </w:tcPr>
          <w:p>
            <w:pPr/>
          </w:p>
        </w:tc>
      </w:tr>
      <w:tr>
        <w:trPr>
          <w:trHeight w:val="161"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161"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泰豪太阳能</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240" w:lineRule="auto" w:before="7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原北京泰豪太阳能科技有限公司，泰豪智能全资子公司，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月已处置。</w:t>
            </w:r>
          </w:p>
        </w:tc>
      </w:tr>
      <w:tr>
        <w:trPr>
          <w:trHeight w:val="434"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vMerge/>
            <w:tcBorders>
              <w:left w:val="single" w:sz="10" w:space="0" w:color="D2D2D2"/>
              <w:right w:val="single" w:sz="4" w:space="0" w:color="000000"/>
            </w:tcBorders>
          </w:tcPr>
          <w:p>
            <w:pPr/>
          </w:p>
        </w:tc>
      </w:tr>
      <w:tr>
        <w:trPr>
          <w:trHeight w:val="161"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泰豪太阳能电源</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left="30" w:right="0"/>
              <w:jc w:val="left"/>
              <w:rPr>
                <w:rFonts w:ascii="宋体" w:hAnsi="宋体" w:cs="宋体" w:eastAsia="宋体" w:hint="default"/>
                <w:sz w:val="18"/>
                <w:szCs w:val="18"/>
              </w:rPr>
            </w:pPr>
            <w:r>
              <w:rPr>
                <w:rFonts w:ascii="宋体" w:hAnsi="宋体" w:cs="宋体" w:eastAsia="宋体" w:hint="default"/>
                <w:sz w:val="18"/>
                <w:szCs w:val="18"/>
              </w:rPr>
              <w:t>北京泰豪太阳能电源技术有限公司，泰豪智能全资子公司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泰豪智慧</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北京泰豪智慧技术股份有限公司，泰豪智能全资子公司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上海信业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上海信业智能科技股份有限公司，泰豪智能全资子公司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泰思特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原陕西西谷泰思特微电子有限公司，西安西谷全资子公司，处置中</w:t>
            </w:r>
          </w:p>
        </w:tc>
      </w:tr>
      <w:tr>
        <w:trPr>
          <w:trHeight w:val="447"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华睿云创</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1"/>
              <w:ind w:left="30" w:right="0"/>
              <w:jc w:val="left"/>
              <w:rPr>
                <w:rFonts w:ascii="宋体" w:hAnsi="宋体" w:cs="宋体" w:eastAsia="宋体" w:hint="default"/>
                <w:sz w:val="18"/>
                <w:szCs w:val="18"/>
              </w:rPr>
            </w:pPr>
            <w:r>
              <w:rPr>
                <w:rFonts w:ascii="宋体" w:hAnsi="宋体" w:cs="宋体" w:eastAsia="宋体" w:hint="default"/>
                <w:sz w:val="18"/>
                <w:szCs w:val="18"/>
              </w:rPr>
              <w:t>西安华睿云创信息技术有限公司，泰思特全资子公司</w:t>
            </w:r>
          </w:p>
        </w:tc>
      </w:tr>
      <w:tr>
        <w:trPr>
          <w:trHeight w:val="444"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沈阳旋飞</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沈阳旋飞航空技术有限公司，本公司参股公司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蓝鲸众合</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left="30" w:right="0"/>
              <w:jc w:val="left"/>
              <w:rPr>
                <w:rFonts w:ascii="宋体" w:hAnsi="宋体" w:cs="宋体" w:eastAsia="宋体" w:hint="default"/>
                <w:sz w:val="18"/>
                <w:szCs w:val="18"/>
              </w:rPr>
            </w:pPr>
            <w:r>
              <w:rPr>
                <w:rFonts w:ascii="宋体" w:hAnsi="宋体" w:cs="宋体" w:eastAsia="宋体" w:hint="default"/>
                <w:sz w:val="18"/>
                <w:szCs w:val="18"/>
              </w:rPr>
              <w:t>北京蓝鲸众合投资管理有限公司，本公司参股公司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中航特装</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南京中航特种装备有限公司，本公司参股公司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拉卡拉信用</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拉卡拉（北京）信用管理有限公司，本公司参股公司</w:t>
            </w: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百望股份有限公司，本公司参股公司</w:t>
            </w:r>
          </w:p>
        </w:tc>
      </w:tr>
      <w:tr>
        <w:trPr>
          <w:trHeight w:val="161" w:hRule="exact"/>
        </w:trPr>
        <w:tc>
          <w:tcPr>
            <w:tcW w:w="3539" w:type="dxa"/>
            <w:vMerge w:val="restart"/>
            <w:tcBorders>
              <w:top w:val="single" w:sz="4" w:space="0" w:color="000000"/>
              <w:left w:val="single" w:sz="4" w:space="0" w:color="000000"/>
              <w:right w:val="single" w:sz="10" w:space="0" w:color="D2D2D2"/>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旋极星源</w:t>
            </w: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0" w:space="0" w:color="D2D2D2"/>
              <w:right w:val="single" w:sz="4" w:space="0" w:color="000000"/>
            </w:tcBorders>
          </w:tcPr>
          <w:p>
            <w:pPr>
              <w:pStyle w:val="TableParagraph"/>
              <w:spacing w:line="316" w:lineRule="auto" w:before="70"/>
              <w:ind w:left="30"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北京旋极星源技术有限公司，原北京爱洁隆技术有限公司，现为本公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司参股公司，公司原计划持股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，目前出资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17.49%</w:t>
            </w:r>
          </w:p>
        </w:tc>
      </w:tr>
      <w:tr>
        <w:trPr>
          <w:trHeight w:val="437" w:hRule="exact"/>
        </w:trPr>
        <w:tc>
          <w:tcPr>
            <w:tcW w:w="3539" w:type="dxa"/>
            <w:vMerge/>
            <w:tcBorders>
              <w:left w:val="single" w:sz="4" w:space="0" w:color="000000"/>
              <w:right w:val="single" w:sz="10" w:space="0" w:color="D2D2D2"/>
            </w:tcBorders>
          </w:tcPr>
          <w:p>
            <w:pPr/>
          </w:p>
        </w:tc>
        <w:tc>
          <w:tcPr>
            <w:tcW w:w="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vMerge/>
            <w:tcBorders>
              <w:left w:val="single" w:sz="10" w:space="0" w:color="D2D2D2"/>
              <w:right w:val="single" w:sz="4" w:space="0" w:color="000000"/>
            </w:tcBorders>
          </w:tcPr>
          <w:p>
            <w:pPr/>
          </w:p>
        </w:tc>
      </w:tr>
      <w:tr>
        <w:trPr>
          <w:trHeight w:val="161" w:hRule="exact"/>
        </w:trPr>
        <w:tc>
          <w:tcPr>
            <w:tcW w:w="3539" w:type="dxa"/>
            <w:vMerge/>
            <w:tcBorders>
              <w:left w:val="single" w:sz="4" w:space="0" w:color="000000"/>
              <w:bottom w:val="single" w:sz="4" w:space="0" w:color="000000"/>
              <w:right w:val="single" w:sz="10" w:space="0" w:color="D2D2D2"/>
            </w:tcBorders>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0" w:space="0" w:color="D2D2D2"/>
              <w:bottom w:val="single" w:sz="4" w:space="0" w:color="000000"/>
              <w:right w:val="single" w:sz="4" w:space="0" w:color="000000"/>
            </w:tcBorders>
          </w:tcPr>
          <w:p>
            <w:pPr/>
          </w:p>
        </w:tc>
      </w:tr>
      <w:tr>
        <w:trPr>
          <w:trHeight w:val="446"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拉卡拉互联网</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0"/>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30" w:right="0"/>
              <w:jc w:val="left"/>
              <w:rPr>
                <w:rFonts w:ascii="宋体" w:hAnsi="宋体" w:cs="宋体" w:eastAsia="宋体" w:hint="default"/>
                <w:sz w:val="18"/>
                <w:szCs w:val="18"/>
              </w:rPr>
            </w:pPr>
            <w:r>
              <w:rPr>
                <w:rFonts w:ascii="宋体" w:hAnsi="宋体" w:cs="宋体" w:eastAsia="宋体" w:hint="default"/>
                <w:sz w:val="18"/>
                <w:szCs w:val="18"/>
              </w:rPr>
              <w:t>北京拉卡拉互联网产业投资基金（有限合伙</w:t>
            </w:r>
            <w:r>
              <w:rPr>
                <w:rFonts w:ascii="宋体" w:hAnsi="宋体" w:cs="宋体" w:eastAsia="宋体" w:hint="default"/>
                <w:spacing w:val="-92"/>
                <w:sz w:val="18"/>
                <w:szCs w:val="18"/>
              </w:rPr>
              <w:t>）</w:t>
            </w:r>
            <w:r>
              <w:rPr>
                <w:rFonts w:ascii="宋体" w:hAnsi="宋体" w:cs="宋体" w:eastAsia="宋体" w:hint="default"/>
                <w:sz w:val="18"/>
                <w:szCs w:val="18"/>
              </w:rPr>
              <w:t>，本公司参股</w:t>
            </w:r>
            <w:r>
              <w:rPr>
                <w:rFonts w:ascii="宋体" w:hAnsi="宋体" w:cs="宋体" w:eastAsia="宋体" w:hint="default"/>
                <w:spacing w:val="2"/>
                <w:sz w:val="18"/>
                <w:szCs w:val="18"/>
              </w:rPr>
              <w:t>公</w:t>
            </w:r>
            <w:r>
              <w:rPr>
                <w:rFonts w:ascii="宋体" w:hAnsi="宋体" w:cs="宋体" w:eastAsia="宋体" w:hint="default"/>
                <w:sz w:val="18"/>
                <w:szCs w:val="18"/>
              </w:rPr>
              <w:t>司</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527"/>
        <w:gridCol w:w="619"/>
        <w:gridCol w:w="5425"/>
      </w:tblGrid>
      <w:tr>
        <w:trPr>
          <w:trHeight w:val="44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江海通讯</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苏州市江海通讯发展实业有限公司，本公司参股公司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航星中云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北京航星中云科技有限公司，本公司参股公司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中关村银行</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北京中关村银行股份有限公司，本公司参股公司</w:t>
            </w:r>
          </w:p>
        </w:tc>
      </w:tr>
      <w:tr>
        <w:trPr>
          <w:trHeight w:val="444"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华控产业基金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北京华控产业投资基金（有限合伙</w:t>
            </w:r>
            <w:r>
              <w:rPr>
                <w:rFonts w:ascii="宋体" w:hAnsi="宋体" w:cs="宋体" w:eastAsia="宋体" w:hint="default"/>
                <w:spacing w:val="-92"/>
                <w:sz w:val="18"/>
                <w:szCs w:val="18"/>
              </w:rPr>
              <w:t>）</w:t>
            </w:r>
            <w:r>
              <w:rPr>
                <w:rFonts w:ascii="宋体" w:hAnsi="宋体" w:cs="宋体" w:eastAsia="宋体" w:hint="default"/>
                <w:sz w:val="18"/>
                <w:szCs w:val="18"/>
              </w:rPr>
              <w:t>，本公司参股公司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都在哪智慧</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北京都在哪智慧城市科技有限公司，旋极伏羲参股公司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湘潭创新</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湘潭创新智慧私募股权基金（有限合伙</w:t>
            </w:r>
            <w:r>
              <w:rPr>
                <w:rFonts w:ascii="宋体" w:hAnsi="宋体" w:cs="宋体" w:eastAsia="宋体" w:hint="default"/>
                <w:spacing w:val="-92"/>
                <w:sz w:val="18"/>
                <w:szCs w:val="18"/>
              </w:rPr>
              <w:t>）</w:t>
            </w:r>
            <w:r>
              <w:rPr>
                <w:rFonts w:ascii="宋体" w:hAnsi="宋体" w:cs="宋体" w:eastAsia="宋体" w:hint="default"/>
                <w:sz w:val="18"/>
                <w:szCs w:val="18"/>
              </w:rPr>
              <w:t>，泰豪智能参股公司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湘潭智城</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湘潭智城联合信息科技有限公司，泰豪智能参股公司</w:t>
            </w:r>
          </w:p>
        </w:tc>
      </w:tr>
      <w:tr>
        <w:trPr>
          <w:trHeight w:val="44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蓝图清创</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厦门蓝图清创投资管理合伙企业（有限合伙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，泰豪智能参</w:t>
            </w:r>
            <w:r>
              <w:rPr>
                <w:rFonts w:ascii="宋体" w:hAnsi="宋体" w:cs="宋体" w:eastAsia="宋体" w:hint="default"/>
                <w:spacing w:val="2"/>
                <w:sz w:val="18"/>
                <w:szCs w:val="18"/>
              </w:rPr>
              <w:t>股</w:t>
            </w:r>
            <w:r>
              <w:rPr>
                <w:rFonts w:ascii="宋体" w:hAnsi="宋体" w:cs="宋体" w:eastAsia="宋体" w:hint="default"/>
                <w:sz w:val="18"/>
                <w:szCs w:val="18"/>
              </w:rPr>
              <w:t>公司</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清创华元</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厦门清创华元投资合伙企业（有限合伙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，泰豪智能参股公司</w:t>
            </w:r>
          </w:p>
        </w:tc>
      </w:tr>
      <w:tr>
        <w:trPr>
          <w:trHeight w:val="444"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旋极拉卡拉</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北京旋极拉卡拉信息技术有限公司，本公司联营公司</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6" w:right="20"/>
              <w:jc w:val="left"/>
              <w:rPr>
                <w:rFonts w:ascii="宋体" w:hAnsi="宋体" w:cs="宋体" w:eastAsia="宋体" w:hint="default"/>
                <w:sz w:val="18"/>
                <w:szCs w:val="18"/>
              </w:rPr>
            </w:pPr>
            <w:r>
              <w:rPr>
                <w:rFonts w:ascii="宋体" w:hAnsi="宋体" w:cs="宋体" w:eastAsia="宋体" w:hint="default"/>
                <w:spacing w:val="-2"/>
                <w:sz w:val="18"/>
                <w:szCs w:val="18"/>
              </w:rPr>
              <w:t>北京中天涌慧投资咨询有限公司，本公司设立时发起人之一，本公司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控股股东、实际控制人陈江涛先生持有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88.89%</w:t>
            </w:r>
            <w:r>
              <w:rPr>
                <w:rFonts w:ascii="宋体" w:hAnsi="宋体" w:cs="宋体" w:eastAsia="宋体" w:hint="default"/>
                <w:sz w:val="18"/>
                <w:szCs w:val="18"/>
              </w:rPr>
              <w:t>股权</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汇达基金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北京汇达高新投资基金中心（有限合伙</w:t>
            </w:r>
            <w:r>
              <w:rPr>
                <w:rFonts w:ascii="宋体" w:hAnsi="宋体" w:cs="宋体" w:eastAsia="宋体" w:hint="default"/>
                <w:spacing w:val="-92"/>
                <w:sz w:val="18"/>
                <w:szCs w:val="18"/>
              </w:rPr>
              <w:t>）</w:t>
            </w:r>
            <w:r>
              <w:rPr>
                <w:rFonts w:ascii="宋体" w:hAnsi="宋体" w:cs="宋体" w:eastAsia="宋体" w:hint="default"/>
                <w:sz w:val="18"/>
                <w:szCs w:val="18"/>
              </w:rPr>
              <w:t>，陈江涛先生一致</w:t>
            </w:r>
            <w:r>
              <w:rPr>
                <w:rFonts w:ascii="宋体" w:hAnsi="宋体" w:cs="宋体" w:eastAsia="宋体" w:hint="default"/>
                <w:spacing w:val="2"/>
                <w:sz w:val="18"/>
                <w:szCs w:val="18"/>
              </w:rPr>
              <w:t>行</w:t>
            </w:r>
            <w:r>
              <w:rPr>
                <w:rFonts w:ascii="宋体" w:hAnsi="宋体" w:cs="宋体" w:eastAsia="宋体" w:hint="default"/>
                <w:sz w:val="18"/>
                <w:szCs w:val="18"/>
              </w:rPr>
              <w:t>动人</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新余京达</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新余京达投资管理中心（有限合伙</w:t>
            </w:r>
            <w:r>
              <w:rPr>
                <w:rFonts w:ascii="宋体" w:hAnsi="宋体" w:cs="宋体" w:eastAsia="宋体" w:hint="default"/>
                <w:spacing w:val="-92"/>
                <w:sz w:val="18"/>
                <w:szCs w:val="18"/>
              </w:rPr>
              <w:t>）</w:t>
            </w:r>
            <w:r>
              <w:rPr>
                <w:rFonts w:ascii="宋体" w:hAnsi="宋体" w:cs="宋体" w:eastAsia="宋体" w:hint="default"/>
                <w:sz w:val="18"/>
                <w:szCs w:val="18"/>
              </w:rPr>
              <w:t>，陈江涛先生一致行动人</w:t>
            </w:r>
          </w:p>
        </w:tc>
      </w:tr>
      <w:tr>
        <w:trPr>
          <w:trHeight w:val="107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嵌入式系统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6" w:right="17"/>
              <w:jc w:val="both"/>
              <w:rPr>
                <w:rFonts w:ascii="宋体" w:hAnsi="宋体" w:cs="宋体" w:eastAsia="宋体" w:hint="default"/>
                <w:sz w:val="18"/>
                <w:szCs w:val="18"/>
              </w:rPr>
            </w:pPr>
            <w:r>
              <w:rPr>
                <w:rFonts w:ascii="宋体" w:hAnsi="宋体" w:cs="宋体" w:eastAsia="宋体" w:hint="default"/>
                <w:spacing w:val="-2"/>
                <w:sz w:val="18"/>
                <w:szCs w:val="18"/>
              </w:rPr>
              <w:t>以应用为中心，以计算机技术为基础，并且软硬件可裁剪，适用于应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用环境中，对功能、可靠性、成本、体积、功耗有严格要求的专用计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算机系统。</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嵌入式软件</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5"/>
              <w:jc w:val="left"/>
              <w:rPr>
                <w:rFonts w:ascii="宋体" w:hAnsi="宋体" w:cs="宋体" w:eastAsia="宋体" w:hint="default"/>
                <w:sz w:val="18"/>
                <w:szCs w:val="18"/>
              </w:rPr>
            </w:pPr>
            <w:r>
              <w:rPr>
                <w:rFonts w:ascii="宋体" w:hAnsi="宋体" w:cs="宋体" w:eastAsia="宋体" w:hint="default"/>
                <w:spacing w:val="-1"/>
                <w:sz w:val="18"/>
                <w:szCs w:val="18"/>
              </w:rPr>
              <w:t>基于嵌入式系统设计的软件，可细分成系统软件、支撑软件、应用软</w:t>
            </w:r>
            <w:r>
              <w:rPr>
                <w:rFonts w:ascii="宋体" w:hAnsi="宋体" w:cs="宋体" w:eastAsia="宋体" w:hint="default"/>
                <w:sz w:val="18"/>
                <w:szCs w:val="18"/>
              </w:rPr>
              <w:t> 件三类。</w:t>
            </w:r>
          </w:p>
        </w:tc>
      </w:tr>
      <w:tr>
        <w:trPr>
          <w:trHeight w:val="75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left"/>
              <w:rPr>
                <w:rFonts w:ascii="宋体" w:hAnsi="宋体" w:cs="宋体" w:eastAsia="宋体" w:hint="default"/>
                <w:sz w:val="18"/>
                <w:szCs w:val="18"/>
              </w:rPr>
            </w:pPr>
            <w:r>
              <w:rPr>
                <w:rFonts w:ascii="宋体" w:hAnsi="宋体" w:cs="宋体" w:eastAsia="宋体" w:hint="default"/>
                <w:spacing w:val="-2"/>
                <w:sz w:val="18"/>
                <w:szCs w:val="18"/>
              </w:rPr>
              <w:t>通过构建一个系统环境对嵌入式系统进行的测试，包括对构成嵌入式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系统一部分的软件、硬件和整个系统的测试。</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仿真测试</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6" w:right="-12"/>
              <w:jc w:val="left"/>
              <w:rPr>
                <w:rFonts w:ascii="宋体" w:hAnsi="宋体" w:cs="宋体" w:eastAsia="宋体" w:hint="default"/>
                <w:sz w:val="18"/>
                <w:szCs w:val="18"/>
              </w:rPr>
            </w:pPr>
            <w:r>
              <w:rPr>
                <w:rFonts w:ascii="宋体" w:hAnsi="宋体" w:cs="宋体" w:eastAsia="宋体" w:hint="default"/>
                <w:sz w:val="18"/>
                <w:szCs w:val="18"/>
              </w:rPr>
              <w:t>模拟软件的真实使用环境，软件配置到真实的使用状态进行的测试， 一般发生在产品交付使用前。</w:t>
            </w:r>
          </w:p>
        </w:tc>
      </w:tr>
      <w:tr>
        <w:trPr>
          <w:trHeight w:val="107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故障注入</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6" w:right="15"/>
              <w:jc w:val="both"/>
              <w:rPr>
                <w:rFonts w:ascii="宋体" w:hAnsi="宋体" w:cs="宋体" w:eastAsia="宋体" w:hint="default"/>
                <w:sz w:val="18"/>
                <w:szCs w:val="18"/>
              </w:rPr>
            </w:pPr>
            <w:r>
              <w:rPr>
                <w:rFonts w:ascii="宋体" w:hAnsi="宋体" w:cs="宋体" w:eastAsia="宋体" w:hint="default"/>
                <w:spacing w:val="-2"/>
                <w:sz w:val="18"/>
                <w:szCs w:val="18"/>
              </w:rPr>
              <w:t>一种可靠性验证技术，通过受控实验向系统中刻意引入故障，并观察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系统中存在故障时的行为，一般分为：基于硬件的故障注入、基于软</w:t>
            </w:r>
            <w:r>
              <w:rPr>
                <w:rFonts w:ascii="宋体" w:hAnsi="宋体" w:cs="宋体" w:eastAsia="宋体" w:hint="default"/>
                <w:sz w:val="18"/>
                <w:szCs w:val="18"/>
              </w:rPr>
              <w:t> 件的故障注入以及基于仿真的故障注入。</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多用途航电中继系统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6" w:right="-12"/>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MARS-Multipurpose</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3"/>
                <w:w w:val="99"/>
                <w:sz w:val="18"/>
                <w:szCs w:val="18"/>
              </w:rPr>
              <w:t>Avionics</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Relay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，基于高速光纤通信的航</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电中继技术是用来在分立实验室之间实现远程互联的航电中继网络。</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航电系统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20"/>
              <w:jc w:val="left"/>
              <w:rPr>
                <w:rFonts w:ascii="宋体" w:hAnsi="宋体" w:cs="宋体" w:eastAsia="宋体" w:hint="default"/>
                <w:sz w:val="18"/>
                <w:szCs w:val="18"/>
              </w:rPr>
            </w:pPr>
            <w:r>
              <w:rPr>
                <w:rFonts w:ascii="宋体" w:hAnsi="宋体" w:cs="宋体" w:eastAsia="宋体" w:hint="default"/>
                <w:spacing w:val="-2"/>
                <w:sz w:val="18"/>
                <w:szCs w:val="18"/>
              </w:rPr>
              <w:t>飞机上所有电子系统的总和，一个最基本的航空电子系统由通信、导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航和显示管理等多个系统构成。</w:t>
            </w:r>
          </w:p>
        </w:tc>
      </w:tr>
      <w:tr>
        <w:trPr>
          <w:trHeight w:val="138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航电总线协议</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0"/>
              <w:ind w:left="26" w:right="17"/>
              <w:jc w:val="left"/>
              <w:rPr>
                <w:rFonts w:ascii="宋体" w:hAnsi="宋体" w:cs="宋体" w:eastAsia="宋体" w:hint="default"/>
                <w:sz w:val="18"/>
                <w:szCs w:val="18"/>
              </w:rPr>
            </w:pPr>
            <w:r>
              <w:rPr>
                <w:rFonts w:ascii="宋体" w:hAnsi="宋体" w:cs="宋体" w:eastAsia="宋体" w:hint="default"/>
                <w:spacing w:val="-2"/>
                <w:sz w:val="18"/>
                <w:szCs w:val="18"/>
              </w:rPr>
              <w:t>航空电子领域总线传输协议的统称，主要应用在航空、航天领域，目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前主要的航电总线协议有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MIL-STD-1553B</w:t>
            </w:r>
            <w:r>
              <w:rPr>
                <w:rFonts w:ascii="宋体" w:hAnsi="宋体" w:cs="宋体" w:eastAsia="宋体" w:hint="default"/>
                <w:sz w:val="18"/>
                <w:szCs w:val="18"/>
              </w:rPr>
              <w:t>、</w:t>
            </w:r>
            <w:r>
              <w:rPr>
                <w:rFonts w:ascii="Times New Roman" w:hAnsi="Times New Roman" w:cs="Times New Roman" w:eastAsia="Times New Roman" w:hint="default"/>
                <w:sz w:val="18"/>
                <w:szCs w:val="18"/>
              </w:rPr>
              <w:t>ARINC429</w:t>
            </w:r>
            <w:r>
              <w:rPr>
                <w:rFonts w:ascii="宋体" w:hAnsi="宋体" w:cs="宋体" w:eastAsia="宋体" w:hint="default"/>
                <w:sz w:val="18"/>
                <w:szCs w:val="18"/>
              </w:rPr>
              <w:t>，另外</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AFDX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是新兴的高速航电总线协议，用在一些新型航空航天系统</w:t>
            </w:r>
            <w:r>
              <w:rPr>
                <w:rFonts w:ascii="宋体" w:hAnsi="宋体" w:cs="宋体" w:eastAsia="宋体" w:hint="default"/>
                <w:w w:val="99"/>
                <w:sz w:val="18"/>
                <w:szCs w:val="18"/>
              </w:rPr>
              <w:t> </w:t>
            </w:r>
            <w:r>
              <w:rPr>
                <w:rFonts w:ascii="宋体" w:hAnsi="宋体" w:cs="宋体" w:eastAsia="宋体" w:hint="default"/>
                <w:sz w:val="18"/>
                <w:szCs w:val="18"/>
              </w:rPr>
              <w:t>中。</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检测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pacing w:val="-2"/>
                <w:sz w:val="18"/>
                <w:szCs w:val="18"/>
              </w:rPr>
              <w:t>利用标准仪器设备，根据指定的测试方法，在实验室或现场对产品的</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527"/>
        <w:gridCol w:w="619"/>
        <w:gridCol w:w="5425"/>
      </w:tblGrid>
      <w:tr>
        <w:trPr>
          <w:trHeight w:val="384" w:hRule="exact"/>
        </w:trPr>
        <w:tc>
          <w:tcPr>
            <w:tcW w:w="352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物理性能或化学成分进行测量和出具检测报告</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认证</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left"/>
              <w:rPr>
                <w:rFonts w:ascii="宋体" w:hAnsi="宋体" w:cs="宋体" w:eastAsia="宋体" w:hint="default"/>
                <w:sz w:val="18"/>
                <w:szCs w:val="18"/>
              </w:rPr>
            </w:pPr>
            <w:r>
              <w:rPr>
                <w:rFonts w:ascii="宋体" w:hAnsi="宋体" w:cs="宋体" w:eastAsia="宋体" w:hint="default"/>
                <w:spacing w:val="-2"/>
                <w:sz w:val="18"/>
                <w:szCs w:val="18"/>
              </w:rPr>
              <w:t>由认证机构证明产品、服务、管理体系符合相关技术规范的强制性要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求或标准的合格评定活动</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认可</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left"/>
              <w:rPr>
                <w:rFonts w:ascii="宋体" w:hAnsi="宋体" w:cs="宋体" w:eastAsia="宋体" w:hint="default"/>
                <w:sz w:val="18"/>
                <w:szCs w:val="18"/>
              </w:rPr>
            </w:pPr>
            <w:r>
              <w:rPr>
                <w:rFonts w:ascii="宋体" w:hAnsi="宋体" w:cs="宋体" w:eastAsia="宋体" w:hint="default"/>
                <w:spacing w:val="-2"/>
                <w:sz w:val="18"/>
                <w:szCs w:val="18"/>
              </w:rPr>
              <w:t>由认可机构对认证机构、检查机构、实验室以及从事评审、审核等认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证活动人员的能力和执业资格，予以承认的合格评定活动</w:t>
            </w:r>
          </w:p>
        </w:tc>
      </w:tr>
      <w:tr>
        <w:trPr>
          <w:trHeight w:val="106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装备健康管理</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2"/>
              <w:jc w:val="both"/>
              <w:rPr>
                <w:rFonts w:ascii="宋体" w:hAnsi="宋体" w:cs="宋体" w:eastAsia="宋体" w:hint="default"/>
                <w:sz w:val="18"/>
                <w:szCs w:val="18"/>
              </w:rPr>
            </w:pPr>
            <w:r>
              <w:rPr>
                <w:rFonts w:ascii="宋体" w:hAnsi="宋体" w:cs="宋体" w:eastAsia="宋体" w:hint="default"/>
                <w:spacing w:val="-2"/>
                <w:sz w:val="18"/>
                <w:szCs w:val="18"/>
              </w:rPr>
              <w:t>一种新的装备维保管理模式和手段，通过分析装备健康状态的影响因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素，紧密结合状态监测、维修、使用和环境等信息，对装备健康状态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进行评估、预测和管理，并基于装备的健康状态合理选择维保策略。</w:t>
            </w:r>
          </w:p>
        </w:tc>
      </w:tr>
      <w:tr>
        <w:trPr>
          <w:trHeight w:val="107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PHM</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3"/>
              <w:ind w:left="2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Prognosties and Health Management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的英文缩写，预测与健康管理技术</w:t>
            </w:r>
            <w:r>
              <w:rPr>
                <w:rFonts w:ascii="宋体" w:hAnsi="宋体" w:cs="宋体" w:eastAsia="宋体" w:hint="default"/>
                <w:sz w:val="18"/>
                <w:szCs w:val="18"/>
              </w:rPr>
              <w:t> 是综合利用现代信息技术、</w:t>
            </w:r>
            <w:r>
              <w:rPr>
                <w:rFonts w:ascii="宋体" w:hAnsi="宋体" w:cs="宋体" w:eastAsia="宋体" w:hint="default"/>
                <w:spacing w:val="1"/>
                <w:sz w:val="18"/>
                <w:szCs w:val="18"/>
              </w:rPr>
              <w:t> </w:t>
            </w:r>
            <w:r>
              <w:rPr>
                <w:rFonts w:ascii="宋体" w:hAnsi="宋体" w:cs="宋体" w:eastAsia="宋体" w:hint="default"/>
                <w:sz w:val="18"/>
                <w:szCs w:val="18"/>
              </w:rPr>
              <w:t>人工智能技术的最新研究成果而提出的</w:t>
            </w:r>
            <w:r>
              <w:rPr>
                <w:rFonts w:ascii="宋体" w:hAnsi="宋体" w:cs="宋体" w:eastAsia="宋体" w:hint="default"/>
                <w:sz w:val="18"/>
                <w:szCs w:val="18"/>
              </w:rPr>
              <w:t> 一种全新的管理健康状态的技术。</w:t>
            </w:r>
          </w:p>
        </w:tc>
      </w:tr>
      <w:tr>
        <w:trPr>
          <w:trHeight w:val="200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自组网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6" w:right="-12"/>
              <w:jc w:val="both"/>
              <w:rPr>
                <w:rFonts w:ascii="宋体" w:hAnsi="宋体" w:cs="宋体" w:eastAsia="宋体" w:hint="default"/>
                <w:sz w:val="18"/>
                <w:szCs w:val="18"/>
              </w:rPr>
            </w:pPr>
            <w:r>
              <w:rPr>
                <w:rFonts w:ascii="宋体" w:hAnsi="宋体" w:cs="宋体" w:eastAsia="宋体" w:hint="default"/>
                <w:sz w:val="18"/>
                <w:szCs w:val="18"/>
              </w:rPr>
              <w:t>是基于</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技术和末端自组网技术的区域通信指挥系统，实现下车人</w:t>
            </w:r>
            <w:r>
              <w:rPr>
                <w:rFonts w:ascii="宋体" w:hAnsi="宋体" w:cs="宋体" w:eastAsia="宋体" w:hint="default"/>
                <w:sz w:val="18"/>
                <w:szCs w:val="18"/>
              </w:rPr>
              <w:t> 员之间、下车人员与车上人员或上级进行无线话音通信和数据通信。 </w:t>
            </w:r>
            <w:r>
              <w:rPr>
                <w:rFonts w:ascii="宋体" w:hAnsi="宋体" w:cs="宋体" w:eastAsia="宋体" w:hint="default"/>
                <w:spacing w:val="-2"/>
                <w:sz w:val="18"/>
                <w:szCs w:val="18"/>
              </w:rPr>
              <w:t>融合了专业语言集群、视频调度、多方视频会议、数据传输、北斗定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位及末端自组网通信等多项业务，具有核心器件国产化、可靠性高、 保密性好、吞吐量大、时延低等特点。可保障指挥信息适时、准确、 安全、不间断的传输。</w:t>
            </w:r>
          </w:p>
        </w:tc>
      </w:tr>
      <w:tr>
        <w:trPr>
          <w:trHeight w:val="107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时空大数据</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6" w:right="17"/>
              <w:jc w:val="both"/>
              <w:rPr>
                <w:rFonts w:ascii="宋体" w:hAnsi="宋体" w:cs="宋体" w:eastAsia="宋体" w:hint="default"/>
                <w:sz w:val="18"/>
                <w:szCs w:val="18"/>
              </w:rPr>
            </w:pPr>
            <w:r>
              <w:rPr>
                <w:rFonts w:ascii="宋体" w:hAnsi="宋体" w:cs="宋体" w:eastAsia="宋体" w:hint="default"/>
                <w:spacing w:val="-2"/>
                <w:sz w:val="18"/>
                <w:szCs w:val="18"/>
              </w:rPr>
              <w:t>指同时具有时间和空间维度的数据，现实世界中的数据超过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与地 </w:t>
            </w:r>
            <w:r>
              <w:rPr>
                <w:rFonts w:ascii="宋体" w:hAnsi="宋体" w:cs="宋体" w:eastAsia="宋体" w:hint="default"/>
                <w:spacing w:val="-2"/>
                <w:sz w:val="18"/>
                <w:szCs w:val="18"/>
              </w:rPr>
              <w:t>理位置有关。时空大数据包括时间、空间、专题属性三维信息，具有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多源、海量、更新快速的综合特点。</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20"/>
              <w:jc w:val="left"/>
              <w:rPr>
                <w:rFonts w:ascii="宋体" w:hAnsi="宋体" w:cs="宋体" w:eastAsia="宋体" w:hint="default"/>
                <w:sz w:val="18"/>
                <w:szCs w:val="18"/>
              </w:rPr>
            </w:pPr>
            <w:r>
              <w:rPr>
                <w:rFonts w:ascii="宋体" w:hAnsi="宋体" w:cs="宋体" w:eastAsia="宋体" w:hint="default"/>
                <w:spacing w:val="-2"/>
                <w:sz w:val="18"/>
                <w:szCs w:val="18"/>
              </w:rPr>
              <w:t>基于互联网相关服务的增加、使用和交付模式，通常涉及通过互联网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来提供动态易扩展且经常是虚拟化的资源。</w:t>
            </w:r>
          </w:p>
        </w:tc>
      </w:tr>
      <w:tr>
        <w:trPr>
          <w:trHeight w:val="75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税务信息化产品</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68"/>
              <w:jc w:val="left"/>
              <w:rPr>
                <w:rFonts w:ascii="宋体" w:hAnsi="宋体" w:cs="宋体" w:eastAsia="宋体" w:hint="default"/>
                <w:sz w:val="18"/>
                <w:szCs w:val="18"/>
              </w:rPr>
            </w:pPr>
            <w:r>
              <w:rPr>
                <w:rFonts w:ascii="宋体" w:hAnsi="宋体" w:cs="宋体" w:eastAsia="宋体" w:hint="default"/>
                <w:sz w:val="18"/>
                <w:szCs w:val="18"/>
              </w:rPr>
              <w:t>税务部门安装在企业公司的专门用来监督企业公司发票开具领取作 废等使用情况的设备，同时可以有效监督企业公司申报纳税情况。</w:t>
            </w:r>
          </w:p>
        </w:tc>
      </w:tr>
      <w:tr>
        <w:trPr>
          <w:trHeight w:val="106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税务信息化服务器</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left"/>
              <w:rPr>
                <w:rFonts w:ascii="宋体" w:hAnsi="宋体" w:cs="宋体" w:eastAsia="宋体" w:hint="default"/>
                <w:sz w:val="18"/>
                <w:szCs w:val="18"/>
              </w:rPr>
            </w:pPr>
            <w:r>
              <w:rPr>
                <w:rFonts w:ascii="宋体" w:hAnsi="宋体" w:cs="宋体" w:eastAsia="宋体" w:hint="default"/>
                <w:sz w:val="18"/>
                <w:szCs w:val="18"/>
              </w:rPr>
              <w:t>税务部门安装在金融保险等行业大中型企业公司专门用来监督其发 </w:t>
            </w:r>
            <w:r>
              <w:rPr>
                <w:rFonts w:ascii="宋体" w:hAnsi="宋体" w:cs="宋体" w:eastAsia="宋体" w:hint="default"/>
                <w:spacing w:val="-2"/>
                <w:sz w:val="18"/>
                <w:szCs w:val="18"/>
              </w:rPr>
              <w:t>票开具领取作废等使用情况的税控专用服务器设备，同时可以有效监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督其申报纳税情况。</w:t>
            </w:r>
          </w:p>
        </w:tc>
      </w:tr>
      <w:tr>
        <w:trPr>
          <w:trHeight w:val="138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6" w:right="-12"/>
              <w:jc w:val="both"/>
              <w:rPr>
                <w:rFonts w:ascii="宋体" w:hAnsi="宋体" w:cs="宋体" w:eastAsia="宋体" w:hint="default"/>
                <w:sz w:val="18"/>
                <w:szCs w:val="18"/>
              </w:rPr>
            </w:pPr>
            <w:r>
              <w:rPr>
                <w:rFonts w:ascii="宋体" w:hAnsi="宋体" w:cs="宋体" w:eastAsia="宋体" w:hint="default"/>
                <w:spacing w:val="-2"/>
                <w:sz w:val="18"/>
                <w:szCs w:val="18"/>
              </w:rPr>
              <w:t>充分运用物联网、云计算等先进信息技术手段，全面感测、分析、整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合城市运行中的各项关键信息，通过提供智能化的服务，使城市的管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理和服务更有效，为城市工商业活动和市民提供人与社会、人与人、 人与物和谐共处的环境。</w:t>
            </w:r>
          </w:p>
        </w:tc>
      </w:tr>
      <w:tr>
        <w:trPr>
          <w:trHeight w:val="1382"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建筑智能化工程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left"/>
              <w:rPr>
                <w:rFonts w:ascii="宋体" w:hAnsi="宋体" w:cs="宋体" w:eastAsia="宋体" w:hint="default"/>
                <w:sz w:val="18"/>
                <w:szCs w:val="18"/>
              </w:rPr>
            </w:pPr>
            <w:r>
              <w:rPr>
                <w:rFonts w:ascii="宋体" w:hAnsi="宋体" w:cs="宋体" w:eastAsia="宋体" w:hint="default"/>
                <w:sz w:val="18"/>
                <w:szCs w:val="18"/>
              </w:rPr>
              <w:t>是以综合布线为基本传输媒质，以计算机网络为主要通信和控制手 </w:t>
            </w:r>
            <w:r>
              <w:rPr>
                <w:rFonts w:ascii="宋体" w:hAnsi="宋体" w:cs="宋体" w:eastAsia="宋体" w:hint="default"/>
                <w:spacing w:val="-2"/>
                <w:sz w:val="18"/>
                <w:szCs w:val="18"/>
              </w:rPr>
              <w:t>段，对建筑通信网络系统、办公自动化系统、建筑设备系统、安全防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范系统等所有功能系统，通过系统集成形成了一个自动控制和管理的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综合建筑环境。</w:t>
            </w:r>
          </w:p>
        </w:tc>
      </w:tr>
      <w:tr>
        <w:trPr>
          <w:trHeight w:val="138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6" w:right="18"/>
              <w:jc w:val="both"/>
              <w:rPr>
                <w:rFonts w:ascii="宋体" w:hAnsi="宋体" w:cs="宋体" w:eastAsia="宋体" w:hint="default"/>
                <w:sz w:val="18"/>
                <w:szCs w:val="18"/>
              </w:rPr>
            </w:pPr>
            <w:r>
              <w:rPr>
                <w:rFonts w:ascii="宋体" w:hAnsi="宋体" w:cs="宋体" w:eastAsia="宋体" w:hint="default"/>
                <w:spacing w:val="-2"/>
                <w:sz w:val="18"/>
                <w:szCs w:val="18"/>
              </w:rPr>
              <w:t>是以建筑物为平台，兼备信息设施系统、信息化应用系统、建筑设备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管理系统、公共安全系统等，集结构、系统、服务、管理及其优化组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合为一体，向人们提供安全、高效、便捷、节能、环保、健康的建筑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环境。</w:t>
            </w:r>
          </w:p>
        </w:tc>
      </w:tr>
    </w:tbl>
    <w:p>
      <w:pPr>
        <w:spacing w:after="0" w:line="319" w:lineRule="auto"/>
        <w:jc w:val="both"/>
        <w:rPr>
          <w:rFonts w:ascii="宋体" w:hAnsi="宋体" w:cs="宋体" w:eastAsia="宋体" w:hint="default"/>
          <w:sz w:val="18"/>
          <w:szCs w:val="18"/>
        </w:rPr>
        <w:sectPr>
          <w:pgSz w:w="11910" w:h="16840"/>
          <w:pgMar w:header="882" w:footer="1132" w:top="1280" w:bottom="13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before="44"/>
        <w:ind w:left="0" w:right="184" w:firstLine="0"/>
        <w:jc w:val="right"/>
        <w:rPr>
          <w:rFonts w:ascii="宋体" w:hAnsi="宋体" w:cs="宋体" w:eastAsia="宋体" w:hint="default"/>
          <w:sz w:val="18"/>
          <w:szCs w:val="18"/>
        </w:rPr>
      </w:pPr>
      <w:r>
        <w:rPr/>
        <w:pict>
          <v:shape style="position:absolute;margin-left:54.959999pt;margin-top:-177.898285pt;width:479.3pt;height:392.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7"/>
                    <w:gridCol w:w="619"/>
                    <w:gridCol w:w="5425"/>
                  </w:tblGrid>
                  <w:tr>
                    <w:trPr>
                      <w:trHeight w:val="138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智慧能源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6" w:right="17"/>
                          <w:jc w:val="both"/>
                          <w:rPr>
                            <w:rFonts w:ascii="宋体" w:hAnsi="宋体" w:cs="宋体" w:eastAsia="宋体" w:hint="default"/>
                            <w:sz w:val="18"/>
                            <w:szCs w:val="18"/>
                          </w:rPr>
                        </w:pPr>
                        <w:r>
                          <w:rPr>
                            <w:rFonts w:ascii="宋体" w:hAnsi="宋体" w:cs="宋体" w:eastAsia="宋体" w:hint="default"/>
                            <w:spacing w:val="-2"/>
                            <w:sz w:val="18"/>
                            <w:szCs w:val="18"/>
                          </w:rPr>
                          <w:t>智慧能源就是充分开发人类的智力和能力，通过不断技术创新和制度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变革，在能源开发利用、生产消费的全过程和各环节融汇人类独有的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智慧，建立和完善符合生态文明和可持续发展要求的能源技术和能源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制度体系，从而呈现出的一种全新能源形式。</w:t>
                        </w:r>
                      </w:p>
                    </w:tc>
                  </w:tr>
                  <w:tr>
                    <w:trPr>
                      <w:trHeight w:val="1070"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8"/>
                          <w:jc w:val="both"/>
                          <w:rPr>
                            <w:rFonts w:ascii="宋体" w:hAnsi="宋体" w:cs="宋体" w:eastAsia="宋体" w:hint="default"/>
                            <w:sz w:val="18"/>
                            <w:szCs w:val="18"/>
                          </w:rPr>
                        </w:pPr>
                        <w:r>
                          <w:rPr>
                            <w:rFonts w:ascii="宋体" w:hAnsi="宋体" w:cs="宋体" w:eastAsia="宋体" w:hint="default"/>
                            <w:spacing w:val="-2"/>
                            <w:sz w:val="18"/>
                            <w:szCs w:val="18"/>
                          </w:rPr>
                          <w:t>将物联网、云计算为代表的智能传感技术、信息网络技术、通信传输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技术和数据处理技术等有效地集成，并运用到整个交通系统中，在更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大的时空范围内发挥作用的综合交通体系。</w:t>
                        </w:r>
                      </w:p>
                    </w:tc>
                  </w:tr>
                  <w:tr>
                    <w:trPr>
                      <w:trHeight w:val="75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分布式光伏发电</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2"/>
                          <w:jc w:val="left"/>
                          <w:rPr>
                            <w:rFonts w:ascii="宋体" w:hAnsi="宋体" w:cs="宋体" w:eastAsia="宋体" w:hint="default"/>
                            <w:sz w:val="18"/>
                            <w:szCs w:val="18"/>
                          </w:rPr>
                        </w:pPr>
                        <w:r>
                          <w:rPr>
                            <w:rFonts w:ascii="宋体" w:hAnsi="宋体" w:cs="宋体" w:eastAsia="宋体" w:hint="default"/>
                            <w:spacing w:val="-2"/>
                            <w:sz w:val="18"/>
                            <w:szCs w:val="18"/>
                          </w:rPr>
                          <w:t>分布式光伏发电特指在用户场地附近建设，运行方式以用户侧自发自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用、多余电量上网，且在配电系统平衡调节为特征的光伏发电方式。</w:t>
                        </w:r>
                      </w:p>
                    </w:tc>
                  </w:tr>
                  <w:tr>
                    <w:trPr>
                      <w:trHeight w:val="1071"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6" w:right="17"/>
                          <w:jc w:val="left"/>
                          <w:rPr>
                            <w:rFonts w:ascii="宋体" w:hAnsi="宋体" w:cs="宋体" w:eastAsia="宋体" w:hint="default"/>
                            <w:sz w:val="18"/>
                            <w:szCs w:val="18"/>
                          </w:rPr>
                        </w:pPr>
                        <w:r>
                          <w:rPr>
                            <w:rFonts w:ascii="宋体" w:hAnsi="宋体" w:cs="宋体" w:eastAsia="宋体" w:hint="default"/>
                            <w:spacing w:val="-2"/>
                            <w:sz w:val="18"/>
                            <w:szCs w:val="18"/>
                          </w:rPr>
                          <w:t>利用局部网络或互联网等通信技术把传感器、控制器、机器、人员和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物等通过新的方式联在一起，形成人与物、物与物相联，实现信息化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远程管理控制和智能化的网络。</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44"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《北京旋极信息技术股份有限公司章程》</w:t>
                        </w:r>
                      </w:p>
                    </w:tc>
                  </w:tr>
                  <w:tr>
                    <w:trPr>
                      <w:trHeight w:val="447"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46"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每股面值为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元之人民币普通股</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2" w:footer="1132" w:top="1280" w:bottom="1320" w:left="980" w:right="980"/>
        </w:sectPr>
      </w:pPr>
    </w:p>
    <w:p>
      <w:pPr>
        <w:spacing w:line="240" w:lineRule="auto" w:before="0"/>
        <w:rPr>
          <w:rFonts w:ascii="宋体" w:hAnsi="宋体" w:cs="宋体" w:eastAsia="宋体" w:hint="default"/>
          <w:sz w:val="20"/>
          <w:szCs w:val="20"/>
        </w:rPr>
      </w:pPr>
      <w:r>
        <w:rPr/>
        <w:pict>
          <v:group style="position:absolute;margin-left:172.339996pt;margin-top:309.649994pt;width:361.55pt;height:31.2pt;mso-position-horizontal-relative:page;mso-position-vertical-relative:page;z-index:-1197784" coordorigin="3447,6193" coordsize="7231,624">
            <v:shape style="position:absolute;left:3447;top:6193;width:7231;height:624" coordorigin="3447,6193" coordsize="7231,624" path="m3447,6817l10677,6817,10677,6193,3447,6193,3447,6817xe" filled="true" fillcolor="#ffffff" stroked="false">
              <v:path arrowok="t"/>
              <v:fill type="solid"/>
            </v:shape>
            <w10:wrap type="none"/>
          </v:group>
        </w:pict>
      </w:r>
    </w:p>
    <w:p>
      <w:pPr>
        <w:spacing w:line="240" w:lineRule="auto" w:before="2"/>
        <w:rPr>
          <w:rFonts w:ascii="宋体" w:hAnsi="宋体" w:cs="宋体" w:eastAsia="宋体" w:hint="default"/>
          <w:sz w:val="18"/>
          <w:szCs w:val="18"/>
        </w:rPr>
      </w:pPr>
    </w:p>
    <w:p>
      <w:pPr>
        <w:pStyle w:val="Heading1"/>
        <w:spacing w:line="240" w:lineRule="auto"/>
        <w:ind w:left="2651" w:right="11"/>
        <w:jc w:val="left"/>
      </w:pPr>
      <w:bookmarkStart w:name="_bookmark1" w:id="2"/>
      <w:bookmarkEnd w:id="2"/>
      <w:r>
        <w:rPr/>
      </w:r>
      <w:r>
        <w:rPr/>
        <w:t>第二节</w:t>
      </w:r>
      <w:r>
        <w:rPr>
          <w:spacing w:val="-3"/>
        </w:rPr>
        <w:t> </w:t>
      </w:r>
      <w:r>
        <w:rPr/>
        <w:t>公司简介和主要财务指标</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right="11"/>
        <w:jc w:val="left"/>
      </w:pPr>
      <w:r>
        <w:rPr/>
        <w:t>一、公司信息</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股票简称</w:t>
            </w:r>
            <w:r>
              <w:rPr>
                <w:rFonts w:ascii="宋体" w:hAnsi="宋体" w:cs="宋体" w:eastAsia="宋体" w:hint="default"/>
                <w:sz w:val="18"/>
                <w:szCs w:val="18"/>
              </w:rPr>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b/>
                <w:bCs/>
                <w:sz w:val="18"/>
                <w:szCs w:val="18"/>
              </w:rPr>
              <w:t>股票代码</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300324</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公司的中文名称</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公司的中文简称</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旋极信息</w:t>
            </w:r>
          </w:p>
        </w:tc>
      </w:tr>
      <w:tr>
        <w:trPr>
          <w:trHeight w:val="636"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公司的外文名称（如有）</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Watertek </w:t>
            </w:r>
            <w:r>
              <w:rPr>
                <w:rFonts w:ascii="Times New Roman"/>
                <w:sz w:val="18"/>
              </w:rPr>
              <w:t>Information Technology Co.,</w:t>
            </w:r>
            <w:r>
              <w:rPr>
                <w:rFonts w:ascii="Times New Roman"/>
                <w:spacing w:val="-21"/>
                <w:sz w:val="18"/>
              </w:rPr>
              <w:t> </w:t>
            </w:r>
            <w:r>
              <w:rPr>
                <w:rFonts w:ascii="Times New Roman"/>
                <w:sz w:val="18"/>
              </w:rPr>
              <w:t>Ltd.</w:t>
            </w:r>
          </w:p>
        </w:tc>
      </w:tr>
      <w:tr>
        <w:trPr>
          <w:trHeight w:val="63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58"/>
              <w:jc w:val="left"/>
              <w:rPr>
                <w:rFonts w:ascii="宋体" w:hAnsi="宋体" w:cs="宋体" w:eastAsia="宋体" w:hint="default"/>
                <w:sz w:val="18"/>
                <w:szCs w:val="18"/>
              </w:rPr>
            </w:pPr>
            <w:r>
              <w:rPr>
                <w:rFonts w:ascii="宋体" w:hAnsi="宋体" w:cs="宋体" w:eastAsia="宋体" w:hint="default"/>
                <w:b/>
                <w:bCs/>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pacing w:val="-3"/>
                <w:sz w:val="18"/>
              </w:rPr>
              <w:t>Watertek</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公司的法定代表人</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陈江涛</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 </w:t>
            </w:r>
            <w:r>
              <w:rPr>
                <w:rFonts w:ascii="宋体" w:hAnsi="宋体" w:cs="宋体" w:eastAsia="宋体" w:hint="default"/>
                <w:sz w:val="18"/>
                <w:szCs w:val="18"/>
              </w:rPr>
              <w:t>层至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注册地址的邮政编码</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636"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办公地址的邮政编码</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公司国际互联网网址</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12">
              <w:r>
                <w:rPr>
                  <w:rFonts w:ascii="Times New Roman"/>
                  <w:sz w:val="18"/>
                </w:rPr>
                <w:t>www.watertek.com</w:t>
              </w:r>
            </w:hyperlink>
          </w:p>
        </w:tc>
      </w:tr>
      <w:tr>
        <w:trPr>
          <w:trHeight w:val="63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13">
              <w:r>
                <w:rPr>
                  <w:rFonts w:ascii="Times New Roman"/>
                  <w:sz w:val="18"/>
                </w:rPr>
                <w:t>investor@watertek.com</w:t>
              </w:r>
            </w:hyperlink>
          </w:p>
        </w:tc>
      </w:tr>
    </w:tbl>
    <w:p>
      <w:pPr>
        <w:spacing w:line="240" w:lineRule="auto" w:before="7"/>
        <w:rPr>
          <w:rFonts w:ascii="黑体" w:hAnsi="黑体" w:cs="黑体" w:eastAsia="黑体" w:hint="default"/>
          <w:sz w:val="25"/>
          <w:szCs w:val="25"/>
        </w:rPr>
      </w:pPr>
    </w:p>
    <w:p>
      <w:pPr>
        <w:pStyle w:val="Heading2"/>
        <w:spacing w:line="240" w:lineRule="auto"/>
        <w:ind w:right="11"/>
        <w:jc w:val="left"/>
      </w:pPr>
      <w:r>
        <w:rPr/>
        <w:t>二、联系人和联系方式</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4" w:right="0"/>
              <w:jc w:val="left"/>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z w:val="18"/>
                <w:szCs w:val="18"/>
              </w:rPr>
              <w:t>证券事务代表</w:t>
            </w:r>
            <w:r>
              <w:rPr>
                <w:rFonts w:ascii="宋体" w:hAnsi="宋体" w:cs="宋体" w:eastAsia="宋体" w:hint="default"/>
                <w:sz w:val="18"/>
                <w:szCs w:val="18"/>
              </w:rPr>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颜小品</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联系地址</w:t>
            </w:r>
            <w:r>
              <w:rPr>
                <w:rFonts w:ascii="宋体" w:hAnsi="宋体" w:cs="宋体" w:eastAsia="宋体" w:hint="default"/>
                <w:sz w:val="18"/>
                <w:szCs w:val="18"/>
              </w:rPr>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电话</w:t>
            </w:r>
            <w:r>
              <w:rPr>
                <w:rFonts w:ascii="宋体" w:hAnsi="宋体" w:cs="宋体" w:eastAsia="宋体" w:hint="default"/>
                <w:sz w:val="18"/>
                <w:szCs w:val="18"/>
              </w:rPr>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010-82885950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010-82885950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b/>
                <w:bCs/>
                <w:sz w:val="18"/>
                <w:szCs w:val="18"/>
              </w:rPr>
              <w:t>传真</w:t>
            </w:r>
            <w:r>
              <w:rPr>
                <w:rFonts w:ascii="宋体" w:hAnsi="宋体" w:cs="宋体" w:eastAsia="宋体" w:hint="default"/>
                <w:sz w:val="18"/>
                <w:szCs w:val="18"/>
              </w:rPr>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010-82885950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010-82885950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509"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hyperlink r:id="rId13">
              <w:r>
                <w:rPr>
                  <w:rFonts w:ascii="Times New Roman"/>
                  <w:sz w:val="18"/>
                </w:rPr>
                <w:t>investor@watertek.com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hyperlink r:id="rId13">
              <w:r>
                <w:rPr>
                  <w:rFonts w:ascii="Times New Roman"/>
                  <w:sz w:val="18"/>
                </w:rPr>
                <w:t>investor@watertek.com</w:t>
              </w:r>
            </w:hyperlink>
          </w:p>
        </w:tc>
      </w:tr>
    </w:tbl>
    <w:p>
      <w:pPr>
        <w:spacing w:line="240" w:lineRule="auto" w:before="6"/>
        <w:rPr>
          <w:rFonts w:ascii="黑体" w:hAnsi="黑体" w:cs="黑体" w:eastAsia="黑体" w:hint="default"/>
          <w:sz w:val="25"/>
          <w:szCs w:val="25"/>
        </w:rPr>
      </w:pPr>
    </w:p>
    <w:p>
      <w:pPr>
        <w:pStyle w:val="Heading2"/>
        <w:spacing w:line="240" w:lineRule="auto"/>
        <w:ind w:right="11"/>
        <w:jc w:val="left"/>
      </w:pPr>
      <w:r>
        <w:rPr/>
        <w:t>三、信息披露及备置地点</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509"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b/>
                <w:bCs/>
                <w:sz w:val="18"/>
                <w:szCs w:val="18"/>
              </w:rPr>
              <w:t>公司选定的信息披露媒体的名称</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p>
        </w:tc>
      </w:tr>
      <w:tr>
        <w:trPr>
          <w:trHeight w:val="509"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登载年度报告的中国证监会指定网站的网址</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09"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公司年度报告备置地点</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证券部</w:t>
            </w:r>
          </w:p>
        </w:tc>
      </w:tr>
    </w:tbl>
    <w:p>
      <w:pPr>
        <w:spacing w:line="240" w:lineRule="auto" w:before="7"/>
        <w:rPr>
          <w:rFonts w:ascii="黑体" w:hAnsi="黑体" w:cs="黑体" w:eastAsia="黑体" w:hint="default"/>
          <w:sz w:val="25"/>
          <w:szCs w:val="25"/>
        </w:rPr>
      </w:pPr>
    </w:p>
    <w:p>
      <w:pPr>
        <w:pStyle w:val="Heading2"/>
        <w:spacing w:line="240" w:lineRule="auto"/>
        <w:ind w:right="11"/>
        <w:jc w:val="left"/>
      </w:pPr>
      <w:r>
        <w:rPr/>
        <w:t>四、其他有关资料</w:t>
      </w:r>
    </w:p>
    <w:p>
      <w:pPr>
        <w:spacing w:line="240" w:lineRule="auto" w:before="9"/>
        <w:rPr>
          <w:rFonts w:ascii="黑体" w:hAnsi="黑体" w:cs="黑体" w:eastAsia="黑体" w:hint="default"/>
          <w:sz w:val="37"/>
          <w:szCs w:val="37"/>
        </w:rPr>
      </w:pPr>
    </w:p>
    <w:p>
      <w:pPr>
        <w:pStyle w:val="BodyText"/>
        <w:spacing w:line="240" w:lineRule="auto"/>
        <w:ind w:left="573" w:right="11"/>
        <w:jc w:val="left"/>
      </w:pPr>
      <w:r>
        <w:rPr/>
        <w:t>公司聘请的会计师事务所</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50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会计师事务所名称</w:t>
            </w:r>
            <w:r>
              <w:rPr>
                <w:rFonts w:ascii="宋体" w:hAnsi="宋体" w:cs="宋体" w:eastAsia="宋体" w:hint="default"/>
                <w:sz w:val="18"/>
                <w:szCs w:val="18"/>
              </w:rPr>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0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会计师事务所办公地址</w:t>
            </w:r>
            <w:r>
              <w:rPr>
                <w:rFonts w:ascii="宋体" w:hAnsi="宋体" w:cs="宋体" w:eastAsia="宋体" w:hint="default"/>
                <w:sz w:val="18"/>
                <w:szCs w:val="18"/>
              </w:rPr>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楼</w:t>
            </w:r>
          </w:p>
        </w:tc>
      </w:tr>
      <w:tr>
        <w:trPr>
          <w:trHeight w:val="50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签字会计师姓名</w:t>
            </w:r>
            <w:r>
              <w:rPr>
                <w:rFonts w:ascii="宋体" w:hAnsi="宋体" w:cs="宋体" w:eastAsia="宋体" w:hint="default"/>
                <w:sz w:val="18"/>
                <w:szCs w:val="18"/>
              </w:rPr>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常明、孙彦民</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公司聘请的报告期内履行持续督导职责的保荐机构</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92"/>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b/>
                <w:bCs/>
                <w:sz w:val="18"/>
                <w:szCs w:val="18"/>
              </w:rPr>
              <w:t>财务顾问名称</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b/>
                <w:bCs/>
                <w:sz w:val="18"/>
                <w:szCs w:val="18"/>
              </w:rPr>
              <w:t>财务顾问办公地址</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b/>
                <w:bCs/>
                <w:sz w:val="18"/>
                <w:szCs w:val="18"/>
              </w:rPr>
              <w:t>财务顾问主办人姓名</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b/>
                <w:bCs/>
                <w:sz w:val="18"/>
                <w:szCs w:val="18"/>
              </w:rPr>
              <w:t>持续督导期间</w:t>
            </w:r>
            <w:r>
              <w:rPr>
                <w:rFonts w:ascii="宋体" w:hAnsi="宋体" w:cs="宋体" w:eastAsia="宋体" w:hint="default"/>
                <w:sz w:val="18"/>
                <w:szCs w:val="18"/>
              </w:rPr>
            </w:r>
          </w:p>
        </w:tc>
      </w:tr>
      <w:tr>
        <w:trPr>
          <w:trHeight w:val="82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7"/>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号凯 恒中心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关峰、王璟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五、主要会计数据和财务指标</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t>公司是否需追溯调整或重述以前年度会计数据</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0"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507"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b/>
                <w:bCs/>
                <w:sz w:val="18"/>
                <w:szCs w:val="18"/>
              </w:rPr>
              <w:t>营业收入（元）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450" w:right="0"/>
              <w:jc w:val="left"/>
              <w:rPr>
                <w:rFonts w:ascii="Times New Roman" w:hAnsi="Times New Roman" w:cs="Times New Roman" w:eastAsia="Times New Roman" w:hint="default"/>
                <w:sz w:val="18"/>
                <w:szCs w:val="18"/>
              </w:rPr>
            </w:pPr>
            <w:r>
              <w:rPr>
                <w:rFonts w:ascii="Times New Roman"/>
                <w:sz w:val="18"/>
              </w:rPr>
              <w:t>3,297,140,845.94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44" w:right="0"/>
              <w:jc w:val="left"/>
              <w:rPr>
                <w:rFonts w:ascii="Times New Roman" w:hAnsi="Times New Roman" w:cs="Times New Roman" w:eastAsia="Times New Roman" w:hint="default"/>
                <w:sz w:val="18"/>
                <w:szCs w:val="18"/>
              </w:rPr>
            </w:pPr>
            <w:r>
              <w:rPr>
                <w:rFonts w:ascii="Times New Roman"/>
                <w:sz w:val="18"/>
              </w:rPr>
              <w:t>2,188,775,876.25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49" w:right="0"/>
              <w:jc w:val="left"/>
              <w:rPr>
                <w:rFonts w:ascii="Times New Roman" w:hAnsi="Times New Roman" w:cs="Times New Roman" w:eastAsia="Times New Roman" w:hint="default"/>
                <w:sz w:val="18"/>
                <w:szCs w:val="18"/>
              </w:rPr>
            </w:pPr>
            <w:r>
              <w:rPr>
                <w:rFonts w:ascii="Times New Roman"/>
                <w:sz w:val="18"/>
              </w:rPr>
              <w:t>50.64%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8" w:right="0"/>
              <w:jc w:val="left"/>
              <w:rPr>
                <w:rFonts w:ascii="Times New Roman" w:hAnsi="Times New Roman" w:cs="Times New Roman" w:eastAsia="Times New Roman" w:hint="default"/>
                <w:sz w:val="18"/>
                <w:szCs w:val="18"/>
              </w:rPr>
            </w:pPr>
            <w:r>
              <w:rPr>
                <w:rFonts w:ascii="Times New Roman"/>
                <w:sz w:val="18"/>
              </w:rPr>
              <w:t>980,319,199.50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82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b/>
                <w:bCs/>
                <w:spacing w:val="17"/>
                <w:sz w:val="18"/>
                <w:szCs w:val="18"/>
              </w:rPr>
              <w:t>归属于上市公司股东的净利润</w:t>
            </w:r>
            <w:r>
              <w:rPr>
                <w:rFonts w:ascii="宋体" w:hAnsi="宋体" w:cs="宋体" w:eastAsia="宋体" w:hint="default"/>
                <w:spacing w:val="17"/>
                <w:sz w:val="18"/>
                <w:szCs w:val="18"/>
              </w:rPr>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389,292,168.16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377,299,004.95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103,181,045.86</w:t>
            </w:r>
          </w:p>
        </w:tc>
      </w:tr>
      <w:tr>
        <w:trPr>
          <w:trHeight w:val="818"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2"/>
              <w:jc w:val="left"/>
              <w:rPr>
                <w:rFonts w:ascii="宋体" w:hAnsi="宋体" w:cs="宋体" w:eastAsia="宋体" w:hint="default"/>
                <w:sz w:val="18"/>
                <w:szCs w:val="18"/>
              </w:rPr>
            </w:pPr>
            <w:r>
              <w:rPr>
                <w:rFonts w:ascii="宋体" w:hAnsi="宋体" w:cs="宋体" w:eastAsia="宋体" w:hint="default"/>
                <w:b/>
                <w:bCs/>
                <w:spacing w:val="2"/>
                <w:sz w:val="18"/>
                <w:szCs w:val="18"/>
              </w:rPr>
              <w:t>归属于上市公司股东的扣除非经</w:t>
            </w:r>
            <w:r>
              <w:rPr>
                <w:rFonts w:ascii="宋体" w:hAnsi="宋体" w:cs="宋体" w:eastAsia="宋体" w:hint="default"/>
                <w:b/>
                <w:bCs/>
                <w:w w:val="99"/>
                <w:sz w:val="18"/>
                <w:szCs w:val="18"/>
              </w:rPr>
              <w:t> </w:t>
            </w:r>
            <w:r>
              <w:rPr>
                <w:rFonts w:ascii="宋体" w:hAnsi="宋体" w:cs="宋体" w:eastAsia="宋体" w:hint="default"/>
                <w:b/>
                <w:bCs/>
                <w:sz w:val="18"/>
                <w:szCs w:val="18"/>
              </w:rPr>
              <w:t>常性损益的净利润（元）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359,961,220.17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372,852,422.52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-3. 46%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102,471,184.41</w:t>
            </w:r>
          </w:p>
        </w:tc>
      </w:tr>
      <w:tr>
        <w:trPr>
          <w:trHeight w:val="82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pacing w:val="17"/>
                <w:sz w:val="18"/>
                <w:szCs w:val="18"/>
              </w:rPr>
              <w:t>经营活动产生的现金流量净额</w:t>
            </w:r>
            <w:r>
              <w:rPr>
                <w:rFonts w:ascii="宋体" w:hAnsi="宋体" w:cs="宋体" w:eastAsia="宋体" w:hint="default"/>
                <w:spacing w:val="17"/>
                <w:sz w:val="18"/>
                <w:szCs w:val="18"/>
              </w:rPr>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666,110,081.70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583,446,665.11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344,179,532.35</w:t>
            </w:r>
          </w:p>
        </w:tc>
      </w:tr>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0.3387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-9.10%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0.1086</w:t>
            </w:r>
          </w:p>
        </w:tc>
      </w:tr>
      <w:tr>
        <w:trPr>
          <w:trHeight w:val="507"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0.3387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0.3726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-9.10%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0.1086</w:t>
            </w:r>
          </w:p>
        </w:tc>
      </w:tr>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12.88%</w:t>
            </w:r>
          </w:p>
        </w:tc>
      </w:tr>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9"/>
              <w:jc w:val="right"/>
              <w:rPr>
                <w:rFonts w:ascii="宋体" w:hAnsi="宋体" w:cs="宋体" w:eastAsia="宋体" w:hint="default"/>
                <w:sz w:val="18"/>
                <w:szCs w:val="18"/>
              </w:rPr>
            </w:pPr>
            <w:r>
              <w:rPr>
                <w:rFonts w:ascii="宋体" w:hAnsi="宋体" w:cs="宋体" w:eastAsia="宋体" w:hint="default"/>
                <w:b/>
                <w:bCs/>
                <w:w w:val="95"/>
                <w:sz w:val="18"/>
                <w:szCs w:val="18"/>
              </w:rPr>
              <w:t>本年末比上年末增减</w:t>
            </w:r>
            <w:r>
              <w:rPr>
                <w:rFonts w:ascii="宋体" w:hAnsi="宋体" w:cs="宋体" w:eastAsia="宋体" w:hint="default"/>
                <w:sz w:val="18"/>
                <w:szCs w:val="18"/>
              </w:rPr>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50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资产总额（元）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7,887,460,393.30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6,874,731,885.50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14.73%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2,193,476,348.09</w:t>
            </w:r>
          </w:p>
        </w:tc>
      </w:tr>
      <w:tr>
        <w:trPr>
          <w:trHeight w:val="82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pacing w:val="17"/>
                <w:sz w:val="18"/>
                <w:szCs w:val="18"/>
              </w:rPr>
              <w:t>归属于上市公司股东的净资产</w:t>
            </w:r>
            <w:r>
              <w:rPr>
                <w:rFonts w:ascii="宋体" w:hAnsi="宋体" w:cs="宋体" w:eastAsia="宋体" w:hint="default"/>
                <w:spacing w:val="17"/>
                <w:sz w:val="18"/>
                <w:szCs w:val="18"/>
              </w:rPr>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5,203,626,190.10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4,832,934,339.15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1,354,852,435.60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截止披露前一交易日的公司总股本：</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509"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b/>
                <w:bCs/>
                <w:sz w:val="18"/>
                <w:szCs w:val="18"/>
              </w:rPr>
              <w:t>截止披露前一交易日的公司总股本（股）</w:t>
            </w:r>
            <w:r>
              <w:rPr>
                <w:rFonts w:ascii="宋体" w:hAnsi="宋体" w:cs="宋体" w:eastAsia="宋体" w:hint="default"/>
                <w:sz w:val="18"/>
                <w:szCs w:val="18"/>
              </w:rPr>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2"/>
                <w:szCs w:val="12"/>
              </w:rPr>
            </w:pPr>
            <w:r>
              <w:rPr>
                <w:rFonts w:ascii="Times New Roman"/>
                <w:sz w:val="18"/>
              </w:rPr>
              <w:t>1,166,140,170</w:t>
            </w:r>
            <w:r>
              <w:rPr>
                <w:rFonts w:ascii="Times New Roman"/>
                <w:spacing w:val="-2"/>
                <w:sz w:val="18"/>
              </w:rPr>
              <w:t> </w:t>
            </w:r>
            <w:r>
              <w:rPr>
                <w:rFonts w:ascii="Times New Roman"/>
                <w:color w:val="FF0000"/>
                <w:position w:val="8"/>
                <w:sz w:val="12"/>
              </w:rPr>
              <w:t>1</w:t>
            </w:r>
            <w:r>
              <w:rPr>
                <w:rFonts w:ascii="Times New Roman"/>
                <w:sz w:val="12"/>
              </w:rPr>
            </w:r>
          </w:p>
        </w:tc>
      </w:tr>
    </w:tbl>
    <w:p>
      <w:pPr>
        <w:spacing w:line="240" w:lineRule="auto" w:before="11"/>
        <w:rPr>
          <w:rFonts w:ascii="宋体" w:hAnsi="宋体" w:cs="宋体" w:eastAsia="宋体" w:hint="default"/>
          <w:sz w:val="9"/>
          <w:szCs w:val="9"/>
        </w:rPr>
      </w:pPr>
    </w:p>
    <w:p>
      <w:pPr>
        <w:pStyle w:val="BodyText"/>
        <w:spacing w:line="386" w:lineRule="auto" w:before="36"/>
        <w:ind w:right="11" w:firstLine="420"/>
        <w:jc w:val="left"/>
      </w:pPr>
      <w:r>
        <w:rPr/>
        <w:t>注：</w:t>
      </w:r>
      <w:r>
        <w:rPr>
          <w:rFonts w:ascii="Times New Roman" w:hAnsi="Times New Roman" w:cs="Times New Roman" w:eastAsia="Times New Roman" w:hint="default"/>
        </w:rPr>
        <w:t>1 </w:t>
      </w:r>
      <w:r>
        <w:rPr/>
        <w:t>截至本报告披露日，公司已回购社会公众股共计 </w:t>
      </w:r>
      <w:r>
        <w:rPr>
          <w:rFonts w:ascii="Times New Roman" w:hAnsi="Times New Roman" w:cs="Times New Roman" w:eastAsia="Times New Roman" w:hint="default"/>
        </w:rPr>
        <w:t>6,056,025</w:t>
      </w:r>
      <w:r>
        <w:rPr>
          <w:rFonts w:ascii="Times New Roman" w:hAnsi="Times New Roman" w:cs="Times New Roman" w:eastAsia="Times New Roman" w:hint="default"/>
          <w:spacing w:val="23"/>
        </w:rPr>
        <w:t> </w:t>
      </w:r>
      <w:r>
        <w:rPr/>
        <w:t>股。公司扣除已回购社会公众股后</w:t>
      </w:r>
      <w:r>
        <w:rPr>
          <w:w w:val="100"/>
        </w:rPr>
        <w:t> </w:t>
      </w:r>
      <w:r>
        <w:rPr/>
        <w:t>现有股份总数为</w:t>
      </w:r>
      <w:r>
        <w:rPr>
          <w:spacing w:val="-54"/>
        </w:rPr>
        <w:t> </w:t>
      </w:r>
      <w:r>
        <w:rPr>
          <w:rFonts w:ascii="Times New Roman" w:hAnsi="Times New Roman" w:cs="Times New Roman" w:eastAsia="Times New Roman" w:hint="default"/>
        </w:rPr>
        <w:t>1,166,140,170</w:t>
      </w:r>
      <w:r>
        <w:rPr>
          <w:rFonts w:ascii="Times New Roman" w:hAnsi="Times New Roman" w:cs="Times New Roman" w:eastAsia="Times New Roman" w:hint="default"/>
          <w:spacing w:val="-1"/>
        </w:rPr>
        <w:t> </w:t>
      </w:r>
      <w:r>
        <w:rPr>
          <w:spacing w:val="-3"/>
        </w:rPr>
        <w:t>股。</w:t>
      </w:r>
      <w:r>
        <w:rPr/>
      </w:r>
    </w:p>
    <w:p>
      <w:pPr>
        <w:pStyle w:val="BodyText"/>
        <w:spacing w:line="408" w:lineRule="auto" w:before="136"/>
        <w:ind w:right="11" w:firstLine="420"/>
        <w:jc w:val="left"/>
      </w:pPr>
      <w:r>
        <w:rPr>
          <w:spacing w:val="-2"/>
        </w:rPr>
        <w:t>公司报告期末至年度报告披露日股本是否因发行新股、增发、配股、股权激励行权、回购等原因发生</w:t>
      </w:r>
      <w:r>
        <w:rPr>
          <w:w w:val="100"/>
        </w:rPr>
        <w:t> </w:t>
      </w:r>
      <w:r>
        <w:rPr/>
        <w:t>变化且影响所有者权益金额</w:t>
      </w:r>
    </w:p>
    <w:p>
      <w:pPr>
        <w:pStyle w:val="BodyText"/>
        <w:spacing w:line="240" w:lineRule="auto" w:before="144"/>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4"/>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509"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b/>
                <w:bCs/>
                <w:sz w:val="18"/>
                <w:szCs w:val="18"/>
              </w:rPr>
              <w:t>用最新股本计算的全面摊薄每股收益（元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0.3338</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六、分季度主要财务指标</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14" w:right="0"/>
              <w:jc w:val="left"/>
              <w:rPr>
                <w:rFonts w:ascii="宋体" w:hAnsi="宋体" w:cs="宋体" w:eastAsia="宋体" w:hint="default"/>
                <w:sz w:val="18"/>
                <w:szCs w:val="18"/>
              </w:rPr>
            </w:pPr>
            <w:r>
              <w:rPr>
                <w:rFonts w:ascii="宋体" w:hAnsi="宋体" w:cs="宋体" w:eastAsia="宋体" w:hint="default"/>
                <w:b/>
                <w:bCs/>
                <w:sz w:val="18"/>
                <w:szCs w:val="18"/>
              </w:rPr>
              <w:t>第一季度</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03" w:right="0"/>
              <w:jc w:val="left"/>
              <w:rPr>
                <w:rFonts w:ascii="宋体" w:hAnsi="宋体" w:cs="宋体" w:eastAsia="宋体" w:hint="default"/>
                <w:sz w:val="18"/>
                <w:szCs w:val="18"/>
              </w:rPr>
            </w:pPr>
            <w:r>
              <w:rPr>
                <w:rFonts w:ascii="宋体" w:hAnsi="宋体" w:cs="宋体" w:eastAsia="宋体" w:hint="default"/>
                <w:b/>
                <w:bCs/>
                <w:sz w:val="18"/>
                <w:szCs w:val="18"/>
              </w:rPr>
              <w:t>第二季度</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03" w:right="0"/>
              <w:jc w:val="left"/>
              <w:rPr>
                <w:rFonts w:ascii="宋体" w:hAnsi="宋体" w:cs="宋体" w:eastAsia="宋体" w:hint="default"/>
                <w:sz w:val="18"/>
                <w:szCs w:val="18"/>
              </w:rPr>
            </w:pPr>
            <w:r>
              <w:rPr>
                <w:rFonts w:ascii="宋体" w:hAnsi="宋体" w:cs="宋体" w:eastAsia="宋体" w:hint="default"/>
                <w:b/>
                <w:bCs/>
                <w:sz w:val="18"/>
                <w:szCs w:val="18"/>
              </w:rPr>
              <w:t>第三季度</w:t>
            </w:r>
            <w:r>
              <w:rPr>
                <w:rFonts w:ascii="宋体" w:hAnsi="宋体" w:cs="宋体" w:eastAsia="宋体" w:hint="default"/>
                <w:sz w:val="18"/>
                <w:szCs w:val="18"/>
              </w:rPr>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99" w:right="0"/>
              <w:jc w:val="left"/>
              <w:rPr>
                <w:rFonts w:ascii="宋体" w:hAnsi="宋体" w:cs="宋体" w:eastAsia="宋体" w:hint="default"/>
                <w:sz w:val="18"/>
                <w:szCs w:val="18"/>
              </w:rPr>
            </w:pPr>
            <w:r>
              <w:rPr>
                <w:rFonts w:ascii="宋体" w:hAnsi="宋体" w:cs="宋体" w:eastAsia="宋体" w:hint="default"/>
                <w:b/>
                <w:bCs/>
                <w:sz w:val="18"/>
                <w:szCs w:val="18"/>
              </w:rPr>
              <w:t>第四季度</w:t>
            </w:r>
            <w:r>
              <w:rPr>
                <w:rFonts w:ascii="宋体" w:hAnsi="宋体" w:cs="宋体" w:eastAsia="宋体" w:hint="default"/>
                <w:sz w:val="18"/>
                <w:szCs w:val="18"/>
              </w:rPr>
            </w:r>
          </w:p>
        </w:tc>
      </w:tr>
      <w:tr>
        <w:trPr>
          <w:trHeight w:val="50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589,352,266.71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675,134,941.97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727,886,765.38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1,304,766,871.88</w:t>
            </w:r>
          </w:p>
        </w:tc>
      </w:tr>
      <w:tr>
        <w:trPr>
          <w:trHeight w:val="509"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归属于上市公司股东的净利润</w:t>
            </w:r>
            <w:r>
              <w:rPr>
                <w:rFonts w:ascii="宋体" w:hAnsi="宋体" w:cs="宋体" w:eastAsia="宋体" w:hint="default"/>
                <w:sz w:val="18"/>
                <w:szCs w:val="18"/>
              </w:rPr>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94,690,648.19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61,513,195.27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128,869,741.95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104,218,582.75</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82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2" w:right="57"/>
              <w:jc w:val="left"/>
              <w:rPr>
                <w:rFonts w:ascii="宋体" w:hAnsi="宋体" w:cs="宋体" w:eastAsia="宋体" w:hint="default"/>
                <w:sz w:val="18"/>
                <w:szCs w:val="18"/>
              </w:rPr>
            </w:pPr>
            <w:r>
              <w:rPr>
                <w:rFonts w:ascii="宋体" w:hAnsi="宋体" w:cs="宋体" w:eastAsia="宋体" w:hint="default"/>
                <w:b/>
                <w:bCs/>
                <w:sz w:val="18"/>
                <w:szCs w:val="18"/>
              </w:rPr>
              <w:t>归属于上市公司股东的扣除非经</w:t>
            </w:r>
            <w:r>
              <w:rPr>
                <w:rFonts w:ascii="宋体" w:hAnsi="宋体" w:cs="宋体" w:eastAsia="宋体" w:hint="default"/>
                <w:b/>
                <w:bCs/>
                <w:w w:val="99"/>
                <w:sz w:val="18"/>
                <w:szCs w:val="18"/>
              </w:rPr>
              <w:t> </w:t>
            </w:r>
            <w:r>
              <w:rPr>
                <w:rFonts w:ascii="宋体" w:hAnsi="宋体" w:cs="宋体" w:eastAsia="宋体" w:hint="default"/>
                <w:b/>
                <w:bCs/>
                <w:sz w:val="18"/>
                <w:szCs w:val="18"/>
              </w:rPr>
              <w:t>常性损益的净利润</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92,709,492.64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60,286,716.49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119,068,894.40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87,896,116.64</w:t>
            </w:r>
          </w:p>
        </w:tc>
      </w:tr>
      <w:tr>
        <w:trPr>
          <w:trHeight w:val="50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-64,595,667.05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176,655,815.73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187,317,847.36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366,732,085.66</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上述财务指标或其加总数是否与公司已披露季度报告、半年度报告相关财务指标存在重大差异</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2"/>
          <w:szCs w:val="22"/>
        </w:rPr>
      </w:pPr>
    </w:p>
    <w:p>
      <w:pPr>
        <w:pStyle w:val="Heading2"/>
        <w:spacing w:line="240" w:lineRule="auto" w:before="170"/>
        <w:ind w:right="11"/>
        <w:jc w:val="left"/>
      </w:pPr>
      <w:r>
        <w:rPr/>
        <w:t>七、境内外会计准则下会计数据差异</w:t>
      </w:r>
    </w:p>
    <w:p>
      <w:pPr>
        <w:spacing w:line="240" w:lineRule="auto" w:before="13"/>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、同时按照国际会计准则与按照中国会计准则披露的财务报告中净利润和净资产差异情况</w:t>
      </w:r>
    </w:p>
    <w:p>
      <w:pPr>
        <w:spacing w:line="240" w:lineRule="auto" w:before="3"/>
        <w:rPr>
          <w:rFonts w:ascii="黑体" w:hAnsi="黑体" w:cs="黑体" w:eastAsia="黑体" w:hint="default"/>
          <w:sz w:val="24"/>
          <w:szCs w:val="24"/>
        </w:rPr>
      </w:pPr>
    </w:p>
    <w:p>
      <w:pPr>
        <w:pStyle w:val="BodyText"/>
        <w:spacing w:line="47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w:t>
      </w:r>
    </w:p>
    <w:p>
      <w:pPr>
        <w:pStyle w:val="BodyText"/>
        <w:spacing w:line="266" w:lineRule="exact"/>
        <w:ind w:right="11"/>
        <w:jc w:val="left"/>
      </w:pPr>
      <w:r>
        <w:rPr/>
        <w:t>况。</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、同时按照境外会计准则与按照中国会计准则披露的财务报告中净利润和净资产差异情况</w:t>
      </w:r>
    </w:p>
    <w:p>
      <w:pPr>
        <w:spacing w:line="240" w:lineRule="auto" w:before="1"/>
        <w:rPr>
          <w:rFonts w:ascii="黑体" w:hAnsi="黑体" w:cs="黑体" w:eastAsia="黑体" w:hint="default"/>
          <w:sz w:val="24"/>
          <w:szCs w:val="24"/>
        </w:rPr>
      </w:pPr>
    </w:p>
    <w:p>
      <w:pPr>
        <w:pStyle w:val="BodyText"/>
        <w:spacing w:line="47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w:t>
      </w:r>
    </w:p>
    <w:p>
      <w:pPr>
        <w:pStyle w:val="BodyText"/>
        <w:spacing w:line="266" w:lineRule="exact"/>
        <w:ind w:right="11"/>
        <w:jc w:val="left"/>
      </w:pPr>
      <w:r>
        <w:rPr/>
        <w:t>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0"/>
        <w:ind w:right="11"/>
        <w:jc w:val="left"/>
      </w:pPr>
      <w:r>
        <w:rPr/>
        <w:t>八、非经常性损益项目及金额</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1"/>
          <w:szCs w:val="21"/>
        </w:rPr>
      </w:pPr>
    </w:p>
    <w:p>
      <w:pPr>
        <w:pStyle w:val="BodyText"/>
        <w:spacing w:line="240" w:lineRule="auto"/>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50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8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82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12,582,672.51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1,098,324.01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-30,456.54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0"/>
              <w:jc w:val="left"/>
              <w:rPr>
                <w:rFonts w:ascii="宋体" w:hAnsi="宋体" w:cs="宋体" w:eastAsia="宋体" w:hint="default"/>
                <w:sz w:val="18"/>
                <w:szCs w:val="18"/>
              </w:rPr>
            </w:pPr>
            <w:r>
              <w:rPr>
                <w:rFonts w:ascii="宋体" w:hAnsi="宋体" w:cs="宋体" w:eastAsia="宋体" w:hint="default"/>
                <w:spacing w:val="3"/>
                <w:sz w:val="18"/>
                <w:szCs w:val="18"/>
              </w:rPr>
              <w:t>主要是处置长期股权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投资产生</w:t>
            </w:r>
          </w:p>
        </w:tc>
      </w:tr>
      <w:tr>
        <w:trPr>
          <w:trHeight w:val="113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17,640,564.97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6,776,986.97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1,346,250.00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4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16,775,039.30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1,995,940.64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1,557,400.02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主要是处置可供出售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金融资产产生</w:t>
            </w:r>
          </w:p>
        </w:tc>
      </w:tr>
    </w:tbl>
    <w:p>
      <w:pPr>
        <w:spacing w:after="0" w:line="314"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28"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-10,827,010.70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-4,124,778.65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-1,573,629.72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主要是对外捐赠</w:t>
            </w:r>
          </w:p>
        </w:tc>
      </w:tr>
      <w:tr>
        <w:trPr>
          <w:trHeight w:val="506"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5,915,189.30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1,003,694.12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142,772.17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925,128.79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296,196.42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446,930.14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29,330,947.99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4,446,582.43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709,861.45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86" w:lineRule="auto" w:before="175"/>
        <w:ind w:right="199"/>
        <w:jc w:val="left"/>
      </w:pPr>
      <w:r>
        <w:rPr/>
        <w:t>性损益项目，以及把《公开发行证券的公司信息披露解释性公告第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p>
    <w:p>
      <w:pPr>
        <w:pStyle w:val="BodyText"/>
        <w:spacing w:line="240" w:lineRule="auto" w:before="166"/>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386" w:lineRule="auto"/>
        <w:ind w:right="100" w:firstLine="42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7"/>
        </w:rPr>
        <w:t>号</w:t>
      </w:r>
      <w:r>
        <w:rPr>
          <w:rFonts w:ascii="Times New Roman" w:hAnsi="Times New Roman" w:cs="Times New Roman" w:eastAsia="Times New Roman" w:hint="default"/>
          <w:spacing w:val="-7"/>
        </w:rPr>
        <w:t>——</w:t>
      </w:r>
      <w:r>
        <w:rPr>
          <w:spacing w:val="-7"/>
        </w:rPr>
        <w:t>非经常性损益》定义、</w:t>
      </w:r>
      <w:r>
        <w:rPr>
          <w:w w:val="100"/>
        </w:rPr>
        <w:t> </w:t>
      </w:r>
      <w:r>
        <w:rPr/>
        <w:t>列举的非经常性损益项目界定为经常性损益的项目的情形。</w:t>
      </w:r>
    </w:p>
    <w:p>
      <w:pPr>
        <w:spacing w:after="0" w:line="386" w:lineRule="auto"/>
        <w:jc w:val="left"/>
        <w:sectPr>
          <w:pgSz w:w="11910" w:h="16840"/>
          <w:pgMar w:header="882" w:footer="1132" w:top="1280" w:bottom="132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134" w:right="195"/>
        <w:jc w:val="center"/>
      </w:pPr>
      <w:bookmarkStart w:name="_bookmark2" w:id="3"/>
      <w:bookmarkEnd w:id="3"/>
      <w:r>
        <w:rPr/>
      </w:r>
      <w:r>
        <w:rPr/>
        <w:t>第三节</w:t>
      </w:r>
      <w:r>
        <w:rPr>
          <w:spacing w:val="-2"/>
        </w:rPr>
        <w:t> </w:t>
      </w:r>
      <w:r>
        <w:rPr/>
        <w:t>公司业务概要</w:t>
      </w:r>
    </w:p>
    <w:p>
      <w:pPr>
        <w:spacing w:line="240" w:lineRule="auto" w:before="0"/>
        <w:rPr>
          <w:rFonts w:ascii="黑体" w:hAnsi="黑体" w:cs="黑体" w:eastAsia="黑体" w:hint="default"/>
          <w:sz w:val="32"/>
          <w:szCs w:val="32"/>
        </w:rPr>
      </w:pPr>
    </w:p>
    <w:p>
      <w:pPr>
        <w:pStyle w:val="Heading2"/>
        <w:spacing w:line="240" w:lineRule="auto" w:before="219"/>
        <w:ind w:right="0"/>
        <w:jc w:val="both"/>
      </w:pPr>
      <w:r>
        <w:rPr/>
        <w:t>一、报告期内公司从事的主要业务</w:t>
      </w:r>
    </w:p>
    <w:p>
      <w:pPr>
        <w:spacing w:line="240" w:lineRule="auto" w:before="9"/>
        <w:rPr>
          <w:rFonts w:ascii="黑体" w:hAnsi="黑体" w:cs="黑体" w:eastAsia="黑体" w:hint="default"/>
          <w:sz w:val="37"/>
          <w:szCs w:val="37"/>
        </w:rPr>
      </w:pPr>
    </w:p>
    <w:p>
      <w:pPr>
        <w:pStyle w:val="BodyText"/>
        <w:spacing w:line="496" w:lineRule="auto"/>
        <w:ind w:left="573" w:right="5707"/>
        <w:jc w:val="left"/>
      </w:pPr>
      <w:r>
        <w:rPr>
          <w:spacing w:val="-2"/>
        </w:rPr>
        <w:t>公司是否需要遵守特殊行业的披露要求</w:t>
      </w:r>
      <w:r>
        <w:rPr>
          <w:spacing w:val="-72"/>
        </w:rPr>
        <w:t> </w:t>
      </w:r>
      <w:r>
        <w:rPr>
          <w:spacing w:val="-72"/>
        </w:rPr>
      </w:r>
      <w:r>
        <w:rPr/>
        <w:t>否</w:t>
      </w:r>
    </w:p>
    <w:p>
      <w:pPr>
        <w:pStyle w:val="Heading3"/>
        <w:spacing w:line="240" w:lineRule="auto" w:before="99"/>
        <w:ind w:right="0"/>
        <w:jc w:val="both"/>
      </w:pPr>
      <w:r>
        <w:rPr/>
        <w:t>（一）报告期内公司主营业务简介</w:t>
      </w:r>
    </w:p>
    <w:p>
      <w:pPr>
        <w:spacing w:line="240" w:lineRule="auto" w:before="6"/>
        <w:rPr>
          <w:rFonts w:ascii="黑体" w:hAnsi="黑体" w:cs="黑体" w:eastAsia="黑体" w:hint="default"/>
          <w:sz w:val="25"/>
          <w:szCs w:val="25"/>
        </w:rPr>
      </w:pPr>
    </w:p>
    <w:p>
      <w:pPr>
        <w:pStyle w:val="BodyText"/>
        <w:spacing w:line="408" w:lineRule="auto"/>
        <w:ind w:right="206" w:firstLine="420"/>
        <w:jc w:val="both"/>
      </w:pPr>
      <w:r>
        <w:rPr>
          <w:spacing w:val="-2"/>
        </w:rPr>
        <w:t>报告期内，公司持续保持和扩大在军民信息化领域的领先地位，公司管理层深入贯彻执行董事会的战</w:t>
      </w:r>
      <w:r>
        <w:rPr>
          <w:w w:val="100"/>
        </w:rPr>
        <w:t> </w:t>
      </w:r>
      <w:r>
        <w:rPr>
          <w:spacing w:val="-2"/>
        </w:rPr>
        <w:t>略部署，在智慧防务、税务信息化、智慧城市、时空大数据应用等关键业务方向进行整体规划并实施，主</w:t>
      </w:r>
      <w:r>
        <w:rPr>
          <w:spacing w:val="-43"/>
        </w:rPr>
        <w:t> </w:t>
      </w:r>
      <w:r>
        <w:rPr>
          <w:spacing w:val="-43"/>
        </w:rPr>
      </w:r>
      <w:r>
        <w:rPr>
          <w:spacing w:val="-2"/>
        </w:rPr>
        <w:t>要业务为面向国防军工的嵌入式系统测试产品及服务，电子元器件测试、筛选及可靠性保证服务，装备健</w:t>
      </w:r>
      <w:r>
        <w:rPr>
          <w:spacing w:val="-43"/>
        </w:rPr>
        <w:t> </w:t>
      </w:r>
      <w:r>
        <w:rPr>
          <w:spacing w:val="-43"/>
        </w:rPr>
      </w:r>
      <w:r>
        <w:rPr>
          <w:spacing w:val="-2"/>
        </w:rPr>
        <w:t>康管理产品体系，末端无线宽带通信产品；面向税务和金融等行业的信息安全产品和服务；新型智慧城市</w:t>
      </w:r>
      <w:r>
        <w:rPr>
          <w:spacing w:val="-45"/>
        </w:rPr>
        <w:t> </w:t>
      </w:r>
      <w:r>
        <w:rPr>
          <w:spacing w:val="-45"/>
        </w:rPr>
      </w:r>
      <w:r>
        <w:rPr>
          <w:spacing w:val="-2"/>
        </w:rPr>
        <w:t>建设的顶层设计、实施以及配套的智能设备与信息服务平台；基于信息网格的时空大数据行业应用产品和</w:t>
      </w:r>
      <w:r>
        <w:rPr>
          <w:spacing w:val="-43"/>
        </w:rPr>
        <w:t> </w:t>
      </w:r>
      <w:r>
        <w:rPr>
          <w:spacing w:val="-43"/>
        </w:rPr>
      </w:r>
      <w:r>
        <w:rPr/>
        <w:t>服务。</w:t>
      </w:r>
    </w:p>
    <w:p>
      <w:pPr>
        <w:pStyle w:val="Heading3"/>
        <w:spacing w:line="240" w:lineRule="auto" w:before="179"/>
        <w:ind w:right="0"/>
        <w:jc w:val="both"/>
      </w:pPr>
      <w:r>
        <w:rPr>
          <w:rFonts w:ascii="Times New Roman" w:hAnsi="Times New Roman" w:cs="Times New Roman" w:eastAsia="Times New Roman" w:hint="default"/>
        </w:rPr>
        <w:t>1</w:t>
      </w:r>
      <w:r>
        <w:rPr/>
        <w:t>、智慧防务业务</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spacing w:val="12"/>
        </w:rPr>
        <w:t>报告期内，在嵌入式系统测试方面，公司发布了拥有完全自主知识产权的便携式综合测试平台</w:t>
      </w:r>
    </w:p>
    <w:p>
      <w:pPr>
        <w:spacing w:line="240" w:lineRule="auto" w:before="10"/>
        <w:rPr>
          <w:rFonts w:ascii="宋体" w:hAnsi="宋体" w:cs="宋体" w:eastAsia="宋体" w:hint="default"/>
          <w:sz w:val="14"/>
          <w:szCs w:val="14"/>
        </w:rPr>
      </w:pPr>
    </w:p>
    <w:p>
      <w:pPr>
        <w:pStyle w:val="BodyText"/>
        <w:spacing w:line="400" w:lineRule="auto"/>
        <w:ind w:right="206"/>
        <w:jc w:val="both"/>
      </w:pPr>
      <w:r>
        <w:rPr>
          <w:spacing w:val="-6"/>
          <w:w w:val="100"/>
        </w:rPr>
        <w:t>（</w:t>
      </w:r>
      <w:r>
        <w:rPr>
          <w:rFonts w:ascii="Times New Roman" w:hAnsi="Times New Roman" w:cs="Times New Roman" w:eastAsia="Times New Roman" w:hint="default"/>
          <w:spacing w:val="-6"/>
          <w:w w:val="100"/>
        </w:rPr>
        <w:t>CoreLink</w:t>
      </w:r>
      <w:r>
        <w:rPr>
          <w:spacing w:val="-6"/>
          <w:w w:val="100"/>
        </w:rPr>
        <w:t>），该产品集成了多项嵌入式系统测试和总线测试领域的尖端技术，引领了装备测试与装备保障</w:t>
      </w:r>
      <w:r>
        <w:rPr>
          <w:spacing w:val="-63"/>
          <w:w w:val="100"/>
        </w:rPr>
        <w:t> </w:t>
      </w:r>
      <w:r>
        <w:rPr>
          <w:spacing w:val="-63"/>
          <w:w w:val="100"/>
        </w:rPr>
      </w:r>
      <w:r>
        <w:rPr>
          <w:spacing w:val="-2"/>
        </w:rPr>
        <w:t>领域中测试设备高集成度、小型化、便携化的新趋势，将更好的服务航空、航天、船舶、电子、兵器等用</w:t>
      </w:r>
      <w:r>
        <w:rPr>
          <w:spacing w:val="-44"/>
        </w:rPr>
        <w:t> </w:t>
      </w:r>
      <w:r>
        <w:rPr>
          <w:spacing w:val="-44"/>
        </w:rPr>
      </w:r>
      <w:r>
        <w:rPr>
          <w:spacing w:val="-2"/>
        </w:rPr>
        <w:t>户。公司研发的陆军某型号作战试验鉴定项目通过验收，为切入装备作战试验鉴定、效能评估及在役考核</w:t>
      </w:r>
      <w:r>
        <w:rPr>
          <w:spacing w:val="-43"/>
        </w:rPr>
        <w:t> </w:t>
      </w:r>
      <w:r>
        <w:rPr>
          <w:spacing w:val="-43"/>
        </w:rPr>
      </w:r>
      <w:r>
        <w:rPr/>
        <w:t>领域打下坚实基础。</w:t>
      </w:r>
    </w:p>
    <w:p>
      <w:pPr>
        <w:pStyle w:val="BodyText"/>
        <w:spacing w:line="400" w:lineRule="auto" w:before="154"/>
        <w:ind w:right="100" w:firstLine="420"/>
        <w:jc w:val="left"/>
      </w:pPr>
      <w:r>
        <w:rPr/>
        <w:t>在电子元器件测试领域方面，公司全资子公司西安西谷从事电子元器件测试、筛选及可靠性保证相关</w:t>
      </w:r>
      <w:r>
        <w:rPr>
          <w:w w:val="100"/>
        </w:rPr>
        <w:t> </w:t>
      </w:r>
      <w:r>
        <w:rPr>
          <w:spacing w:val="-5"/>
        </w:rPr>
        <w:t>服务业务。该业务面向国防军工客户，检测服务对象为航空、航天、兵器、电子、船舶等行业的军工企业，</w:t>
      </w:r>
      <w:r>
        <w:rPr>
          <w:spacing w:val="-6"/>
        </w:rPr>
        <w:t> </w:t>
      </w:r>
      <w:r>
        <w:rPr>
          <w:spacing w:val="-6"/>
        </w:rPr>
      </w:r>
      <w:r>
        <w:rPr/>
        <w:t>按照 </w:t>
      </w:r>
      <w:r>
        <w:rPr>
          <w:rFonts w:ascii="Times New Roman" w:hAnsi="Times New Roman" w:cs="Times New Roman" w:eastAsia="Times New Roman" w:hint="default"/>
        </w:rPr>
        <w:t>GJB</w:t>
      </w:r>
      <w:r>
        <w:rPr/>
        <w:t>、</w:t>
      </w:r>
      <w:r>
        <w:rPr>
          <w:rFonts w:ascii="Times New Roman" w:hAnsi="Times New Roman" w:cs="Times New Roman" w:eastAsia="Times New Roman" w:hint="default"/>
        </w:rPr>
        <w:t>GB</w:t>
      </w:r>
      <w:r>
        <w:rPr/>
        <w:t>、行业标准、企业标准以及客户的要求来开展军用元器件的测试筛选工作，提供集成电路</w:t>
      </w:r>
      <w:r>
        <w:rPr>
          <w:spacing w:val="-56"/>
        </w:rPr>
        <w:t> </w:t>
      </w:r>
      <w:r>
        <w:rPr>
          <w:spacing w:val="-56"/>
        </w:rPr>
      </w:r>
      <w:r>
        <w:rPr/>
        <w:t>测试、分析、验证、老化筛选等完整的测试解决方案。</w:t>
      </w:r>
    </w:p>
    <w:p>
      <w:pPr>
        <w:pStyle w:val="BodyText"/>
        <w:spacing w:line="408" w:lineRule="auto" w:before="153"/>
        <w:ind w:right="206" w:firstLine="420"/>
        <w:jc w:val="both"/>
      </w:pPr>
      <w:r>
        <w:rPr>
          <w:spacing w:val="2"/>
        </w:rPr>
        <w:t>在装备健康管理体系产品方面，公司积极布局新一代装备健康管理产品体系研制及服务平台建设工</w:t>
      </w:r>
      <w:r>
        <w:rPr>
          <w:w w:val="100"/>
        </w:rPr>
        <w:t> </w:t>
      </w:r>
      <w:r>
        <w:rPr>
          <w:spacing w:val="-2"/>
        </w:rPr>
        <w:t>作，加大投入，以公司自主知识产权为核心，通过对关键技术的研究，提供覆盖装备设计、制造、维护全</w:t>
      </w:r>
      <w:r>
        <w:rPr>
          <w:spacing w:val="-42"/>
        </w:rPr>
        <w:t> </w:t>
      </w:r>
      <w:r>
        <w:rPr>
          <w:spacing w:val="-42"/>
        </w:rPr>
      </w:r>
      <w:r>
        <w:rPr>
          <w:spacing w:val="-2"/>
        </w:rPr>
        <w:t>生命周期的健康管理产品体系的技术平台和产品平台，包括硬件体系、软件体系、系统级测试性验证、综</w:t>
      </w:r>
      <w:r>
        <w:rPr>
          <w:spacing w:val="-44"/>
        </w:rPr>
        <w:t> </w:t>
      </w:r>
      <w:r>
        <w:rPr>
          <w:spacing w:val="-44"/>
        </w:rPr>
      </w:r>
      <w:r>
        <w:rPr>
          <w:spacing w:val="-2"/>
        </w:rPr>
        <w:t>合保障产品，为车载、机载、舰载、大型复杂设备的不同型号装备快速地提供系列装备健康管理产品与服</w:t>
      </w:r>
    </w:p>
    <w:p>
      <w:pPr>
        <w:spacing w:after="0" w:line="408" w:lineRule="auto"/>
        <w:jc w:val="both"/>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408" w:lineRule="auto" w:before="36"/>
        <w:ind w:right="100"/>
        <w:jc w:val="left"/>
      </w:pPr>
      <w:r>
        <w:rPr>
          <w:spacing w:val="-2"/>
        </w:rPr>
        <w:t>务。同时，基于装备健康管理产品的使用来构建包含时空信息的健康管理大数据服务平台，通过对装备数</w:t>
      </w:r>
      <w:r>
        <w:rPr>
          <w:spacing w:val="-44"/>
        </w:rPr>
        <w:t> </w:t>
      </w:r>
      <w:r>
        <w:rPr>
          <w:spacing w:val="-44"/>
        </w:rPr>
      </w:r>
      <w:r>
        <w:rPr/>
        <w:t>据的分析挖掘提供高质量的装备健康管理服务，延长装备使用寿命，提高装备使用效率。</w:t>
      </w:r>
    </w:p>
    <w:p>
      <w:pPr>
        <w:pStyle w:val="BodyText"/>
        <w:spacing w:line="403" w:lineRule="auto" w:before="147"/>
        <w:ind w:right="100" w:firstLine="420"/>
        <w:jc w:val="left"/>
      </w:pPr>
      <w:r>
        <w:rPr>
          <w:spacing w:val="-7"/>
          <w:w w:val="100"/>
        </w:rPr>
        <w:t>在无线宽带通信产品方面，公司大力推广</w:t>
      </w:r>
      <w:r>
        <w:rPr>
          <w:spacing w:val="-42"/>
          <w:w w:val="100"/>
        </w:rPr>
        <w:t> </w:t>
      </w:r>
      <w:r>
        <w:rPr>
          <w:rFonts w:ascii="Times New Roman" w:hAnsi="Times New Roman" w:cs="Times New Roman" w:eastAsia="Times New Roman" w:hint="default"/>
          <w:spacing w:val="-4"/>
          <w:w w:val="100"/>
        </w:rPr>
        <w:t>WaterKD</w:t>
      </w:r>
      <w:r>
        <w:rPr>
          <w:rFonts w:ascii="Times New Roman" w:hAnsi="Times New Roman" w:cs="Times New Roman" w:eastAsia="Times New Roman" w:hint="default"/>
          <w:w w:val="100"/>
        </w:rPr>
        <w:t> </w:t>
      </w:r>
      <w:r>
        <w:rPr>
          <w:spacing w:val="-6"/>
          <w:w w:val="100"/>
        </w:rPr>
        <w:t>无线宽带通信多媒体指挥系统，该系统在支持图像、</w:t>
      </w:r>
      <w:r>
        <w:rPr>
          <w:w w:val="100"/>
        </w:rPr>
        <w:t> </w:t>
      </w:r>
      <w:r>
        <w:rPr>
          <w:spacing w:val="-5"/>
        </w:rPr>
        <w:t>视频等大容量数据传输的基础上，重点解决营区、港口、机场、应急等行业的区域性通信和宽带保障问题， </w:t>
      </w:r>
      <w:r>
        <w:rPr>
          <w:spacing w:val="-5"/>
        </w:rPr>
      </w:r>
      <w:r>
        <w:rPr>
          <w:spacing w:val="-2"/>
        </w:rPr>
        <w:t>提升了使用者在复杂环境下保持不间断通信的能力，提高了现场态势感知和决策的可靠性、准确性。报告</w:t>
      </w:r>
      <w:r>
        <w:rPr>
          <w:spacing w:val="-44"/>
        </w:rPr>
        <w:t> </w:t>
      </w:r>
      <w:r>
        <w:rPr>
          <w:spacing w:val="-44"/>
        </w:rPr>
      </w:r>
      <w:r>
        <w:rPr>
          <w:spacing w:val="-2"/>
        </w:rPr>
        <w:t>期内，该产品全程参与了多个重大任务的视频传输保障，得到客户的充分肯定。另外，公司积极布局特种</w:t>
      </w:r>
      <w:r>
        <w:rPr>
          <w:spacing w:val="-47"/>
        </w:rPr>
        <w:t> </w:t>
      </w:r>
      <w:r>
        <w:rPr>
          <w:spacing w:val="-47"/>
        </w:rPr>
      </w:r>
      <w:r>
        <w:rPr>
          <w:spacing w:val="-2"/>
        </w:rPr>
        <w:t>通信设备的研发和生产，形成了包括移动小型基站、交换、接入、终端的全套自主可控的宽带自组网通信</w:t>
      </w:r>
      <w:r>
        <w:rPr>
          <w:spacing w:val="-44"/>
        </w:rPr>
        <w:t> </w:t>
      </w:r>
      <w:r>
        <w:rPr>
          <w:spacing w:val="-44"/>
        </w:rPr>
      </w:r>
      <w:r>
        <w:rPr/>
        <w:t>体系产品系列，力争在末端和特种通信领域争取更多的市场份额。</w:t>
      </w:r>
    </w:p>
    <w:p>
      <w:pPr>
        <w:spacing w:line="240" w:lineRule="auto" w:before="11"/>
        <w:rPr>
          <w:rFonts w:ascii="宋体" w:hAnsi="宋体" w:cs="宋体" w:eastAsia="宋体" w:hint="default"/>
          <w:sz w:val="13"/>
          <w:szCs w:val="13"/>
        </w:rPr>
      </w:pPr>
    </w:p>
    <w:p>
      <w:pPr>
        <w:pStyle w:val="Heading3"/>
        <w:spacing w:line="240" w:lineRule="auto"/>
        <w:ind w:right="100"/>
        <w:jc w:val="left"/>
      </w:pPr>
      <w:r>
        <w:rPr>
          <w:rFonts w:ascii="Times New Roman" w:hAnsi="Times New Roman" w:cs="Times New Roman" w:eastAsia="Times New Roman" w:hint="default"/>
        </w:rPr>
        <w:t>2</w:t>
      </w:r>
      <w:r>
        <w:rPr/>
        <w:t>、税务信息化业务</w:t>
      </w:r>
    </w:p>
    <w:p>
      <w:pPr>
        <w:spacing w:line="240" w:lineRule="auto" w:before="3"/>
        <w:rPr>
          <w:rFonts w:ascii="黑体" w:hAnsi="黑体" w:cs="黑体" w:eastAsia="黑体" w:hint="default"/>
          <w:sz w:val="24"/>
          <w:szCs w:val="24"/>
        </w:rPr>
      </w:pPr>
    </w:p>
    <w:p>
      <w:pPr>
        <w:pStyle w:val="BodyText"/>
        <w:spacing w:line="398" w:lineRule="auto"/>
        <w:ind w:right="100" w:firstLine="420"/>
        <w:jc w:val="left"/>
      </w:pPr>
      <w:r>
        <w:rPr/>
        <w:t>报告期内，随着国家</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项目进入平稳运行阶段，公司作为国内主流税务信息化产品和服务提供</w:t>
      </w:r>
      <w:r>
        <w:rPr>
          <w:spacing w:val="-3"/>
          <w:w w:val="100"/>
        </w:rPr>
        <w:t> </w:t>
      </w:r>
      <w:r>
        <w:rPr>
          <w:spacing w:val="-7"/>
        </w:rPr>
        <w:t>商之一，公司积极布局电子发票领域、闪电开票项目、拓展增值服务领域，开发智能 </w:t>
      </w:r>
      <w:r>
        <w:rPr>
          <w:rFonts w:ascii="Times New Roman" w:hAnsi="Times New Roman" w:cs="Times New Roman" w:eastAsia="Times New Roman" w:hint="default"/>
        </w:rPr>
        <w:t>POS </w:t>
      </w:r>
      <w:r>
        <w:rPr/>
        <w:t>专用多功能终端、</w:t>
      </w:r>
      <w:r>
        <w:rPr>
          <w:spacing w:val="-98"/>
        </w:rPr>
        <w:t> </w:t>
      </w:r>
      <w:r>
        <w:rPr>
          <w:spacing w:val="-98"/>
        </w:rPr>
      </w:r>
      <w:r>
        <w:rPr>
          <w:spacing w:val="-2"/>
        </w:rPr>
        <w:t>基于大数据的税务自动稽查平台、基于税务大数据的企业税务自查平台产品。公司也在着手该业务板块全</w:t>
      </w:r>
      <w:r>
        <w:rPr>
          <w:spacing w:val="-44"/>
        </w:rPr>
        <w:t> </w:t>
      </w:r>
      <w:r>
        <w:rPr>
          <w:spacing w:val="-44"/>
        </w:rPr>
      </w:r>
      <w:r>
        <w:rPr>
          <w:spacing w:val="-2"/>
        </w:rPr>
        <w:t>新布局，加大投入。未来，公司将根据国家政策牵引，进一步拓展涉税全业务，继续发展现有税控延伸业</w:t>
      </w:r>
      <w:r>
        <w:rPr>
          <w:spacing w:val="-43"/>
        </w:rPr>
        <w:t> </w:t>
      </w:r>
      <w:r>
        <w:rPr>
          <w:spacing w:val="-43"/>
        </w:rPr>
      </w:r>
      <w:r>
        <w:rPr/>
        <w:t>务。</w:t>
      </w:r>
    </w:p>
    <w:p>
      <w:pPr>
        <w:spacing w:line="240" w:lineRule="auto" w:before="2"/>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3</w:t>
      </w:r>
      <w:r>
        <w:rPr/>
        <w:t>、智慧城市业务</w:t>
      </w:r>
    </w:p>
    <w:p>
      <w:pPr>
        <w:spacing w:line="240" w:lineRule="auto" w:before="3"/>
        <w:rPr>
          <w:rFonts w:ascii="黑体" w:hAnsi="黑体" w:cs="黑体" w:eastAsia="黑体" w:hint="default"/>
          <w:sz w:val="24"/>
          <w:szCs w:val="24"/>
        </w:rPr>
      </w:pPr>
    </w:p>
    <w:p>
      <w:pPr>
        <w:pStyle w:val="BodyText"/>
        <w:spacing w:line="405" w:lineRule="auto"/>
        <w:ind w:right="206" w:firstLine="420"/>
        <w:jc w:val="both"/>
      </w:pPr>
      <w:r>
        <w:rPr>
          <w:spacing w:val="-2"/>
        </w:rPr>
        <w:t>报告期内，公司重点围绕新型智慧城市建设开展业务布局，业务主要覆盖智慧城市顶层规划，智慧物</w:t>
      </w:r>
      <w:r>
        <w:rPr>
          <w:w w:val="100"/>
        </w:rPr>
        <w:t> </w:t>
      </w:r>
      <w:r>
        <w:rPr>
          <w:spacing w:val="-2"/>
        </w:rPr>
        <w:t>业、智慧金融、智慧能源、智慧交通、智慧建筑及节能、油气站信息化等领域。公司全资子公司泰豪智能</w:t>
      </w:r>
      <w:r>
        <w:rPr>
          <w:spacing w:val="-42"/>
        </w:rPr>
        <w:t> </w:t>
      </w:r>
      <w:r>
        <w:rPr>
          <w:spacing w:val="-42"/>
        </w:rPr>
      </w:r>
      <w:r>
        <w:rPr/>
        <w:t>中标湖南湘潭</w:t>
      </w:r>
      <w:r>
        <w:rPr>
          <w:spacing w:val="-34"/>
        </w:rPr>
        <w:t> </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智慧城市建设项目完成合同签订，项目进展顺利；同时，泰豪智能中标的</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余个标杆</w:t>
      </w:r>
      <w:r>
        <w:rPr>
          <w:w w:val="100"/>
        </w:rPr>
        <w:t> </w:t>
      </w:r>
      <w:r>
        <w:rPr>
          <w:spacing w:val="-2"/>
        </w:rPr>
        <w:t>项目，提高了企业的品牌价值及行业影响力，为未来业务发展打下坚实的基础。另外，公司全资子公司中</w:t>
      </w:r>
      <w:r>
        <w:rPr>
          <w:spacing w:val="-47"/>
        </w:rPr>
        <w:t> </w:t>
      </w:r>
      <w:r>
        <w:rPr>
          <w:spacing w:val="-47"/>
        </w:rPr>
      </w:r>
      <w:r>
        <w:rPr>
          <w:spacing w:val="-2"/>
        </w:rPr>
        <w:t>软金卡完成多项加油系统新产品的研发。未来，公司将以物联网、云计算、大数据等新一代信息技术为依</w:t>
      </w:r>
      <w:r>
        <w:rPr>
          <w:spacing w:val="-44"/>
        </w:rPr>
        <w:t> </w:t>
      </w:r>
      <w:r>
        <w:rPr>
          <w:spacing w:val="-44"/>
        </w:rPr>
      </w:r>
      <w:r>
        <w:rPr>
          <w:spacing w:val="-2"/>
        </w:rPr>
        <w:t>托，结合公司在智慧城市建设领域的丰富工程实践经验，实现对城市运行情况的全面感知，并通过大数据</w:t>
      </w:r>
      <w:r>
        <w:rPr>
          <w:spacing w:val="-44"/>
        </w:rPr>
        <w:t> </w:t>
      </w:r>
      <w:r>
        <w:rPr>
          <w:spacing w:val="-44"/>
        </w:rPr>
      </w:r>
      <w:r>
        <w:rPr>
          <w:spacing w:val="-2"/>
        </w:rPr>
        <w:t>分析等技术手段挖掘数据在城市规划、建设和运营过程中的价值，打造新型智慧城市智能设备与信息服务</w:t>
      </w:r>
      <w:r>
        <w:rPr>
          <w:spacing w:val="-43"/>
        </w:rPr>
        <w:t> </w:t>
      </w:r>
      <w:r>
        <w:rPr>
          <w:spacing w:val="-43"/>
        </w:rPr>
      </w:r>
      <w:r>
        <w:rPr/>
        <w:t>平台系列产品。</w:t>
      </w:r>
    </w:p>
    <w:p>
      <w:pPr>
        <w:pStyle w:val="Heading3"/>
        <w:spacing w:line="240" w:lineRule="auto" w:before="179"/>
        <w:ind w:right="100"/>
        <w:jc w:val="left"/>
      </w:pPr>
      <w:r>
        <w:rPr>
          <w:rFonts w:ascii="Times New Roman" w:hAnsi="Times New Roman" w:cs="Times New Roman" w:eastAsia="Times New Roman" w:hint="default"/>
        </w:rPr>
        <w:t>4</w:t>
      </w:r>
      <w:r>
        <w:rPr/>
        <w:t>、时空大数据业务</w:t>
      </w:r>
    </w:p>
    <w:p>
      <w:pPr>
        <w:spacing w:line="240" w:lineRule="auto" w:before="3"/>
        <w:rPr>
          <w:rFonts w:ascii="黑体" w:hAnsi="黑体" w:cs="黑体" w:eastAsia="黑体" w:hint="default"/>
          <w:sz w:val="24"/>
          <w:szCs w:val="24"/>
        </w:rPr>
      </w:pPr>
    </w:p>
    <w:p>
      <w:pPr>
        <w:pStyle w:val="BodyText"/>
        <w:spacing w:line="408" w:lineRule="auto"/>
        <w:ind w:right="206" w:firstLine="420"/>
        <w:jc w:val="both"/>
      </w:pPr>
      <w:r>
        <w:rPr>
          <w:spacing w:val="-2"/>
        </w:rPr>
        <w:t>报告期内，公司加大投入并积极推进时空大数据业务，开展时空大数据应用系列硬件、软件和服务平</w:t>
      </w:r>
      <w:r>
        <w:rPr>
          <w:w w:val="100"/>
        </w:rPr>
        <w:t> </w:t>
      </w:r>
      <w:r>
        <w:rPr>
          <w:spacing w:val="-2"/>
        </w:rPr>
        <w:t>台的研发工作，建设大数据技术实验室，以及建立相应的服务体系。公司控股子公司旋极伏羲的地球空间</w:t>
      </w:r>
      <w:r>
        <w:rPr>
          <w:spacing w:val="-45"/>
        </w:rPr>
        <w:t> </w:t>
      </w:r>
      <w:r>
        <w:rPr>
          <w:spacing w:val="-45"/>
        </w:rPr>
      </w:r>
      <w:r>
        <w:rPr>
          <w:spacing w:val="-2"/>
        </w:rPr>
        <w:t>网格与编码标准获得国家批准，正式成为军用标准，并且发布了北斗网格码基础产品及时空大数据网格化</w:t>
      </w:r>
    </w:p>
    <w:p>
      <w:pPr>
        <w:spacing w:after="0" w:line="408" w:lineRule="auto"/>
        <w:jc w:val="both"/>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408" w:lineRule="auto" w:before="36"/>
        <w:ind w:right="100"/>
        <w:jc w:val="left"/>
      </w:pPr>
      <w:r>
        <w:rPr>
          <w:spacing w:val="-5"/>
        </w:rPr>
        <w:t>管理服务平台软件产品，预期将在金融大数据、国防军事、智慧城市、北斗精准服务等场景获得广泛应用。</w:t>
      </w:r>
      <w:r>
        <w:rPr>
          <w:spacing w:val="-8"/>
        </w:rPr>
        <w:t> </w:t>
      </w:r>
      <w:r>
        <w:rPr>
          <w:spacing w:val="-8"/>
        </w:rPr>
      </w:r>
      <w:r>
        <w:rPr>
          <w:spacing w:val="-2"/>
        </w:rPr>
        <w:t>未来，公司将通过时空大数据在军用领域、智慧城市领域、政府电子政务领域的应用等，促进时空大数据</w:t>
      </w:r>
      <w:r>
        <w:rPr>
          <w:spacing w:val="-50"/>
        </w:rPr>
        <w:t> </w:t>
      </w:r>
      <w:r>
        <w:rPr>
          <w:spacing w:val="-50"/>
        </w:rPr>
      </w:r>
      <w:r>
        <w:rPr/>
        <w:t>与更多行业领域的深度融合，在各业务板块之间发挥协同作用。</w:t>
      </w:r>
    </w:p>
    <w:p>
      <w:pPr>
        <w:pStyle w:val="Heading3"/>
        <w:spacing w:line="240" w:lineRule="auto" w:before="179"/>
        <w:ind w:right="100"/>
        <w:jc w:val="left"/>
      </w:pPr>
      <w:r>
        <w:rPr/>
        <w:t>（二）公司行业市场地位</w:t>
      </w:r>
    </w:p>
    <w:p>
      <w:pPr>
        <w:spacing w:line="240" w:lineRule="auto" w:before="6"/>
        <w:rPr>
          <w:rFonts w:ascii="黑体" w:hAnsi="黑体" w:cs="黑体" w:eastAsia="黑体" w:hint="default"/>
          <w:sz w:val="25"/>
          <w:szCs w:val="25"/>
        </w:rPr>
      </w:pPr>
    </w:p>
    <w:p>
      <w:pPr>
        <w:pStyle w:val="BodyText"/>
        <w:spacing w:line="398" w:lineRule="auto"/>
        <w:ind w:right="100" w:firstLine="420"/>
        <w:jc w:val="left"/>
      </w:pPr>
      <w:r>
        <w:rPr/>
        <w:t>公司经过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多年的发展，产品和服务横跨国防、航空航天、信息安全、智慧城市、时空大数据应用</w:t>
      </w:r>
      <w:r>
        <w:rPr>
          <w:w w:val="100"/>
        </w:rPr>
        <w:t> </w:t>
      </w:r>
      <w:r>
        <w:rPr>
          <w:spacing w:val="-5"/>
        </w:rPr>
        <w:t>等关系国计民生的重要领域。凭借着领先的技术优势、全面完整的解决方案和对用户需求的深刻理解能力，</w:t>
      </w:r>
      <w:r>
        <w:rPr>
          <w:spacing w:val="-4"/>
        </w:rPr>
        <w:t> </w:t>
      </w:r>
      <w:r>
        <w:rPr>
          <w:spacing w:val="-4"/>
        </w:rPr>
      </w:r>
      <w:r>
        <w:rPr/>
        <w:t>公司在国防信息化和行业信息化领域具有较强的竞争优势。</w:t>
      </w:r>
    </w:p>
    <w:p>
      <w:pPr>
        <w:spacing w:line="240" w:lineRule="auto" w:before="2"/>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1</w:t>
      </w:r>
      <w:r>
        <w:rPr/>
        <w:t>、智慧防务领域</w:t>
      </w:r>
    </w:p>
    <w:p>
      <w:pPr>
        <w:spacing w:line="240" w:lineRule="auto" w:before="3"/>
        <w:rPr>
          <w:rFonts w:ascii="黑体" w:hAnsi="黑体" w:cs="黑体" w:eastAsia="黑体" w:hint="default"/>
          <w:sz w:val="24"/>
          <w:szCs w:val="24"/>
        </w:rPr>
      </w:pPr>
    </w:p>
    <w:p>
      <w:pPr>
        <w:pStyle w:val="BodyText"/>
        <w:spacing w:line="405" w:lineRule="auto"/>
        <w:ind w:right="184" w:firstLine="420"/>
        <w:jc w:val="both"/>
      </w:pPr>
      <w:r>
        <w:rPr>
          <w:spacing w:val="-2"/>
        </w:rPr>
        <w:t>公司提供面向国防军工的嵌入式系统测试、彷真、控制产品及服务，装备综合保障相关产品和服务，</w:t>
      </w:r>
      <w:r>
        <w:rPr>
          <w:w w:val="100"/>
        </w:rPr>
        <w:t> </w:t>
      </w:r>
      <w:r>
        <w:rPr>
          <w:spacing w:val="-2"/>
        </w:rPr>
        <w:t>以及无线宽带通信多媒体指挥系统。嵌入式系统测试、彷真、控制主要包括军用电子元器件测试筛选、软</w:t>
      </w:r>
      <w:r>
        <w:rPr>
          <w:spacing w:val="-44"/>
        </w:rPr>
        <w:t> </w:t>
      </w:r>
      <w:r>
        <w:rPr>
          <w:spacing w:val="-44"/>
        </w:rPr>
      </w:r>
      <w:r>
        <w:rPr>
          <w:spacing w:val="-2"/>
        </w:rPr>
        <w:t>件测评服务、高速总线仿真测试、系统仿真测试等。装备综合保障方面，通过自主知识产权的时空信息技</w:t>
      </w:r>
      <w:r>
        <w:rPr>
          <w:spacing w:val="-46"/>
        </w:rPr>
        <w:t> </w:t>
      </w:r>
      <w:r>
        <w:rPr>
          <w:spacing w:val="-46"/>
        </w:rPr>
      </w:r>
      <w:r>
        <w:rPr>
          <w:spacing w:val="-5"/>
        </w:rPr>
        <w:t>术、可测试性技术、嵌入式信息安全技术、</w:t>
      </w:r>
      <w:r>
        <w:rPr>
          <w:rFonts w:ascii="Times New Roman" w:hAnsi="Times New Roman" w:cs="Times New Roman" w:eastAsia="Times New Roman" w:hint="default"/>
          <w:spacing w:val="-5"/>
        </w:rPr>
        <w:t>PHM </w:t>
      </w:r>
      <w:r>
        <w:rPr>
          <w:spacing w:val="-4"/>
        </w:rPr>
        <w:t>技术为基础，通过对关键技术的研究，建设装备全生命周</w:t>
      </w:r>
      <w:r>
        <w:rPr>
          <w:spacing w:val="-64"/>
        </w:rPr>
        <w:t> </w:t>
      </w:r>
      <w:r>
        <w:rPr>
          <w:spacing w:val="-64"/>
        </w:rPr>
      </w:r>
      <w:r>
        <w:rPr>
          <w:spacing w:val="-2"/>
        </w:rPr>
        <w:t>期的健康管理产品体系的技术平台和产品平台，提供数据驱动的装备健康管理产品和服务。无线宽带通信</w:t>
      </w:r>
      <w:r>
        <w:rPr>
          <w:spacing w:val="-43"/>
        </w:rPr>
        <w:t> </w:t>
      </w:r>
      <w:r>
        <w:rPr>
          <w:spacing w:val="-43"/>
        </w:rPr>
      </w:r>
      <w:r>
        <w:rPr>
          <w:spacing w:val="-2"/>
        </w:rPr>
        <w:t>多媒体指挥系统，可适用于高机动平台的宽带多媒体业务，具备根据应用场合需求对自组网频段进行定制</w:t>
      </w:r>
      <w:r>
        <w:rPr>
          <w:spacing w:val="-44"/>
        </w:rPr>
        <w:t> </w:t>
      </w:r>
      <w:r>
        <w:rPr>
          <w:spacing w:val="-44"/>
        </w:rPr>
      </w:r>
      <w:r>
        <w:rPr>
          <w:spacing w:val="-2"/>
        </w:rPr>
        <w:t>的能力，实现现场态势感知，该产品可以应用于特种通信、民用领域以及军事领域，并且能够提供专业的</w:t>
      </w:r>
      <w:r>
        <w:rPr>
          <w:spacing w:val="-50"/>
        </w:rPr>
        <w:t> </w:t>
      </w:r>
      <w:r>
        <w:rPr>
          <w:spacing w:val="-50"/>
        </w:rPr>
      </w:r>
      <w:r>
        <w:rPr>
          <w:spacing w:val="-2"/>
        </w:rPr>
        <w:t>通信系统整体解决方案。公司作为国内知名的军民融合高科技企业，将继续创造创新产品及服务，为国防</w:t>
      </w:r>
      <w:r>
        <w:rPr>
          <w:spacing w:val="-44"/>
        </w:rPr>
        <w:t> </w:t>
      </w:r>
      <w:r>
        <w:rPr>
          <w:spacing w:val="-44"/>
        </w:rPr>
      </w:r>
      <w:r>
        <w:rPr/>
        <w:t>信息化事业贡献自己的力量。</w:t>
      </w:r>
    </w:p>
    <w:p>
      <w:pPr>
        <w:pStyle w:val="Heading3"/>
        <w:spacing w:line="240" w:lineRule="auto" w:before="179"/>
        <w:ind w:right="100"/>
        <w:jc w:val="left"/>
      </w:pPr>
      <w:r>
        <w:rPr>
          <w:rFonts w:ascii="Times New Roman" w:hAnsi="Times New Roman" w:cs="Times New Roman" w:eastAsia="Times New Roman" w:hint="default"/>
        </w:rPr>
        <w:t>2</w:t>
      </w:r>
      <w:r>
        <w:rPr/>
        <w:t>、税务信息化领域</w:t>
      </w:r>
    </w:p>
    <w:p>
      <w:pPr>
        <w:spacing w:line="240" w:lineRule="auto" w:before="3"/>
        <w:rPr>
          <w:rFonts w:ascii="黑体" w:hAnsi="黑体" w:cs="黑体" w:eastAsia="黑体" w:hint="default"/>
          <w:sz w:val="24"/>
          <w:szCs w:val="24"/>
        </w:rPr>
      </w:pPr>
    </w:p>
    <w:p>
      <w:pPr>
        <w:pStyle w:val="BodyText"/>
        <w:spacing w:line="400" w:lineRule="auto"/>
        <w:ind w:right="100" w:firstLine="420"/>
        <w:jc w:val="left"/>
      </w:pPr>
      <w:r>
        <w:rPr/>
        <w:t>公司作为国内主要的税务信息化产品和服务提供商，主要从事营改增税控器具在全国范围内的销售、</w:t>
      </w:r>
      <w:r>
        <w:rPr>
          <w:w w:val="100"/>
        </w:rPr>
        <w:t> </w:t>
      </w:r>
      <w:r>
        <w:rPr/>
        <w:t>技术支持和服务等相关工作。公司积极布局涉税硬件、软件及衍生增值业务，夯实</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基础服务</w:t>
      </w:r>
      <w:r>
        <w:rPr>
          <w:rFonts w:ascii="Times New Roman" w:hAnsi="Times New Roman" w:cs="Times New Roman" w:eastAsia="Times New Roman" w:hint="default"/>
        </w:rPr>
        <w:t>+</w:t>
      </w:r>
      <w:r>
        <w:rPr/>
        <w:t>增值</w:t>
      </w:r>
      <w:r>
        <w:rPr>
          <w:spacing w:val="-39"/>
        </w:rPr>
        <w:t> </w:t>
      </w:r>
      <w:r>
        <w:rPr/>
        <w:t>服务</w:t>
      </w:r>
      <w:r>
        <w:rPr>
          <w:rFonts w:ascii="Times New Roman" w:hAnsi="Times New Roman" w:cs="Times New Roman" w:eastAsia="Times New Roman" w:hint="default"/>
        </w:rPr>
        <w:t>”</w:t>
      </w:r>
      <w:r>
        <w:rPr/>
        <w:t>的运营模式，并在积极探索电子发票、企业金融服务等其他涉税产业链的业务拓展。公司依托在税</w:t>
      </w:r>
      <w:r>
        <w:rPr>
          <w:spacing w:val="-17"/>
        </w:rPr>
        <w:t> </w:t>
      </w:r>
      <w:r>
        <w:rPr>
          <w:spacing w:val="-17"/>
        </w:rPr>
      </w:r>
      <w:r>
        <w:rPr>
          <w:spacing w:val="-2"/>
        </w:rPr>
        <w:t>控领域的优势，开发了电子发票平台，已在银行保险等金融机构中获得推广并取得良好口碑。此外，公司</w:t>
      </w:r>
      <w:r>
        <w:rPr>
          <w:spacing w:val="-47"/>
        </w:rPr>
        <w:t> </w:t>
      </w:r>
      <w:r>
        <w:rPr>
          <w:spacing w:val="-47"/>
        </w:rPr>
      </w:r>
      <w:r>
        <w:rPr>
          <w:spacing w:val="-5"/>
        </w:rPr>
        <w:t>以涉税服务为切入点，为企业、个人及政府机构提供服务，同时通过大数据技术对所获取的数据进行开发， </w:t>
      </w:r>
      <w:r>
        <w:rPr>
          <w:spacing w:val="-5"/>
        </w:rPr>
      </w:r>
      <w:r>
        <w:rPr>
          <w:spacing w:val="-2"/>
        </w:rPr>
        <w:t>提供基于数据的增值服务，应用于诸如征信、精准营销、税收征管等领域，保障公司在大数据时代的可持</w:t>
      </w:r>
      <w:r>
        <w:rPr>
          <w:spacing w:val="-44"/>
        </w:rPr>
        <w:t> </w:t>
      </w:r>
      <w:r>
        <w:rPr>
          <w:spacing w:val="-44"/>
        </w:rPr>
      </w:r>
      <w:r>
        <w:rPr/>
        <w:t>续发展。</w:t>
      </w:r>
    </w:p>
    <w:p>
      <w:pPr>
        <w:spacing w:line="240" w:lineRule="auto" w:before="13"/>
        <w:rPr>
          <w:rFonts w:ascii="宋体" w:hAnsi="宋体" w:cs="宋体" w:eastAsia="宋体" w:hint="default"/>
          <w:sz w:val="13"/>
          <w:szCs w:val="13"/>
        </w:rPr>
      </w:pPr>
    </w:p>
    <w:p>
      <w:pPr>
        <w:pStyle w:val="Heading3"/>
        <w:spacing w:line="240" w:lineRule="auto"/>
        <w:ind w:right="100"/>
        <w:jc w:val="left"/>
      </w:pPr>
      <w:r>
        <w:rPr>
          <w:rFonts w:ascii="Times New Roman" w:hAnsi="Times New Roman" w:cs="Times New Roman" w:eastAsia="Times New Roman" w:hint="default"/>
        </w:rPr>
        <w:t>3</w:t>
      </w:r>
      <w:r>
        <w:rPr/>
        <w:t>、智慧城市领域</w:t>
      </w:r>
    </w:p>
    <w:p>
      <w:pPr>
        <w:spacing w:line="240" w:lineRule="auto" w:before="4"/>
        <w:rPr>
          <w:rFonts w:ascii="黑体" w:hAnsi="黑体" w:cs="黑体" w:eastAsia="黑体" w:hint="default"/>
          <w:sz w:val="24"/>
          <w:szCs w:val="24"/>
        </w:rPr>
      </w:pPr>
    </w:p>
    <w:p>
      <w:pPr>
        <w:pStyle w:val="BodyText"/>
        <w:spacing w:line="240" w:lineRule="auto"/>
        <w:ind w:left="573" w:right="100"/>
        <w:jc w:val="left"/>
      </w:pPr>
      <w:r>
        <w:rPr/>
        <w:t>公司围绕新型智慧城市建设需求进行顶层设计与整体布局，以数据驱动的新型智慧城市为发展路径，</w:t>
      </w:r>
    </w:p>
    <w:p>
      <w:pPr>
        <w:spacing w:after="0" w:line="240"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408" w:lineRule="auto" w:before="36"/>
        <w:ind w:right="206"/>
        <w:jc w:val="both"/>
      </w:pPr>
      <w:r>
        <w:rPr>
          <w:spacing w:val="-2"/>
        </w:rPr>
        <w:t>以解决（大）城市病为目标，以产业、社区的智能化和安全为切入点，打造服务于新型智慧城市的智能设</w:t>
      </w:r>
      <w:r>
        <w:rPr>
          <w:spacing w:val="-43"/>
        </w:rPr>
        <w:t> </w:t>
      </w:r>
      <w:r>
        <w:rPr>
          <w:spacing w:val="-43"/>
        </w:rPr>
      </w:r>
      <w:r>
        <w:rPr>
          <w:spacing w:val="-2"/>
        </w:rPr>
        <w:t>备与信息服务平台系列产品。目前，公司已经具备了在安全应急、智慧能源、智慧建筑、智慧停车、智慧</w:t>
      </w:r>
      <w:r>
        <w:rPr>
          <w:spacing w:val="-42"/>
        </w:rPr>
        <w:t> </w:t>
      </w:r>
      <w:r>
        <w:rPr>
          <w:spacing w:val="-42"/>
        </w:rPr>
      </w:r>
      <w:r>
        <w:rPr>
          <w:spacing w:val="-2"/>
        </w:rPr>
        <w:t>机场、智慧园区、城市信息安全、油气站信息化等领域提供智能、互联、高效、可视、可控、安全的新型</w:t>
      </w:r>
      <w:r>
        <w:rPr>
          <w:spacing w:val="-49"/>
        </w:rPr>
        <w:t> </w:t>
      </w:r>
      <w:r>
        <w:rPr>
          <w:spacing w:val="-49"/>
        </w:rPr>
      </w:r>
      <w:r>
        <w:rPr>
          <w:spacing w:val="-2"/>
        </w:rPr>
        <w:t>智慧城市整体解决方案的能力，为城市的高效运营和高效管理，提供了强有力的支撑，也为公司的发展开</w:t>
      </w:r>
      <w:r>
        <w:rPr>
          <w:spacing w:val="-43"/>
        </w:rPr>
        <w:t> </w:t>
      </w:r>
      <w:r>
        <w:rPr>
          <w:spacing w:val="-43"/>
        </w:rPr>
      </w:r>
      <w:r>
        <w:rPr/>
        <w:t>拓了巨大的发展空间。</w:t>
      </w:r>
    </w:p>
    <w:p>
      <w:pPr>
        <w:pStyle w:val="Heading3"/>
        <w:spacing w:line="240" w:lineRule="auto" w:before="179"/>
        <w:ind w:right="0"/>
        <w:jc w:val="both"/>
      </w:pPr>
      <w:r>
        <w:rPr>
          <w:rFonts w:ascii="Times New Roman" w:hAnsi="Times New Roman" w:cs="Times New Roman" w:eastAsia="Times New Roman" w:hint="default"/>
        </w:rPr>
        <w:t>4</w:t>
      </w:r>
      <w:r>
        <w:rPr/>
        <w:t>、时空大数据应用领域</w:t>
      </w:r>
    </w:p>
    <w:p>
      <w:pPr>
        <w:spacing w:line="240" w:lineRule="auto" w:before="1"/>
        <w:rPr>
          <w:rFonts w:ascii="黑体" w:hAnsi="黑体" w:cs="黑体" w:eastAsia="黑体" w:hint="default"/>
          <w:sz w:val="24"/>
          <w:szCs w:val="24"/>
        </w:rPr>
      </w:pPr>
    </w:p>
    <w:p>
      <w:pPr>
        <w:pStyle w:val="BodyText"/>
        <w:spacing w:line="408" w:lineRule="auto"/>
        <w:ind w:right="100" w:firstLine="420"/>
        <w:jc w:val="left"/>
      </w:pPr>
      <w:r>
        <w:rPr>
          <w:spacing w:val="-5"/>
        </w:rPr>
        <w:t>公司以新型全球时空信息网格编码为基础，可对陆、海、空、天等地球空间多域数据进行高效的编码、</w:t>
      </w:r>
      <w:r>
        <w:rPr>
          <w:w w:val="100"/>
        </w:rPr>
        <w:t> </w:t>
      </w:r>
      <w:r>
        <w:rPr>
          <w:spacing w:val="-2"/>
        </w:rPr>
        <w:t>管理和应用，为测绘、导航、气象、遥感、减灾、公安等不同行业提供大数据服务和管理平台。公司在时</w:t>
      </w:r>
      <w:r>
        <w:rPr>
          <w:spacing w:val="-47"/>
        </w:rPr>
        <w:t> </w:t>
      </w:r>
      <w:r>
        <w:rPr>
          <w:spacing w:val="-47"/>
        </w:rPr>
      </w:r>
      <w:r>
        <w:rPr>
          <w:spacing w:val="-2"/>
        </w:rPr>
        <w:t>空大数据管理、融合、分析、挖掘等方面具有独特优势，已形成特有的大数据技术和产品体系，该体系具</w:t>
      </w:r>
      <w:r>
        <w:rPr>
          <w:spacing w:val="-43"/>
        </w:rPr>
        <w:t> </w:t>
      </w:r>
      <w:r>
        <w:rPr>
          <w:spacing w:val="-43"/>
        </w:rPr>
      </w:r>
      <w:r>
        <w:rPr>
          <w:spacing w:val="-2"/>
        </w:rPr>
        <w:t>有低成本、高效率的特点，可以为数据密集型产业带来了巨大的变革和想象空间。目前，公司已将时空信</w:t>
      </w:r>
      <w:r>
        <w:rPr>
          <w:spacing w:val="-47"/>
        </w:rPr>
        <w:t> </w:t>
      </w:r>
      <w:r>
        <w:rPr>
          <w:spacing w:val="-47"/>
        </w:rPr>
      </w:r>
      <w:r>
        <w:rPr>
          <w:spacing w:val="-2"/>
        </w:rPr>
        <w:t>息网格大数据相关技术和产品应用于多个重点项目，并且全面开展大数据业务布局，推动时空大数据的新</w:t>
      </w:r>
      <w:r>
        <w:rPr>
          <w:spacing w:val="-44"/>
        </w:rPr>
        <w:t> </w:t>
      </w:r>
      <w:r>
        <w:rPr>
          <w:spacing w:val="-44"/>
        </w:rPr>
      </w:r>
      <w:r>
        <w:rPr/>
        <w:t>理论、新技术前瞻性研究。</w:t>
      </w:r>
    </w:p>
    <w:p>
      <w:pPr>
        <w:spacing w:line="240" w:lineRule="auto" w:before="2"/>
        <w:rPr>
          <w:rFonts w:ascii="宋体" w:hAnsi="宋体" w:cs="宋体" w:eastAsia="宋体" w:hint="default"/>
          <w:sz w:val="25"/>
          <w:szCs w:val="25"/>
        </w:rPr>
      </w:pPr>
    </w:p>
    <w:p>
      <w:pPr>
        <w:pStyle w:val="Heading2"/>
        <w:spacing w:line="240" w:lineRule="auto" w:before="0"/>
        <w:ind w:right="0"/>
        <w:jc w:val="both"/>
      </w:pPr>
      <w:r>
        <w:rPr/>
        <w:t>二、主要资产重大变化情况</w:t>
      </w:r>
    </w:p>
    <w:p>
      <w:pPr>
        <w:spacing w:line="240" w:lineRule="auto" w:before="12"/>
        <w:rPr>
          <w:rFonts w:ascii="黑体" w:hAnsi="黑体" w:cs="黑体" w:eastAsia="黑体" w:hint="default"/>
          <w:sz w:val="35"/>
          <w:szCs w:val="35"/>
        </w:rPr>
      </w:pPr>
    </w:p>
    <w:p>
      <w:pPr>
        <w:pStyle w:val="Heading3"/>
        <w:spacing w:line="240" w:lineRule="auto"/>
        <w:ind w:right="0"/>
        <w:jc w:val="both"/>
      </w:pPr>
      <w:r>
        <w:rPr>
          <w:rFonts w:ascii="Times New Roman" w:hAnsi="Times New Roman" w:cs="Times New Roman" w:eastAsia="Times New Roman" w:hint="default"/>
        </w:rPr>
        <w:t>1</w:t>
      </w:r>
      <w:r>
        <w:rPr/>
        <w:t>、主要资产重大变化情况</w:t>
      </w:r>
    </w:p>
    <w:p>
      <w:pPr>
        <w:spacing w:line="240" w:lineRule="auto" w:before="4"/>
        <w:rPr>
          <w:rFonts w:ascii="黑体" w:hAnsi="黑体" w:cs="黑体" w:eastAsia="黑体"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379"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97"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主要资产</w:t>
            </w:r>
            <w:r>
              <w:rPr>
                <w:rFonts w:ascii="宋体" w:hAnsi="宋体" w:cs="宋体" w:eastAsia="宋体" w:hint="default"/>
                <w:sz w:val="18"/>
                <w:szCs w:val="18"/>
              </w:rPr>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重大变化说明</w:t>
            </w:r>
            <w:r>
              <w:rPr>
                <w:rFonts w:ascii="宋体" w:hAnsi="宋体" w:cs="宋体" w:eastAsia="宋体" w:hint="default"/>
                <w:sz w:val="18"/>
                <w:szCs w:val="18"/>
              </w:rPr>
            </w:r>
          </w:p>
        </w:tc>
      </w:tr>
      <w:tr>
        <w:trPr>
          <w:trHeight w:val="379"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z w:val="18"/>
                <w:szCs w:val="18"/>
              </w:rPr>
              <w:t>报告期末较去年同期增加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1.91%</w:t>
            </w:r>
            <w:r>
              <w:rPr>
                <w:rFonts w:ascii="宋体" w:hAnsi="宋体" w:cs="宋体" w:eastAsia="宋体" w:hint="default"/>
                <w:sz w:val="18"/>
                <w:szCs w:val="18"/>
              </w:rPr>
              <w:t>，主要系增发限制性股票所致。</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101"/>
              <w:ind w:left="16" w:right="21"/>
              <w:jc w:val="left"/>
              <w:rPr>
                <w:rFonts w:ascii="宋体" w:hAnsi="宋体" w:cs="宋体" w:eastAsia="宋体" w:hint="default"/>
                <w:sz w:val="18"/>
                <w:szCs w:val="18"/>
              </w:rPr>
            </w:pPr>
            <w:r>
              <w:rPr>
                <w:rFonts w:ascii="宋体" w:hAnsi="宋体" w:cs="宋体" w:eastAsia="宋体" w:hint="default"/>
                <w:sz w:val="18"/>
                <w:szCs w:val="18"/>
              </w:rPr>
              <w:t>报告期末较去年同期增长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23.85%</w:t>
            </w:r>
            <w:r>
              <w:rPr>
                <w:rFonts w:ascii="宋体" w:hAnsi="宋体" w:cs="宋体" w:eastAsia="宋体" w:hint="default"/>
                <w:sz w:val="18"/>
                <w:szCs w:val="18"/>
              </w:rPr>
              <w:t>，主要是报告期内泰豪太阳能镇赉光伏发电系统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二期）在建工程转入固定资产所致。</w:t>
            </w:r>
          </w:p>
        </w:tc>
      </w:tr>
      <w:tr>
        <w:trPr>
          <w:trHeight w:val="497"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509"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z w:val="18"/>
                <w:szCs w:val="18"/>
              </w:rPr>
              <w:t>报告期末较去年同期增长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32.42%</w:t>
            </w:r>
            <w:r>
              <w:rPr>
                <w:rFonts w:ascii="宋体" w:hAnsi="宋体" w:cs="宋体" w:eastAsia="宋体" w:hint="default"/>
                <w:sz w:val="18"/>
                <w:szCs w:val="18"/>
              </w:rPr>
              <w:t>，主要是报告期内旋极信息外购所需软件所致。</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101"/>
              <w:ind w:left="16" w:right="23"/>
              <w:jc w:val="left"/>
              <w:rPr>
                <w:rFonts w:ascii="宋体" w:hAnsi="宋体" w:cs="宋体" w:eastAsia="宋体" w:hint="default"/>
                <w:sz w:val="18"/>
                <w:szCs w:val="18"/>
              </w:rPr>
            </w:pPr>
            <w:r>
              <w:rPr>
                <w:rFonts w:ascii="宋体" w:hAnsi="宋体" w:cs="宋体" w:eastAsia="宋体" w:hint="default"/>
                <w:sz w:val="18"/>
                <w:szCs w:val="18"/>
              </w:rPr>
              <w:t>报告期末较去年同期减少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94.58%,</w:t>
            </w:r>
            <w:r>
              <w:rPr>
                <w:rFonts w:ascii="宋体" w:hAnsi="宋体" w:cs="宋体" w:eastAsia="宋体" w:hint="default"/>
                <w:sz w:val="18"/>
                <w:szCs w:val="18"/>
              </w:rPr>
              <w:t>主要是报告期内泰豪太阳能镇赉光伏发电系统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二 期）在建工程转入固定资产所致。</w:t>
            </w:r>
          </w:p>
        </w:tc>
      </w:tr>
      <w:tr>
        <w:trPr>
          <w:trHeight w:val="499"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818"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19"/>
              <w:jc w:val="left"/>
              <w:rPr>
                <w:rFonts w:ascii="宋体" w:hAnsi="宋体" w:cs="宋体" w:eastAsia="宋体" w:hint="default"/>
                <w:sz w:val="18"/>
                <w:szCs w:val="18"/>
              </w:rPr>
            </w:pPr>
            <w:r>
              <w:rPr>
                <w:rFonts w:ascii="宋体" w:hAnsi="宋体" w:cs="宋体" w:eastAsia="宋体" w:hint="default"/>
                <w:sz w:val="18"/>
                <w:szCs w:val="18"/>
              </w:rPr>
              <w:t>报告期末较去年同期增加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31.82%</w:t>
            </w:r>
            <w:r>
              <w:rPr>
                <w:rFonts w:ascii="宋体" w:hAnsi="宋体" w:cs="宋体" w:eastAsia="宋体" w:hint="default"/>
                <w:sz w:val="18"/>
                <w:szCs w:val="18"/>
              </w:rPr>
              <w:t>，主要是增加投资中关村银行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万，投资北京</w:t>
            </w:r>
            <w:r>
              <w:rPr>
                <w:rFonts w:ascii="宋体" w:hAnsi="宋体" w:cs="宋体" w:eastAsia="宋体" w:hint="default"/>
                <w:sz w:val="18"/>
                <w:szCs w:val="18"/>
              </w:rPr>
              <w:t> 华控产业投资基金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万，收回投资中航特装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7,982.46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万等所致。</w:t>
            </w:r>
          </w:p>
        </w:tc>
      </w:tr>
      <w:tr>
        <w:trPr>
          <w:trHeight w:val="821"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报告期末较去年同期增加增长</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105.43%</w:t>
            </w:r>
            <w:r>
              <w:rPr>
                <w:rFonts w:ascii="宋体" w:hAnsi="宋体" w:cs="宋体" w:eastAsia="宋体" w:hint="default"/>
                <w:sz w:val="18"/>
                <w:szCs w:val="18"/>
              </w:rPr>
              <w:t>，主要是报告期内成都旋极将自有办公楼出 租所致。</w:t>
            </w:r>
          </w:p>
        </w:tc>
      </w:tr>
      <w:tr>
        <w:trPr>
          <w:trHeight w:val="509"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报告期末较去年同期增长</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112.62%</w:t>
            </w:r>
            <w:r>
              <w:rPr>
                <w:rFonts w:ascii="宋体" w:hAnsi="宋体" w:cs="宋体" w:eastAsia="宋体" w:hint="default"/>
                <w:sz w:val="18"/>
                <w:szCs w:val="18"/>
              </w:rPr>
              <w:t>，主要是报告期内泰豪智能，旋极伏羲及百旺金</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20"/>
        </w:sectPr>
      </w:pPr>
    </w:p>
    <w:p>
      <w:pPr>
        <w:spacing w:line="240" w:lineRule="auto" w:before="2"/>
        <w:rPr>
          <w:rFonts w:ascii="黑体" w:hAnsi="黑体" w:cs="黑体" w:eastAsia="黑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416"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赋经营性房屋改善所致。</w:t>
            </w:r>
          </w:p>
        </w:tc>
      </w:tr>
      <w:tr>
        <w:trPr>
          <w:trHeight w:val="509"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报告期末较去年同期增加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41.21%</w:t>
            </w:r>
            <w:r>
              <w:rPr>
                <w:rFonts w:ascii="宋体" w:hAnsi="宋体" w:cs="宋体" w:eastAsia="宋体" w:hint="default"/>
                <w:sz w:val="18"/>
                <w:szCs w:val="18"/>
              </w:rPr>
              <w:t>，主要是待抵扣增值税及预缴税金所致。</w:t>
            </w:r>
          </w:p>
        </w:tc>
      </w:tr>
    </w:tbl>
    <w:p>
      <w:pPr>
        <w:spacing w:line="240" w:lineRule="auto" w:before="12"/>
        <w:rPr>
          <w:rFonts w:ascii="黑体" w:hAnsi="黑体" w:cs="黑体" w:eastAsia="黑体" w:hint="default"/>
          <w:sz w:val="12"/>
          <w:szCs w:val="12"/>
        </w:rPr>
      </w:pPr>
    </w:p>
    <w:p>
      <w:pPr>
        <w:pStyle w:val="Heading3"/>
        <w:spacing w:line="240" w:lineRule="auto" w:before="26"/>
        <w:ind w:right="100"/>
        <w:jc w:val="left"/>
      </w:pPr>
      <w:r>
        <w:rPr>
          <w:rFonts w:ascii="Times New Roman" w:hAnsi="Times New Roman" w:cs="Times New Roman" w:eastAsia="Times New Roman" w:hint="default"/>
        </w:rPr>
        <w:t>2</w:t>
      </w:r>
      <w:r>
        <w:rPr/>
        <w:t>、主要境外资产情况</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0"/>
        <w:ind w:right="100"/>
        <w:jc w:val="left"/>
      </w:pPr>
      <w:r>
        <w:rPr/>
        <w:t>三、核心竞争力分析</w:t>
      </w:r>
    </w:p>
    <w:p>
      <w:pPr>
        <w:spacing w:line="240" w:lineRule="auto" w:before="12"/>
        <w:rPr>
          <w:rFonts w:ascii="黑体" w:hAnsi="黑体" w:cs="黑体" w:eastAsia="黑体" w:hint="default"/>
          <w:sz w:val="37"/>
          <w:szCs w:val="37"/>
        </w:rPr>
      </w:pPr>
    </w:p>
    <w:p>
      <w:pPr>
        <w:pStyle w:val="BodyText"/>
        <w:spacing w:line="496" w:lineRule="auto"/>
        <w:ind w:left="573" w:right="5707"/>
        <w:jc w:val="left"/>
      </w:pPr>
      <w:r>
        <w:rPr>
          <w:spacing w:val="-2"/>
        </w:rPr>
        <w:t>公司是否需要遵守特殊行业的披露要求</w:t>
      </w:r>
      <w:r>
        <w:rPr>
          <w:spacing w:val="-72"/>
        </w:rPr>
        <w:t> </w:t>
      </w:r>
      <w:r>
        <w:rPr>
          <w:spacing w:val="-72"/>
        </w:rPr>
      </w:r>
      <w:r>
        <w:rPr/>
        <w:t>否</w:t>
      </w:r>
    </w:p>
    <w:p>
      <w:pPr>
        <w:pStyle w:val="BodyText"/>
        <w:spacing w:line="398" w:lineRule="auto" w:before="69"/>
        <w:ind w:right="206" w:firstLine="420"/>
        <w:jc w:val="both"/>
      </w:pPr>
      <w:r>
        <w:rPr>
          <w:spacing w:val="-2"/>
        </w:rPr>
        <w:t>报告期内，公司大力推进各业务领域的融合发展，形成了</w:t>
      </w:r>
      <w:r>
        <w:rPr>
          <w:rFonts w:ascii="Times New Roman" w:hAnsi="Times New Roman" w:cs="Times New Roman" w:eastAsia="Times New Roman" w:hint="default"/>
          <w:spacing w:val="-2"/>
        </w:rPr>
        <w:t>“</w:t>
      </w:r>
      <w:r>
        <w:rPr>
          <w:spacing w:val="-2"/>
        </w:rPr>
        <w:t>军民两条腿走路，内生外延两条线发展</w:t>
      </w:r>
      <w:r>
        <w:rPr>
          <w:rFonts w:ascii="Times New Roman" w:hAnsi="Times New Roman" w:cs="Times New Roman" w:eastAsia="Times New Roman" w:hint="default"/>
          <w:spacing w:val="-2"/>
        </w:rPr>
        <w:t>”</w:t>
      </w:r>
      <w:r>
        <w:rPr>
          <w:spacing w:val="-2"/>
        </w:rPr>
        <w:t>的</w:t>
      </w:r>
      <w:r>
        <w:rPr>
          <w:w w:val="100"/>
        </w:rPr>
        <w:t> </w:t>
      </w:r>
      <w:r>
        <w:rPr>
          <w:spacing w:val="-2"/>
        </w:rPr>
        <w:t>差异化竞争发展模式，核心竞争力具体体现在技术人才、业务整体全面、机制灵活、品牌资质、市场服务</w:t>
      </w:r>
      <w:r>
        <w:rPr>
          <w:spacing w:val="-43"/>
        </w:rPr>
        <w:t> </w:t>
      </w:r>
      <w:r>
        <w:rPr>
          <w:spacing w:val="-43"/>
        </w:rPr>
      </w:r>
      <w:r>
        <w:rPr/>
        <w:t>等方面。</w:t>
      </w:r>
    </w:p>
    <w:p>
      <w:pPr>
        <w:spacing w:line="240" w:lineRule="auto" w:before="2"/>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1</w:t>
      </w:r>
      <w:r>
        <w:rPr/>
        <w:t>、技术人才优势</w:t>
      </w:r>
    </w:p>
    <w:p>
      <w:pPr>
        <w:spacing w:line="240" w:lineRule="auto" w:before="4"/>
        <w:rPr>
          <w:rFonts w:ascii="黑体" w:hAnsi="黑体" w:cs="黑体" w:eastAsia="黑体" w:hint="default"/>
          <w:sz w:val="24"/>
          <w:szCs w:val="24"/>
        </w:rPr>
      </w:pPr>
    </w:p>
    <w:p>
      <w:pPr>
        <w:pStyle w:val="BodyText"/>
        <w:spacing w:line="408" w:lineRule="auto"/>
        <w:ind w:right="206" w:firstLine="420"/>
        <w:jc w:val="both"/>
      </w:pPr>
      <w:r>
        <w:rPr>
          <w:spacing w:val="-2"/>
        </w:rPr>
        <w:t>公司是国内较早自主开发面向国防军工领域嵌入式系统测试软件和工具的企业，在嵌入式系统故障注</w:t>
      </w:r>
      <w:r>
        <w:rPr>
          <w:w w:val="100"/>
        </w:rPr>
        <w:t> </w:t>
      </w:r>
      <w:r>
        <w:rPr>
          <w:spacing w:val="-2"/>
        </w:rPr>
        <w:t>入，信号光电转换和中继，高速航电总线，高密度机载处理和记录单元、发控、复杂环境高可靠无线自组</w:t>
      </w:r>
      <w:r>
        <w:rPr>
          <w:spacing w:val="-43"/>
        </w:rPr>
        <w:t> </w:t>
      </w:r>
      <w:r>
        <w:rPr>
          <w:spacing w:val="-43"/>
        </w:rPr>
      </w:r>
      <w:r>
        <w:rPr>
          <w:spacing w:val="-2"/>
        </w:rPr>
        <w:t>网通信协议等领域长期技术积累，并且在电子元器件检测，核心通信网接入平台，智能网平台资源接入与</w:t>
      </w:r>
      <w:r>
        <w:rPr>
          <w:spacing w:val="-43"/>
        </w:rPr>
        <w:t> </w:t>
      </w:r>
      <w:r>
        <w:rPr>
          <w:spacing w:val="-43"/>
        </w:rPr>
      </w:r>
      <w:r>
        <w:rPr>
          <w:spacing w:val="-2"/>
        </w:rPr>
        <w:t>管理开发等方面具有雄厚实力，在国内同类产品中处于领先地位。公司不仅拥有以博士、硕士为骨干的专</w:t>
      </w:r>
      <w:r>
        <w:rPr>
          <w:spacing w:val="-44"/>
        </w:rPr>
        <w:t> </w:t>
      </w:r>
      <w:r>
        <w:rPr>
          <w:spacing w:val="-44"/>
        </w:rPr>
      </w:r>
      <w:r>
        <w:rPr/>
        <w:t>业研发团队，而且还拥有行业领域的成熟市场团队，为公司自主研发及市场开拓奠定坚实基础。</w:t>
      </w:r>
    </w:p>
    <w:p>
      <w:pPr>
        <w:pStyle w:val="Heading3"/>
        <w:spacing w:line="240" w:lineRule="auto" w:before="176"/>
        <w:ind w:right="100"/>
        <w:jc w:val="left"/>
      </w:pPr>
      <w:r>
        <w:rPr>
          <w:rFonts w:ascii="Times New Roman" w:hAnsi="Times New Roman" w:cs="Times New Roman" w:eastAsia="Times New Roman" w:hint="default"/>
        </w:rPr>
        <w:t>2</w:t>
      </w:r>
      <w:r>
        <w:rPr/>
        <w:t>、业务整体优势</w:t>
      </w:r>
    </w:p>
    <w:p>
      <w:pPr>
        <w:spacing w:line="240" w:lineRule="auto" w:before="4"/>
        <w:rPr>
          <w:rFonts w:ascii="黑体" w:hAnsi="黑体" w:cs="黑体" w:eastAsia="黑体" w:hint="default"/>
          <w:sz w:val="24"/>
          <w:szCs w:val="24"/>
        </w:rPr>
      </w:pPr>
    </w:p>
    <w:p>
      <w:pPr>
        <w:pStyle w:val="BodyText"/>
        <w:spacing w:line="408" w:lineRule="auto"/>
        <w:ind w:right="100" w:firstLine="420"/>
        <w:jc w:val="left"/>
      </w:pPr>
      <w:r>
        <w:rPr/>
        <w:t>公司依托信息物理系统、时空信息网格大数据和信息安全三大核心技术在智慧防务，税务信息化，智</w:t>
      </w:r>
      <w:r>
        <w:rPr>
          <w:w w:val="100"/>
        </w:rPr>
        <w:t> </w:t>
      </w:r>
      <w:r>
        <w:rPr>
          <w:spacing w:val="-5"/>
        </w:rPr>
        <w:t>慧城市等相关领域，以提供驱动物理世界和数字世界融合的信息技术为路径链条，通过中间件、信息传输、</w:t>
      </w:r>
      <w:r>
        <w:rPr>
          <w:spacing w:val="-4"/>
        </w:rPr>
        <w:t> </w:t>
      </w:r>
      <w:r>
        <w:rPr>
          <w:spacing w:val="-4"/>
        </w:rPr>
      </w:r>
      <w:r>
        <w:rPr/>
        <w:t>身份识别、大数据融合等核心技术，结合系统测试、通信、装备健康管理、税控装置及服务、智慧能源、</w:t>
      </w:r>
      <w:r>
        <w:rPr>
          <w:w w:val="100"/>
        </w:rPr>
        <w:t> </w:t>
      </w:r>
      <w:r>
        <w:rPr/>
        <w:t>智能设备等具体产品，可为行业提供智能、可控、高效、安全的整体方案。</w:t>
      </w:r>
    </w:p>
    <w:p>
      <w:pPr>
        <w:pStyle w:val="Heading3"/>
        <w:spacing w:line="240" w:lineRule="auto" w:before="176"/>
        <w:ind w:right="100"/>
        <w:jc w:val="left"/>
      </w:pPr>
      <w:r>
        <w:rPr>
          <w:rFonts w:ascii="Times New Roman" w:hAnsi="Times New Roman" w:cs="Times New Roman" w:eastAsia="Times New Roman" w:hint="default"/>
        </w:rPr>
        <w:t>3</w:t>
      </w:r>
      <w:r>
        <w:rPr/>
        <w:t>、机制灵活优势</w:t>
      </w:r>
    </w:p>
    <w:p>
      <w:pPr>
        <w:spacing w:line="240" w:lineRule="auto" w:before="3"/>
        <w:rPr>
          <w:rFonts w:ascii="黑体" w:hAnsi="黑体" w:cs="黑体" w:eastAsia="黑体" w:hint="default"/>
          <w:sz w:val="24"/>
          <w:szCs w:val="24"/>
        </w:rPr>
      </w:pPr>
    </w:p>
    <w:p>
      <w:pPr>
        <w:pStyle w:val="BodyText"/>
        <w:spacing w:line="408" w:lineRule="auto"/>
        <w:ind w:right="211" w:firstLine="420"/>
        <w:jc w:val="both"/>
      </w:pPr>
      <w:r>
        <w:rPr>
          <w:spacing w:val="-3"/>
        </w:rPr>
        <w:t>公司作为民营企业，市场化机制灵活，对市场比较敏感，能够快速适应多变的市场环境，满足客户需</w:t>
      </w:r>
      <w:r>
        <w:rPr>
          <w:w w:val="100"/>
        </w:rPr>
        <w:t> </w:t>
      </w:r>
      <w:r>
        <w:rPr/>
        <w:t>求，在产品组合、创新融合、团队建设、架构调整、市场运作模式等方面具有一定的灵活优势。</w:t>
      </w:r>
    </w:p>
    <w:p>
      <w:pPr>
        <w:pStyle w:val="Heading3"/>
        <w:spacing w:line="240" w:lineRule="auto" w:before="176"/>
        <w:ind w:right="100"/>
        <w:jc w:val="left"/>
      </w:pPr>
      <w:r>
        <w:rPr>
          <w:rFonts w:ascii="Times New Roman" w:hAnsi="Times New Roman" w:cs="Times New Roman" w:eastAsia="Times New Roman" w:hint="default"/>
        </w:rPr>
        <w:t>4</w:t>
      </w:r>
      <w:r>
        <w:rPr/>
        <w:t>、品牌资质优势</w:t>
      </w:r>
    </w:p>
    <w:p>
      <w:pPr>
        <w:spacing w:after="0" w:line="240" w:lineRule="auto"/>
        <w:jc w:val="left"/>
        <w:sectPr>
          <w:pgSz w:w="11910" w:h="16840"/>
          <w:pgMar w:header="882" w:footer="1132" w:top="1280" w:bottom="1320" w:left="980" w:right="920"/>
        </w:sectPr>
      </w:pPr>
    </w:p>
    <w:p>
      <w:pPr>
        <w:spacing w:line="240" w:lineRule="auto" w:before="5"/>
        <w:rPr>
          <w:rFonts w:ascii="黑体" w:hAnsi="黑体" w:cs="黑体" w:eastAsia="黑体" w:hint="default"/>
          <w:sz w:val="13"/>
          <w:szCs w:val="13"/>
        </w:rPr>
      </w:pPr>
    </w:p>
    <w:p>
      <w:pPr>
        <w:pStyle w:val="BodyText"/>
        <w:spacing w:line="408" w:lineRule="auto" w:before="36"/>
        <w:ind w:right="146" w:firstLine="420"/>
        <w:jc w:val="both"/>
      </w:pPr>
      <w:r>
        <w:rPr>
          <w:spacing w:val="-2"/>
        </w:rPr>
        <w:t>公司经过二十年的发展，通过不懈努力及艰苦奋斗，公司的产品不仅在市场中占据了重要的地位，在</w:t>
      </w:r>
      <w:r>
        <w:rPr>
          <w:w w:val="100"/>
        </w:rPr>
        <w:t> </w:t>
      </w:r>
      <w:r>
        <w:rPr>
          <w:spacing w:val="-2"/>
        </w:rPr>
        <w:t>客户心中赢得了良好的口碑，而且得到了行业及社会的肯定，建立了公司自主品牌。历年来，公司获得了</w:t>
      </w:r>
      <w:r>
        <w:rPr>
          <w:spacing w:val="-47"/>
        </w:rPr>
        <w:t> </w:t>
      </w:r>
      <w:r>
        <w:rPr>
          <w:spacing w:val="-47"/>
        </w:rPr>
      </w:r>
      <w:r>
        <w:rPr>
          <w:spacing w:val="-2"/>
        </w:rPr>
        <w:t>很多的资质及荣誉，拥有国家级高新技术认定企业等的行业地位，拥有涉密计算机信息系统集成双甲级资</w:t>
      </w:r>
      <w:r>
        <w:rPr>
          <w:spacing w:val="-42"/>
        </w:rPr>
        <w:t> </w:t>
      </w:r>
      <w:r>
        <w:rPr>
          <w:spacing w:val="-42"/>
        </w:rPr>
      </w:r>
      <w:r>
        <w:rPr>
          <w:spacing w:val="-2"/>
        </w:rPr>
        <w:t>质及建筑智能化壹级、甲级等的工程资质，拥有国家二级保密及武器装备科研生产许可等的军工资质，拥</w:t>
      </w:r>
      <w:r>
        <w:rPr>
          <w:spacing w:val="-44"/>
        </w:rPr>
        <w:t> </w:t>
      </w:r>
      <w:r>
        <w:rPr>
          <w:spacing w:val="-44"/>
        </w:rPr>
      </w:r>
      <w:r>
        <w:rPr/>
        <w:t>有</w:t>
      </w:r>
      <w:r>
        <w:rPr>
          <w:spacing w:val="-57"/>
        </w:rPr>
        <w:t> </w:t>
      </w:r>
      <w:r>
        <w:rPr>
          <w:rFonts w:ascii="Times New Roman" w:hAnsi="Times New Roman" w:cs="Times New Roman" w:eastAsia="Times New Roman" w:hint="default"/>
        </w:rPr>
        <w:t>CNAS</w:t>
      </w:r>
      <w:r>
        <w:rPr>
          <w:rFonts w:ascii="Times New Roman" w:hAnsi="Times New Roman" w:cs="Times New Roman" w:eastAsia="Times New Roman" w:hint="default"/>
          <w:spacing w:val="-14"/>
        </w:rPr>
        <w:t> </w:t>
      </w:r>
      <w:r>
        <w:rPr/>
        <w:t>及可靠性试验检测中心等的实验室资质，公司行业资质齐全，具有较强的市场竞争优势。</w:t>
      </w:r>
    </w:p>
    <w:p>
      <w:pPr>
        <w:pStyle w:val="Heading3"/>
        <w:spacing w:line="240" w:lineRule="auto" w:before="147"/>
        <w:ind w:right="11"/>
        <w:jc w:val="left"/>
      </w:pPr>
      <w:r>
        <w:rPr>
          <w:rFonts w:ascii="Times New Roman" w:hAnsi="Times New Roman" w:cs="Times New Roman" w:eastAsia="Times New Roman" w:hint="default"/>
        </w:rPr>
        <w:t>5</w:t>
      </w:r>
      <w:r>
        <w:rPr/>
        <w:t>、市场服务优势</w:t>
      </w:r>
    </w:p>
    <w:p>
      <w:pPr>
        <w:spacing w:line="240" w:lineRule="auto" w:before="1"/>
        <w:rPr>
          <w:rFonts w:ascii="黑体" w:hAnsi="黑体" w:cs="黑体" w:eastAsia="黑体" w:hint="default"/>
          <w:sz w:val="24"/>
          <w:szCs w:val="24"/>
        </w:rPr>
      </w:pPr>
    </w:p>
    <w:p>
      <w:pPr>
        <w:pStyle w:val="BodyText"/>
        <w:spacing w:line="400" w:lineRule="auto"/>
        <w:ind w:right="146" w:firstLine="420"/>
        <w:jc w:val="both"/>
      </w:pPr>
      <w:r>
        <w:rPr/>
        <w:t>公司的市场范围遍布全国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个省市地区，业务领域从国防军工到民用行业信息化，通过不断的技术</w:t>
      </w:r>
      <w:r>
        <w:rPr>
          <w:w w:val="100"/>
        </w:rPr>
        <w:t> </w:t>
      </w:r>
      <w:r>
        <w:rPr>
          <w:spacing w:val="-2"/>
        </w:rPr>
        <w:t>创新和持续优质的服务，与客户建立了良好的合作关系，客户粘合度较高，具有较高的市场地位。并且公</w:t>
      </w:r>
      <w:r>
        <w:rPr>
          <w:spacing w:val="-47"/>
        </w:rPr>
        <w:t> </w:t>
      </w:r>
      <w:r>
        <w:rPr>
          <w:spacing w:val="-47"/>
        </w:rPr>
      </w:r>
      <w:r>
        <w:rPr>
          <w:spacing w:val="-2"/>
        </w:rPr>
        <w:t>司在全国主要业务区域设立分子公司和服务机构，服务网点覆盖面广而全，能够快速响应为用户提供更细</w:t>
      </w:r>
      <w:r>
        <w:rPr>
          <w:spacing w:val="-42"/>
        </w:rPr>
        <w:t> </w:t>
      </w:r>
      <w:r>
        <w:rPr>
          <w:spacing w:val="-42"/>
        </w:rPr>
      </w:r>
      <w:r>
        <w:rPr/>
        <w:t>致、更贴切、更周到、更及时、更专业的服务，满足客户迫切需求。</w:t>
      </w:r>
    </w:p>
    <w:p>
      <w:pPr>
        <w:spacing w:after="0" w:line="400" w:lineRule="auto"/>
        <w:jc w:val="both"/>
        <w:sectPr>
          <w:pgSz w:w="11910" w:h="16840"/>
          <w:pgMar w:header="882" w:footer="1132" w:top="128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2971" w:right="100"/>
        <w:jc w:val="left"/>
      </w:pPr>
      <w:bookmarkStart w:name="_bookmark3" w:id="4"/>
      <w:bookmarkEnd w:id="4"/>
      <w:r>
        <w:rPr/>
      </w:r>
      <w:r>
        <w:rPr/>
        <w:t>第四节</w:t>
      </w:r>
      <w:r>
        <w:rPr>
          <w:spacing w:val="-2"/>
        </w:rPr>
        <w:t> </w:t>
      </w:r>
      <w:r>
        <w:rPr/>
        <w:t>经营情况讨论与分析</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right="100"/>
        <w:jc w:val="left"/>
      </w:pPr>
      <w:r>
        <w:rPr/>
        <w:t>一、概述</w:t>
      </w:r>
    </w:p>
    <w:p>
      <w:pPr>
        <w:spacing w:line="240" w:lineRule="auto" w:before="9"/>
        <w:rPr>
          <w:rFonts w:ascii="黑体" w:hAnsi="黑体" w:cs="黑体" w:eastAsia="黑体" w:hint="default"/>
          <w:sz w:val="37"/>
          <w:szCs w:val="37"/>
        </w:rPr>
      </w:pPr>
    </w:p>
    <w:p>
      <w:pPr>
        <w:pStyle w:val="BodyText"/>
        <w:spacing w:line="400" w:lineRule="auto"/>
        <w:ind w:right="206" w:firstLine="420"/>
        <w:jc w:val="both"/>
      </w:pPr>
      <w:r>
        <w:rPr>
          <w:spacing w:val="-4"/>
          <w:w w:val="100"/>
        </w:rPr>
        <w:t>公司围绕信息物理系统（</w:t>
      </w:r>
      <w:r>
        <w:rPr>
          <w:rFonts w:ascii="Times New Roman" w:hAnsi="Times New Roman" w:cs="Times New Roman" w:eastAsia="Times New Roman" w:hint="default"/>
          <w:spacing w:val="-4"/>
          <w:w w:val="100"/>
        </w:rPr>
        <w:t>CPS</w:t>
      </w:r>
      <w:r>
        <w:rPr>
          <w:spacing w:val="-4"/>
          <w:w w:val="100"/>
        </w:rPr>
        <w:t>）、时空信息网格大数据（</w:t>
      </w:r>
      <w:r>
        <w:rPr>
          <w:rFonts w:ascii="Times New Roman" w:hAnsi="Times New Roman" w:cs="Times New Roman" w:eastAsia="Times New Roman" w:hint="default"/>
          <w:spacing w:val="-4"/>
          <w:w w:val="100"/>
        </w:rPr>
        <w:t>BigData</w:t>
      </w:r>
      <w:r>
        <w:rPr>
          <w:spacing w:val="-4"/>
          <w:w w:val="100"/>
        </w:rPr>
        <w:t>）和信息安全（</w:t>
      </w:r>
      <w:r>
        <w:rPr>
          <w:rFonts w:ascii="Times New Roman" w:hAnsi="Times New Roman" w:cs="Times New Roman" w:eastAsia="Times New Roman" w:hint="default"/>
          <w:spacing w:val="-4"/>
          <w:w w:val="100"/>
        </w:rPr>
        <w:t>Security</w:t>
      </w:r>
      <w:r>
        <w:rPr>
          <w:spacing w:val="-4"/>
          <w:w w:val="100"/>
        </w:rPr>
        <w:t>）三大核心技</w:t>
      </w:r>
      <w:r>
        <w:rPr>
          <w:w w:val="100"/>
        </w:rPr>
        <w:t> </w:t>
      </w:r>
      <w:r>
        <w:rPr>
          <w:spacing w:val="-2"/>
        </w:rPr>
        <w:t>术，在军工领域规划和发展了测控、装备健康管理、通信导航、国防大数据、智能平台等产品，在民用行</w:t>
      </w:r>
      <w:r>
        <w:rPr>
          <w:spacing w:val="-42"/>
        </w:rPr>
        <w:t> </w:t>
      </w:r>
      <w:r>
        <w:rPr>
          <w:spacing w:val="-42"/>
        </w:rPr>
      </w:r>
      <w:r>
        <w:rPr>
          <w:spacing w:val="-2"/>
        </w:rPr>
        <w:t>业重点发展税务信息化和创新金融、时空大数据应用以及智慧城市整体方案。公司积极推进军技民用，逐</w:t>
      </w:r>
      <w:r>
        <w:rPr>
          <w:spacing w:val="-44"/>
        </w:rPr>
        <w:t> </w:t>
      </w:r>
      <w:r>
        <w:rPr>
          <w:spacing w:val="-44"/>
        </w:rPr>
      </w:r>
      <w:r>
        <w:rPr/>
        <w:t>步扩大核心技术在民用市场的应用，力争发展成为国际知名的、自主可控的、领先的智能服务构建者。</w:t>
      </w:r>
    </w:p>
    <w:p>
      <w:pPr>
        <w:pStyle w:val="BodyText"/>
        <w:spacing w:line="240" w:lineRule="auto" w:before="153"/>
        <w:ind w:left="573" w:right="100"/>
        <w:jc w:val="left"/>
      </w:pPr>
      <w:r>
        <w:rPr>
          <w:spacing w:val="-3"/>
        </w:rPr>
        <w:t>报告期内，公司实现营业收入</w:t>
      </w:r>
      <w:r>
        <w:rPr>
          <w:spacing w:val="-42"/>
        </w:rPr>
        <w:t> </w:t>
      </w:r>
      <w:r>
        <w:rPr>
          <w:rFonts w:ascii="Times New Roman" w:hAnsi="Times New Roman" w:cs="Times New Roman" w:eastAsia="Times New Roman" w:hint="default"/>
        </w:rPr>
        <w:t>329,714.08</w:t>
      </w:r>
      <w:r>
        <w:rPr>
          <w:rFonts w:ascii="Times New Roman" w:hAnsi="Times New Roman" w:cs="Times New Roman" w:eastAsia="Times New Roman" w:hint="default"/>
          <w:spacing w:val="-2"/>
        </w:rPr>
        <w:t> </w:t>
      </w:r>
      <w:r>
        <w:rPr>
          <w:spacing w:val="-5"/>
        </w:rPr>
        <w:t>万元，比上年同期的</w:t>
      </w:r>
      <w:r>
        <w:rPr>
          <w:spacing w:val="-43"/>
        </w:rPr>
        <w:t> </w:t>
      </w:r>
      <w:r>
        <w:rPr>
          <w:rFonts w:ascii="Times New Roman" w:hAnsi="Times New Roman" w:cs="Times New Roman" w:eastAsia="Times New Roman" w:hint="default"/>
        </w:rPr>
        <w:t>218,877.59</w:t>
      </w:r>
      <w:r>
        <w:rPr>
          <w:rFonts w:ascii="Times New Roman" w:hAnsi="Times New Roman" w:cs="Times New Roman" w:eastAsia="Times New Roman" w:hint="default"/>
          <w:spacing w:val="-5"/>
        </w:rPr>
        <w:t> </w:t>
      </w:r>
      <w:r>
        <w:rPr/>
        <w:t>万元增加</w:t>
      </w:r>
      <w:r>
        <w:rPr>
          <w:spacing w:val="-42"/>
        </w:rPr>
        <w:t> </w:t>
      </w:r>
      <w:r>
        <w:rPr>
          <w:rFonts w:ascii="Times New Roman" w:hAnsi="Times New Roman" w:cs="Times New Roman" w:eastAsia="Times New Roman" w:hint="default"/>
          <w:spacing w:val="-4"/>
        </w:rPr>
        <w:t>50.64%</w:t>
      </w:r>
      <w:r>
        <w:rPr>
          <w:spacing w:val="-4"/>
        </w:rPr>
        <w:t>；利润总额</w:t>
      </w:r>
    </w:p>
    <w:p>
      <w:pPr>
        <w:pStyle w:val="BodyText"/>
        <w:spacing w:line="386" w:lineRule="auto" w:before="177"/>
        <w:ind w:right="100"/>
        <w:jc w:val="left"/>
      </w:pPr>
      <w:r>
        <w:rPr>
          <w:rFonts w:ascii="Times New Roman" w:hAnsi="Times New Roman" w:cs="Times New Roman" w:eastAsia="Times New Roman" w:hint="default"/>
        </w:rPr>
        <w:t>63,117.96</w:t>
      </w:r>
      <w:r>
        <w:rPr>
          <w:rFonts w:ascii="Times New Roman" w:hAnsi="Times New Roman" w:cs="Times New Roman" w:eastAsia="Times New Roman" w:hint="default"/>
          <w:spacing w:val="-1"/>
        </w:rPr>
        <w:t> </w:t>
      </w:r>
      <w:r>
        <w:rPr/>
        <w:t>万元，比上年同期</w:t>
      </w:r>
      <w:r>
        <w:rPr>
          <w:spacing w:val="-34"/>
        </w:rPr>
        <w:t> </w:t>
      </w:r>
      <w:r>
        <w:rPr>
          <w:rFonts w:ascii="Times New Roman" w:hAnsi="Times New Roman" w:cs="Times New Roman" w:eastAsia="Times New Roman" w:hint="default"/>
        </w:rPr>
        <w:t>71,895.27</w:t>
      </w:r>
      <w:r>
        <w:rPr>
          <w:rFonts w:ascii="Times New Roman" w:hAnsi="Times New Roman" w:cs="Times New Roman" w:eastAsia="Times New Roman" w:hint="default"/>
          <w:spacing w:val="-1"/>
        </w:rPr>
        <w:t> </w:t>
      </w:r>
      <w:r>
        <w:rPr/>
        <w:t>万元减少</w:t>
      </w:r>
      <w:r>
        <w:rPr>
          <w:spacing w:val="-34"/>
        </w:rPr>
        <w:t> </w:t>
      </w:r>
      <w:r>
        <w:rPr>
          <w:rFonts w:ascii="Times New Roman" w:hAnsi="Times New Roman" w:cs="Times New Roman" w:eastAsia="Times New Roman" w:hint="default"/>
        </w:rPr>
        <w:t>12.21%</w:t>
      </w:r>
      <w:r>
        <w:rPr/>
        <w:t>，实现归属于上市公司股东的净利润</w:t>
      </w:r>
      <w:r>
        <w:rPr>
          <w:spacing w:val="-34"/>
        </w:rPr>
        <w:t> </w:t>
      </w:r>
      <w:r>
        <w:rPr>
          <w:rFonts w:ascii="Times New Roman" w:hAnsi="Times New Roman" w:cs="Times New Roman" w:eastAsia="Times New Roman" w:hint="default"/>
        </w:rPr>
        <w:t>38,929.22</w:t>
      </w:r>
      <w:r>
        <w:rPr>
          <w:rFonts w:ascii="Times New Roman" w:hAnsi="Times New Roman" w:cs="Times New Roman" w:eastAsia="Times New Roman" w:hint="default"/>
          <w:spacing w:val="-3"/>
        </w:rPr>
        <w:t> </w:t>
      </w:r>
      <w:r>
        <w:rPr/>
        <w:t>万</w:t>
      </w:r>
      <w:r>
        <w:rPr>
          <w:w w:val="100"/>
        </w:rPr>
        <w:t> </w:t>
      </w:r>
      <w:r>
        <w:rPr/>
        <w:t>元，比上年同期</w:t>
      </w:r>
      <w:r>
        <w:rPr>
          <w:spacing w:val="-55"/>
        </w:rPr>
        <w:t> </w:t>
      </w:r>
      <w:r>
        <w:rPr>
          <w:rFonts w:ascii="Times New Roman" w:hAnsi="Times New Roman" w:cs="Times New Roman" w:eastAsia="Times New Roman" w:hint="default"/>
        </w:rPr>
        <w:t>37,729.90</w:t>
      </w:r>
      <w:r>
        <w:rPr>
          <w:rFonts w:ascii="Times New Roman" w:hAnsi="Times New Roman" w:cs="Times New Roman" w:eastAsia="Times New Roman" w:hint="default"/>
          <w:spacing w:val="-14"/>
        </w:rPr>
        <w:t> </w:t>
      </w:r>
      <w:r>
        <w:rPr/>
        <w:t>万元增长</w:t>
      </w:r>
      <w:r>
        <w:rPr>
          <w:spacing w:val="-54"/>
        </w:rPr>
        <w:t> </w:t>
      </w:r>
      <w:r>
        <w:rPr>
          <w:rFonts w:ascii="Times New Roman" w:hAnsi="Times New Roman" w:cs="Times New Roman" w:eastAsia="Times New Roman" w:hint="default"/>
        </w:rPr>
        <w:t>3.18%</w:t>
      </w:r>
      <w:r>
        <w:rPr/>
        <w:t>。公司经营业绩与上年同期基本持平。</w:t>
      </w:r>
    </w:p>
    <w:p>
      <w:pPr>
        <w:pStyle w:val="BodyText"/>
        <w:spacing w:line="408" w:lineRule="auto" w:before="134"/>
        <w:ind w:right="100" w:firstLine="420"/>
        <w:jc w:val="left"/>
      </w:pPr>
      <w:r>
        <w:rPr>
          <w:spacing w:val="-2"/>
        </w:rPr>
        <w:t>报告期内，公司管理层紧密围绕着年初制定的年度工作计划，贯彻执行董事会的战略部署，积极开展</w:t>
      </w:r>
      <w:r>
        <w:rPr>
          <w:w w:val="100"/>
        </w:rPr>
        <w:t> </w:t>
      </w:r>
      <w:r>
        <w:rPr/>
        <w:t>各项工作。重点工作如下：</w:t>
      </w:r>
    </w:p>
    <w:p>
      <w:pPr>
        <w:pStyle w:val="Heading3"/>
        <w:spacing w:line="240" w:lineRule="auto" w:before="179"/>
        <w:ind w:right="100"/>
        <w:jc w:val="left"/>
      </w:pPr>
      <w:r>
        <w:rPr/>
        <w:t>（一） 公司业务不断发展</w:t>
      </w:r>
    </w:p>
    <w:p>
      <w:pPr>
        <w:spacing w:line="240" w:lineRule="auto" w:before="6"/>
        <w:rPr>
          <w:rFonts w:ascii="黑体" w:hAnsi="黑体" w:cs="黑体" w:eastAsia="黑体" w:hint="default"/>
          <w:sz w:val="25"/>
          <w:szCs w:val="25"/>
        </w:rPr>
      </w:pPr>
    </w:p>
    <w:p>
      <w:pPr>
        <w:pStyle w:val="BodyText"/>
        <w:spacing w:line="403" w:lineRule="auto"/>
        <w:ind w:right="100" w:firstLine="420"/>
        <w:jc w:val="left"/>
      </w:pPr>
      <w:r>
        <w:rPr/>
        <w:t>智慧防务领域，公司嵌入式系统测试业务保持稳中有升的态势，公司为中国商用飞机有限责任公司提</w:t>
      </w:r>
      <w:r>
        <w:rPr>
          <w:w w:val="100"/>
        </w:rPr>
        <w:t> </w:t>
      </w:r>
      <w:r>
        <w:rPr/>
        <w:t>供的电气试验厂房互联系统，助力大飞机 </w:t>
      </w:r>
      <w:r>
        <w:rPr>
          <w:rFonts w:ascii="Times New Roman" w:hAnsi="Times New Roman" w:cs="Times New Roman" w:eastAsia="Times New Roman" w:hint="default"/>
        </w:rPr>
        <w:t>C919</w:t>
      </w:r>
      <w:r>
        <w:rPr>
          <w:rFonts w:ascii="Times New Roman" w:hAnsi="Times New Roman" w:cs="Times New Roman" w:eastAsia="Times New Roman" w:hint="default"/>
          <w:spacing w:val="-10"/>
        </w:rPr>
        <w:t> </w:t>
      </w:r>
      <w:r>
        <w:rPr/>
        <w:t>成功首飞；电子元器件测试、筛选及可靠性保证服务业务</w:t>
      </w:r>
      <w:r>
        <w:rPr>
          <w:w w:val="100"/>
        </w:rPr>
        <w:t> </w:t>
      </w:r>
      <w:r>
        <w:rPr>
          <w:spacing w:val="-2"/>
        </w:rPr>
        <w:t>量大幅增加；装备健康管理、无线宽带通信产品继续深入布局，逐渐成长为公司新的利润增长点，其中面</w:t>
      </w:r>
      <w:r>
        <w:rPr>
          <w:spacing w:val="-49"/>
        </w:rPr>
        <w:t> </w:t>
      </w:r>
      <w:r>
        <w:rPr>
          <w:spacing w:val="-49"/>
        </w:rPr>
      </w:r>
      <w:r>
        <w:rPr>
          <w:spacing w:val="-2"/>
        </w:rPr>
        <w:t>向城市大型复杂设备的健康管理产品体系研制工作已全面开展，公司基于对消防、能源、水利、建筑等大</w:t>
      </w:r>
      <w:r>
        <w:rPr>
          <w:spacing w:val="-44"/>
        </w:rPr>
        <w:t> </w:t>
      </w:r>
      <w:r>
        <w:rPr>
          <w:spacing w:val="-44"/>
        </w:rPr>
      </w:r>
      <w:r>
        <w:rPr/>
        <w:t>型设备进行健康管理与智能运营的一体化设计，构建了从技术到流程完整集成的、互相关联的智能化运营</w:t>
      </w:r>
      <w:r>
        <w:rPr>
          <w:w w:val="100"/>
        </w:rPr>
        <w:t> </w:t>
      </w:r>
      <w:r>
        <w:rPr/>
        <w:t>管理平台，未来该系列产品应用将覆盖城市群、城市、园区等领域，市场前景非常可观。智慧城市领域，</w:t>
      </w:r>
      <w:r>
        <w:rPr>
          <w:w w:val="100"/>
        </w:rPr>
        <w:t> </w:t>
      </w:r>
      <w:r>
        <w:rPr>
          <w:spacing w:val="-3"/>
        </w:rPr>
        <w:t>泰豪智能订单量大幅提升，超额完成业绩承诺，报告期内签订的湘潭市新型智慧城市</w:t>
      </w:r>
      <w:r>
        <w:rPr>
          <w:spacing w:val="-45"/>
        </w:rPr>
        <w:t> </w:t>
      </w:r>
      <w:r>
        <w:rPr>
          <w:rFonts w:ascii="Times New Roman" w:hAnsi="Times New Roman" w:cs="Times New Roman" w:eastAsia="Times New Roman" w:hint="default"/>
        </w:rPr>
        <w:t>PPP</w:t>
      </w:r>
      <w:r>
        <w:rPr>
          <w:rFonts w:ascii="Times New Roman" w:hAnsi="Times New Roman" w:cs="Times New Roman" w:eastAsia="Times New Roman" w:hint="default"/>
          <w:spacing w:val="10"/>
        </w:rPr>
        <w:t> </w:t>
      </w:r>
      <w:r>
        <w:rPr/>
        <w:t>项目等成为新的</w:t>
      </w:r>
      <w:r>
        <w:rPr>
          <w:spacing w:val="-79"/>
        </w:rPr>
        <w:t> </w:t>
      </w:r>
      <w:r>
        <w:rPr>
          <w:spacing w:val="-79"/>
        </w:rPr>
      </w:r>
      <w:r>
        <w:rPr>
          <w:spacing w:val="-2"/>
        </w:rPr>
        <w:t>标杆，提高了企业的品牌价值及行业影响力。时空大数据应用领域，旋极伏羲正在积极推进时空大数据在</w:t>
      </w:r>
      <w:r>
        <w:rPr>
          <w:spacing w:val="-44"/>
        </w:rPr>
        <w:t> </w:t>
      </w:r>
      <w:r>
        <w:rPr>
          <w:spacing w:val="-44"/>
        </w:rPr>
      </w:r>
      <w:r>
        <w:rPr>
          <w:spacing w:val="-6"/>
        </w:rPr>
        <w:t>军方的应用，并已取得一定成果；民用领域中，时空大数据与智慧城市的协同发展初见成效，</w:t>
      </w:r>
      <w:r>
        <w:rPr>
          <w:rFonts w:ascii="Times New Roman" w:hAnsi="Times New Roman" w:cs="Times New Roman" w:eastAsia="Times New Roman" w:hint="default"/>
          <w:spacing w:val="-6"/>
        </w:rPr>
        <w:t>2018 </w:t>
      </w:r>
      <w:r>
        <w:rPr/>
        <w:t>年 </w:t>
      </w:r>
      <w:r>
        <w:rPr>
          <w:rFonts w:ascii="Times New Roman" w:hAnsi="Times New Roman" w:cs="Times New Roman" w:eastAsia="Times New Roman" w:hint="default"/>
        </w:rPr>
        <w:t>3 </w:t>
      </w:r>
      <w:r>
        <w:rPr/>
        <w:t>月，</w:t>
      </w:r>
      <w:r>
        <w:rPr>
          <w:spacing w:val="-68"/>
        </w:rPr>
        <w:t> </w:t>
      </w:r>
      <w:r>
        <w:rPr>
          <w:spacing w:val="2"/>
        </w:rPr>
        <w:t>泰豪智能中标的城市副中心大数据平台及领导驾驶舱项目成为公司智慧城市和大数据平台业务发展的里</w:t>
      </w:r>
      <w:r>
        <w:rPr>
          <w:spacing w:val="-30"/>
        </w:rPr>
        <w:t> </w:t>
      </w:r>
      <w:r>
        <w:rPr>
          <w:spacing w:val="-30"/>
        </w:rPr>
      </w:r>
      <w:r>
        <w:rPr/>
        <w:t>程碑事件。</w:t>
      </w:r>
    </w:p>
    <w:p>
      <w:pPr>
        <w:spacing w:line="240" w:lineRule="auto" w:before="0"/>
        <w:rPr>
          <w:rFonts w:ascii="宋体" w:hAnsi="宋体" w:cs="宋体" w:eastAsia="宋体" w:hint="default"/>
          <w:sz w:val="14"/>
          <w:szCs w:val="14"/>
        </w:rPr>
      </w:pPr>
    </w:p>
    <w:p>
      <w:pPr>
        <w:pStyle w:val="Heading3"/>
        <w:spacing w:line="240" w:lineRule="auto"/>
        <w:ind w:right="100"/>
        <w:jc w:val="left"/>
      </w:pPr>
      <w:r>
        <w:rPr/>
        <w:t>（二） 战略规划协同并进</w:t>
      </w:r>
    </w:p>
    <w:p>
      <w:pPr>
        <w:spacing w:line="240" w:lineRule="auto" w:before="6"/>
        <w:rPr>
          <w:rFonts w:ascii="黑体" w:hAnsi="黑体" w:cs="黑体" w:eastAsia="黑体" w:hint="default"/>
          <w:sz w:val="25"/>
          <w:szCs w:val="25"/>
        </w:rPr>
      </w:pPr>
    </w:p>
    <w:p>
      <w:pPr>
        <w:pStyle w:val="BodyText"/>
        <w:spacing w:line="240" w:lineRule="auto"/>
        <w:ind w:left="573" w:right="100"/>
        <w:jc w:val="left"/>
      </w:pPr>
      <w:r>
        <w:rPr/>
        <w:t>报告期内，为推进战略规划落地及各业务领域协同并进，公司先后组织多次分子公司之间、分子公司</w:t>
      </w:r>
    </w:p>
    <w:p>
      <w:pPr>
        <w:spacing w:after="0" w:line="240"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408" w:lineRule="auto" w:before="36"/>
        <w:ind w:right="100"/>
        <w:jc w:val="left"/>
      </w:pPr>
      <w:r>
        <w:rPr>
          <w:spacing w:val="-5"/>
        </w:rPr>
        <w:t>与客户之间进行对接，组织有关分子公司参加国防装备展、军民融合展、北斗年会、世界智能大会等展会。</w:t>
      </w:r>
      <w:r>
        <w:rPr>
          <w:spacing w:val="-7"/>
        </w:rPr>
        <w:t> </w:t>
      </w:r>
      <w:r>
        <w:rPr>
          <w:spacing w:val="-7"/>
        </w:rPr>
      </w:r>
      <w:r>
        <w:rPr>
          <w:spacing w:val="-2"/>
        </w:rPr>
        <w:t>多措并举，致力于提升集团各业务协同性，培育新的利润增长点，增强对外部环境的适应能力和抗风险能</w:t>
      </w:r>
      <w:r>
        <w:rPr>
          <w:spacing w:val="-45"/>
        </w:rPr>
        <w:t> </w:t>
      </w:r>
      <w:r>
        <w:rPr>
          <w:spacing w:val="-45"/>
        </w:rPr>
      </w:r>
      <w:r>
        <w:rPr/>
        <w:t>力。</w:t>
      </w:r>
    </w:p>
    <w:p>
      <w:pPr>
        <w:pStyle w:val="Heading3"/>
        <w:spacing w:line="240" w:lineRule="auto" w:before="179"/>
        <w:ind w:right="100"/>
        <w:jc w:val="left"/>
      </w:pPr>
      <w:r>
        <w:rPr/>
        <w:t>（三） 市场拓展不断深化</w:t>
      </w:r>
    </w:p>
    <w:p>
      <w:pPr>
        <w:spacing w:line="240" w:lineRule="auto" w:before="6"/>
        <w:rPr>
          <w:rFonts w:ascii="黑体" w:hAnsi="黑体" w:cs="黑体" w:eastAsia="黑体" w:hint="default"/>
          <w:sz w:val="25"/>
          <w:szCs w:val="25"/>
        </w:rPr>
      </w:pPr>
    </w:p>
    <w:p>
      <w:pPr>
        <w:pStyle w:val="BodyText"/>
        <w:spacing w:line="405" w:lineRule="auto"/>
        <w:ind w:right="206" w:firstLine="420"/>
        <w:jc w:val="both"/>
      </w:pPr>
      <w:r>
        <w:rPr>
          <w:spacing w:val="-2"/>
        </w:rPr>
        <w:t>报告期内，公司在市场开发、项目拓展上突出重点、统筹兼顾，在传统优势项目上持续发力。公司研</w:t>
      </w:r>
      <w:r>
        <w:rPr>
          <w:w w:val="100"/>
        </w:rPr>
        <w:t> </w:t>
      </w:r>
      <w:r>
        <w:rPr>
          <w:spacing w:val="-2"/>
        </w:rPr>
        <w:t>发的陆军某型号作战试验鉴定项目通过验收，为切入装备作战试验鉴定、效能评估及在役考核领域打下坚</w:t>
      </w:r>
      <w:r>
        <w:rPr>
          <w:spacing w:val="-43"/>
        </w:rPr>
        <w:t> </w:t>
      </w:r>
      <w:r>
        <w:rPr>
          <w:spacing w:val="-43"/>
        </w:rPr>
      </w:r>
      <w:r>
        <w:rPr>
          <w:spacing w:val="-2"/>
        </w:rPr>
        <w:t>实基础，具有里程碑式的重大意义；完成某型号无人机地面站的交付使用，成为国内第一个将链路站、指</w:t>
      </w:r>
      <w:r>
        <w:rPr>
          <w:spacing w:val="-47"/>
        </w:rPr>
        <w:t> </w:t>
      </w:r>
      <w:r>
        <w:rPr>
          <w:spacing w:val="-47"/>
        </w:rPr>
      </w:r>
      <w:r>
        <w:rPr>
          <w:spacing w:val="-2"/>
        </w:rPr>
        <w:t>挥站、差分站融为一站的项目；为中国商用飞机有限责任公司提供的电气试验厂房互联系统，助力大飞机</w:t>
      </w:r>
      <w:r>
        <w:rPr>
          <w:spacing w:val="-45"/>
        </w:rPr>
        <w:t> </w:t>
      </w:r>
      <w:r>
        <w:rPr>
          <w:spacing w:val="-45"/>
        </w:rPr>
      </w:r>
      <w:r>
        <w:rPr>
          <w:rFonts w:ascii="Times New Roman" w:hAnsi="Times New Roman" w:cs="Times New Roman" w:eastAsia="Times New Roman" w:hint="default"/>
        </w:rPr>
        <w:t>C919 </w:t>
      </w:r>
      <w:r>
        <w:rPr>
          <w:spacing w:val="-4"/>
        </w:rPr>
        <w:t>首飞；自主研发的无线宽带通信多媒体系统，全程参与朱日和阅兵保障，得到客户的充分肯定；西安</w:t>
      </w:r>
      <w:r>
        <w:rPr>
          <w:spacing w:val="-53"/>
        </w:rPr>
        <w:t> </w:t>
      </w:r>
      <w:r>
        <w:rPr>
          <w:spacing w:val="-53"/>
        </w:rPr>
      </w:r>
      <w:r>
        <w:rPr>
          <w:spacing w:val="-2"/>
        </w:rPr>
        <w:t>西谷投资设立西安军民融合标准化研究院，取得重要进展。旋极伏羲地球表面空间网格与编码标准获得批</w:t>
      </w:r>
      <w:r>
        <w:rPr>
          <w:spacing w:val="-44"/>
        </w:rPr>
        <w:t> </w:t>
      </w:r>
      <w:r>
        <w:rPr>
          <w:spacing w:val="-44"/>
        </w:rPr>
      </w:r>
      <w:r>
        <w:rPr/>
        <w:t>准，正式成为国家军用标准。</w:t>
      </w:r>
    </w:p>
    <w:p>
      <w:pPr>
        <w:pStyle w:val="Heading3"/>
        <w:spacing w:line="240" w:lineRule="auto" w:before="179"/>
        <w:ind w:right="100"/>
        <w:jc w:val="left"/>
      </w:pPr>
      <w:r>
        <w:rPr/>
        <w:t>（四） 科技创新不断进步</w:t>
      </w:r>
    </w:p>
    <w:p>
      <w:pPr>
        <w:spacing w:line="240" w:lineRule="auto" w:before="8"/>
        <w:rPr>
          <w:rFonts w:ascii="黑体" w:hAnsi="黑体" w:cs="黑体" w:eastAsia="黑体" w:hint="default"/>
          <w:sz w:val="25"/>
          <w:szCs w:val="25"/>
        </w:rPr>
      </w:pPr>
    </w:p>
    <w:p>
      <w:pPr>
        <w:pStyle w:val="BodyText"/>
        <w:spacing w:line="400" w:lineRule="auto"/>
        <w:ind w:right="206" w:firstLine="420"/>
        <w:jc w:val="both"/>
      </w:pPr>
      <w:r>
        <w:rPr>
          <w:spacing w:val="-2"/>
        </w:rPr>
        <w:t>公司进一步加强基础研究与应用研究，加大技术攻关和科研成果转化力度。报告期内，公司中标两项</w:t>
      </w:r>
      <w:r>
        <w:rPr>
          <w:w w:val="100"/>
        </w:rPr>
        <w:t> </w:t>
      </w:r>
      <w:r>
        <w:rPr/>
        <w:t>军队预研项目，新增发明专利及实用新型专利</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项，新增软件著作权</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项。装备健康管理、无线宽带通</w:t>
      </w:r>
      <w:r>
        <w:rPr>
          <w:w w:val="100"/>
        </w:rPr>
        <w:t> </w:t>
      </w:r>
      <w:r>
        <w:rPr>
          <w:spacing w:val="-2"/>
        </w:rPr>
        <w:t>信产品研制有序推进。中软金卡多项加油系统新产品完成研发。技术的不断创新，新产品的不断研发，有</w:t>
      </w:r>
      <w:r>
        <w:rPr>
          <w:spacing w:val="-47"/>
        </w:rPr>
        <w:t> </w:t>
      </w:r>
      <w:r>
        <w:rPr>
          <w:spacing w:val="-47"/>
        </w:rPr>
      </w:r>
      <w:r>
        <w:rPr/>
        <w:t>力带动了公司科技水平的整体跃升。</w:t>
      </w:r>
    </w:p>
    <w:p>
      <w:pPr>
        <w:spacing w:line="240" w:lineRule="auto" w:before="13"/>
        <w:rPr>
          <w:rFonts w:ascii="宋体" w:hAnsi="宋体" w:cs="宋体" w:eastAsia="宋体" w:hint="default"/>
          <w:sz w:val="13"/>
          <w:szCs w:val="13"/>
        </w:rPr>
      </w:pPr>
    </w:p>
    <w:p>
      <w:pPr>
        <w:pStyle w:val="Heading3"/>
        <w:spacing w:line="240" w:lineRule="auto"/>
        <w:ind w:right="100"/>
        <w:jc w:val="left"/>
      </w:pPr>
      <w:r>
        <w:rPr/>
        <w:t>（五） 企业文化广泛传播</w:t>
      </w:r>
    </w:p>
    <w:p>
      <w:pPr>
        <w:spacing w:line="240" w:lineRule="auto" w:before="6"/>
        <w:rPr>
          <w:rFonts w:ascii="黑体" w:hAnsi="黑体" w:cs="黑体" w:eastAsia="黑体" w:hint="default"/>
          <w:sz w:val="25"/>
          <w:szCs w:val="25"/>
        </w:rPr>
      </w:pPr>
    </w:p>
    <w:p>
      <w:pPr>
        <w:pStyle w:val="BodyText"/>
        <w:spacing w:line="386" w:lineRule="auto"/>
        <w:ind w:right="206" w:firstLine="420"/>
        <w:jc w:val="both"/>
      </w:pPr>
      <w:r>
        <w:rPr>
          <w:spacing w:val="-2"/>
        </w:rPr>
        <w:t>公司始终坚持</w:t>
      </w:r>
      <w:r>
        <w:rPr>
          <w:rFonts w:ascii="Times New Roman" w:hAnsi="Times New Roman" w:cs="Times New Roman" w:eastAsia="Times New Roman" w:hint="default"/>
          <w:spacing w:val="-2"/>
        </w:rPr>
        <w:t>“</w:t>
      </w:r>
      <w:r>
        <w:rPr>
          <w:spacing w:val="-2"/>
        </w:rPr>
        <w:t>信、善、利</w:t>
      </w:r>
      <w:r>
        <w:rPr>
          <w:rFonts w:ascii="Times New Roman" w:hAnsi="Times New Roman" w:cs="Times New Roman" w:eastAsia="Times New Roman" w:hint="default"/>
          <w:spacing w:val="-2"/>
        </w:rPr>
        <w:t>”</w:t>
      </w:r>
      <w:r>
        <w:rPr>
          <w:spacing w:val="-2"/>
        </w:rPr>
        <w:t>企业文化，高度重视企业文化建设。报告期内，公司充分发挥党工企平台</w:t>
      </w:r>
      <w:r>
        <w:rPr>
          <w:w w:val="100"/>
        </w:rPr>
        <w:t> </w:t>
      </w:r>
      <w:r>
        <w:rPr>
          <w:spacing w:val="-2"/>
        </w:rPr>
        <w:t>的组织活跃性，组织各类团建活动，宣传</w:t>
      </w:r>
      <w:r>
        <w:rPr>
          <w:rFonts w:ascii="Times New Roman" w:hAnsi="Times New Roman" w:cs="Times New Roman" w:eastAsia="Times New Roman" w:hint="default"/>
          <w:spacing w:val="-2"/>
        </w:rPr>
        <w:t>“</w:t>
      </w:r>
      <w:r>
        <w:rPr>
          <w:spacing w:val="-2"/>
        </w:rPr>
        <w:t>信、善、利</w:t>
      </w:r>
      <w:r>
        <w:rPr>
          <w:rFonts w:ascii="Times New Roman" w:hAnsi="Times New Roman" w:cs="Times New Roman" w:eastAsia="Times New Roman" w:hint="default"/>
          <w:spacing w:val="-2"/>
        </w:rPr>
        <w:t>”</w:t>
      </w:r>
      <w:r>
        <w:rPr>
          <w:spacing w:val="-2"/>
        </w:rPr>
        <w:t>企业文化，提升企业整体凝聚力。公司积极参加社</w:t>
      </w:r>
      <w:r>
        <w:rPr>
          <w:spacing w:val="-21"/>
        </w:rPr>
        <w:t> </w:t>
      </w:r>
      <w:r>
        <w:rPr>
          <w:spacing w:val="-21"/>
        </w:rPr>
      </w:r>
      <w:r>
        <w:rPr>
          <w:spacing w:val="-3"/>
        </w:rPr>
        <w:t>会公益活动，继续开展首都高校基础学科</w:t>
      </w:r>
      <w:r>
        <w:rPr>
          <w:rFonts w:ascii="Times New Roman" w:hAnsi="Times New Roman" w:cs="Times New Roman" w:eastAsia="Times New Roman" w:hint="default"/>
          <w:spacing w:val="-3"/>
        </w:rPr>
        <w:t>“</w:t>
      </w:r>
      <w:r>
        <w:rPr>
          <w:spacing w:val="-3"/>
        </w:rPr>
        <w:t>旋极奖学金</w:t>
      </w:r>
      <w:r>
        <w:rPr>
          <w:rFonts w:ascii="Times New Roman" w:hAnsi="Times New Roman" w:cs="Times New Roman" w:eastAsia="Times New Roman" w:hint="default"/>
          <w:spacing w:val="-3"/>
        </w:rPr>
        <w:t>”</w:t>
      </w:r>
      <w:r>
        <w:rPr>
          <w:spacing w:val="-3"/>
        </w:rPr>
        <w:t>项目和爱佑</w:t>
      </w:r>
      <w:r>
        <w:rPr>
          <w:rFonts w:ascii="Times New Roman" w:hAnsi="Times New Roman" w:cs="Times New Roman" w:eastAsia="Times New Roman" w:hint="default"/>
          <w:spacing w:val="-3"/>
        </w:rPr>
        <w:t>•</w:t>
      </w:r>
      <w:r>
        <w:rPr>
          <w:spacing w:val="-3"/>
        </w:rPr>
        <w:t>旋极北京小婴儿之家项目，组织为九寨</w:t>
      </w:r>
      <w:r>
        <w:rPr>
          <w:spacing w:val="-43"/>
        </w:rPr>
        <w:t> </w:t>
      </w:r>
      <w:r>
        <w:rPr>
          <w:spacing w:val="-43"/>
        </w:rPr>
      </w:r>
      <w:r>
        <w:rPr/>
        <w:t>沟地震捐款等，使旋极</w:t>
      </w:r>
      <w:r>
        <w:rPr>
          <w:rFonts w:ascii="Times New Roman" w:hAnsi="Times New Roman" w:cs="Times New Roman" w:eastAsia="Times New Roman" w:hint="default"/>
        </w:rPr>
        <w:t>“</w:t>
      </w:r>
      <w:r>
        <w:rPr/>
        <w:t>信、善、利</w:t>
      </w:r>
      <w:r>
        <w:rPr>
          <w:rFonts w:ascii="Times New Roman" w:hAnsi="Times New Roman" w:cs="Times New Roman" w:eastAsia="Times New Roman" w:hint="default"/>
        </w:rPr>
        <w:t>”</w:t>
      </w:r>
      <w:r>
        <w:rPr/>
        <w:t>文化更好地走向社会。</w:t>
      </w:r>
    </w:p>
    <w:p>
      <w:pPr>
        <w:pStyle w:val="Heading3"/>
        <w:spacing w:line="240" w:lineRule="auto" w:before="168"/>
        <w:ind w:right="100"/>
        <w:jc w:val="left"/>
      </w:pPr>
      <w:r>
        <w:rPr/>
        <w:t>（六） 人才激励制度不断完善</w:t>
      </w:r>
    </w:p>
    <w:p>
      <w:pPr>
        <w:spacing w:line="240" w:lineRule="auto" w:before="6"/>
        <w:rPr>
          <w:rFonts w:ascii="黑体" w:hAnsi="黑体" w:cs="黑体" w:eastAsia="黑体" w:hint="default"/>
          <w:sz w:val="25"/>
          <w:szCs w:val="25"/>
        </w:rPr>
      </w:pPr>
    </w:p>
    <w:p>
      <w:pPr>
        <w:pStyle w:val="BodyText"/>
        <w:spacing w:line="386" w:lineRule="auto"/>
        <w:ind w:right="206" w:firstLine="420"/>
        <w:jc w:val="both"/>
      </w:pPr>
      <w:r>
        <w:rPr>
          <w:spacing w:val="-2"/>
        </w:rPr>
        <w:t>公司进一步围绕</w:t>
      </w:r>
      <w:r>
        <w:rPr>
          <w:rFonts w:ascii="Times New Roman" w:hAnsi="Times New Roman" w:cs="Times New Roman" w:eastAsia="Times New Roman" w:hint="default"/>
          <w:spacing w:val="-2"/>
        </w:rPr>
        <w:t>“</w:t>
      </w:r>
      <w:r>
        <w:rPr>
          <w:spacing w:val="-2"/>
        </w:rPr>
        <w:t>培养、吸引、使用</w:t>
      </w:r>
      <w:r>
        <w:rPr>
          <w:rFonts w:ascii="Times New Roman" w:hAnsi="Times New Roman" w:cs="Times New Roman" w:eastAsia="Times New Roman" w:hint="default"/>
          <w:spacing w:val="-2"/>
        </w:rPr>
        <w:t>”</w:t>
      </w:r>
      <w:r>
        <w:rPr>
          <w:spacing w:val="-2"/>
        </w:rPr>
        <w:t>三个环节，组织中高层领导干部集训，积极引进优秀管理与技术</w:t>
      </w:r>
      <w:r>
        <w:rPr>
          <w:w w:val="100"/>
        </w:rPr>
        <w:t> </w:t>
      </w:r>
      <w:r>
        <w:rPr/>
        <w:t>人才，做好人才储备。报告期内，公司实施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年限制性股票激励计划，进一步改革完善薪酬制度，建</w:t>
      </w:r>
      <w:r>
        <w:rPr>
          <w:w w:val="100"/>
        </w:rPr>
        <w:t> </w:t>
      </w:r>
      <w:r>
        <w:rPr/>
        <w:t>立人才评价、选拔、使用、激励相衔接的良性机制，为人才提供广阔的发展舞台。</w:t>
      </w:r>
    </w:p>
    <w:p>
      <w:pPr>
        <w:spacing w:line="240" w:lineRule="auto" w:before="8"/>
        <w:rPr>
          <w:rFonts w:ascii="宋体" w:hAnsi="宋体" w:cs="宋体" w:eastAsia="宋体" w:hint="default"/>
          <w:sz w:val="26"/>
          <w:szCs w:val="26"/>
        </w:rPr>
      </w:pPr>
    </w:p>
    <w:p>
      <w:pPr>
        <w:pStyle w:val="Heading2"/>
        <w:spacing w:line="240" w:lineRule="auto" w:before="0"/>
        <w:ind w:right="100"/>
        <w:jc w:val="left"/>
      </w:pPr>
      <w:r>
        <w:rPr/>
        <w:t>二、主营业务分析</w:t>
      </w:r>
    </w:p>
    <w:p>
      <w:pPr>
        <w:spacing w:after="0" w:line="240" w:lineRule="auto"/>
        <w:jc w:val="left"/>
        <w:sectPr>
          <w:pgSz w:w="11910" w:h="16840"/>
          <w:pgMar w:header="882" w:footer="1132" w:top="1280" w:bottom="1320" w:left="980" w:right="920"/>
        </w:sectPr>
      </w:pPr>
    </w:p>
    <w:p>
      <w:pPr>
        <w:spacing w:line="240" w:lineRule="auto" w:before="3"/>
        <w:rPr>
          <w:rFonts w:ascii="黑体" w:hAnsi="黑体" w:cs="黑体" w:eastAsia="黑体" w:hint="default"/>
          <w:sz w:val="12"/>
          <w:szCs w:val="12"/>
        </w:rPr>
      </w:pPr>
    </w:p>
    <w:p>
      <w:pPr>
        <w:pStyle w:val="Heading3"/>
        <w:spacing w:line="240" w:lineRule="auto" w:before="26"/>
        <w:ind w:right="100"/>
        <w:jc w:val="left"/>
      </w:pPr>
      <w:r>
        <w:rPr>
          <w:rFonts w:ascii="Times New Roman" w:hAnsi="Times New Roman" w:cs="Times New Roman" w:eastAsia="Times New Roman" w:hint="default"/>
        </w:rPr>
        <w:t>1</w:t>
      </w:r>
      <w:r>
        <w:rPr/>
        <w:t>、概述</w:t>
      </w:r>
    </w:p>
    <w:p>
      <w:pPr>
        <w:spacing w:line="240" w:lineRule="auto" w:before="3"/>
        <w:rPr>
          <w:rFonts w:ascii="黑体" w:hAnsi="黑体" w:cs="黑体" w:eastAsia="黑体" w:hint="default"/>
          <w:sz w:val="24"/>
          <w:szCs w:val="24"/>
        </w:rPr>
      </w:pPr>
    </w:p>
    <w:p>
      <w:pPr>
        <w:pStyle w:val="BodyText"/>
        <w:spacing w:line="400" w:lineRule="auto"/>
        <w:ind w:right="206" w:firstLine="420"/>
        <w:jc w:val="both"/>
      </w:pPr>
      <w:r>
        <w:rPr/>
        <w:t>（</w:t>
      </w:r>
      <w:r>
        <w:rPr>
          <w:rFonts w:ascii="Times New Roman" w:hAnsi="Times New Roman" w:cs="Times New Roman" w:eastAsia="Times New Roman" w:hint="default"/>
        </w:rPr>
        <w:t>1</w:t>
      </w:r>
      <w:r>
        <w:rPr/>
        <w:t>）公司的主要业务为面向国防军工的嵌入式系统测试产品及服务，电子元器件测试、筛选及可靠</w:t>
      </w:r>
      <w:r>
        <w:rPr>
          <w:w w:val="100"/>
        </w:rPr>
        <w:t> </w:t>
      </w:r>
      <w:r>
        <w:rPr>
          <w:spacing w:val="-2"/>
        </w:rPr>
        <w:t>性保证服务，装备健康管理产品体系，末端无线宽带通信产品；面向税务和金融等行业的信息安全产品和</w:t>
      </w:r>
      <w:r>
        <w:rPr>
          <w:spacing w:val="-42"/>
        </w:rPr>
        <w:t> </w:t>
      </w:r>
      <w:r>
        <w:rPr>
          <w:spacing w:val="-42"/>
        </w:rPr>
      </w:r>
      <w:r>
        <w:rPr>
          <w:spacing w:val="-2"/>
        </w:rPr>
        <w:t>服务；新型智慧城市建设的顶层设计、实施以及配套的智能设备与信息服务平台；基于信息网格的时空大</w:t>
      </w:r>
      <w:r>
        <w:rPr>
          <w:spacing w:val="-44"/>
        </w:rPr>
        <w:t> </w:t>
      </w:r>
      <w:r>
        <w:rPr>
          <w:spacing w:val="-44"/>
        </w:rPr>
      </w:r>
      <w:r>
        <w:rPr/>
        <w:t>数据行业应用产品和服务。</w:t>
      </w:r>
    </w:p>
    <w:p>
      <w:pPr>
        <w:pStyle w:val="BodyText"/>
        <w:spacing w:line="386" w:lineRule="auto" w:before="153"/>
        <w:ind w:right="211" w:firstLine="420"/>
        <w:jc w:val="both"/>
      </w:pPr>
      <w:r>
        <w:rPr/>
        <w:t>（</w:t>
      </w:r>
      <w:r>
        <w:rPr>
          <w:rFonts w:ascii="Times New Roman" w:hAnsi="Times New Roman" w:cs="Times New Roman" w:eastAsia="Times New Roman" w:hint="default"/>
        </w:rPr>
        <w:t>2</w:t>
      </w:r>
      <w:r>
        <w:rPr/>
        <w:t>）报告期内，公司实现营业总收入</w:t>
      </w:r>
      <w:r>
        <w:rPr>
          <w:spacing w:val="-45"/>
        </w:rPr>
        <w:t> </w:t>
      </w:r>
      <w:r>
        <w:rPr>
          <w:rFonts w:ascii="Times New Roman" w:hAnsi="Times New Roman" w:cs="Times New Roman" w:eastAsia="Times New Roman" w:hint="default"/>
        </w:rPr>
        <w:t>329,714.08</w:t>
      </w:r>
      <w:r>
        <w:rPr>
          <w:rFonts w:ascii="Times New Roman" w:hAnsi="Times New Roman" w:cs="Times New Roman" w:eastAsia="Times New Roman" w:hint="default"/>
          <w:spacing w:val="-14"/>
        </w:rPr>
        <w:t> </w:t>
      </w:r>
      <w:r>
        <w:rPr/>
        <w:t>万元，同比增长</w:t>
      </w:r>
      <w:r>
        <w:rPr>
          <w:spacing w:val="-46"/>
        </w:rPr>
        <w:t> </w:t>
      </w:r>
      <w:r>
        <w:rPr>
          <w:rFonts w:ascii="Times New Roman" w:hAnsi="Times New Roman" w:cs="Times New Roman" w:eastAsia="Times New Roman" w:hint="default"/>
        </w:rPr>
        <w:t>50.64%</w:t>
      </w:r>
      <w:r>
        <w:rPr/>
        <w:t>；其中：智慧防务业务实现</w:t>
      </w:r>
      <w:r>
        <w:rPr>
          <w:w w:val="100"/>
        </w:rPr>
        <w:t> </w:t>
      </w:r>
      <w:r>
        <w:rPr/>
        <w:t>收入</w:t>
      </w:r>
      <w:r>
        <w:rPr>
          <w:spacing w:val="-41"/>
        </w:rPr>
        <w:t> </w:t>
      </w:r>
      <w:r>
        <w:rPr>
          <w:rFonts w:ascii="Times New Roman" w:hAnsi="Times New Roman" w:cs="Times New Roman" w:eastAsia="Times New Roman" w:hint="default"/>
        </w:rPr>
        <w:t>42,444.26</w:t>
      </w:r>
      <w:r>
        <w:rPr>
          <w:rFonts w:ascii="Times New Roman" w:hAnsi="Times New Roman" w:cs="Times New Roman" w:eastAsia="Times New Roman" w:hint="default"/>
          <w:spacing w:val="-10"/>
        </w:rPr>
        <w:t> </w:t>
      </w:r>
      <w:r>
        <w:rPr/>
        <w:t>万元，同比增长</w:t>
      </w:r>
      <w:r>
        <w:rPr>
          <w:spacing w:val="-41"/>
        </w:rPr>
        <w:t> </w:t>
      </w:r>
      <w:r>
        <w:rPr>
          <w:rFonts w:ascii="Times New Roman" w:hAnsi="Times New Roman" w:cs="Times New Roman" w:eastAsia="Times New Roman" w:hint="default"/>
        </w:rPr>
        <w:t>4.14%</w:t>
      </w:r>
      <w:r>
        <w:rPr/>
        <w:t>；信息安全业务实现收入</w:t>
      </w:r>
      <w:r>
        <w:rPr>
          <w:spacing w:val="-39"/>
        </w:rPr>
        <w:t> </w:t>
      </w:r>
      <w:r>
        <w:rPr>
          <w:rFonts w:ascii="Times New Roman" w:hAnsi="Times New Roman" w:cs="Times New Roman" w:eastAsia="Times New Roman" w:hint="default"/>
        </w:rPr>
        <w:t>103,032.11</w:t>
      </w:r>
      <w:r>
        <w:rPr>
          <w:rFonts w:ascii="Times New Roman" w:hAnsi="Times New Roman" w:cs="Times New Roman" w:eastAsia="Times New Roman" w:hint="default"/>
          <w:spacing w:val="-10"/>
        </w:rPr>
        <w:t> </w:t>
      </w:r>
      <w:r>
        <w:rPr/>
        <w:t>万元，同比减少</w:t>
      </w:r>
      <w:r>
        <w:rPr>
          <w:spacing w:val="-41"/>
        </w:rPr>
        <w:t> </w:t>
      </w:r>
      <w:r>
        <w:rPr>
          <w:rFonts w:ascii="Times New Roman" w:hAnsi="Times New Roman" w:cs="Times New Roman" w:eastAsia="Times New Roman" w:hint="default"/>
        </w:rPr>
        <w:t>15.03%</w:t>
      </w:r>
      <w:r>
        <w:rPr/>
        <w:t>；智慧</w:t>
      </w:r>
      <w:r>
        <w:rPr>
          <w:spacing w:val="-3"/>
          <w:w w:val="100"/>
        </w:rPr>
        <w:t> </w:t>
      </w:r>
      <w:r>
        <w:rPr/>
        <w:t>城市业务实现收入</w:t>
      </w:r>
      <w:r>
        <w:rPr>
          <w:spacing w:val="-55"/>
        </w:rPr>
        <w:t> </w:t>
      </w:r>
      <w:r>
        <w:rPr>
          <w:rFonts w:ascii="Times New Roman" w:hAnsi="Times New Roman" w:cs="Times New Roman" w:eastAsia="Times New Roman" w:hint="default"/>
        </w:rPr>
        <w:t>184,237.71</w:t>
      </w:r>
      <w:r>
        <w:rPr>
          <w:rFonts w:ascii="Times New Roman" w:hAnsi="Times New Roman" w:cs="Times New Roman" w:eastAsia="Times New Roman" w:hint="default"/>
          <w:spacing w:val="-14"/>
        </w:rPr>
        <w:t> </w:t>
      </w:r>
      <w:r>
        <w:rPr/>
        <w:t>万元，同比增长</w:t>
      </w:r>
      <w:r>
        <w:rPr>
          <w:spacing w:val="-55"/>
        </w:rPr>
        <w:t> </w:t>
      </w:r>
      <w:r>
        <w:rPr>
          <w:rFonts w:ascii="Times New Roman" w:hAnsi="Times New Roman" w:cs="Times New Roman" w:eastAsia="Times New Roman" w:hint="default"/>
        </w:rPr>
        <w:t>224.02%</w:t>
      </w:r>
      <w:r>
        <w:rPr/>
        <w:t>。</w:t>
      </w:r>
    </w:p>
    <w:p>
      <w:pPr>
        <w:pStyle w:val="BodyText"/>
        <w:spacing w:line="386" w:lineRule="auto" w:before="134"/>
        <w:ind w:right="208" w:firstLine="420"/>
        <w:jc w:val="both"/>
      </w:pPr>
      <w:r>
        <w:rPr/>
        <w:t>（</w:t>
      </w:r>
      <w:r>
        <w:rPr>
          <w:rFonts w:ascii="Times New Roman" w:hAnsi="Times New Roman" w:cs="Times New Roman" w:eastAsia="Times New Roman" w:hint="default"/>
        </w:rPr>
        <w:t>3</w:t>
      </w:r>
      <w:r>
        <w:rPr/>
        <w:t>）报告期内，公司实现归属于上市公司股东的净利润</w:t>
      </w:r>
      <w:r>
        <w:rPr>
          <w:spacing w:val="-45"/>
        </w:rPr>
        <w:t> </w:t>
      </w:r>
      <w:r>
        <w:rPr>
          <w:rFonts w:ascii="Times New Roman" w:hAnsi="Times New Roman" w:cs="Times New Roman" w:eastAsia="Times New Roman" w:hint="default"/>
        </w:rPr>
        <w:t>38,929.22</w:t>
      </w:r>
      <w:r>
        <w:rPr>
          <w:rFonts w:ascii="Times New Roman" w:hAnsi="Times New Roman" w:cs="Times New Roman" w:eastAsia="Times New Roman" w:hint="default"/>
          <w:spacing w:val="-13"/>
        </w:rPr>
        <w:t> </w:t>
      </w:r>
      <w:r>
        <w:rPr/>
        <w:t>万元，同比增长</w:t>
      </w:r>
      <w:r>
        <w:rPr>
          <w:spacing w:val="-45"/>
        </w:rPr>
        <w:t> </w:t>
      </w:r>
      <w:r>
        <w:rPr>
          <w:rFonts w:ascii="Times New Roman" w:hAnsi="Times New Roman" w:cs="Times New Roman" w:eastAsia="Times New Roman" w:hint="default"/>
        </w:rPr>
        <w:t>3.18%</w:t>
      </w:r>
      <w:r>
        <w:rPr/>
        <w:t>，主要原因</w:t>
      </w:r>
      <w:r>
        <w:rPr>
          <w:w w:val="100"/>
        </w:rPr>
        <w:t> </w:t>
      </w:r>
      <w:r>
        <w:rPr/>
        <w:t>在于：</w:t>
      </w:r>
    </w:p>
    <w:p>
      <w:pPr>
        <w:pStyle w:val="BodyText"/>
        <w:spacing w:line="386" w:lineRule="auto" w:before="166"/>
        <w:ind w:right="208"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月，公司完成对北京泰豪智能工程有限公司的收购，业务整合顺利，</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年前三季度</w:t>
      </w:r>
      <w:r>
        <w:rPr>
          <w:w w:val="100"/>
        </w:rPr>
        <w:t> </w:t>
      </w:r>
      <w:r>
        <w:rPr/>
        <w:t>比上年同期新增智慧城市顶层设计、实施和运营业务收入，智慧城市板块业务收入和利润大幅增长。</w:t>
      </w:r>
    </w:p>
    <w:p>
      <w:pPr>
        <w:pStyle w:val="BodyText"/>
        <w:spacing w:line="393" w:lineRule="auto" w:before="166"/>
        <w:ind w:right="100" w:firstLine="420"/>
        <w:jc w:val="left"/>
      </w:pPr>
      <w:r>
        <w:rPr>
          <w:rFonts w:ascii="Times New Roman" w:hAnsi="Times New Roman" w:cs="Times New Roman" w:eastAsia="Times New Roman" w:hint="default"/>
          <w:spacing w:val="-4"/>
        </w:rPr>
        <w:t>2</w:t>
      </w:r>
      <w:r>
        <w:rPr>
          <w:spacing w:val="-4"/>
        </w:rPr>
        <w:t>）随着国家</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项目实施的逐步推进，税务信息化产品及服务业务进入平稳运行阶段，与去年同</w:t>
      </w:r>
      <w:r>
        <w:rPr>
          <w:w w:val="100"/>
        </w:rPr>
        <w:t> </w:t>
      </w:r>
      <w:r>
        <w:rPr/>
        <w:t>期相比销售收入有一定下降；根据国家发改委相关政策，自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9"/>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日起，下调了税控产品销售价</w:t>
      </w:r>
      <w:r>
        <w:rPr>
          <w:w w:val="100"/>
        </w:rPr>
        <w:t> </w:t>
      </w:r>
      <w:r>
        <w:rPr>
          <w:spacing w:val="-5"/>
        </w:rPr>
        <w:t>格及服务费收取价格；同时，公司也在着手该业务板块全新布局，投入加大，费用增加。综上，本报告期，</w:t>
      </w:r>
      <w:r>
        <w:rPr>
          <w:spacing w:val="-6"/>
        </w:rPr>
        <w:t> </w:t>
      </w:r>
      <w:r>
        <w:rPr>
          <w:spacing w:val="-6"/>
        </w:rPr>
      </w:r>
      <w:r>
        <w:rPr/>
        <w:t>该业务板块利润较去年同期大幅下降。</w:t>
      </w:r>
    </w:p>
    <w:p>
      <w:pPr>
        <w:pStyle w:val="BodyText"/>
        <w:spacing w:line="386" w:lineRule="auto" w:before="157"/>
        <w:ind w:right="208" w:firstLine="420"/>
        <w:jc w:val="both"/>
      </w:pPr>
      <w:r>
        <w:rPr>
          <w:rFonts w:ascii="Times New Roman" w:hAnsi="Times New Roman" w:cs="Times New Roman" w:eastAsia="Times New Roman" w:hint="default"/>
        </w:rPr>
        <w:t>3</w:t>
      </w:r>
      <w:r>
        <w:rPr/>
        <w:t>）报告期内，公司在时空大数据、装备健康管理等领域加快布局，培育新的利润增长点，导致研发</w:t>
      </w:r>
      <w:r>
        <w:rPr>
          <w:w w:val="100"/>
        </w:rPr>
        <w:t> </w:t>
      </w:r>
      <w:r>
        <w:rPr>
          <w:spacing w:val="-3"/>
          <w:w w:val="100"/>
        </w:rPr>
        <w:t>投入加大，研发费用较去年同期增长</w:t>
      </w:r>
      <w:r>
        <w:rPr>
          <w:w w:val="100"/>
        </w:rPr>
        <w:t> </w:t>
      </w:r>
      <w:r>
        <w:rPr>
          <w:rFonts w:ascii="Times New Roman" w:hAnsi="Times New Roman" w:cs="Times New Roman" w:eastAsia="Times New Roman" w:hint="default"/>
          <w:spacing w:val="-4"/>
          <w:w w:val="100"/>
        </w:rPr>
        <w:t>51.24%</w:t>
      </w:r>
      <w:r>
        <w:rPr>
          <w:spacing w:val="-4"/>
          <w:w w:val="100"/>
        </w:rPr>
        <w:t>。同时，公司实施《</w:t>
      </w:r>
      <w:r>
        <w:rPr>
          <w:rFonts w:ascii="Times New Roman" w:hAnsi="Times New Roman" w:cs="Times New Roman" w:eastAsia="Times New Roman" w:hint="default"/>
          <w:spacing w:val="-4"/>
          <w:w w:val="100"/>
        </w:rPr>
        <w:t>2017</w:t>
      </w:r>
      <w:r>
        <w:rPr>
          <w:rFonts w:ascii="Times New Roman" w:hAnsi="Times New Roman" w:cs="Times New Roman" w:eastAsia="Times New Roman" w:hint="default"/>
          <w:w w:val="100"/>
        </w:rPr>
        <w:t> </w:t>
      </w:r>
      <w:r>
        <w:rPr>
          <w:spacing w:val="-9"/>
          <w:w w:val="100"/>
        </w:rPr>
        <w:t>年限制性股票激励计划》，报告期内</w:t>
      </w:r>
      <w:r>
        <w:rPr>
          <w:spacing w:val="-101"/>
          <w:w w:val="100"/>
        </w:rPr>
        <w:t> </w:t>
      </w:r>
      <w:r>
        <w:rPr>
          <w:spacing w:val="-101"/>
          <w:w w:val="100"/>
        </w:rPr>
      </w:r>
      <w:r>
        <w:rPr/>
        <w:t>摊销股权激励费用较去年同期大幅上升。报告期内，管理费用的增加对净利润有一定影响。</w:t>
      </w:r>
    </w:p>
    <w:p>
      <w:pPr>
        <w:spacing w:line="240" w:lineRule="auto" w:before="2"/>
        <w:rPr>
          <w:rFonts w:ascii="宋体" w:hAnsi="宋体" w:cs="宋体" w:eastAsia="宋体" w:hint="default"/>
          <w:sz w:val="15"/>
          <w:szCs w:val="15"/>
        </w:rPr>
      </w:pPr>
    </w:p>
    <w:p>
      <w:pPr>
        <w:pStyle w:val="Heading3"/>
        <w:spacing w:line="240" w:lineRule="auto"/>
        <w:ind w:right="100"/>
        <w:jc w:val="left"/>
      </w:pPr>
      <w:r>
        <w:rPr>
          <w:rFonts w:ascii="Times New Roman" w:hAnsi="Times New Roman" w:cs="Times New Roman" w:eastAsia="Times New Roman" w:hint="default"/>
        </w:rPr>
        <w:t>2</w:t>
      </w:r>
      <w:r>
        <w:rPr/>
        <w:t>、收入与成本</w:t>
      </w:r>
    </w:p>
    <w:p>
      <w:pPr>
        <w:spacing w:line="240" w:lineRule="auto" w:before="1"/>
        <w:rPr>
          <w:rFonts w:ascii="黑体" w:hAnsi="黑体" w:cs="黑体" w:eastAsia="黑体" w:hint="default"/>
          <w:sz w:val="22"/>
          <w:szCs w:val="22"/>
        </w:rPr>
      </w:pPr>
    </w:p>
    <w:p>
      <w:pPr>
        <w:spacing w:line="482" w:lineRule="auto" w:before="0"/>
        <w:ind w:left="573" w:right="4875"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1</w:t>
      </w:r>
      <w:r>
        <w:rPr>
          <w:rFonts w:ascii="黑体" w:hAnsi="黑体" w:cs="黑体" w:eastAsia="黑体" w:hint="default"/>
          <w:sz w:val="24"/>
          <w:szCs w:val="24"/>
        </w:rPr>
        <w:t>）营业收入构成 </w:t>
      </w:r>
      <w:r>
        <w:rPr>
          <w:rFonts w:ascii="宋体" w:hAnsi="宋体" w:cs="宋体" w:eastAsia="宋体" w:hint="default"/>
          <w:spacing w:val="-2"/>
          <w:sz w:val="21"/>
          <w:szCs w:val="21"/>
        </w:rPr>
        <w:t>公司是否需要遵守光伏产业链相关业的披露要求</w:t>
      </w:r>
      <w:r>
        <w:rPr>
          <w:rFonts w:ascii="宋体" w:hAnsi="宋体" w:cs="宋体" w:eastAsia="宋体" w:hint="default"/>
          <w:w w:val="100"/>
          <w:sz w:val="21"/>
          <w:szCs w:val="21"/>
        </w:rPr>
        <w:t> </w:t>
      </w:r>
      <w:r>
        <w:rPr>
          <w:rFonts w:ascii="宋体" w:hAnsi="宋体" w:cs="宋体" w:eastAsia="宋体" w:hint="default"/>
          <w:sz w:val="21"/>
          <w:szCs w:val="21"/>
        </w:rPr>
        <w:t>否</w:t>
      </w:r>
    </w:p>
    <w:p>
      <w:pPr>
        <w:pStyle w:val="BodyText"/>
        <w:spacing w:line="386" w:lineRule="auto" w:before="82"/>
        <w:ind w:right="206" w:firstLine="420"/>
        <w:jc w:val="both"/>
      </w:pPr>
      <w:r>
        <w:rPr>
          <w:spacing w:val="-3"/>
        </w:rPr>
        <w:t>公司是否需遵守《深圳证券交易所创业板行业信息披露指引第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上市公司从事广播电影电视业</w:t>
      </w:r>
      <w:r>
        <w:rPr>
          <w:w w:val="100"/>
        </w:rPr>
        <w:t> </w:t>
      </w:r>
      <w:r>
        <w:rPr/>
        <w:t>务》的披露要求：</w:t>
      </w:r>
    </w:p>
    <w:p>
      <w:pPr>
        <w:pStyle w:val="BodyText"/>
        <w:spacing w:line="240" w:lineRule="auto" w:before="164"/>
        <w:ind w:left="573" w:right="100"/>
        <w:jc w:val="left"/>
      </w:pPr>
      <w:r>
        <w:rPr>
          <w:w w:val="100"/>
        </w:rPr>
        <w:t>否</w:t>
      </w:r>
    </w:p>
    <w:p>
      <w:pPr>
        <w:spacing w:after="0" w:line="240"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386" w:lineRule="auto" w:before="36"/>
        <w:ind w:right="100" w:firstLine="420"/>
        <w:jc w:val="left"/>
      </w:pPr>
      <w:r>
        <w:rPr>
          <w:spacing w:val="-6"/>
          <w:w w:val="100"/>
        </w:rPr>
        <w:t>公司是否需遵守《深圳证券交易所创业板行业信息披露指引第</w:t>
      </w:r>
      <w:r>
        <w:rPr>
          <w:spacing w:val="-54"/>
          <w:w w:val="100"/>
        </w:rPr>
        <w:t> </w:t>
      </w:r>
      <w:r>
        <w:rPr>
          <w:rFonts w:ascii="Times New Roman" w:hAnsi="Times New Roman" w:cs="Times New Roman" w:eastAsia="Times New Roman" w:hint="default"/>
          <w:w w:val="100"/>
        </w:rPr>
        <w:t>5 </w:t>
      </w:r>
      <w:r>
        <w:rPr>
          <w:spacing w:val="-2"/>
          <w:w w:val="100"/>
        </w:rPr>
        <w:t>号</w:t>
      </w:r>
      <w:r>
        <w:rPr>
          <w:rFonts w:ascii="Times New Roman" w:hAnsi="Times New Roman" w:cs="Times New Roman" w:eastAsia="Times New Roman" w:hint="default"/>
          <w:spacing w:val="-2"/>
          <w:w w:val="100"/>
        </w:rPr>
        <w:t>——</w:t>
      </w:r>
      <w:r>
        <w:rPr>
          <w:spacing w:val="-2"/>
          <w:w w:val="100"/>
        </w:rPr>
        <w:t>上市公司从事互联网游戏业务》</w:t>
      </w:r>
      <w:r>
        <w:rPr>
          <w:w w:val="100"/>
        </w:rPr>
        <w:t> </w:t>
      </w:r>
      <w:r>
        <w:rPr/>
        <w:t>的披露要求：</w:t>
      </w:r>
    </w:p>
    <w:p>
      <w:pPr>
        <w:pStyle w:val="BodyText"/>
        <w:spacing w:line="240" w:lineRule="auto" w:before="166"/>
        <w:ind w:left="573" w:right="100"/>
        <w:jc w:val="left"/>
      </w:pPr>
      <w:r>
        <w:rPr>
          <w:w w:val="100"/>
        </w:rPr>
        <w:t>否</w:t>
      </w:r>
    </w:p>
    <w:p>
      <w:pPr>
        <w:spacing w:line="240" w:lineRule="auto" w:before="4"/>
        <w:rPr>
          <w:rFonts w:ascii="宋体" w:hAnsi="宋体" w:cs="宋体" w:eastAsia="宋体" w:hint="default"/>
          <w:sz w:val="22"/>
          <w:szCs w:val="22"/>
        </w:rPr>
      </w:pPr>
    </w:p>
    <w:p>
      <w:pPr>
        <w:pStyle w:val="BodyText"/>
        <w:spacing w:line="386" w:lineRule="auto"/>
        <w:ind w:right="205" w:firstLine="420"/>
        <w:jc w:val="left"/>
      </w:pPr>
      <w:r>
        <w:rPr/>
        <w:t>公司是否需遵守《深圳证券交易所创业板行业信息披露指引第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 </w:t>
      </w:r>
      <w:r>
        <w:rPr>
          <w:rFonts w:ascii="Times New Roman" w:hAnsi="Times New Roman" w:cs="Times New Roman" w:eastAsia="Times New Roman" w:hint="default"/>
        </w:rPr>
        <w:t>LED</w:t>
      </w:r>
      <w:r>
        <w:rPr>
          <w:rFonts w:ascii="Times New Roman" w:hAnsi="Times New Roman" w:cs="Times New Roman" w:eastAsia="Times New Roman" w:hint="default"/>
          <w:spacing w:val="-19"/>
        </w:rPr>
        <w:t> </w:t>
      </w:r>
      <w:r>
        <w:rPr/>
        <w:t>产业链相</w:t>
      </w:r>
      <w:r>
        <w:rPr>
          <w:w w:val="100"/>
        </w:rPr>
        <w:t> </w:t>
      </w:r>
      <w:r>
        <w:rPr/>
        <w:t>关业务》的披露要求：</w:t>
      </w:r>
    </w:p>
    <w:p>
      <w:pPr>
        <w:pStyle w:val="BodyText"/>
        <w:spacing w:line="240" w:lineRule="auto" w:before="166"/>
        <w:ind w:left="573" w:right="100"/>
        <w:jc w:val="left"/>
      </w:pPr>
      <w:r>
        <w:rPr>
          <w:w w:val="100"/>
        </w:rPr>
        <w:t>否</w:t>
      </w:r>
    </w:p>
    <w:p>
      <w:pPr>
        <w:spacing w:line="240" w:lineRule="auto" w:before="7"/>
        <w:rPr>
          <w:rFonts w:ascii="宋体" w:hAnsi="宋体" w:cs="宋体" w:eastAsia="宋体" w:hint="default"/>
          <w:sz w:val="22"/>
          <w:szCs w:val="22"/>
        </w:rPr>
      </w:pPr>
    </w:p>
    <w:p>
      <w:pPr>
        <w:pStyle w:val="BodyText"/>
        <w:spacing w:line="386" w:lineRule="auto"/>
        <w:ind w:right="100" w:firstLine="420"/>
        <w:jc w:val="left"/>
      </w:pPr>
      <w:r>
        <w:rPr>
          <w:spacing w:val="-3"/>
        </w:rPr>
        <w:t>公司是否需遵守《深圳证券交易所创业板行业信息披露指引第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上市公司从事医疗器械业务》</w:t>
      </w:r>
      <w:r>
        <w:rPr>
          <w:w w:val="100"/>
        </w:rPr>
        <w:t> </w:t>
      </w:r>
      <w:r>
        <w:rPr/>
        <w:t>的披露要求：</w:t>
      </w:r>
    </w:p>
    <w:p>
      <w:pPr>
        <w:pStyle w:val="BodyText"/>
        <w:spacing w:line="496" w:lineRule="auto" w:before="163"/>
        <w:ind w:left="573" w:right="7579"/>
        <w:jc w:val="left"/>
      </w:pPr>
      <w:r>
        <w:rPr/>
        <w:t>否</w:t>
      </w:r>
      <w:r>
        <w:rPr>
          <w:w w:val="100"/>
        </w:rPr>
        <w:t> </w:t>
      </w:r>
      <w:r>
        <w:rPr>
          <w:spacing w:val="-2"/>
        </w:rPr>
        <w:t>营业收入整体情况</w:t>
      </w:r>
    </w:p>
    <w:p>
      <w:pPr>
        <w:pStyle w:val="BodyText"/>
        <w:spacing w:line="240" w:lineRule="auto" w:before="69"/>
        <w:ind w:left="0" w:right="208"/>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59"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45"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28"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255"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9" w:right="0"/>
              <w:jc w:val="left"/>
              <w:rPr>
                <w:rFonts w:ascii="宋体" w:hAnsi="宋体" w:cs="宋体" w:eastAsia="宋体" w:hint="default"/>
                <w:sz w:val="18"/>
                <w:szCs w:val="18"/>
              </w:rPr>
            </w:pPr>
            <w:r>
              <w:rPr>
                <w:rFonts w:ascii="宋体" w:hAnsi="宋体" w:cs="宋体" w:eastAsia="宋体" w:hint="default"/>
                <w:b/>
                <w:bCs/>
                <w:sz w:val="18"/>
                <w:szCs w:val="18"/>
              </w:rPr>
              <w:t>占营业收入比重</w:t>
            </w:r>
            <w:r>
              <w:rPr>
                <w:rFonts w:ascii="宋体" w:hAnsi="宋体" w:cs="宋体" w:eastAsia="宋体" w:hint="default"/>
                <w:sz w:val="18"/>
                <w:szCs w:val="18"/>
              </w:rPr>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9" w:right="0"/>
              <w:jc w:val="left"/>
              <w:rPr>
                <w:rFonts w:ascii="宋体" w:hAnsi="宋体" w:cs="宋体" w:eastAsia="宋体" w:hint="default"/>
                <w:sz w:val="18"/>
                <w:szCs w:val="18"/>
              </w:rPr>
            </w:pPr>
            <w:r>
              <w:rPr>
                <w:rFonts w:ascii="宋体" w:hAnsi="宋体" w:cs="宋体" w:eastAsia="宋体" w:hint="default"/>
                <w:b/>
                <w:bCs/>
                <w:sz w:val="18"/>
                <w:szCs w:val="18"/>
              </w:rPr>
              <w:t>占营业收入比重</w:t>
            </w:r>
            <w:r>
              <w:rPr>
                <w:rFonts w:ascii="宋体" w:hAnsi="宋体" w:cs="宋体" w:eastAsia="宋体" w:hint="default"/>
                <w:sz w:val="18"/>
                <w:szCs w:val="18"/>
              </w:rPr>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59"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1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营业收入合计</w:t>
            </w:r>
            <w:r>
              <w:rPr>
                <w:rFonts w:ascii="宋体" w:hAnsi="宋体" w:cs="宋体" w:eastAsia="宋体" w:hint="default"/>
                <w:sz w:val="18"/>
                <w:szCs w:val="18"/>
              </w:rPr>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3,297,140,845.94</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9" w:right="0"/>
              <w:jc w:val="lef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2,188,775,876.25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9" w:right="0"/>
              <w:jc w:val="lef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50.64%</w:t>
            </w:r>
          </w:p>
        </w:tc>
      </w:tr>
      <w:tr>
        <w:trPr>
          <w:trHeight w:val="5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r>
      <w:tr>
        <w:trPr>
          <w:trHeight w:val="509"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智慧防务业务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18"/>
                <w:szCs w:val="18"/>
              </w:rPr>
            </w:pPr>
            <w:r>
              <w:rPr>
                <w:rFonts w:ascii="Times New Roman"/>
                <w:spacing w:val="-1"/>
                <w:sz w:val="18"/>
              </w:rPr>
              <w:t>424,442,598.57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12.87%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18"/>
                <w:szCs w:val="18"/>
              </w:rPr>
            </w:pPr>
            <w:r>
              <w:rPr>
                <w:rFonts w:ascii="Times New Roman"/>
                <w:spacing w:val="-1"/>
                <w:sz w:val="18"/>
              </w:rPr>
              <w:t>407,588,605.79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18.62%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4.14%</w:t>
            </w:r>
          </w:p>
        </w:tc>
      </w:tr>
      <w:tr>
        <w:trPr>
          <w:trHeight w:val="506"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信息安全业务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18"/>
                <w:szCs w:val="18"/>
              </w:rPr>
            </w:pPr>
            <w:r>
              <w:rPr>
                <w:rFonts w:ascii="Times New Roman"/>
                <w:spacing w:val="-1"/>
                <w:sz w:val="18"/>
              </w:rPr>
              <w:t>1,030,321,120.32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31.25%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18"/>
                <w:szCs w:val="18"/>
              </w:rPr>
            </w:pPr>
            <w:r>
              <w:rPr>
                <w:rFonts w:ascii="Times New Roman"/>
                <w:spacing w:val="-1"/>
                <w:sz w:val="18"/>
              </w:rPr>
              <w:t>1,212,586,784.34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55.40%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-15.03%</w:t>
            </w:r>
          </w:p>
        </w:tc>
      </w:tr>
      <w:tr>
        <w:trPr>
          <w:trHeight w:val="509"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18"/>
                <w:szCs w:val="18"/>
              </w:rPr>
            </w:pPr>
            <w:r>
              <w:rPr>
                <w:rFonts w:ascii="Times New Roman"/>
                <w:spacing w:val="-1"/>
                <w:sz w:val="18"/>
              </w:rPr>
              <w:t>1,842,377,127.05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55.88%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18"/>
                <w:szCs w:val="18"/>
              </w:rPr>
            </w:pPr>
            <w:r>
              <w:rPr>
                <w:rFonts w:ascii="Times New Roman"/>
                <w:spacing w:val="-1"/>
                <w:sz w:val="18"/>
              </w:rPr>
              <w:t>568,600,486.12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z w:val="18"/>
              </w:rPr>
              <w:t>25.98%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224.02%</w:t>
            </w:r>
          </w:p>
        </w:tc>
      </w:tr>
      <w:tr>
        <w:trPr>
          <w:trHeight w:val="50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818"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14"/>
                <w:sz w:val="18"/>
                <w:szCs w:val="18"/>
              </w:rPr>
              <w:t>嵌入式系统测试产 </w:t>
            </w:r>
            <w:r>
              <w:rPr>
                <w:rFonts w:ascii="宋体" w:hAnsi="宋体" w:cs="宋体" w:eastAsia="宋体" w:hint="default"/>
                <w:sz w:val="18"/>
                <w:szCs w:val="18"/>
              </w:rPr>
              <w:t>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155,414,044.94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182,170,500.20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-14.69%</w:t>
            </w:r>
          </w:p>
        </w:tc>
      </w:tr>
      <w:tr>
        <w:trPr>
          <w:trHeight w:val="82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14"/>
                <w:sz w:val="18"/>
                <w:szCs w:val="18"/>
              </w:rPr>
              <w:t>嵌入式系统测试服 </w:t>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90,605,527.49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89,271,517.05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r>
      <w:tr>
        <w:trPr>
          <w:trHeight w:val="82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14"/>
                <w:sz w:val="18"/>
                <w:szCs w:val="18"/>
              </w:rPr>
              <w:t>电子元器件测试筛 </w:t>
            </w:r>
            <w:r>
              <w:rPr>
                <w:rFonts w:ascii="宋体" w:hAnsi="宋体" w:cs="宋体" w:eastAsia="宋体" w:hint="default"/>
                <w:sz w:val="18"/>
                <w:szCs w:val="18"/>
              </w:rPr>
              <w:t>选服务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178,423,026.14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136,146,588.54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31.05%</w:t>
            </w:r>
          </w:p>
        </w:tc>
      </w:tr>
      <w:tr>
        <w:trPr>
          <w:trHeight w:val="819"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14"/>
                <w:sz w:val="18"/>
                <w:szCs w:val="18"/>
              </w:rPr>
              <w:t>税务信息化产品及 </w:t>
            </w: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1,028,077,147.27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31.18%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1,208,748,079.89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-14.95%</w:t>
            </w:r>
          </w:p>
        </w:tc>
      </w:tr>
      <w:tr>
        <w:trPr>
          <w:trHeight w:val="509"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pacing w:val="14"/>
                <w:sz w:val="18"/>
                <w:szCs w:val="18"/>
              </w:rPr>
              <w:t>其他信息安全产品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18"/>
                <w:szCs w:val="18"/>
              </w:rPr>
            </w:pPr>
            <w:r>
              <w:rPr>
                <w:rFonts w:ascii="Times New Roman"/>
                <w:spacing w:val="-1"/>
                <w:sz w:val="18"/>
              </w:rPr>
              <w:t>2,243,973.05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0.07%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
              <w:jc w:val="right"/>
              <w:rPr>
                <w:rFonts w:ascii="Times New Roman" w:hAnsi="Times New Roman" w:cs="Times New Roman" w:eastAsia="Times New Roman" w:hint="default"/>
                <w:sz w:val="18"/>
                <w:szCs w:val="18"/>
              </w:rPr>
            </w:pPr>
            <w:r>
              <w:rPr>
                <w:rFonts w:ascii="Times New Roman"/>
                <w:spacing w:val="-1"/>
                <w:sz w:val="18"/>
              </w:rPr>
              <w:t>3,838,704.45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
              <w:jc w:val="right"/>
              <w:rPr>
                <w:rFonts w:ascii="Times New Roman" w:hAnsi="Times New Roman" w:cs="Times New Roman" w:eastAsia="Times New Roman" w:hint="default"/>
                <w:sz w:val="18"/>
                <w:szCs w:val="18"/>
              </w:rPr>
            </w:pPr>
            <w:r>
              <w:rPr>
                <w:rFonts w:ascii="Times New Roman"/>
                <w:sz w:val="18"/>
              </w:rPr>
              <w:t>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-41.54%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能源信息化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204,516,350.73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154,525,470.78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32.35%</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1,397,023,510.05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42.37%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339,656,936.87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2"/>
                <w:sz w:val="18"/>
              </w:rPr>
              <w:t>311.30%</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96,300,622.70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41,473,910.19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132.20%</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其它产品及服务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144,536,643.57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32,944,168.28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338.73%</w:t>
            </w:r>
          </w:p>
        </w:tc>
      </w:tr>
      <w:tr>
        <w:trPr>
          <w:trHeight w:val="50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1,329,030,743.67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891,354,971.17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40.72%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49.10%</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999,275,085.45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598,955,343.80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27.36%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66.84%</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344,525,816.48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273,682,839.99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25.89%</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126,409,045.75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88,930,009.87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42.14%</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283,423,211.52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195,996,346.99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44.61%</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94,885,830.84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44,296,354.33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2"/>
                <w:sz w:val="18"/>
              </w:rPr>
              <w:t>114.21%</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2"/>
                <w:sz w:val="18"/>
              </w:rPr>
              <w:t>119,591,112.23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95,560,010.10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25.15%</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p>
    <w:p>
      <w:pPr>
        <w:spacing w:line="240" w:lineRule="auto" w:before="3"/>
        <w:rPr>
          <w:rFonts w:ascii="黑体" w:hAnsi="黑体" w:cs="黑体" w:eastAsia="黑体" w:hint="default"/>
          <w:sz w:val="24"/>
          <w:szCs w:val="24"/>
        </w:rPr>
      </w:pPr>
    </w:p>
    <w:p>
      <w:pPr>
        <w:pStyle w:val="BodyText"/>
        <w:spacing w:line="482"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公司是否需要遵守特殊行业的披露要求</w:t>
      </w:r>
      <w:r>
        <w:rPr>
          <w:spacing w:val="-72"/>
        </w:rPr>
        <w:t> </w:t>
      </w:r>
      <w:r>
        <w:rPr>
          <w:spacing w:val="-72"/>
        </w:rPr>
      </w:r>
      <w:r>
        <w:rPr/>
        <w:t>否</w:t>
      </w:r>
    </w:p>
    <w:p>
      <w:pPr>
        <w:pStyle w:val="BodyText"/>
        <w:spacing w:line="240" w:lineRule="auto" w:before="82"/>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82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20"/>
              <w:jc w:val="left"/>
              <w:rPr>
                <w:rFonts w:ascii="宋体" w:hAnsi="宋体" w:cs="宋体" w:eastAsia="宋体" w:hint="default"/>
                <w:sz w:val="18"/>
                <w:szCs w:val="18"/>
              </w:rPr>
            </w:pPr>
            <w:r>
              <w:rPr>
                <w:rFonts w:ascii="宋体" w:hAnsi="宋体" w:cs="宋体" w:eastAsia="宋体" w:hint="default"/>
                <w:b/>
                <w:bCs/>
                <w:spacing w:val="6"/>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23"/>
              <w:jc w:val="left"/>
              <w:rPr>
                <w:rFonts w:ascii="宋体" w:hAnsi="宋体" w:cs="宋体" w:eastAsia="宋体" w:hint="default"/>
                <w:sz w:val="18"/>
                <w:szCs w:val="18"/>
              </w:rPr>
            </w:pPr>
            <w:r>
              <w:rPr>
                <w:rFonts w:ascii="宋体" w:hAnsi="宋体" w:cs="宋体" w:eastAsia="宋体" w:hint="default"/>
                <w:b/>
                <w:bCs/>
                <w:spacing w:val="6"/>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4" w:right="20"/>
              <w:jc w:val="left"/>
              <w:rPr>
                <w:rFonts w:ascii="宋体" w:hAnsi="宋体" w:cs="宋体" w:eastAsia="宋体" w:hint="default"/>
                <w:sz w:val="18"/>
                <w:szCs w:val="18"/>
              </w:rPr>
            </w:pPr>
            <w:r>
              <w:rPr>
                <w:rFonts w:ascii="宋体" w:hAnsi="宋体" w:cs="宋体" w:eastAsia="宋体" w:hint="default"/>
                <w:b/>
                <w:bCs/>
                <w:spacing w:val="7"/>
                <w:sz w:val="18"/>
                <w:szCs w:val="18"/>
              </w:rPr>
              <w:t>毛利率比上年同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宋体" w:hAnsi="宋体" w:cs="宋体" w:eastAsia="宋体" w:hint="default"/>
                <w:sz w:val="18"/>
                <w:szCs w:val="18"/>
              </w:rPr>
            </w:r>
          </w:p>
        </w:tc>
      </w:tr>
      <w:tr>
        <w:trPr>
          <w:trHeight w:val="50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智慧防务业务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424,442,598.57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184,925,245.64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12.77%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-3.34%</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信息安全业务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1,030,321,120.32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299,169,516.60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-15.03%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-1.03%</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1,842,377,127.05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1,425,471,848.58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22.63%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145.70%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189.85%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-12.21%</w:t>
            </w:r>
          </w:p>
        </w:tc>
      </w:tr>
      <w:tr>
        <w:trPr>
          <w:trHeight w:val="509"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1"/>
              <w:jc w:val="left"/>
              <w:rPr>
                <w:rFonts w:ascii="宋体" w:hAnsi="宋体" w:cs="宋体" w:eastAsia="宋体" w:hint="default"/>
                <w:sz w:val="18"/>
                <w:szCs w:val="18"/>
              </w:rPr>
            </w:pPr>
            <w:r>
              <w:rPr>
                <w:rFonts w:ascii="宋体" w:hAnsi="宋体" w:cs="宋体" w:eastAsia="宋体" w:hint="default"/>
                <w:spacing w:val="7"/>
                <w:sz w:val="18"/>
                <w:szCs w:val="18"/>
              </w:rPr>
              <w:t>税务信息化产品</w:t>
            </w:r>
            <w:r>
              <w:rPr>
                <w:rFonts w:ascii="宋体" w:hAnsi="宋体" w:cs="宋体" w:eastAsia="宋体" w:hint="default"/>
                <w:sz w:val="18"/>
                <w:szCs w:val="18"/>
              </w:rPr>
              <w:t> 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1,028,077,147.27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298,683,811.87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1,397,023,510.05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1,119,436,540.99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2"/>
                <w:sz w:val="18"/>
              </w:rPr>
              <w:t>311.30%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322.21%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-2.07%</w:t>
            </w:r>
          </w:p>
        </w:tc>
      </w:tr>
      <w:tr>
        <w:trPr>
          <w:trHeight w:val="506"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1,329,030,743.67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748,816,548.63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49.10%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252.60%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-32.52%</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999,275,085.45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679,126,250.83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66.84%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79.60%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-4.83%</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344,525,816.48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175,275,207.61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25.89%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-1.77%</w:t>
            </w:r>
          </w:p>
        </w:tc>
      </w:tr>
    </w:tbl>
    <w:p>
      <w:pPr>
        <w:spacing w:line="240" w:lineRule="auto" w:before="11"/>
        <w:rPr>
          <w:rFonts w:ascii="宋体" w:hAnsi="宋体" w:cs="宋体" w:eastAsia="宋体" w:hint="default"/>
          <w:sz w:val="9"/>
          <w:szCs w:val="9"/>
        </w:rPr>
      </w:pPr>
    </w:p>
    <w:p>
      <w:pPr>
        <w:pStyle w:val="BodyText"/>
        <w:spacing w:line="386" w:lineRule="auto" w:before="36"/>
        <w:ind w:right="146" w:firstLine="420"/>
        <w:jc w:val="both"/>
      </w:pPr>
      <w:r>
        <w:rPr>
          <w:spacing w:val="-3"/>
        </w:rPr>
        <w:t>公司主营业务数据统计口径在报告期发生调整的情况下，公司最近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年按报告期末口径调整后的主营</w:t>
      </w:r>
      <w:r>
        <w:rPr>
          <w:w w:val="100"/>
        </w:rPr>
        <w:t> </w:t>
      </w:r>
      <w:r>
        <w:rPr/>
        <w:t>业务数据</w:t>
      </w:r>
    </w:p>
    <w:p>
      <w:pPr>
        <w:pStyle w:val="BodyText"/>
        <w:spacing w:line="240" w:lineRule="auto" w:before="166"/>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3</w:t>
      </w:r>
      <w:r>
        <w:rPr/>
        <w:t>）公司实物销售收入是否大于劳务收入</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4</w:t>
      </w:r>
      <w:r>
        <w:rPr/>
        <w:t>）公司已签订的重大销售合同截至本报告期的履行情况</w:t>
      </w:r>
    </w:p>
    <w:p>
      <w:pPr>
        <w:spacing w:line="240" w:lineRule="auto" w:before="3"/>
        <w:rPr>
          <w:rFonts w:ascii="黑体" w:hAnsi="黑体" w:cs="黑体" w:eastAsia="黑体" w:hint="default"/>
          <w:sz w:val="24"/>
          <w:szCs w:val="24"/>
        </w:rPr>
      </w:pPr>
    </w:p>
    <w:p>
      <w:pPr>
        <w:pStyle w:val="BodyText"/>
        <w:spacing w:line="468" w:lineRule="auto"/>
        <w:ind w:left="573" w:right="7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否</w:t>
      </w:r>
    </w:p>
    <w:p>
      <w:pPr>
        <w:pStyle w:val="BodyText"/>
        <w:spacing w:line="386" w:lineRule="auto" w:before="94"/>
        <w:ind w:right="14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日，公司全资子公司泰豪智能与湘潭市政府政务服务中心、湘潭产业投资发展集团有</w:t>
      </w:r>
      <w:r>
        <w:rPr>
          <w:w w:val="100"/>
        </w:rPr>
        <w:t> </w:t>
      </w:r>
      <w:r>
        <w:rPr>
          <w:spacing w:val="-5"/>
          <w:w w:val="100"/>
        </w:rPr>
        <w:t>限公司签订《湘潭市新型智慧城市建设</w:t>
      </w:r>
      <w:r>
        <w:rPr>
          <w:spacing w:val="-53"/>
          <w:w w:val="100"/>
        </w:rPr>
        <w:t> </w:t>
      </w:r>
      <w:r>
        <w:rPr>
          <w:rFonts w:ascii="Times New Roman" w:hAnsi="Times New Roman" w:cs="Times New Roman" w:eastAsia="Times New Roman" w:hint="default"/>
          <w:spacing w:val="-1"/>
          <w:w w:val="100"/>
        </w:rPr>
        <w:t>PPP</w:t>
      </w:r>
      <w:r>
        <w:rPr>
          <w:rFonts w:ascii="Times New Roman" w:hAnsi="Times New Roman" w:cs="Times New Roman" w:eastAsia="Times New Roman" w:hint="default"/>
          <w:spacing w:val="-8"/>
          <w:w w:val="100"/>
        </w:rPr>
        <w:t> </w:t>
      </w:r>
      <w:r>
        <w:rPr>
          <w:spacing w:val="-17"/>
          <w:w w:val="100"/>
        </w:rPr>
        <w:t>项目合同》。</w:t>
      </w:r>
      <w:r>
        <w:rPr>
          <w:rFonts w:ascii="Times New Roman" w:hAnsi="Times New Roman" w:cs="Times New Roman" w:eastAsia="Times New Roman" w:hint="default"/>
          <w:spacing w:val="-17"/>
          <w:w w:val="100"/>
        </w:rPr>
        <w:t>2017</w:t>
      </w:r>
      <w:r>
        <w:rPr>
          <w:rFonts w:ascii="Times New Roman" w:hAnsi="Times New Roman" w:cs="Times New Roman" w:eastAsia="Times New Roman" w:hint="default"/>
          <w:spacing w:val="-11"/>
          <w:w w:val="100"/>
        </w:rPr>
        <w:t> </w:t>
      </w:r>
      <w:r>
        <w:rPr>
          <w:w w:val="100"/>
        </w:rPr>
        <w:t>年</w:t>
      </w:r>
      <w:r>
        <w:rPr>
          <w:spacing w:val="-51"/>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1"/>
          <w:w w:val="100"/>
        </w:rPr>
        <w:t> </w:t>
      </w:r>
      <w:r>
        <w:rPr>
          <w:w w:val="100"/>
        </w:rPr>
        <w:t>月</w:t>
      </w:r>
      <w:r>
        <w:rPr>
          <w:spacing w:val="-51"/>
          <w:w w:val="100"/>
        </w:rPr>
        <w:t> </w:t>
      </w:r>
      <w:r>
        <w:rPr>
          <w:rFonts w:ascii="Times New Roman" w:hAnsi="Times New Roman" w:cs="Times New Roman" w:eastAsia="Times New Roman" w:hint="default"/>
          <w:spacing w:val="-2"/>
          <w:w w:val="100"/>
        </w:rPr>
        <w:t>28</w:t>
      </w:r>
      <w:r>
        <w:rPr>
          <w:rFonts w:ascii="Times New Roman" w:hAnsi="Times New Roman" w:cs="Times New Roman" w:eastAsia="Times New Roman" w:hint="default"/>
          <w:spacing w:val="-8"/>
          <w:w w:val="100"/>
        </w:rPr>
        <w:t> </w:t>
      </w:r>
      <w:r>
        <w:rPr>
          <w:spacing w:val="-6"/>
          <w:w w:val="100"/>
        </w:rPr>
        <w:t>日，湘潭市新型智慧城市建设</w:t>
      </w:r>
      <w:r>
        <w:rPr>
          <w:spacing w:val="-53"/>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w w:val="100"/>
        </w:rPr>
        <w:t> </w:t>
      </w:r>
      <w:r>
        <w:rPr/>
        <w:t>项目公司完成股权变更，项目进入实质性建设阶段。详见公司于巨潮资讯网披露的相关公告。</w:t>
      </w:r>
    </w:p>
    <w:p>
      <w:pPr>
        <w:pStyle w:val="BodyText"/>
        <w:spacing w:line="398" w:lineRule="auto" w:before="166"/>
        <w:ind w:right="125" w:firstLine="420"/>
        <w:jc w:val="both"/>
      </w:pPr>
      <w:r>
        <w:rPr/>
        <w:t>截至本报告披露日，</w:t>
      </w:r>
      <w:r>
        <w:rPr>
          <w:rFonts w:ascii="Times New Roman" w:hAnsi="Times New Roman" w:cs="Times New Roman" w:eastAsia="Times New Roman" w:hint="default"/>
        </w:rPr>
        <w:t>PPP</w:t>
      </w:r>
      <w:r>
        <w:rPr>
          <w:rFonts w:ascii="Times New Roman" w:hAnsi="Times New Roman" w:cs="Times New Roman" w:eastAsia="Times New Roman" w:hint="default"/>
          <w:spacing w:val="-10"/>
        </w:rPr>
        <w:t> </w:t>
      </w:r>
      <w:r>
        <w:rPr/>
        <w:t>项目总体方案正在设计；子项目大数据中心过渡机房已完成项目设计和财政</w:t>
      </w:r>
      <w:r>
        <w:rPr>
          <w:w w:val="100"/>
        </w:rPr>
        <w:t> </w:t>
      </w:r>
      <w:r>
        <w:rPr>
          <w:spacing w:val="-2"/>
        </w:rPr>
        <w:t>评审工作，即将开始建设；子项目智慧警务启动设计招标工作；急用先建子项目基础地理空间系统平台、</w:t>
      </w:r>
      <w:r>
        <w:rPr>
          <w:spacing w:val="-21"/>
        </w:rPr>
        <w:t> </w:t>
      </w:r>
      <w:r>
        <w:rPr>
          <w:spacing w:val="-21"/>
        </w:rPr>
      </w:r>
      <w:r>
        <w:rPr/>
        <w:t>智慧交通、智慧政务等正在与各委办局协商启动方案。</w:t>
      </w:r>
    </w:p>
    <w:p>
      <w:pPr>
        <w:spacing w:line="240" w:lineRule="auto" w:before="2"/>
        <w:rPr>
          <w:rFonts w:ascii="宋体" w:hAnsi="宋体" w:cs="宋体" w:eastAsia="宋体" w:hint="default"/>
          <w:sz w:val="14"/>
          <w:szCs w:val="14"/>
        </w:rPr>
      </w:pPr>
    </w:p>
    <w:p>
      <w:pPr>
        <w:pStyle w:val="Heading3"/>
        <w:spacing w:line="240" w:lineRule="auto"/>
        <w:ind w:right="11"/>
        <w:jc w:val="left"/>
      </w:pPr>
      <w:r>
        <w:rPr/>
        <w:t>（</w:t>
      </w:r>
      <w:r>
        <w:rPr>
          <w:rFonts w:ascii="Times New Roman" w:hAnsi="Times New Roman" w:cs="Times New Roman" w:eastAsia="Times New Roman" w:hint="default"/>
        </w:rPr>
        <w:t>5</w:t>
      </w:r>
      <w:r>
        <w:rPr/>
        <w:t>）营业成本构成</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产品分类</w:t>
      </w:r>
    </w:p>
    <w:p>
      <w:pPr>
        <w:spacing w:line="240" w:lineRule="auto" w:before="4"/>
        <w:rPr>
          <w:rFonts w:ascii="宋体" w:hAnsi="宋体" w:cs="宋体" w:eastAsia="宋体" w:hint="default"/>
          <w:sz w:val="22"/>
          <w:szCs w:val="22"/>
        </w:rPr>
      </w:pPr>
    </w:p>
    <w:p>
      <w:pPr>
        <w:pStyle w:val="BodyText"/>
        <w:spacing w:line="240" w:lineRule="auto"/>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1730"/>
        <w:gridCol w:w="1045"/>
        <w:gridCol w:w="1385"/>
        <w:gridCol w:w="1385"/>
        <w:gridCol w:w="1385"/>
        <w:gridCol w:w="1385"/>
        <w:gridCol w:w="1382"/>
      </w:tblGrid>
      <w:tr>
        <w:trPr>
          <w:trHeight w:val="509" w:hRule="exact"/>
        </w:trPr>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tc>
        <w:tc>
          <w:tcPr>
            <w:tcW w:w="10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507"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z w:val="18"/>
                <w:szCs w:val="18"/>
              </w:rPr>
              <w:t>占营业成本比重</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85"/>
              <w:jc w:val="right"/>
              <w:rPr>
                <w:rFonts w:ascii="宋体" w:hAnsi="宋体" w:cs="宋体" w:eastAsia="宋体" w:hint="default"/>
                <w:sz w:val="18"/>
                <w:szCs w:val="18"/>
              </w:rPr>
            </w:pPr>
            <w:r>
              <w:rPr>
                <w:rFonts w:ascii="宋体" w:hAnsi="宋体" w:cs="宋体" w:eastAsia="宋体" w:hint="default"/>
                <w:b/>
                <w:bCs/>
                <w:w w:val="95"/>
                <w:sz w:val="18"/>
                <w:szCs w:val="18"/>
              </w:rPr>
              <w:t>占营业成本比重</w:t>
            </w:r>
            <w:r>
              <w:rPr>
                <w:rFonts w:ascii="宋体" w:hAnsi="宋体" w:cs="宋体" w:eastAsia="宋体" w:hint="default"/>
                <w:sz w:val="18"/>
                <w:szCs w:val="18"/>
              </w:rPr>
            </w:r>
          </w:p>
        </w:tc>
        <w:tc>
          <w:tcPr>
            <w:tcW w:w="1382"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05" w:right="0"/>
              <w:jc w:val="left"/>
              <w:rPr>
                <w:rFonts w:ascii="Times New Roman" w:hAnsi="Times New Roman" w:cs="Times New Roman" w:eastAsia="Times New Roman" w:hint="default"/>
                <w:sz w:val="18"/>
                <w:szCs w:val="18"/>
              </w:rPr>
            </w:pPr>
            <w:r>
              <w:rPr>
                <w:rFonts w:ascii="Times New Roman"/>
                <w:sz w:val="18"/>
              </w:rPr>
              <w:t>9,972,791.16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87" w:right="0"/>
              <w:jc w:val="left"/>
              <w:rPr>
                <w:rFonts w:ascii="Times New Roman" w:hAnsi="Times New Roman" w:cs="Times New Roman" w:eastAsia="Times New Roman" w:hint="default"/>
                <w:sz w:val="18"/>
                <w:szCs w:val="18"/>
              </w:rPr>
            </w:pPr>
            <w:r>
              <w:rPr>
                <w:rFonts w:ascii="Times New Roman"/>
                <w:sz w:val="18"/>
              </w:rPr>
              <w:t>0.52%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05" w:right="0"/>
              <w:jc w:val="left"/>
              <w:rPr>
                <w:rFonts w:ascii="Times New Roman" w:hAnsi="Times New Roman" w:cs="Times New Roman" w:eastAsia="Times New Roman" w:hint="default"/>
                <w:sz w:val="18"/>
                <w:szCs w:val="18"/>
              </w:rPr>
            </w:pPr>
            <w:r>
              <w:rPr>
                <w:rFonts w:ascii="Times New Roman"/>
                <w:sz w:val="18"/>
              </w:rPr>
              <w:t>8,238,155.44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96" w:right="0"/>
              <w:jc w:val="left"/>
              <w:rPr>
                <w:rFonts w:ascii="Times New Roman" w:hAnsi="Times New Roman" w:cs="Times New Roman" w:eastAsia="Times New Roman" w:hint="default"/>
                <w:sz w:val="18"/>
                <w:szCs w:val="18"/>
              </w:rPr>
            </w:pPr>
            <w:r>
              <w:rPr>
                <w:rFonts w:ascii="Times New Roman"/>
                <w:sz w:val="18"/>
              </w:rPr>
              <w:t>21.06%</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31"/>
        <w:gridCol w:w="1045"/>
        <w:gridCol w:w="1385"/>
        <w:gridCol w:w="1385"/>
        <w:gridCol w:w="1385"/>
        <w:gridCol w:w="1385"/>
        <w:gridCol w:w="1382"/>
      </w:tblGrid>
      <w:tr>
        <w:trPr>
          <w:trHeight w:val="50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44,323,863.77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35,426,809.48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3.98%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25.11%</w:t>
            </w:r>
          </w:p>
        </w:tc>
      </w:tr>
      <w:tr>
        <w:trPr>
          <w:trHeight w:val="818"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0"/>
              <w:jc w:val="left"/>
              <w:rPr>
                <w:rFonts w:ascii="宋体" w:hAnsi="宋体" w:cs="宋体" w:eastAsia="宋体" w:hint="default"/>
                <w:sz w:val="18"/>
                <w:szCs w:val="18"/>
              </w:rPr>
            </w:pPr>
            <w:r>
              <w:rPr>
                <w:rFonts w:ascii="宋体" w:hAnsi="宋体" w:cs="宋体" w:eastAsia="宋体" w:hint="default"/>
                <w:spacing w:val="7"/>
                <w:sz w:val="18"/>
                <w:szCs w:val="18"/>
              </w:rPr>
              <w:t>电子元器件测试筛选 </w:t>
            </w:r>
            <w:r>
              <w:rPr>
                <w:rFonts w:ascii="宋体" w:hAnsi="宋体" w:cs="宋体" w:eastAsia="宋体" w:hint="default"/>
                <w:sz w:val="18"/>
                <w:szCs w:val="18"/>
              </w:rPr>
              <w:t>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19,052,163.10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12,164,015.39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56.63%</w:t>
            </w:r>
          </w:p>
        </w:tc>
      </w:tr>
      <w:tr>
        <w:trPr>
          <w:trHeight w:val="82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0"/>
              <w:jc w:val="left"/>
              <w:rPr>
                <w:rFonts w:ascii="宋体" w:hAnsi="宋体" w:cs="宋体" w:eastAsia="宋体" w:hint="default"/>
                <w:sz w:val="18"/>
                <w:szCs w:val="18"/>
              </w:rPr>
            </w:pPr>
            <w:r>
              <w:rPr>
                <w:rFonts w:ascii="宋体" w:hAnsi="宋体" w:cs="宋体" w:eastAsia="宋体" w:hint="default"/>
                <w:spacing w:val="7"/>
                <w:sz w:val="18"/>
                <w:szCs w:val="18"/>
              </w:rPr>
              <w:t>电子元器件测试筛选 </w:t>
            </w:r>
            <w:r>
              <w:rPr>
                <w:rFonts w:ascii="宋体" w:hAnsi="宋体" w:cs="宋体" w:eastAsia="宋体" w:hint="default"/>
                <w:sz w:val="18"/>
                <w:szCs w:val="18"/>
              </w:rPr>
              <w:t>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32,082,339.34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25,199,305.89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27.31%</w:t>
            </w:r>
          </w:p>
        </w:tc>
      </w:tr>
      <w:tr>
        <w:trPr>
          <w:trHeight w:val="50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税务信息化产品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238,372,581.76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12.48%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236,461,168.05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26.57%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0.81%</w:t>
            </w:r>
          </w:p>
        </w:tc>
      </w:tr>
      <w:tr>
        <w:trPr>
          <w:trHeight w:val="50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税务信息化产品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24,655,890.45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26,273,463.12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2.95%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-6.16%</w:t>
            </w:r>
          </w:p>
        </w:tc>
      </w:tr>
      <w:tr>
        <w:trPr>
          <w:trHeight w:val="50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能源信息化</w:t>
            </w:r>
          </w:p>
        </w:tc>
        <w:tc>
          <w:tcPr>
            <w:tcW w:w="104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107,774,172.71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48,149,921.85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5.41%</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智慧建筑</w:t>
            </w:r>
          </w:p>
        </w:tc>
        <w:tc>
          <w:tcPr>
            <w:tcW w:w="104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1,119,436,540.99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58.62%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265,134,701.19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29.80%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04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68,135,247.57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30,924,658.69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3.48%</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其他产品及服务</w:t>
            </w:r>
          </w:p>
        </w:tc>
        <w:tc>
          <w:tcPr>
            <w:tcW w:w="104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119,474,890.47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6.26%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17,579,617.18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1.98%</w:t>
            </w: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说明</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t>（</w:t>
      </w:r>
      <w:r>
        <w:rPr>
          <w:rFonts w:ascii="Times New Roman" w:hAnsi="Times New Roman" w:cs="Times New Roman" w:eastAsia="Times New Roman" w:hint="default"/>
        </w:rPr>
        <w:t>1</w:t>
      </w:r>
      <w:r>
        <w:rPr/>
        <w:t>）智慧能源、智慧建筑、智慧交通、其他产品及服务为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31"/>
        </w:rPr>
        <w:t> </w:t>
      </w:r>
      <w:r>
        <w:rPr/>
        <w:t>月收购泰豪智能后新增业务，</w:t>
      </w:r>
    </w:p>
    <w:p>
      <w:pPr>
        <w:pStyle w:val="BodyText"/>
        <w:spacing w:line="240" w:lineRule="auto" w:before="177"/>
        <w:ind w:right="11"/>
        <w:jc w:val="left"/>
      </w:pPr>
      <w:r>
        <w:rPr/>
        <w:t>其</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年成本为</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年第四季度金额，与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年全年营业成本不具有可比性。</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2</w:t>
      </w:r>
      <w:r>
        <w:rPr/>
        <w:t>）因公司产品分类调整，能源信息化产品营业成本构成变化较大，故调整营业成本披露项目。</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6</w:t>
      </w:r>
      <w:r>
        <w:rPr/>
        <w:t>）报告期内合并范围是否发生变动</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3"/>
        <w:rPr>
          <w:rFonts w:ascii="宋体" w:hAnsi="宋体" w:cs="宋体" w:eastAsia="宋体" w:hint="default"/>
          <w:sz w:val="21"/>
          <w:szCs w:val="21"/>
        </w:rPr>
      </w:pPr>
    </w:p>
    <w:p>
      <w:pPr>
        <w:pStyle w:val="BodyText"/>
        <w:spacing w:line="386" w:lineRule="auto"/>
        <w:ind w:right="11" w:firstLine="42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年本期新增纳入合并的公司有北京伏羲众合投资管理有限公司，西安华睿云创信息技术有限公</w:t>
      </w:r>
      <w:r>
        <w:rPr>
          <w:w w:val="100"/>
        </w:rPr>
        <w:t> </w:t>
      </w:r>
      <w:r>
        <w:rPr/>
        <w:t>司。</w:t>
      </w:r>
    </w:p>
    <w:p>
      <w:pPr>
        <w:pStyle w:val="BodyText"/>
        <w:spacing w:line="408" w:lineRule="auto" w:before="164"/>
        <w:ind w:right="11" w:firstLine="420"/>
        <w:jc w:val="left"/>
      </w:pPr>
      <w:r>
        <w:rPr>
          <w:spacing w:val="-2"/>
        </w:rPr>
        <w:t>本期处置的子公司有河北泰豪慧城科技有限公司，北京泰豪太阳能科技有限公司，沈阳旋飞航空技术</w:t>
      </w:r>
      <w:r>
        <w:rPr>
          <w:w w:val="100"/>
        </w:rPr>
        <w:t> </w:t>
      </w:r>
      <w:r>
        <w:rPr/>
        <w:t>有限公司。</w:t>
      </w:r>
    </w:p>
    <w:p>
      <w:pPr>
        <w:pStyle w:val="Heading3"/>
        <w:spacing w:line="240" w:lineRule="auto" w:before="179"/>
        <w:ind w:right="11"/>
        <w:jc w:val="left"/>
      </w:pPr>
      <w:r>
        <w:rPr/>
        <w:t>（</w:t>
      </w:r>
      <w:r>
        <w:rPr>
          <w:rFonts w:ascii="Times New Roman" w:hAnsi="Times New Roman" w:cs="Times New Roman" w:eastAsia="Times New Roman" w:hint="default"/>
        </w:rPr>
        <w:t>7</w:t>
      </w:r>
      <w:r>
        <w:rPr/>
        <w:t>）公司报告期内业务、产品或服务发生重大变化或调整有关情况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8</w:t>
      </w:r>
      <w:r>
        <w:rPr/>
        <w:t>）主要销售客户和主要供应商情况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公司主要销售客户情况</w:t>
      </w:r>
    </w:p>
    <w:p>
      <w:pPr>
        <w:spacing w:line="240" w:lineRule="auto" w:before="8"/>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0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432,805,251.51</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0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前五名客户合计销售金额占年度销售总额比例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13.13%</w:t>
            </w:r>
          </w:p>
        </w:tc>
      </w:tr>
      <w:tr>
        <w:trPr>
          <w:trHeight w:val="818"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5"/>
              <w:jc w:val="left"/>
              <w:rPr>
                <w:rFonts w:ascii="宋体" w:hAnsi="宋体" w:cs="宋体" w:eastAsia="宋体" w:hint="default"/>
                <w:sz w:val="18"/>
                <w:szCs w:val="18"/>
              </w:rPr>
            </w:pPr>
            <w:r>
              <w:rPr>
                <w:rFonts w:ascii="宋体" w:hAnsi="宋体" w:cs="宋体" w:eastAsia="宋体" w:hint="default"/>
                <w:b/>
                <w:bCs/>
                <w:spacing w:val="2"/>
                <w:sz w:val="18"/>
                <w:szCs w:val="18"/>
              </w:rPr>
              <w:t>前五名客户销售额中关联方销售额占年度销售总额比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公司前</w:t>
      </w:r>
      <w:r>
        <w:rPr>
          <w:spacing w:val="-53"/>
        </w:rPr>
        <w:t> </w:t>
      </w:r>
      <w:r>
        <w:rPr>
          <w:rFonts w:ascii="Times New Roman" w:hAnsi="Times New Roman" w:cs="Times New Roman" w:eastAsia="Times New Roman" w:hint="default"/>
        </w:rPr>
        <w:t>5 </w:t>
      </w:r>
      <w:r>
        <w:rPr/>
        <w:t>大客户资料</w:t>
      </w:r>
    </w:p>
    <w:p>
      <w:pPr>
        <w:spacing w:line="240" w:lineRule="auto" w:before="4"/>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506"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14" w:right="0"/>
              <w:jc w:val="left"/>
              <w:rPr>
                <w:rFonts w:ascii="宋体" w:hAnsi="宋体" w:cs="宋体" w:eastAsia="宋体" w:hint="default"/>
                <w:sz w:val="18"/>
                <w:szCs w:val="18"/>
              </w:rPr>
            </w:pPr>
            <w:r>
              <w:rPr>
                <w:rFonts w:ascii="宋体" w:hAnsi="宋体" w:cs="宋体" w:eastAsia="宋体" w:hint="default"/>
                <w:b/>
                <w:bCs/>
                <w:sz w:val="18"/>
                <w:szCs w:val="18"/>
              </w:rPr>
              <w:t>销售额（元）</w:t>
            </w:r>
            <w:r>
              <w:rPr>
                <w:rFonts w:ascii="宋体" w:hAnsi="宋体" w:cs="宋体" w:eastAsia="宋体" w:hint="default"/>
                <w:sz w:val="18"/>
                <w:szCs w:val="18"/>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53" w:right="0"/>
              <w:jc w:val="left"/>
              <w:rPr>
                <w:rFonts w:ascii="宋体" w:hAnsi="宋体" w:cs="宋体" w:eastAsia="宋体" w:hint="default"/>
                <w:sz w:val="18"/>
                <w:szCs w:val="18"/>
              </w:rPr>
            </w:pPr>
            <w:r>
              <w:rPr>
                <w:rFonts w:ascii="宋体" w:hAnsi="宋体" w:cs="宋体" w:eastAsia="宋体" w:hint="default"/>
                <w:b/>
                <w:bCs/>
                <w:sz w:val="18"/>
                <w:szCs w:val="18"/>
              </w:rPr>
              <w:t>占年度销售总额比例</w:t>
            </w:r>
            <w:r>
              <w:rPr>
                <w:rFonts w:ascii="宋体" w:hAnsi="宋体" w:cs="宋体" w:eastAsia="宋体" w:hint="default"/>
                <w:sz w:val="18"/>
                <w:szCs w:val="18"/>
              </w:rPr>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某工程建设办公室</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202,836,102.84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6.15%</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27" w:right="0"/>
              <w:jc w:val="left"/>
              <w:rPr>
                <w:rFonts w:ascii="宋体" w:hAnsi="宋体" w:cs="宋体" w:eastAsia="宋体" w:hint="default"/>
                <w:sz w:val="18"/>
                <w:szCs w:val="18"/>
              </w:rPr>
            </w:pPr>
            <w:r>
              <w:rPr>
                <w:rFonts w:ascii="宋体" w:hAnsi="宋体" w:cs="宋体" w:eastAsia="宋体" w:hint="default"/>
                <w:sz w:val="18"/>
                <w:szCs w:val="18"/>
              </w:rPr>
              <w:t>义乌翔云置业有限公司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100,729,575.43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3.06%</w:t>
            </w:r>
          </w:p>
        </w:tc>
      </w:tr>
      <w:tr>
        <w:trPr>
          <w:trHeight w:val="506"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27" w:right="0"/>
              <w:jc w:val="left"/>
              <w:rPr>
                <w:rFonts w:ascii="宋体" w:hAnsi="宋体" w:cs="宋体" w:eastAsia="宋体" w:hint="default"/>
                <w:sz w:val="18"/>
                <w:szCs w:val="18"/>
              </w:rPr>
            </w:pPr>
            <w:r>
              <w:rPr>
                <w:rFonts w:ascii="宋体" w:hAnsi="宋体" w:cs="宋体" w:eastAsia="宋体" w:hint="default"/>
                <w:sz w:val="18"/>
                <w:szCs w:val="18"/>
              </w:rPr>
              <w:t>深圳市赛为智能股份有限公司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47,123,826.05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1.43%</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河南省人民医院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43,398,397.17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1.32%</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27" w:right="0"/>
              <w:jc w:val="left"/>
              <w:rPr>
                <w:rFonts w:ascii="宋体" w:hAnsi="宋体" w:cs="宋体" w:eastAsia="宋体" w:hint="default"/>
                <w:sz w:val="18"/>
                <w:szCs w:val="18"/>
              </w:rPr>
            </w:pPr>
            <w:r>
              <w:rPr>
                <w:rFonts w:ascii="宋体" w:hAnsi="宋体" w:cs="宋体" w:eastAsia="宋体" w:hint="default"/>
                <w:sz w:val="18"/>
                <w:szCs w:val="18"/>
              </w:rPr>
              <w:t>中国民航信息网络股份有限公司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38,717,350.02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1.17%</w:t>
            </w:r>
          </w:p>
        </w:tc>
      </w:tr>
      <w:tr>
        <w:trPr>
          <w:trHeight w:val="50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4" w:right="0"/>
              <w:jc w:val="left"/>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432,805,251.51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13.13%</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主要客户其他情况说明</w:t>
      </w:r>
    </w:p>
    <w:p>
      <w:pPr>
        <w:spacing w:line="240" w:lineRule="auto" w:before="4"/>
        <w:rPr>
          <w:rFonts w:ascii="宋体" w:hAnsi="宋体" w:cs="宋体" w:eastAsia="宋体" w:hint="default"/>
          <w:sz w:val="22"/>
          <w:szCs w:val="22"/>
        </w:rPr>
      </w:pPr>
    </w:p>
    <w:p>
      <w:pPr>
        <w:pStyle w:val="BodyText"/>
        <w:spacing w:line="470" w:lineRule="auto"/>
        <w:ind w:left="573" w:right="7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公司主要供应商情况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0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201,459,807.24</w:t>
            </w:r>
          </w:p>
        </w:tc>
      </w:tr>
      <w:tr>
        <w:trPr>
          <w:trHeight w:val="50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前五名供应商合计采购金额占年度采购总额比例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10.00%</w:t>
            </w:r>
          </w:p>
        </w:tc>
      </w:tr>
      <w:tr>
        <w:trPr>
          <w:trHeight w:val="818"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2"/>
              <w:jc w:val="left"/>
              <w:rPr>
                <w:rFonts w:ascii="宋体" w:hAnsi="宋体" w:cs="宋体" w:eastAsia="宋体" w:hint="default"/>
                <w:sz w:val="18"/>
                <w:szCs w:val="18"/>
              </w:rPr>
            </w:pPr>
            <w:r>
              <w:rPr>
                <w:rFonts w:ascii="宋体" w:hAnsi="宋体" w:cs="宋体" w:eastAsia="宋体" w:hint="default"/>
                <w:b/>
                <w:bCs/>
                <w:spacing w:val="2"/>
                <w:sz w:val="18"/>
                <w:szCs w:val="18"/>
              </w:rPr>
              <w:t>前五名供应商采购额中关联方采购额占年度采购总额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公司前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5"/>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507"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14" w:right="0"/>
              <w:jc w:val="left"/>
              <w:rPr>
                <w:rFonts w:ascii="宋体" w:hAnsi="宋体" w:cs="宋体" w:eastAsia="宋体" w:hint="default"/>
                <w:sz w:val="18"/>
                <w:szCs w:val="18"/>
              </w:rPr>
            </w:pPr>
            <w:r>
              <w:rPr>
                <w:rFonts w:ascii="宋体" w:hAnsi="宋体" w:cs="宋体" w:eastAsia="宋体" w:hint="default"/>
                <w:b/>
                <w:bCs/>
                <w:sz w:val="18"/>
                <w:szCs w:val="18"/>
              </w:rPr>
              <w:t>采购额（元）</w:t>
            </w:r>
            <w:r>
              <w:rPr>
                <w:rFonts w:ascii="宋体" w:hAnsi="宋体" w:cs="宋体" w:eastAsia="宋体" w:hint="default"/>
                <w:sz w:val="18"/>
                <w:szCs w:val="18"/>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53" w:right="0"/>
              <w:jc w:val="left"/>
              <w:rPr>
                <w:rFonts w:ascii="宋体" w:hAnsi="宋体" w:cs="宋体" w:eastAsia="宋体" w:hint="default"/>
                <w:sz w:val="18"/>
                <w:szCs w:val="18"/>
              </w:rPr>
            </w:pPr>
            <w:r>
              <w:rPr>
                <w:rFonts w:ascii="宋体" w:hAnsi="宋体" w:cs="宋体" w:eastAsia="宋体" w:hint="default"/>
                <w:b/>
                <w:bCs/>
                <w:sz w:val="18"/>
                <w:szCs w:val="18"/>
              </w:rPr>
              <w:t>占年度采购总额比例</w:t>
            </w:r>
            <w:r>
              <w:rPr>
                <w:rFonts w:ascii="宋体" w:hAnsi="宋体" w:cs="宋体" w:eastAsia="宋体" w:hint="default"/>
                <w:sz w:val="18"/>
                <w:szCs w:val="18"/>
              </w:rPr>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浙江诸安建设集团有限公司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49,990,000.00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2.48%</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45,518,208.14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2.26%</w:t>
            </w:r>
          </w:p>
        </w:tc>
      </w:tr>
      <w:tr>
        <w:trPr>
          <w:trHeight w:val="506"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中建材信息技术股份有限公司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37,236,270.19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1.85%</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北京时代飞扬科技有限公司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34,811,667.61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1.73%</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北京康孚科技股份有限公司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33,903,661.30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1.68%</w:t>
            </w:r>
          </w:p>
        </w:tc>
      </w:tr>
      <w:tr>
        <w:trPr>
          <w:trHeight w:val="50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201,459,807.24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主要供应商其他情况说明</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left"/>
      </w:pPr>
      <w:r>
        <w:rPr>
          <w:rFonts w:ascii="Times New Roman" w:hAnsi="Times New Roman" w:cs="Times New Roman" w:eastAsia="Times New Roman" w:hint="default"/>
        </w:rPr>
        <w:t>3</w:t>
      </w:r>
      <w:r>
        <w:rPr/>
        <w:t>、费用</w:t>
      </w:r>
    </w:p>
    <w:p>
      <w:pPr>
        <w:spacing w:line="240" w:lineRule="auto" w:before="4"/>
        <w:rPr>
          <w:rFonts w:ascii="黑体" w:hAnsi="黑体" w:cs="黑体" w:eastAsia="黑体" w:hint="default"/>
          <w:sz w:val="21"/>
          <w:szCs w:val="21"/>
        </w:rPr>
      </w:pPr>
    </w:p>
    <w:p>
      <w:pPr>
        <w:pStyle w:val="BodyText"/>
        <w:spacing w:line="240" w:lineRule="auto" w:before="36"/>
        <w:ind w:left="0" w:right="16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50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11"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81" w:right="0"/>
              <w:jc w:val="left"/>
              <w:rPr>
                <w:rFonts w:ascii="Times New Roman" w:hAnsi="Times New Roman" w:cs="Times New Roman" w:eastAsia="Times New Roman" w:hint="default"/>
                <w:sz w:val="18"/>
                <w:szCs w:val="18"/>
              </w:rPr>
            </w:pPr>
            <w:r>
              <w:rPr>
                <w:rFonts w:ascii="Times New Roman"/>
                <w:sz w:val="18"/>
              </w:rPr>
              <w:t>279,955,116.77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79" w:right="0"/>
              <w:jc w:val="left"/>
              <w:rPr>
                <w:rFonts w:ascii="Times New Roman" w:hAnsi="Times New Roman" w:cs="Times New Roman" w:eastAsia="Times New Roman" w:hint="default"/>
                <w:sz w:val="18"/>
                <w:szCs w:val="18"/>
              </w:rPr>
            </w:pPr>
            <w:r>
              <w:rPr>
                <w:rFonts w:ascii="Times New Roman"/>
                <w:sz w:val="18"/>
              </w:rPr>
              <w:t>228,098,449.39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873" w:right="0"/>
              <w:jc w:val="left"/>
              <w:rPr>
                <w:rFonts w:ascii="Times New Roman" w:hAnsi="Times New Roman" w:cs="Times New Roman" w:eastAsia="Times New Roman" w:hint="default"/>
                <w:sz w:val="18"/>
                <w:szCs w:val="18"/>
              </w:rPr>
            </w:pPr>
            <w:r>
              <w:rPr>
                <w:rFonts w:ascii="Times New Roman"/>
                <w:sz w:val="18"/>
              </w:rPr>
              <w:t>22.73%</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月收购泰豪智能后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新增业务</w:t>
            </w:r>
            <w:r>
              <w:rPr>
                <w:rFonts w:ascii="宋体" w:hAnsi="宋体" w:cs="宋体" w:eastAsia="宋体" w:hint="default"/>
                <w:spacing w:val="-92"/>
                <w:sz w:val="18"/>
                <w:szCs w:val="18"/>
              </w:rPr>
              <w:t>，</w:t>
            </w:r>
            <w:r>
              <w:rPr>
                <w:rFonts w:ascii="宋体" w:hAnsi="宋体" w:cs="宋体" w:eastAsia="宋体" w:hint="default"/>
                <w:sz w:val="18"/>
                <w:szCs w:val="18"/>
              </w:rPr>
              <w:t>其</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年销售费</w:t>
            </w:r>
            <w:r>
              <w:rPr>
                <w:rFonts w:ascii="宋体" w:hAnsi="宋体" w:cs="宋体" w:eastAsia="宋体" w:hint="default"/>
                <w:spacing w:val="-3"/>
                <w:sz w:val="18"/>
                <w:szCs w:val="18"/>
              </w:rPr>
              <w:t>用</w:t>
            </w:r>
            <w:r>
              <w:rPr>
                <w:rFonts w:ascii="宋体" w:hAnsi="宋体" w:cs="宋体" w:eastAsia="宋体" w:hint="default"/>
                <w:sz w:val="18"/>
                <w:szCs w:val="18"/>
              </w:rPr>
              <w:t>为</w:t>
            </w:r>
            <w:r>
              <w:rPr>
                <w:rFonts w:ascii="宋体" w:hAnsi="宋体" w:cs="宋体" w:eastAsia="宋体" w:hint="default"/>
                <w:spacing w:val="-6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年第四季度金额，与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年全年销 售费用不具有可比性。</w:t>
            </w:r>
          </w:p>
        </w:tc>
      </w:tr>
      <w:tr>
        <w:trPr>
          <w:trHeight w:val="49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588"/>
              <w:jc w:val="right"/>
              <w:rPr>
                <w:rFonts w:ascii="宋体" w:hAnsi="宋体" w:cs="宋体" w:eastAsia="宋体" w:hint="default"/>
                <w:sz w:val="18"/>
                <w:szCs w:val="18"/>
              </w:rPr>
            </w:pPr>
            <w:r>
              <w:rPr>
                <w:rFonts w:ascii="宋体" w:hAnsi="宋体" w:cs="宋体" w:eastAsia="宋体" w:hint="default"/>
                <w:b/>
                <w:bCs/>
                <w:w w:val="95"/>
                <w:sz w:val="18"/>
                <w:szCs w:val="18"/>
              </w:rPr>
              <w:t>销售费用</w:t>
            </w:r>
            <w:r>
              <w:rPr>
                <w:rFonts w:ascii="宋体" w:hAnsi="宋体" w:cs="宋体" w:eastAsia="宋体" w:hint="default"/>
                <w:sz w:val="18"/>
                <w:szCs w:val="18"/>
              </w:rPr>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629"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531,201,105.38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368,695,759.85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44.08%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01"/>
              <w:ind w:left="23" w:right="0"/>
              <w:jc w:val="both"/>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月收购泰豪智能后</w:t>
            </w:r>
          </w:p>
          <w:p>
            <w:pPr>
              <w:pStyle w:val="TableParagraph"/>
              <w:spacing w:line="312" w:lineRule="auto" w:before="63"/>
              <w:ind w:left="23" w:right="18"/>
              <w:jc w:val="both"/>
              <w:rPr>
                <w:rFonts w:ascii="宋体" w:hAnsi="宋体" w:cs="宋体" w:eastAsia="宋体" w:hint="default"/>
                <w:sz w:val="18"/>
                <w:szCs w:val="18"/>
              </w:rPr>
            </w:pPr>
            <w:r>
              <w:rPr>
                <w:rFonts w:ascii="宋体" w:hAnsi="宋体" w:cs="宋体" w:eastAsia="宋体" w:hint="default"/>
                <w:spacing w:val="-16"/>
                <w:sz w:val="18"/>
                <w:szCs w:val="18"/>
              </w:rPr>
              <w:t>新增业务，其</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年管理费用为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2"/>
                <w:sz w:val="18"/>
                <w:szCs w:val="18"/>
              </w:rPr>
              <w:t>年第四季度金额，同时报告期内实施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新的股权激励计划，本期摊销的管理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费用增加以及加大研发投入所致。</w:t>
            </w:r>
          </w:p>
        </w:tc>
      </w:tr>
      <w:tr>
        <w:trPr>
          <w:trHeight w:val="49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588"/>
              <w:jc w:val="right"/>
              <w:rPr>
                <w:rFonts w:ascii="宋体" w:hAnsi="宋体" w:cs="宋体" w:eastAsia="宋体" w:hint="default"/>
                <w:sz w:val="18"/>
                <w:szCs w:val="18"/>
              </w:rPr>
            </w:pPr>
            <w:r>
              <w:rPr>
                <w:rFonts w:ascii="宋体" w:hAnsi="宋体" w:cs="宋体" w:eastAsia="宋体" w:hint="default"/>
                <w:b/>
                <w:bCs/>
                <w:w w:val="95"/>
                <w:sz w:val="18"/>
                <w:szCs w:val="18"/>
              </w:rPr>
              <w:t>管理费用</w:t>
            </w:r>
            <w:r>
              <w:rPr>
                <w:rFonts w:ascii="宋体" w:hAnsi="宋体" w:cs="宋体" w:eastAsia="宋体" w:hint="default"/>
                <w:sz w:val="18"/>
                <w:szCs w:val="18"/>
              </w:rPr>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-24,874,152.93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8,063,962.81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-408.46%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101"/>
              <w:ind w:left="23" w:right="8"/>
              <w:jc w:val="left"/>
              <w:rPr>
                <w:rFonts w:ascii="宋体" w:hAnsi="宋体" w:cs="宋体" w:eastAsia="宋体" w:hint="default"/>
                <w:sz w:val="18"/>
                <w:szCs w:val="18"/>
              </w:rPr>
            </w:pPr>
            <w:r>
              <w:rPr>
                <w:rFonts w:ascii="宋体" w:hAnsi="宋体" w:cs="宋体" w:eastAsia="宋体" w:hint="default"/>
                <w:spacing w:val="11"/>
                <w:sz w:val="18"/>
                <w:szCs w:val="18"/>
              </w:rPr>
              <w:t>主要是报告期内公司货币资金存量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较大，相应利息收入增加所致。</w:t>
            </w:r>
          </w:p>
        </w:tc>
      </w:tr>
      <w:tr>
        <w:trPr>
          <w:trHeight w:val="497"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588"/>
              <w:jc w:val="right"/>
              <w:rPr>
                <w:rFonts w:ascii="宋体" w:hAnsi="宋体" w:cs="宋体" w:eastAsia="宋体" w:hint="default"/>
                <w:sz w:val="18"/>
                <w:szCs w:val="18"/>
              </w:rPr>
            </w:pPr>
            <w:r>
              <w:rPr>
                <w:rFonts w:ascii="宋体" w:hAnsi="宋体" w:cs="宋体" w:eastAsia="宋体" w:hint="default"/>
                <w:b/>
                <w:bCs/>
                <w:w w:val="95"/>
                <w:sz w:val="18"/>
                <w:szCs w:val="18"/>
              </w:rPr>
              <w:t>财务费用</w:t>
            </w:r>
            <w:r>
              <w:rPr>
                <w:rFonts w:ascii="宋体" w:hAnsi="宋体" w:cs="宋体" w:eastAsia="宋体" w:hint="default"/>
                <w:sz w:val="18"/>
                <w:szCs w:val="18"/>
              </w:rPr>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Heading3"/>
        <w:spacing w:line="240" w:lineRule="auto" w:before="26"/>
        <w:ind w:right="0"/>
        <w:jc w:val="left"/>
      </w:pPr>
      <w:r>
        <w:rPr>
          <w:rFonts w:ascii="Times New Roman" w:hAnsi="Times New Roman" w:cs="Times New Roman" w:eastAsia="Times New Roman" w:hint="default"/>
        </w:rPr>
        <w:t>4</w:t>
      </w:r>
      <w:r>
        <w:rPr/>
        <w:t>、研发投入</w:t>
      </w:r>
    </w:p>
    <w:p>
      <w:pPr>
        <w:spacing w:line="240" w:lineRule="auto" w:before="3"/>
        <w:rPr>
          <w:rFonts w:ascii="黑体" w:hAnsi="黑体" w:cs="黑体" w:eastAsia="黑体" w:hint="default"/>
          <w:sz w:val="24"/>
          <w:szCs w:val="24"/>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386" w:lineRule="auto"/>
        <w:ind w:right="0" w:firstLine="42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spacing w:val="-2"/>
        </w:rPr>
        <w:t>年，公司重点研发项目围绕装备健康管理、无线宽带自组网产品、空间信息及大数据管理系统、</w:t>
      </w:r>
      <w:r>
        <w:rPr>
          <w:w w:val="100"/>
        </w:rPr>
        <w:t> </w:t>
      </w:r>
      <w:r>
        <w:rPr/>
        <w:t>税务信息化产品等展开。主要研发项目进展情况如下：</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87"/>
        <w:gridCol w:w="4431"/>
        <w:gridCol w:w="1745"/>
        <w:gridCol w:w="2197"/>
      </w:tblGrid>
      <w:tr>
        <w:trPr>
          <w:trHeight w:val="528" w:hRule="exact"/>
        </w:trPr>
        <w:tc>
          <w:tcPr>
            <w:tcW w:w="1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4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进展</w:t>
            </w:r>
            <w:r>
              <w:rPr>
                <w:rFonts w:ascii="宋体" w:hAnsi="宋体" w:cs="宋体" w:eastAsia="宋体" w:hint="default"/>
                <w:sz w:val="18"/>
                <w:szCs w:val="18"/>
              </w:rPr>
            </w:r>
          </w:p>
        </w:tc>
        <w:tc>
          <w:tcPr>
            <w:tcW w:w="21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拟达到目标</w:t>
            </w:r>
            <w:r>
              <w:rPr>
                <w:rFonts w:ascii="宋体" w:hAnsi="宋体" w:cs="宋体" w:eastAsia="宋体" w:hint="default"/>
                <w:sz w:val="18"/>
                <w:szCs w:val="18"/>
              </w:rPr>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面向智慧城市领域的装备健康智能运营中心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开发阶段</w:t>
            </w:r>
          </w:p>
        </w:tc>
      </w:tr>
      <w:tr>
        <w:trPr>
          <w:trHeight w:val="529"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 w:right="0"/>
              <w:jc w:val="left"/>
              <w:rPr>
                <w:rFonts w:ascii="宋体" w:hAnsi="宋体" w:cs="宋体" w:eastAsia="宋体" w:hint="default"/>
                <w:sz w:val="18"/>
                <w:szCs w:val="18"/>
              </w:rPr>
            </w:pPr>
            <w:r>
              <w:rPr>
                <w:rFonts w:ascii="宋体" w:hAnsi="宋体" w:cs="宋体" w:eastAsia="宋体" w:hint="default"/>
                <w:sz w:val="18"/>
                <w:szCs w:val="18"/>
              </w:rPr>
              <w:t>装备健康管理</w:t>
            </w:r>
            <w:r>
              <w:rPr>
                <w:rFonts w:ascii="Times New Roman" w:hAnsi="Times New Roman" w:cs="Times New Roman" w:eastAsia="Times New Roman" w:hint="default"/>
                <w:sz w:val="18"/>
                <w:szCs w:val="18"/>
              </w:rPr>
              <w:t>-</w:t>
            </w:r>
            <w:r>
              <w:rPr>
                <w:rFonts w:ascii="宋体" w:hAnsi="宋体" w:cs="宋体" w:eastAsia="宋体" w:hint="default"/>
                <w:sz w:val="18"/>
                <w:szCs w:val="18"/>
              </w:rPr>
              <w:t>装备测试性仿真及验证系统</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18"/>
                <w:szCs w:val="18"/>
              </w:rPr>
            </w:pPr>
            <w:r>
              <w:rPr>
                <w:rFonts w:ascii="宋体" w:hAnsi="宋体" w:cs="宋体" w:eastAsia="宋体" w:hint="default"/>
                <w:sz w:val="18"/>
                <w:szCs w:val="18"/>
              </w:rPr>
              <w:t>升级阶段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3</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装备健康管理</w:t>
            </w:r>
            <w:r>
              <w:rPr>
                <w:rFonts w:ascii="Times New Roman" w:hAnsi="Times New Roman" w:cs="Times New Roman" w:eastAsia="Times New Roman" w:hint="default"/>
                <w:sz w:val="18"/>
                <w:szCs w:val="18"/>
              </w:rPr>
              <w:t>-</w:t>
            </w:r>
            <w:r>
              <w:rPr>
                <w:rFonts w:ascii="宋体" w:hAnsi="宋体" w:cs="宋体" w:eastAsia="宋体" w:hint="default"/>
                <w:sz w:val="18"/>
                <w:szCs w:val="18"/>
              </w:rPr>
              <w:t>小型化通用</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自动测试设备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国际先进</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集成测试阶段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4</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新一代高速航电总线产品（</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高速航电总线产品）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升级阶段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无线宽带通信自组网产品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升级阶段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6</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空间信息及大数据管理系统</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国际先进</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开发阶段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7</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新型税务信息化产品（互通升级版）</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量产阶段</w:t>
            </w:r>
          </w:p>
        </w:tc>
      </w:tr>
      <w:tr>
        <w:trPr>
          <w:trHeight w:val="52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8</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left"/>
              <w:rPr>
                <w:rFonts w:ascii="宋体" w:hAnsi="宋体" w:cs="宋体" w:eastAsia="宋体" w:hint="default"/>
                <w:sz w:val="18"/>
                <w:szCs w:val="18"/>
              </w:rPr>
            </w:pPr>
            <w:r>
              <w:rPr>
                <w:rFonts w:ascii="宋体" w:hAnsi="宋体" w:cs="宋体" w:eastAsia="宋体" w:hint="default"/>
                <w:sz w:val="18"/>
                <w:szCs w:val="18"/>
              </w:rPr>
              <w:t>税务信息化服务器（多税号）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国内领先</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量产阶段</w:t>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6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近三年公司研发投入金额及占营业收入的比例</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715</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33.05%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31.28%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21.88%</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113,761,307.81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75,220,962.63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41,908,008.21</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4.27%</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81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0"/>
              <w:jc w:val="left"/>
              <w:rPr>
                <w:rFonts w:ascii="宋体" w:hAnsi="宋体" w:cs="宋体" w:eastAsia="宋体" w:hint="default"/>
                <w:sz w:val="18"/>
                <w:szCs w:val="18"/>
              </w:rPr>
            </w:pPr>
            <w:r>
              <w:rPr>
                <w:rFonts w:ascii="宋体" w:hAnsi="宋体" w:cs="宋体" w:eastAsia="宋体" w:hint="default"/>
                <w:spacing w:val="14"/>
                <w:sz w:val="18"/>
                <w:szCs w:val="18"/>
              </w:rPr>
              <w:t>资本化研发支出占研发投入</w:t>
            </w:r>
            <w:r>
              <w:rPr>
                <w:rFonts w:ascii="宋体" w:hAnsi="宋体" w:cs="宋体" w:eastAsia="宋体" w:hint="default"/>
                <w:sz w:val="18"/>
                <w:szCs w:val="18"/>
              </w:rPr>
              <w:t>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0"/>
              <w:jc w:val="left"/>
              <w:rPr>
                <w:rFonts w:ascii="宋体" w:hAnsi="宋体" w:cs="宋体" w:eastAsia="宋体" w:hint="default"/>
                <w:sz w:val="18"/>
                <w:szCs w:val="18"/>
              </w:rPr>
            </w:pPr>
            <w:r>
              <w:rPr>
                <w:rFonts w:ascii="宋体" w:hAnsi="宋体" w:cs="宋体" w:eastAsia="宋体" w:hint="default"/>
                <w:spacing w:val="14"/>
                <w:sz w:val="18"/>
                <w:szCs w:val="18"/>
              </w:rPr>
              <w:t>资本化研发支出占当期净利</w:t>
            </w:r>
            <w:r>
              <w:rPr>
                <w:rFonts w:ascii="宋体" w:hAnsi="宋体" w:cs="宋体" w:eastAsia="宋体" w:hint="default"/>
                <w:sz w:val="18"/>
                <w:szCs w:val="18"/>
              </w:rPr>
              <w:t>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研发投入总额占营业收入的比重较上年发生显著变化的原因</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研发投入资本化率大幅变动的原因及其合理性说明</w:t>
      </w:r>
    </w:p>
    <w:p>
      <w:pPr>
        <w:pStyle w:val="BodyText"/>
        <w:spacing w:line="240" w:lineRule="auto" w:before="92"/>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5</w:t>
      </w:r>
      <w:r>
        <w:rPr/>
        <w:t>、现金流</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3,695,201,916.88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2,760,449,685.21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33.86%</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3,029,091,835.18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2,177,003,020.10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39.14%</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10"/>
              <w:jc w:val="left"/>
              <w:rPr>
                <w:rFonts w:ascii="宋体" w:hAnsi="宋体" w:cs="宋体" w:eastAsia="宋体" w:hint="default"/>
                <w:sz w:val="18"/>
                <w:szCs w:val="18"/>
              </w:rPr>
            </w:pPr>
            <w:r>
              <w:rPr>
                <w:rFonts w:ascii="宋体" w:hAnsi="宋体" w:cs="宋体" w:eastAsia="宋体" w:hint="default"/>
                <w:spacing w:val="14"/>
                <w:sz w:val="18"/>
                <w:szCs w:val="18"/>
              </w:rPr>
              <w:t>经营活动产生的现金流量净</w:t>
            </w:r>
            <w:r>
              <w:rPr>
                <w:rFonts w:ascii="宋体" w:hAnsi="宋体" w:cs="宋体" w:eastAsia="宋体" w:hint="default"/>
                <w:sz w:val="18"/>
                <w:szCs w:val="18"/>
              </w:rPr>
              <w:t>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666,110,081.70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583,446,665.11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14.17%</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193,716,294.20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91,597,270.54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2"/>
                <w:sz w:val="18"/>
              </w:rPr>
              <w:t>111.49%</w:t>
            </w:r>
          </w:p>
        </w:tc>
      </w:tr>
      <w:tr>
        <w:trPr>
          <w:trHeight w:val="50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310,927,820.31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14,562,583.43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2,035.11%</w:t>
            </w:r>
          </w:p>
        </w:tc>
      </w:tr>
      <w:tr>
        <w:trPr>
          <w:trHeight w:val="82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10"/>
              <w:jc w:val="left"/>
              <w:rPr>
                <w:rFonts w:ascii="宋体" w:hAnsi="宋体" w:cs="宋体" w:eastAsia="宋体" w:hint="default"/>
                <w:sz w:val="18"/>
                <w:szCs w:val="18"/>
              </w:rPr>
            </w:pPr>
            <w:r>
              <w:rPr>
                <w:rFonts w:ascii="宋体" w:hAnsi="宋体" w:cs="宋体" w:eastAsia="宋体" w:hint="default"/>
                <w:spacing w:val="14"/>
                <w:sz w:val="18"/>
                <w:szCs w:val="18"/>
              </w:rPr>
              <w:t>投资活动产生的现金流量净</w:t>
            </w:r>
            <w:r>
              <w:rPr>
                <w:rFonts w:ascii="宋体" w:hAnsi="宋体" w:cs="宋体" w:eastAsia="宋体" w:hint="default"/>
                <w:sz w:val="18"/>
                <w:szCs w:val="18"/>
              </w:rPr>
              <w:t>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-117,211,526.11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77,034,687.11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-252.15%</w:t>
            </w:r>
          </w:p>
        </w:tc>
      </w:tr>
      <w:tr>
        <w:trPr>
          <w:trHeight w:val="50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509,376,200.45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1,535,143,188.30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-66.82%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5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484,600,296.63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292,717,805.57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65.55%</w:t>
            </w:r>
          </w:p>
        </w:tc>
      </w:tr>
      <w:tr>
        <w:trPr>
          <w:trHeight w:val="81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2"/>
              <w:jc w:val="left"/>
              <w:rPr>
                <w:rFonts w:ascii="宋体" w:hAnsi="宋体" w:cs="宋体" w:eastAsia="宋体" w:hint="default"/>
                <w:sz w:val="18"/>
                <w:szCs w:val="18"/>
              </w:rPr>
            </w:pPr>
            <w:r>
              <w:rPr>
                <w:rFonts w:ascii="宋体" w:hAnsi="宋体" w:cs="宋体" w:eastAsia="宋体" w:hint="default"/>
                <w:spacing w:val="14"/>
                <w:sz w:val="18"/>
                <w:szCs w:val="18"/>
              </w:rPr>
              <w:t>筹资活动产生的现金流量净</w:t>
            </w:r>
            <w:r>
              <w:rPr>
                <w:rFonts w:ascii="宋体" w:hAnsi="宋体" w:cs="宋体" w:eastAsia="宋体" w:hint="default"/>
                <w:sz w:val="18"/>
                <w:szCs w:val="18"/>
              </w:rPr>
              <w:t>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24,775,903.82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1,242,425,382.73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-98.01%</w:t>
            </w:r>
          </w:p>
        </w:tc>
      </w:tr>
      <w:tr>
        <w:trPr>
          <w:trHeight w:val="5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571,450,996.98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1,904,873,855.43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-70.00%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相关数据同比发生重大变动的主要影响因素说明</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1"/>
          <w:szCs w:val="21"/>
        </w:rPr>
      </w:pPr>
    </w:p>
    <w:p>
      <w:pPr>
        <w:pStyle w:val="BodyText"/>
        <w:spacing w:line="398" w:lineRule="auto"/>
        <w:ind w:right="146" w:firstLine="420"/>
        <w:jc w:val="both"/>
      </w:pPr>
      <w:r>
        <w:rPr/>
        <w:t>报告期内，公司经营活动产生的现金流量净额为</w:t>
      </w:r>
      <w:r>
        <w:rPr>
          <w:spacing w:val="-59"/>
        </w:rPr>
        <w:t> </w:t>
      </w:r>
      <w:r>
        <w:rPr>
          <w:rFonts w:ascii="Times New Roman" w:hAnsi="Times New Roman" w:cs="Times New Roman" w:eastAsia="Times New Roman" w:hint="default"/>
        </w:rPr>
        <w:t>666,110,081.70</w:t>
      </w:r>
      <w:r>
        <w:rPr>
          <w:rFonts w:ascii="Times New Roman" w:hAnsi="Times New Roman" w:cs="Times New Roman" w:eastAsia="Times New Roman" w:hint="default"/>
          <w:spacing w:val="-17"/>
        </w:rPr>
        <w:t> </w:t>
      </w:r>
      <w:r>
        <w:rPr>
          <w:spacing w:val="-3"/>
        </w:rPr>
        <w:t>元，同比增长</w:t>
      </w:r>
      <w:r>
        <w:rPr>
          <w:spacing w:val="-61"/>
        </w:rPr>
        <w:t> </w:t>
      </w:r>
      <w:r>
        <w:rPr>
          <w:rFonts w:ascii="Times New Roman" w:hAnsi="Times New Roman" w:cs="Times New Roman" w:eastAsia="Times New Roman" w:hint="default"/>
        </w:rPr>
        <w:t>14.17%</w:t>
      </w:r>
      <w:r>
        <w:rPr/>
        <w:t>，主要原因是随</w:t>
      </w:r>
      <w:r>
        <w:rPr>
          <w:w w:val="100"/>
        </w:rPr>
        <w:t> </w:t>
      </w:r>
      <w:r>
        <w:rPr>
          <w:spacing w:val="-2"/>
        </w:rPr>
        <w:t>着公司销售额的增加，销售商品、提供服务收到的现金也相应增加，同时通过合理安排供应商账期加大对</w:t>
      </w:r>
      <w:r>
        <w:rPr>
          <w:spacing w:val="-44"/>
        </w:rPr>
        <w:t> </w:t>
      </w:r>
      <w:r>
        <w:rPr>
          <w:spacing w:val="-44"/>
        </w:rPr>
      </w:r>
      <w:r>
        <w:rPr/>
        <w:t>供应商信用额度的使用。</w:t>
      </w:r>
    </w:p>
    <w:p>
      <w:pPr>
        <w:pStyle w:val="BodyText"/>
        <w:spacing w:line="386" w:lineRule="auto" w:before="155"/>
        <w:ind w:right="11" w:firstLine="420"/>
        <w:jc w:val="left"/>
      </w:pPr>
      <w:r>
        <w:rPr/>
        <w:t>报告期内，投资活动产生的现金流入金额为 </w:t>
      </w:r>
      <w:r>
        <w:rPr>
          <w:rFonts w:ascii="Times New Roman" w:hAnsi="Times New Roman" w:cs="Times New Roman" w:eastAsia="Times New Roman" w:hint="default"/>
        </w:rPr>
        <w:t>193,716,294.20 </w:t>
      </w:r>
      <w:r>
        <w:rPr/>
        <w:t>元，同比增长</w:t>
      </w:r>
      <w:r>
        <w:rPr>
          <w:spacing w:val="-8"/>
        </w:rPr>
        <w:t> </w:t>
      </w:r>
      <w:r>
        <w:rPr>
          <w:rFonts w:ascii="Times New Roman" w:hAnsi="Times New Roman" w:cs="Times New Roman" w:eastAsia="Times New Roman" w:hint="default"/>
          <w:spacing w:val="-3"/>
        </w:rPr>
        <w:t>111.49%</w:t>
      </w:r>
      <w:r>
        <w:rPr>
          <w:spacing w:val="-3"/>
        </w:rPr>
        <w:t>，主要原因是本报</w:t>
      </w:r>
      <w:r>
        <w:rPr>
          <w:w w:val="100"/>
        </w:rPr>
        <w:t> </w:t>
      </w:r>
      <w:r>
        <w:rPr/>
        <w:t>告期内公司处置中航特装收回款项</w:t>
      </w:r>
      <w:r>
        <w:rPr>
          <w:spacing w:val="-55"/>
        </w:rPr>
        <w:t> </w:t>
      </w:r>
      <w:r>
        <w:rPr>
          <w:rFonts w:ascii="Times New Roman" w:hAnsi="Times New Roman" w:cs="Times New Roman" w:eastAsia="Times New Roman" w:hint="default"/>
        </w:rPr>
        <w:t>9,532.47</w:t>
      </w:r>
      <w:r>
        <w:rPr>
          <w:rFonts w:ascii="Times New Roman" w:hAnsi="Times New Roman" w:cs="Times New Roman" w:eastAsia="Times New Roman" w:hint="default"/>
          <w:spacing w:val="-14"/>
        </w:rPr>
        <w:t> </w:t>
      </w:r>
      <w:r>
        <w:rPr/>
        <w:t>万元、处置江海通讯收回款项</w:t>
      </w:r>
      <w:r>
        <w:rPr>
          <w:spacing w:val="-56"/>
        </w:rPr>
        <w:t> </w:t>
      </w:r>
      <w:r>
        <w:rPr>
          <w:rFonts w:ascii="Times New Roman" w:hAnsi="Times New Roman" w:cs="Times New Roman" w:eastAsia="Times New Roman" w:hint="default"/>
        </w:rPr>
        <w:t>7,184.83</w:t>
      </w:r>
      <w:r>
        <w:rPr>
          <w:rFonts w:ascii="Times New Roman" w:hAnsi="Times New Roman" w:cs="Times New Roman" w:eastAsia="Times New Roman" w:hint="default"/>
          <w:spacing w:val="-12"/>
        </w:rPr>
        <w:t> </w:t>
      </w:r>
      <w:r>
        <w:rPr/>
        <w:t>万元所致。</w:t>
      </w:r>
    </w:p>
    <w:p>
      <w:pPr>
        <w:pStyle w:val="BodyText"/>
        <w:spacing w:line="240" w:lineRule="auto" w:before="134"/>
        <w:ind w:left="573" w:right="11"/>
        <w:jc w:val="left"/>
        <w:rPr>
          <w:rFonts w:ascii="Times New Roman" w:hAnsi="Times New Roman" w:cs="Times New Roman" w:eastAsia="Times New Roman" w:hint="default"/>
        </w:rPr>
      </w:pPr>
      <w:r>
        <w:rPr/>
        <w:t>报告期内，投资活动产生的现金流出金额为</w:t>
      </w:r>
      <w:r>
        <w:rPr>
          <w:spacing w:val="-47"/>
        </w:rPr>
        <w:t> </w:t>
      </w:r>
      <w:r>
        <w:rPr>
          <w:rFonts w:ascii="Times New Roman" w:hAnsi="Times New Roman" w:cs="Times New Roman" w:eastAsia="Times New Roman" w:hint="default"/>
        </w:rPr>
        <w:t>310,927,820.31</w:t>
      </w:r>
      <w:r>
        <w:rPr>
          <w:rFonts w:ascii="Times New Roman" w:hAnsi="Times New Roman" w:cs="Times New Roman" w:eastAsia="Times New Roman" w:hint="default"/>
          <w:spacing w:val="-5"/>
        </w:rPr>
        <w:t> </w:t>
      </w:r>
      <w:r>
        <w:rPr>
          <w:spacing w:val="-4"/>
        </w:rPr>
        <w:t>元，同比增长</w:t>
      </w:r>
      <w:r>
        <w:rPr>
          <w:spacing w:val="-47"/>
        </w:rPr>
        <w:t> </w:t>
      </w:r>
      <w:r>
        <w:rPr>
          <w:rFonts w:ascii="Times New Roman" w:hAnsi="Times New Roman" w:cs="Times New Roman" w:eastAsia="Times New Roman" w:hint="default"/>
          <w:spacing w:val="-3"/>
        </w:rPr>
        <w:t>2,035.11%</w:t>
      </w:r>
      <w:r>
        <w:rPr>
          <w:spacing w:val="-3"/>
        </w:rPr>
        <w:t>，主要原因为：</w:t>
      </w:r>
      <w:r>
        <w:rPr>
          <w:rFonts w:ascii="Times New Roman" w:hAnsi="Times New Roman" w:cs="Times New Roman" w:eastAsia="Times New Roman" w:hint="default"/>
          <w:spacing w:val="-3"/>
        </w:rPr>
        <w:t>1)</w:t>
      </w:r>
    </w:p>
    <w:p>
      <w:pPr>
        <w:pStyle w:val="BodyText"/>
        <w:spacing w:line="240" w:lineRule="auto" w:before="177"/>
        <w:ind w:right="11"/>
        <w:jc w:val="left"/>
        <w:rPr>
          <w:rFonts w:ascii="Times New Roman" w:hAnsi="Times New Roman" w:cs="Times New Roman" w:eastAsia="Times New Roman" w:hint="default"/>
        </w:rPr>
      </w:pPr>
      <w:r>
        <w:rPr/>
        <w:t>增加投资中关村银行</w:t>
      </w:r>
      <w:r>
        <w:rPr>
          <w:spacing w:val="-42"/>
        </w:rPr>
        <w:t> </w:t>
      </w:r>
      <w:r>
        <w:rPr>
          <w:rFonts w:ascii="Times New Roman" w:hAnsi="Times New Roman" w:cs="Times New Roman" w:eastAsia="Times New Roman" w:hint="default"/>
        </w:rPr>
        <w:t>8,200</w:t>
      </w:r>
      <w:r>
        <w:rPr>
          <w:rFonts w:ascii="Times New Roman" w:hAnsi="Times New Roman" w:cs="Times New Roman" w:eastAsia="Times New Roman" w:hint="default"/>
          <w:spacing w:val="-9"/>
        </w:rPr>
        <w:t> </w:t>
      </w:r>
      <w:r>
        <w:rPr/>
        <w:t>万，投资华控产业基金</w:t>
      </w:r>
      <w:r>
        <w:rPr>
          <w:spacing w:val="-4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万，投资航星中云</w:t>
      </w:r>
      <w:r>
        <w:rPr>
          <w:spacing w:val="-4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万，投资湘潭智城</w:t>
      </w:r>
      <w:r>
        <w:rPr>
          <w:spacing w:val="-44"/>
        </w:rPr>
        <w:t> </w:t>
      </w:r>
      <w:r>
        <w:rPr>
          <w:rFonts w:ascii="Times New Roman" w:hAnsi="Times New Roman" w:cs="Times New Roman" w:eastAsia="Times New Roman" w:hint="default"/>
        </w:rPr>
        <w:t>5,031</w:t>
      </w:r>
    </w:p>
    <w:p>
      <w:pPr>
        <w:pStyle w:val="BodyText"/>
        <w:spacing w:line="240" w:lineRule="auto" w:before="177"/>
        <w:ind w:right="11"/>
        <w:jc w:val="left"/>
      </w:pPr>
      <w:r>
        <w:rPr/>
        <w:t>万，投资蓝图清创</w:t>
      </w:r>
      <w:r>
        <w:rPr>
          <w:spacing w:val="-5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4"/>
        </w:rPr>
        <w:t> </w:t>
      </w:r>
      <w:r>
        <w:rPr/>
        <w:t>万；</w:t>
      </w:r>
      <w:r>
        <w:rPr>
          <w:rFonts w:ascii="Times New Roman" w:hAnsi="Times New Roman" w:cs="Times New Roman" w:eastAsia="Times New Roman" w:hint="default"/>
        </w:rPr>
        <w:t>2</w:t>
      </w:r>
      <w:r>
        <w:rPr/>
        <w:t>）购买固定资产，无形资产和其他长期资产等支出</w:t>
      </w:r>
      <w:r>
        <w:rPr>
          <w:spacing w:val="-56"/>
        </w:rPr>
        <w:t> </w:t>
      </w:r>
      <w:r>
        <w:rPr>
          <w:rFonts w:ascii="Times New Roman" w:hAnsi="Times New Roman" w:cs="Times New Roman" w:eastAsia="Times New Roman" w:hint="default"/>
        </w:rPr>
        <w:t>9,226.38</w:t>
      </w:r>
      <w:r>
        <w:rPr>
          <w:rFonts w:ascii="Times New Roman" w:hAnsi="Times New Roman" w:cs="Times New Roman" w:eastAsia="Times New Roman" w:hint="default"/>
          <w:spacing w:val="-3"/>
        </w:rPr>
        <w:t> </w:t>
      </w:r>
      <w:r>
        <w:rPr/>
        <w:t>万元。</w:t>
      </w:r>
    </w:p>
    <w:p>
      <w:pPr>
        <w:spacing w:line="240" w:lineRule="auto" w:before="3"/>
        <w:rPr>
          <w:rFonts w:ascii="宋体" w:hAnsi="宋体" w:cs="宋体" w:eastAsia="宋体" w:hint="default"/>
          <w:sz w:val="21"/>
          <w:szCs w:val="21"/>
        </w:rPr>
      </w:pPr>
    </w:p>
    <w:p>
      <w:pPr>
        <w:pStyle w:val="BodyText"/>
        <w:spacing w:line="240" w:lineRule="auto"/>
        <w:ind w:left="573" w:right="11"/>
        <w:jc w:val="left"/>
        <w:rPr>
          <w:rFonts w:ascii="Times New Roman" w:hAnsi="Times New Roman" w:cs="Times New Roman" w:eastAsia="Times New Roman" w:hint="default"/>
        </w:rPr>
      </w:pPr>
      <w:r>
        <w:rPr/>
        <w:t>报告期内，筹资活动产生的现金流入金额为 </w:t>
      </w:r>
      <w:r>
        <w:rPr>
          <w:rFonts w:ascii="Times New Roman" w:hAnsi="Times New Roman" w:cs="Times New Roman" w:eastAsia="Times New Roman" w:hint="default"/>
        </w:rPr>
        <w:t>509,376,200.45 </w:t>
      </w:r>
      <w:r>
        <w:rPr/>
        <w:t>元，同比减少 </w:t>
      </w:r>
      <w:r>
        <w:rPr>
          <w:rFonts w:ascii="Times New Roman" w:hAnsi="Times New Roman" w:cs="Times New Roman" w:eastAsia="Times New Roman" w:hint="default"/>
        </w:rPr>
        <w:t>66.82%</w:t>
      </w:r>
      <w:r>
        <w:rPr/>
        <w:t>，主要原因是</w:t>
      </w:r>
      <w:r>
        <w:rPr>
          <w:spacing w:val="-47"/>
        </w:rPr>
        <w:t> </w:t>
      </w:r>
      <w:r>
        <w:rPr>
          <w:rFonts w:ascii="Times New Roman" w:hAnsi="Times New Roman" w:cs="Times New Roman" w:eastAsia="Times New Roman" w:hint="default"/>
        </w:rPr>
        <w:t>2016</w:t>
      </w:r>
    </w:p>
    <w:p>
      <w:pPr>
        <w:pStyle w:val="BodyText"/>
        <w:spacing w:line="240" w:lineRule="auto" w:before="177"/>
        <w:ind w:right="11"/>
        <w:jc w:val="left"/>
      </w:pPr>
      <w:r>
        <w:rPr>
          <w:spacing w:val="-2"/>
        </w:rPr>
        <w:t>年通过发行股权配套募集资金</w:t>
      </w:r>
      <w:r>
        <w:rPr/>
        <w:t> </w:t>
      </w:r>
      <w:r>
        <w:rPr>
          <w:rFonts w:ascii="Times New Roman" w:hAnsi="Times New Roman" w:cs="Times New Roman" w:eastAsia="Times New Roman" w:hint="default"/>
          <w:spacing w:val="-1"/>
        </w:rPr>
        <w:t>127,782.14</w:t>
      </w:r>
      <w:r>
        <w:rPr>
          <w:rFonts w:ascii="Times New Roman" w:hAnsi="Times New Roman" w:cs="Times New Roman" w:eastAsia="Times New Roman" w:hint="default"/>
          <w:spacing w:val="9"/>
        </w:rPr>
        <w:t> </w:t>
      </w:r>
      <w:r>
        <w:rPr>
          <w:spacing w:val="-2"/>
        </w:rPr>
        <w:t>万元到位金额较大所致。本报告期内流入资金主要是发行限制性</w:t>
      </w:r>
    </w:p>
    <w:p>
      <w:pPr>
        <w:pStyle w:val="BodyText"/>
        <w:spacing w:line="470" w:lineRule="auto" w:before="177"/>
        <w:ind w:left="573" w:right="11" w:hanging="421"/>
        <w:jc w:val="left"/>
      </w:pPr>
      <w:r>
        <w:rPr/>
        <w:t>股票实施员工股权激励计划收到资金</w:t>
      </w:r>
      <w:r>
        <w:rPr>
          <w:spacing w:val="-53"/>
        </w:rPr>
        <w:t> </w:t>
      </w:r>
      <w:r>
        <w:rPr>
          <w:rFonts w:ascii="Times New Roman" w:hAnsi="Times New Roman" w:cs="Times New Roman" w:eastAsia="Times New Roman" w:hint="default"/>
        </w:rPr>
        <w:t>24,048.72</w:t>
      </w:r>
      <w:r>
        <w:rPr>
          <w:rFonts w:ascii="Times New Roman" w:hAnsi="Times New Roman" w:cs="Times New Roman" w:eastAsia="Times New Roman" w:hint="default"/>
          <w:spacing w:val="-13"/>
        </w:rPr>
        <w:t> </w:t>
      </w:r>
      <w:r>
        <w:rPr/>
        <w:t>万元，银行贷款流入资金</w:t>
      </w:r>
      <w:r>
        <w:rPr>
          <w:spacing w:val="-54"/>
        </w:rPr>
        <w:t> </w:t>
      </w:r>
      <w:r>
        <w:rPr>
          <w:rFonts w:ascii="Times New Roman" w:hAnsi="Times New Roman" w:cs="Times New Roman" w:eastAsia="Times New Roman" w:hint="default"/>
        </w:rPr>
        <w:t>25,507.55</w:t>
      </w:r>
      <w:r>
        <w:rPr>
          <w:rFonts w:ascii="Times New Roman" w:hAnsi="Times New Roman" w:cs="Times New Roman" w:eastAsia="Times New Roman" w:hint="default"/>
          <w:spacing w:val="-13"/>
        </w:rPr>
        <w:t> </w:t>
      </w:r>
      <w:r>
        <w:rPr/>
        <w:t>万。</w:t>
      </w:r>
      <w:r>
        <w:rPr>
          <w:w w:val="100"/>
        </w:rPr>
        <w:t> </w:t>
      </w:r>
      <w:r>
        <w:rPr/>
        <w:t>报告期内，筹资活动产生的现金流出金额为</w:t>
      </w:r>
      <w:r>
        <w:rPr>
          <w:spacing w:val="-60"/>
        </w:rPr>
        <w:t> </w:t>
      </w:r>
      <w:r>
        <w:rPr>
          <w:rFonts w:ascii="Times New Roman" w:hAnsi="Times New Roman" w:cs="Times New Roman" w:eastAsia="Times New Roman" w:hint="default"/>
        </w:rPr>
        <w:t>484,600,296.63</w:t>
      </w:r>
      <w:r>
        <w:rPr>
          <w:rFonts w:ascii="Times New Roman" w:hAnsi="Times New Roman" w:cs="Times New Roman" w:eastAsia="Times New Roman" w:hint="default"/>
          <w:spacing w:val="-16"/>
        </w:rPr>
        <w:t> </w:t>
      </w:r>
      <w:r>
        <w:rPr>
          <w:spacing w:val="-4"/>
        </w:rPr>
        <w:t>元，同比增加</w:t>
      </w:r>
      <w:r>
        <w:rPr>
          <w:spacing w:val="-60"/>
        </w:rPr>
        <w:t> </w:t>
      </w:r>
      <w:r>
        <w:rPr>
          <w:rFonts w:ascii="Times New Roman" w:hAnsi="Times New Roman" w:cs="Times New Roman" w:eastAsia="Times New Roman" w:hint="default"/>
        </w:rPr>
        <w:t>65.55%</w:t>
      </w:r>
      <w:r>
        <w:rPr/>
        <w:t>，主要原因是本报告</w:t>
      </w:r>
    </w:p>
    <w:p>
      <w:pPr>
        <w:pStyle w:val="BodyText"/>
        <w:spacing w:line="245" w:lineRule="exact"/>
        <w:ind w:right="11"/>
        <w:jc w:val="left"/>
      </w:pPr>
      <w:r>
        <w:rPr/>
        <w:t>期通过分红支付给少数股东股利较上年同期增加</w:t>
      </w:r>
      <w:r>
        <w:rPr>
          <w:spacing w:val="-60"/>
        </w:rPr>
        <w:t> </w:t>
      </w:r>
      <w:r>
        <w:rPr>
          <w:rFonts w:ascii="Times New Roman" w:hAnsi="Times New Roman" w:cs="Times New Roman" w:eastAsia="Times New Roman" w:hint="default"/>
        </w:rPr>
        <w:t>13,811.65</w:t>
      </w:r>
      <w:r>
        <w:rPr>
          <w:rFonts w:ascii="Times New Roman" w:hAnsi="Times New Roman" w:cs="Times New Roman" w:eastAsia="Times New Roman" w:hint="default"/>
          <w:spacing w:val="-18"/>
        </w:rPr>
        <w:t> </w:t>
      </w:r>
      <w:r>
        <w:rPr/>
        <w:t>万元所致。</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报告期内公司经营活动产生的现金净流量与本年度净利润存在重大差异的原因说明</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2"/>
        <w:ind w:right="11"/>
        <w:jc w:val="left"/>
      </w:pPr>
      <w:r>
        <w:rPr/>
        <w:t>三、非主营业务情况</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523"/>
        <w:gridCol w:w="1597"/>
        <w:gridCol w:w="1558"/>
        <w:gridCol w:w="2835"/>
        <w:gridCol w:w="2045"/>
      </w:tblGrid>
      <w:tr>
        <w:trPr>
          <w:trHeight w:val="50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41" w:right="0"/>
              <w:jc w:val="left"/>
              <w:rPr>
                <w:rFonts w:ascii="宋体" w:hAnsi="宋体" w:cs="宋体" w:eastAsia="宋体" w:hint="default"/>
                <w:sz w:val="18"/>
                <w:szCs w:val="18"/>
              </w:rPr>
            </w:pPr>
            <w:r>
              <w:rPr>
                <w:rFonts w:ascii="宋体" w:hAnsi="宋体" w:cs="宋体" w:eastAsia="宋体" w:hint="default"/>
                <w:b/>
                <w:bCs/>
                <w:sz w:val="18"/>
                <w:szCs w:val="18"/>
              </w:rPr>
              <w:t>占利润总额比例</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871" w:right="0"/>
              <w:jc w:val="left"/>
              <w:rPr>
                <w:rFonts w:ascii="宋体" w:hAnsi="宋体" w:cs="宋体" w:eastAsia="宋体" w:hint="default"/>
                <w:sz w:val="18"/>
                <w:szCs w:val="18"/>
              </w:rPr>
            </w:pPr>
            <w:r>
              <w:rPr>
                <w:rFonts w:ascii="宋体" w:hAnsi="宋体" w:cs="宋体" w:eastAsia="宋体" w:hint="default"/>
                <w:b/>
                <w:bCs/>
                <w:sz w:val="18"/>
                <w:szCs w:val="18"/>
              </w:rPr>
              <w:t>形成原因说明</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02" w:right="0"/>
              <w:jc w:val="left"/>
              <w:rPr>
                <w:rFonts w:ascii="宋体" w:hAnsi="宋体" w:cs="宋体" w:eastAsia="宋体" w:hint="default"/>
                <w:sz w:val="18"/>
                <w:szCs w:val="18"/>
              </w:rPr>
            </w:pPr>
            <w:r>
              <w:rPr>
                <w:rFonts w:ascii="宋体" w:hAnsi="宋体" w:cs="宋体" w:eastAsia="宋体" w:hint="default"/>
                <w:b/>
                <w:bCs/>
                <w:sz w:val="18"/>
                <w:szCs w:val="18"/>
              </w:rPr>
              <w:t>是否具有可持续性</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23"/>
        <w:gridCol w:w="1597"/>
        <w:gridCol w:w="1558"/>
        <w:gridCol w:w="2835"/>
        <w:gridCol w:w="2057"/>
      </w:tblGrid>
      <w:tr>
        <w:trPr>
          <w:trHeight w:val="113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36,612,833.41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2"/>
              <w:ind w:left="23" w:right="1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）对权益法核算的参股公司产生的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投资收益；</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）处置长投及可供出售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金融资产产生的投资收益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23,804,006.20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应收账款以及其他应收款的坏账准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备，存货的跌价准备产生资产减值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16,925,814.75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2.68%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获得政府补助、赔偿收入等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21,098,715.88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主要为对外捐赠及自然灾害赔偿损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失等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宋体" w:hAnsi="宋体" w:cs="宋体" w:eastAsia="宋体" w:hint="default"/>
          <w:sz w:val="25"/>
          <w:szCs w:val="25"/>
        </w:rPr>
      </w:pPr>
    </w:p>
    <w:p>
      <w:pPr>
        <w:pStyle w:val="Heading2"/>
        <w:spacing w:line="240" w:lineRule="auto"/>
        <w:ind w:right="11"/>
        <w:jc w:val="left"/>
      </w:pPr>
      <w:r>
        <w:rPr/>
        <w:t>四、资产及负债状况</w:t>
      </w:r>
    </w:p>
    <w:p>
      <w:pPr>
        <w:spacing w:line="240" w:lineRule="auto" w:before="10"/>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、资产构成重大变动情况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6"/>
        <w:gridCol w:w="1478"/>
        <w:gridCol w:w="1135"/>
        <w:gridCol w:w="1275"/>
        <w:gridCol w:w="994"/>
        <w:gridCol w:w="994"/>
        <w:gridCol w:w="2338"/>
      </w:tblGrid>
      <w:tr>
        <w:trPr>
          <w:trHeight w:val="46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4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51"/>
              <w:ind w:left="472" w:right="111" w:hanging="363"/>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51"/>
              <w:ind w:left="403" w:right="36" w:hanging="36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tc>
        <w:tc>
          <w:tcPr>
            <w:tcW w:w="23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62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24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1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5"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2338" w:type="dxa"/>
            <w:vMerge/>
            <w:tcBorders>
              <w:left w:val="single" w:sz="4" w:space="0" w:color="000000"/>
              <w:bottom w:val="nil" w:sz="6" w:space="0" w:color="auto"/>
              <w:right w:val="single" w:sz="4" w:space="0" w:color="000000"/>
            </w:tcBorders>
            <w:shd w:val="clear" w:color="auto" w:fill="D2D2D2"/>
          </w:tcPr>
          <w:p>
            <w:pPr/>
          </w:p>
        </w:tc>
      </w:tr>
      <w:tr>
        <w:trPr>
          <w:trHeight w:val="25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8"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233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338" w:type="dxa"/>
            <w:vMerge/>
            <w:tcBorders>
              <w:left w:val="single" w:sz="4" w:space="0" w:color="000000"/>
              <w:bottom w:val="single" w:sz="4" w:space="0" w:color="000000"/>
              <w:right w:val="single" w:sz="4" w:space="0" w:color="000000"/>
            </w:tcBorders>
            <w:shd w:val="clear" w:color="auto" w:fill="D2D2D2"/>
          </w:tcPr>
          <w:p>
            <w:pPr/>
          </w:p>
        </w:tc>
      </w:tr>
      <w:tr>
        <w:trPr>
          <w:trHeight w:val="47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80" w:right="0"/>
              <w:jc w:val="left"/>
              <w:rPr>
                <w:rFonts w:ascii="Times New Roman" w:hAnsi="Times New Roman" w:cs="Times New Roman" w:eastAsia="Times New Roman" w:hint="default"/>
                <w:sz w:val="18"/>
                <w:szCs w:val="18"/>
              </w:rPr>
            </w:pPr>
            <w:r>
              <w:rPr>
                <w:rFonts w:ascii="Times New Roman"/>
                <w:sz w:val="18"/>
              </w:rPr>
              <w:t>3,063,748,858.59</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47" w:right="0"/>
              <w:jc w:val="left"/>
              <w:rPr>
                <w:rFonts w:ascii="Times New Roman" w:hAnsi="Times New Roman" w:cs="Times New Roman" w:eastAsia="Times New Roman" w:hint="default"/>
                <w:sz w:val="18"/>
                <w:szCs w:val="18"/>
              </w:rPr>
            </w:pPr>
            <w:r>
              <w:rPr>
                <w:rFonts w:ascii="Times New Roman"/>
                <w:sz w:val="18"/>
              </w:rPr>
              <w:t>38.84%</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2,481,317,898.2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07" w:right="0"/>
              <w:jc w:val="left"/>
              <w:rPr>
                <w:rFonts w:ascii="Times New Roman" w:hAnsi="Times New Roman" w:cs="Times New Roman" w:eastAsia="Times New Roman" w:hint="default"/>
                <w:sz w:val="18"/>
                <w:szCs w:val="18"/>
              </w:rPr>
            </w:pPr>
            <w:r>
              <w:rPr>
                <w:rFonts w:ascii="Times New Roman"/>
                <w:sz w:val="18"/>
              </w:rPr>
              <w:t>36.09%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94" w:right="0"/>
              <w:jc w:val="left"/>
              <w:rPr>
                <w:rFonts w:ascii="Times New Roman" w:hAnsi="Times New Roman" w:cs="Times New Roman" w:eastAsia="Times New Roman" w:hint="default"/>
                <w:sz w:val="18"/>
                <w:szCs w:val="18"/>
              </w:rPr>
            </w:pPr>
            <w:r>
              <w:rPr>
                <w:rFonts w:ascii="Times New Roman"/>
                <w:sz w:val="18"/>
              </w:rPr>
              <w:t>2.75%</w:t>
            </w:r>
          </w:p>
        </w:tc>
        <w:tc>
          <w:tcPr>
            <w:tcW w:w="2338" w:type="dxa"/>
            <w:vMerge w:val="restart"/>
            <w:tcBorders>
              <w:top w:val="single" w:sz="4" w:space="0" w:color="000000"/>
              <w:left w:val="single" w:sz="4" w:space="0" w:color="000000"/>
              <w:right w:val="single" w:sz="4" w:space="0" w:color="000000"/>
            </w:tcBorders>
          </w:tcPr>
          <w:p>
            <w:pPr>
              <w:pStyle w:val="TableParagraph"/>
              <w:spacing w:line="316" w:lineRule="auto" w:before="104"/>
              <w:ind w:left="24" w:right="-37"/>
              <w:jc w:val="both"/>
              <w:rPr>
                <w:rFonts w:ascii="宋体" w:hAnsi="宋体" w:cs="宋体" w:eastAsia="宋体" w:hint="default"/>
                <w:sz w:val="18"/>
                <w:szCs w:val="18"/>
              </w:rPr>
            </w:pPr>
            <w:r>
              <w:rPr>
                <w:rFonts w:ascii="宋体" w:hAnsi="宋体" w:cs="宋体" w:eastAsia="宋体" w:hint="default"/>
                <w:spacing w:val="9"/>
                <w:sz w:val="18"/>
                <w:szCs w:val="18"/>
              </w:rPr>
              <w:t>主要是报告期内公司业务规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模扩大产生的经营活动现金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净流量增加，回收部分股权投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资款和收到股权激励款所致。</w:t>
            </w:r>
          </w:p>
        </w:tc>
      </w:tr>
      <w:tr>
        <w:trPr>
          <w:trHeight w:val="497"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vMerge/>
            <w:tcBorders>
              <w:left w:val="single" w:sz="9"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9"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861,009,640.71</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10.92%</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700,860,251.86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10.19%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0.73%</w:t>
            </w:r>
          </w:p>
        </w:tc>
        <w:tc>
          <w:tcPr>
            <w:tcW w:w="2338" w:type="dxa"/>
            <w:vMerge w:val="restart"/>
            <w:tcBorders>
              <w:top w:val="single" w:sz="4" w:space="0" w:color="000000"/>
              <w:left w:val="single" w:sz="4" w:space="0" w:color="000000"/>
              <w:right w:val="single" w:sz="4" w:space="0" w:color="000000"/>
            </w:tcBorders>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pacing w:val="9"/>
                <w:sz w:val="18"/>
                <w:szCs w:val="18"/>
              </w:rPr>
              <w:t>主要是随着公司销售规模的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扩大，应收账款相应增加所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499"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vMerge/>
            <w:tcBorders>
              <w:left w:val="single" w:sz="9"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9"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50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639,988,569.89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536,445,629.43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7.80%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0.31%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4,533,261.86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2,206,760.66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0.03%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319,809,704.01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295,387,029.59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-0.25%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14" w:right="0"/>
              <w:jc w:val="left"/>
              <w:rPr>
                <w:rFonts w:ascii="Times New Roman" w:hAnsi="Times New Roman" w:cs="Times New Roman" w:eastAsia="Times New Roman" w:hint="default"/>
                <w:sz w:val="18"/>
                <w:szCs w:val="18"/>
              </w:rPr>
            </w:pPr>
            <w:r>
              <w:rPr>
                <w:rFonts w:ascii="Times New Roman"/>
                <w:sz w:val="18"/>
              </w:rPr>
              <w:t>390,829,567.46</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36" w:right="0"/>
              <w:jc w:val="left"/>
              <w:rPr>
                <w:rFonts w:ascii="Times New Roman" w:hAnsi="Times New Roman" w:cs="Times New Roman" w:eastAsia="Times New Roman" w:hint="default"/>
                <w:sz w:val="18"/>
                <w:szCs w:val="18"/>
              </w:rPr>
            </w:pPr>
            <w:r>
              <w:rPr>
                <w:rFonts w:ascii="Times New Roman"/>
                <w:sz w:val="18"/>
              </w:rPr>
              <w:t>4.96%</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7" w:right="0"/>
              <w:jc w:val="left"/>
              <w:rPr>
                <w:rFonts w:ascii="Times New Roman" w:hAnsi="Times New Roman" w:cs="Times New Roman" w:eastAsia="Times New Roman" w:hint="default"/>
                <w:sz w:val="18"/>
                <w:szCs w:val="18"/>
              </w:rPr>
            </w:pPr>
            <w:r>
              <w:rPr>
                <w:rFonts w:ascii="Times New Roman"/>
                <w:sz w:val="18"/>
              </w:rPr>
              <w:t>315,571,943.07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96" w:right="0"/>
              <w:jc w:val="left"/>
              <w:rPr>
                <w:rFonts w:ascii="Times New Roman" w:hAnsi="Times New Roman" w:cs="Times New Roman" w:eastAsia="Times New Roman" w:hint="default"/>
                <w:sz w:val="18"/>
                <w:szCs w:val="18"/>
              </w:rPr>
            </w:pPr>
            <w:r>
              <w:rPr>
                <w:rFonts w:ascii="Times New Roman"/>
                <w:sz w:val="18"/>
              </w:rPr>
              <w:t>4.59%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94" w:right="0"/>
              <w:jc w:val="left"/>
              <w:rPr>
                <w:rFonts w:ascii="Times New Roman" w:hAnsi="Times New Roman" w:cs="Times New Roman" w:eastAsia="Times New Roman" w:hint="default"/>
                <w:sz w:val="18"/>
                <w:szCs w:val="18"/>
              </w:rPr>
            </w:pPr>
            <w:r>
              <w:rPr>
                <w:rFonts w:ascii="Times New Roman"/>
                <w:sz w:val="18"/>
              </w:rPr>
              <w:t>0.37%</w:t>
            </w:r>
          </w:p>
        </w:tc>
        <w:tc>
          <w:tcPr>
            <w:tcW w:w="2338" w:type="dxa"/>
            <w:vMerge w:val="restart"/>
            <w:tcBorders>
              <w:top w:val="single" w:sz="4" w:space="0" w:color="000000"/>
              <w:left w:val="single" w:sz="4" w:space="0" w:color="000000"/>
              <w:right w:val="single" w:sz="4" w:space="0" w:color="000000"/>
            </w:tcBorders>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pacing w:val="9"/>
                <w:sz w:val="18"/>
                <w:szCs w:val="18"/>
              </w:rPr>
              <w:t>主要原因是泰豪太阳能镇赉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二期电站达到预定可使用状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态，由在建工程转为固定资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r>
      <w:tr>
        <w:trPr>
          <w:trHeight w:val="497"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vMerge/>
            <w:tcBorders>
              <w:left w:val="single" w:sz="9"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9"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7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94" w:right="0"/>
              <w:jc w:val="left"/>
              <w:rPr>
                <w:rFonts w:ascii="Times New Roman" w:hAnsi="Times New Roman" w:cs="Times New Roman" w:eastAsia="Times New Roman" w:hint="default"/>
                <w:sz w:val="18"/>
                <w:szCs w:val="18"/>
              </w:rPr>
            </w:pPr>
            <w:r>
              <w:rPr>
                <w:rFonts w:ascii="Times New Roman"/>
                <w:sz w:val="18"/>
              </w:rPr>
              <w:t>2,178,039.07</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636" w:right="0"/>
              <w:jc w:val="left"/>
              <w:rPr>
                <w:rFonts w:ascii="Times New Roman" w:hAnsi="Times New Roman" w:cs="Times New Roman" w:eastAsia="Times New Roman" w:hint="default"/>
                <w:sz w:val="18"/>
                <w:szCs w:val="18"/>
              </w:rPr>
            </w:pPr>
            <w:r>
              <w:rPr>
                <w:rFonts w:ascii="Times New Roman"/>
                <w:sz w:val="18"/>
              </w:rPr>
              <w:t>0.03%</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08" w:right="0"/>
              <w:jc w:val="left"/>
              <w:rPr>
                <w:rFonts w:ascii="Times New Roman" w:hAnsi="Times New Roman" w:cs="Times New Roman" w:eastAsia="Times New Roman" w:hint="default"/>
                <w:sz w:val="18"/>
                <w:szCs w:val="18"/>
              </w:rPr>
            </w:pPr>
            <w:r>
              <w:rPr>
                <w:rFonts w:ascii="Times New Roman"/>
                <w:sz w:val="18"/>
              </w:rPr>
              <w:t>40,164,673.32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96" w:right="0"/>
              <w:jc w:val="left"/>
              <w:rPr>
                <w:rFonts w:ascii="Times New Roman" w:hAnsi="Times New Roman" w:cs="Times New Roman" w:eastAsia="Times New Roman" w:hint="default"/>
                <w:sz w:val="18"/>
                <w:szCs w:val="18"/>
              </w:rPr>
            </w:pPr>
            <w:r>
              <w:rPr>
                <w:rFonts w:ascii="Times New Roman"/>
                <w:sz w:val="18"/>
              </w:rPr>
              <w:t>0.58%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34" w:right="0"/>
              <w:jc w:val="left"/>
              <w:rPr>
                <w:rFonts w:ascii="Times New Roman" w:hAnsi="Times New Roman" w:cs="Times New Roman" w:eastAsia="Times New Roman" w:hint="default"/>
                <w:sz w:val="18"/>
                <w:szCs w:val="18"/>
              </w:rPr>
            </w:pPr>
            <w:r>
              <w:rPr>
                <w:rFonts w:ascii="Times New Roman"/>
                <w:sz w:val="18"/>
              </w:rPr>
              <w:t>-0.55%</w:t>
            </w:r>
          </w:p>
        </w:tc>
        <w:tc>
          <w:tcPr>
            <w:tcW w:w="2338" w:type="dxa"/>
            <w:vMerge w:val="restart"/>
            <w:tcBorders>
              <w:top w:val="single" w:sz="4" w:space="0" w:color="000000"/>
              <w:left w:val="single" w:sz="4" w:space="0" w:color="000000"/>
              <w:right w:val="single" w:sz="4" w:space="0" w:color="000000"/>
            </w:tcBorders>
          </w:tcPr>
          <w:p>
            <w:pPr>
              <w:pStyle w:val="TableParagraph"/>
              <w:spacing w:line="316" w:lineRule="auto" w:before="104"/>
              <w:ind w:left="24" w:right="19"/>
              <w:jc w:val="both"/>
              <w:rPr>
                <w:rFonts w:ascii="宋体" w:hAnsi="宋体" w:cs="宋体" w:eastAsia="宋体" w:hint="default"/>
                <w:sz w:val="18"/>
                <w:szCs w:val="18"/>
              </w:rPr>
            </w:pPr>
            <w:r>
              <w:rPr>
                <w:rFonts w:ascii="宋体" w:hAnsi="宋体" w:cs="宋体" w:eastAsia="宋体" w:hint="default"/>
                <w:spacing w:val="9"/>
                <w:sz w:val="18"/>
                <w:szCs w:val="18"/>
              </w:rPr>
              <w:t>主要原因是泰豪太阳能镇赉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二期电站达到预定可使用状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态，由在建工程转为固定资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r>
      <w:tr>
        <w:trPr>
          <w:trHeight w:val="497"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vMerge/>
            <w:tcBorders>
              <w:left w:val="single" w:sz="9"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8" w:type="dxa"/>
            <w:vMerge/>
            <w:tcBorders>
              <w:left w:val="single" w:sz="9"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135"/>
        <w:gridCol w:w="1275"/>
        <w:gridCol w:w="994"/>
        <w:gridCol w:w="994"/>
        <w:gridCol w:w="2338"/>
      </w:tblGrid>
      <w:tr>
        <w:trPr>
          <w:trHeight w:val="113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151,275,493.62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201,600,000.00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8"/>
              <w:jc w:val="both"/>
              <w:rPr>
                <w:rFonts w:ascii="宋体" w:hAnsi="宋体" w:cs="宋体" w:eastAsia="宋体" w:hint="default"/>
                <w:sz w:val="18"/>
                <w:szCs w:val="18"/>
              </w:rPr>
            </w:pPr>
            <w:r>
              <w:rPr>
                <w:rFonts w:ascii="宋体" w:hAnsi="宋体" w:cs="宋体" w:eastAsia="宋体" w:hint="default"/>
                <w:spacing w:val="9"/>
                <w:sz w:val="18"/>
                <w:szCs w:val="18"/>
              </w:rPr>
              <w:t>主要为报告期内公司资金充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裕，故短期借款规模缩减所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致。</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78,000,000.00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6" w:right="0"/>
              <w:jc w:val="center"/>
              <w:rPr>
                <w:rFonts w:ascii="Times New Roman" w:hAnsi="Times New Roman" w:cs="Times New Roman" w:eastAsia="Times New Roman" w:hint="default"/>
                <w:sz w:val="18"/>
                <w:szCs w:val="18"/>
              </w:rPr>
            </w:pPr>
            <w:r>
              <w:rPr>
                <w:rFonts w:ascii="Times New Roman"/>
                <w:sz w:val="18"/>
              </w:rPr>
              <w:t>73,083,200.70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941,797,132.48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645,297,426.98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pacing w:val="9"/>
                <w:sz w:val="18"/>
                <w:szCs w:val="18"/>
              </w:rPr>
              <w:t>主要是随着公司销售规模扩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大，采购规模与应付账款随之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增加所致。</w:t>
            </w:r>
          </w:p>
        </w:tc>
      </w:tr>
      <w:tr>
        <w:trPr>
          <w:trHeight w:val="14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479,256,447.07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6.08%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95" w:right="0"/>
              <w:jc w:val="center"/>
              <w:rPr>
                <w:rFonts w:ascii="Times New Roman" w:hAnsi="Times New Roman" w:cs="Times New Roman" w:eastAsia="Times New Roman" w:hint="default"/>
                <w:sz w:val="18"/>
                <w:szCs w:val="18"/>
              </w:rPr>
            </w:pPr>
            <w:r>
              <w:rPr>
                <w:rFonts w:ascii="Times New Roman"/>
                <w:sz w:val="18"/>
              </w:rPr>
              <w:t>370,855,257.09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z w:val="18"/>
              </w:rPr>
              <w:t>5.39%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0.69%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19"/>
              <w:jc w:val="both"/>
              <w:rPr>
                <w:rFonts w:ascii="宋体" w:hAnsi="宋体" w:cs="宋体" w:eastAsia="宋体" w:hint="default"/>
                <w:sz w:val="18"/>
                <w:szCs w:val="18"/>
              </w:rPr>
            </w:pPr>
            <w:r>
              <w:rPr>
                <w:rFonts w:ascii="宋体" w:hAnsi="宋体" w:cs="宋体" w:eastAsia="宋体" w:hint="default"/>
                <w:spacing w:val="9"/>
                <w:sz w:val="18"/>
                <w:szCs w:val="18"/>
              </w:rPr>
              <w:t>主要是泰豪智能项目预收款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比例提高、税务信息化收取的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服务费未分摊部分增加导致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预收账款增加所致</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144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369,524,441.16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4.68%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95" w:right="0"/>
              <w:jc w:val="center"/>
              <w:rPr>
                <w:rFonts w:ascii="Times New Roman" w:hAnsi="Times New Roman" w:cs="Times New Roman" w:eastAsia="Times New Roman" w:hint="default"/>
                <w:sz w:val="18"/>
                <w:szCs w:val="18"/>
              </w:rPr>
            </w:pPr>
            <w:r>
              <w:rPr>
                <w:rFonts w:ascii="Times New Roman"/>
                <w:sz w:val="18"/>
              </w:rPr>
              <w:t>127,761,183.86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z w:val="18"/>
              </w:rPr>
              <w:t>1.86%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2.82%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6"/>
              <w:jc w:val="both"/>
              <w:rPr>
                <w:rFonts w:ascii="宋体" w:hAnsi="宋体" w:cs="宋体" w:eastAsia="宋体" w:hint="default"/>
                <w:sz w:val="18"/>
                <w:szCs w:val="18"/>
              </w:rPr>
            </w:pPr>
            <w:r>
              <w:rPr>
                <w:rFonts w:ascii="宋体" w:hAnsi="宋体" w:cs="宋体" w:eastAsia="宋体" w:hint="default"/>
                <w:spacing w:val="9"/>
                <w:sz w:val="18"/>
                <w:szCs w:val="18"/>
              </w:rPr>
              <w:t>主要为报告期内公司通过股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权激励方式增发限制性股票， </w:t>
            </w:r>
            <w:r>
              <w:rPr>
                <w:rFonts w:ascii="宋体" w:hAnsi="宋体" w:cs="宋体" w:eastAsia="宋体" w:hint="default"/>
                <w:spacing w:val="9"/>
                <w:sz w:val="18"/>
                <w:szCs w:val="18"/>
              </w:rPr>
              <w:t>预计产生的回购义务计入其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他应付款所致。</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、以公允价值计量的资产和负债</w:t>
      </w:r>
    </w:p>
    <w:p>
      <w:pPr>
        <w:spacing w:line="240" w:lineRule="auto" w:before="4"/>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3</w:t>
      </w:r>
      <w:r>
        <w:rPr/>
        <w:t>、截至报告期末的资产权利受限情况</w:t>
      </w:r>
    </w:p>
    <w:p>
      <w:pPr>
        <w:spacing w:line="240" w:lineRule="auto" w:before="1"/>
        <w:rPr>
          <w:rFonts w:ascii="黑体" w:hAnsi="黑体" w:cs="黑体" w:eastAsia="黑体" w:hint="default"/>
          <w:sz w:val="24"/>
          <w:szCs w:val="24"/>
        </w:rPr>
      </w:pPr>
    </w:p>
    <w:p>
      <w:pPr>
        <w:pStyle w:val="BodyText"/>
        <w:spacing w:line="408" w:lineRule="auto"/>
        <w:ind w:right="11" w:firstLine="420"/>
        <w:jc w:val="left"/>
      </w:pPr>
      <w:r>
        <w:rPr>
          <w:spacing w:val="-2"/>
        </w:rPr>
        <w:t>西安西谷与西安投资控股有限公司就专项借款签署借款协议书，并以其自有机器设备抵押形式提供担</w:t>
      </w:r>
      <w:r>
        <w:rPr>
          <w:w w:val="100"/>
        </w:rPr>
        <w:t> </w:t>
      </w:r>
      <w:r>
        <w:rPr>
          <w:spacing w:val="-2"/>
          <w:w w:val="100"/>
        </w:rPr>
        <w:t>保，签署编号为</w:t>
      </w:r>
      <w:r>
        <w:rPr>
          <w:spacing w:val="-50"/>
          <w:w w:val="100"/>
        </w:rPr>
        <w:t> </w:t>
      </w:r>
      <w:r>
        <w:rPr>
          <w:rFonts w:ascii="Times New Roman" w:hAnsi="Times New Roman" w:cs="Times New Roman" w:eastAsia="Times New Roman" w:hint="default"/>
          <w:spacing w:val="-1"/>
          <w:w w:val="100"/>
        </w:rPr>
        <w:t>2015XFSD-</w:t>
      </w:r>
      <w:r>
        <w:rPr>
          <w:spacing w:val="-1"/>
          <w:w w:val="100"/>
        </w:rPr>
        <w:t>担抵字</w:t>
      </w:r>
      <w:r>
        <w:rPr>
          <w:spacing w:val="-51"/>
          <w:w w:val="100"/>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10"/>
          <w:w w:val="100"/>
        </w:rPr>
        <w:t> </w:t>
      </w:r>
      <w:r>
        <w:rPr>
          <w:spacing w:val="-15"/>
          <w:w w:val="100"/>
        </w:rPr>
        <w:t>号《抵押合同》。</w:t>
      </w:r>
    </w:p>
    <w:p>
      <w:pPr>
        <w:spacing w:line="240" w:lineRule="auto" w:before="10"/>
        <w:rPr>
          <w:rFonts w:ascii="宋体" w:hAnsi="宋体" w:cs="宋体" w:eastAsia="宋体" w:hint="default"/>
          <w:sz w:val="22"/>
          <w:szCs w:val="22"/>
        </w:rPr>
      </w:pPr>
    </w:p>
    <w:p>
      <w:pPr>
        <w:pStyle w:val="Heading2"/>
        <w:spacing w:line="240" w:lineRule="auto" w:before="0"/>
        <w:ind w:right="11"/>
        <w:jc w:val="left"/>
      </w:pPr>
      <w:r>
        <w:rPr/>
        <w:t>五、投资状况分析</w:t>
      </w:r>
    </w:p>
    <w:p>
      <w:pPr>
        <w:spacing w:line="240" w:lineRule="auto" w:before="13"/>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、总体情况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75" w:right="0"/>
              <w:jc w:val="left"/>
              <w:rPr>
                <w:rFonts w:ascii="宋体" w:hAnsi="宋体" w:cs="宋体" w:eastAsia="宋体" w:hint="default"/>
                <w:sz w:val="18"/>
                <w:szCs w:val="18"/>
              </w:rPr>
            </w:pPr>
            <w:r>
              <w:rPr>
                <w:rFonts w:ascii="宋体" w:hAnsi="宋体" w:cs="宋体" w:eastAsia="宋体" w:hint="default"/>
                <w:b/>
                <w:bCs/>
                <w:sz w:val="18"/>
                <w:szCs w:val="18"/>
              </w:rPr>
              <w:t>报告期投资额（元）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86" w:right="0"/>
              <w:jc w:val="left"/>
              <w:rPr>
                <w:rFonts w:ascii="宋体" w:hAnsi="宋体" w:cs="宋体" w:eastAsia="宋体" w:hint="default"/>
                <w:sz w:val="18"/>
                <w:szCs w:val="18"/>
              </w:rPr>
            </w:pPr>
            <w:r>
              <w:rPr>
                <w:rFonts w:ascii="宋体" w:hAnsi="宋体" w:cs="宋体" w:eastAsia="宋体" w:hint="default"/>
                <w:b/>
                <w:bCs/>
                <w:sz w:val="18"/>
                <w:szCs w:val="18"/>
              </w:rPr>
              <w:t>上年同期投资额（元）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30" w:right="0"/>
              <w:jc w:val="left"/>
              <w:rPr>
                <w:rFonts w:ascii="Times New Roman" w:hAnsi="Times New Roman" w:cs="Times New Roman" w:eastAsia="Times New Roman" w:hint="default"/>
                <w:sz w:val="18"/>
                <w:szCs w:val="18"/>
              </w:rPr>
            </w:pPr>
            <w:r>
              <w:rPr>
                <w:rFonts w:ascii="Times New Roman"/>
                <w:sz w:val="18"/>
              </w:rPr>
              <w:t>265,370,000.00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898" w:right="0"/>
              <w:jc w:val="left"/>
              <w:rPr>
                <w:rFonts w:ascii="Times New Roman" w:hAnsi="Times New Roman" w:cs="Times New Roman" w:eastAsia="Times New Roman" w:hint="default"/>
                <w:sz w:val="18"/>
                <w:szCs w:val="18"/>
              </w:rPr>
            </w:pPr>
            <w:r>
              <w:rPr>
                <w:rFonts w:ascii="Times New Roman"/>
                <w:sz w:val="18"/>
              </w:rPr>
              <w:t>1,981,304,264.94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6"/>
              <w:jc w:val="right"/>
              <w:rPr>
                <w:rFonts w:ascii="Times New Roman" w:hAnsi="Times New Roman" w:cs="Times New Roman" w:eastAsia="Times New Roman" w:hint="default"/>
                <w:sz w:val="18"/>
                <w:szCs w:val="18"/>
              </w:rPr>
            </w:pPr>
            <w:r>
              <w:rPr>
                <w:rFonts w:ascii="Times New Roman"/>
                <w:sz w:val="18"/>
              </w:rPr>
              <w:t>-86.61%</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、报告期内获取的重大的股权投资情况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80"/>
        </w:sectPr>
      </w:pPr>
    </w:p>
    <w:p>
      <w:pPr>
        <w:spacing w:line="20" w:lineRule="exact"/>
        <w:ind w:left="104" w:right="0" w:firstLine="0"/>
        <w:rPr>
          <w:rFonts w:ascii="宋体" w:hAnsi="宋体" w:cs="宋体" w:eastAsia="宋体" w:hint="default"/>
          <w:sz w:val="2"/>
          <w:szCs w:val="2"/>
        </w:rPr>
      </w:pPr>
      <w:r>
        <w:rPr/>
        <w:pict>
          <v:group style="position:absolute;margin-left:417.910004pt;margin-top:206.330002pt;width:46.35pt;height:109.85pt;mso-position-horizontal-relative:page;mso-position-vertical-relative:page;z-index:-1197664" coordorigin="8358,4127" coordsize="927,2197">
            <v:group style="position:absolute;left:8358;top:4127;width:927;height:936" coordorigin="8358,4127" coordsize="927,936">
              <v:shape style="position:absolute;left:8358;top:4127;width:927;height:936" coordorigin="8358,4127" coordsize="927,936" path="m8358,5063l9285,5063,9285,4127,8358,4127,8358,5063xe" filled="true" fillcolor="#ffffff" stroked="false">
                <v:path arrowok="t"/>
                <v:fill type="solid"/>
              </v:shape>
            </v:group>
            <v:group style="position:absolute;left:8358;top:5075;width:927;height:1249" coordorigin="8358,5075" coordsize="927,1249">
              <v:shape style="position:absolute;left:8358;top:5075;width:927;height:1249" coordorigin="8358,5075" coordsize="927,1249" path="m8358,6323l9285,6323,9285,5075,8358,5075,8358,6323xe" filled="true" fillcolor="#ffffff" stroked="false">
                <v:path arrowok="t"/>
                <v:fill type="solid"/>
              </v:shape>
            </v:group>
            <w10:wrap type="none"/>
          </v:group>
        </w:pict>
      </w:r>
      <w:r>
        <w:rPr/>
        <w:pict>
          <v:group style="position:absolute;margin-left:417.910004pt;margin-top:340.990021pt;width:46.35pt;height:86.3pt;mso-position-horizontal-relative:page;mso-position-vertical-relative:page;z-index:-1197640" coordorigin="8358,6820" coordsize="927,1726">
            <v:group style="position:absolute;left:8358;top:6820;width:927;height:1248" coordorigin="8358,6820" coordsize="927,1248">
              <v:shape style="position:absolute;left:8358;top:6820;width:927;height:1248" coordorigin="8358,6820" coordsize="927,1248" path="m8358,8068l9285,8068,9285,6820,8358,6820,8358,8068xe" filled="true" fillcolor="#ffffff" stroked="false">
                <v:path arrowok="t"/>
                <v:fill type="solid"/>
              </v:shape>
            </v:group>
            <v:group style="position:absolute;left:8358;top:8077;width:927;height:468" coordorigin="8358,8077" coordsize="927,468">
              <v:shape style="position:absolute;left:8358;top:8077;width:927;height:468" coordorigin="8358,8077" coordsize="927,468" path="m8358,8545l9285,8545,9285,8077,8358,8077,8358,8545xe" filled="true" fillcolor="#ffffff" stroked="false">
                <v:path arrowok="t"/>
                <v:fill type="solid"/>
              </v:shape>
            </v:group>
            <w10:wrap type="none"/>
          </v:group>
        </w:pict>
      </w:r>
      <w:r>
        <w:rPr/>
        <w:pict>
          <v:group style="position:absolute;margin-left:511.75pt;margin-top:340.990021pt;width:49.6pt;height:86.3pt;mso-position-horizontal-relative:page;mso-position-vertical-relative:page;z-index:-1197616" coordorigin="10235,6820" coordsize="992,1726">
            <v:group style="position:absolute;left:10235;top:6820;width:992;height:1248" coordorigin="10235,6820" coordsize="992,1248">
              <v:shape style="position:absolute;left:10235;top:6820;width:992;height:1248" coordorigin="10235,6820" coordsize="992,1248" path="m10235,8068l11226,8068,11226,6820,10235,6820,10235,8068xe" filled="true" fillcolor="#ffffff" stroked="false">
                <v:path arrowok="t"/>
                <v:fill type="solid"/>
              </v:shape>
            </v:group>
            <v:group style="position:absolute;left:10235;top:8077;width:992;height:468" coordorigin="10235,8077" coordsize="992,468">
              <v:shape style="position:absolute;left:10235;top:8077;width:992;height:468" coordorigin="10235,8077" coordsize="992,468" path="m10235,8545l11226,8545,11226,8077,10235,8077,10235,8545xe" filled="true" fillcolor="#ffffff" stroked="false">
                <v:path arrowok="t"/>
                <v:fill type="solid"/>
              </v:shape>
            </v:group>
            <w10:wrap type="none"/>
          </v:group>
        </w:pict>
      </w:r>
      <w:r>
        <w:rPr/>
        <w:pict>
          <v:group style="position:absolute;margin-left:511.75pt;margin-top:508.776001pt;width:49.6pt;height:7.8pt;mso-position-horizontal-relative:page;mso-position-vertical-relative:page;z-index:-1197592" coordorigin="10235,10176" coordsize="992,156">
            <v:shape style="position:absolute;left:10235;top:10176;width:992;height:156" coordorigin="10235,10176" coordsize="992,156" path="m10235,10332l11226,10332,11226,10176,10235,10176,10235,10332xe" filled="true" fillcolor="#ffffff" stroked="false">
              <v:path arrowok="t"/>
              <v:fill type="solid"/>
            </v:shape>
            <w10:wrap type="none"/>
          </v:group>
        </w:pict>
      </w: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994"/>
        <w:gridCol w:w="989"/>
        <w:gridCol w:w="946"/>
        <w:gridCol w:w="1181"/>
        <w:gridCol w:w="948"/>
        <w:gridCol w:w="946"/>
        <w:gridCol w:w="939"/>
        <w:gridCol w:w="936"/>
        <w:gridCol w:w="941"/>
        <w:gridCol w:w="1001"/>
        <w:gridCol w:w="1059"/>
        <w:gridCol w:w="1051"/>
        <w:gridCol w:w="1051"/>
        <w:gridCol w:w="1037"/>
      </w:tblGrid>
      <w:tr>
        <w:trPr>
          <w:trHeight w:val="81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3"/>
              <w:jc w:val="left"/>
              <w:rPr>
                <w:rFonts w:ascii="宋体" w:hAnsi="宋体" w:cs="宋体" w:eastAsia="宋体" w:hint="default"/>
                <w:sz w:val="18"/>
                <w:szCs w:val="18"/>
              </w:rPr>
            </w:pPr>
            <w:r>
              <w:rPr>
                <w:rFonts w:ascii="宋体" w:hAnsi="宋体" w:cs="宋体" w:eastAsia="宋体" w:hint="default"/>
                <w:b/>
                <w:bCs/>
                <w:spacing w:val="6"/>
                <w:sz w:val="18"/>
                <w:szCs w:val="18"/>
              </w:rPr>
              <w:t>被投资公司</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主要业务</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投资方式</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合作方</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投资期限</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产品类型</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1" w:right="23"/>
              <w:jc w:val="left"/>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spacing w:val="-66"/>
                <w:sz w:val="18"/>
                <w:szCs w:val="18"/>
              </w:rPr>
              <w:t> </w:t>
            </w:r>
            <w:r>
              <w:rPr>
                <w:rFonts w:ascii="宋体" w:hAnsi="宋体" w:cs="宋体" w:eastAsia="宋体" w:hint="default"/>
                <w:b/>
                <w:bCs/>
                <w:sz w:val="18"/>
                <w:szCs w:val="18"/>
              </w:rPr>
              <w:t>期</w:t>
            </w:r>
            <w:r>
              <w:rPr>
                <w:rFonts w:ascii="宋体" w:hAnsi="宋体" w:cs="宋体" w:eastAsia="宋体" w:hint="default"/>
                <w:b/>
                <w:bCs/>
                <w:spacing w:val="-66"/>
                <w:sz w:val="18"/>
                <w:szCs w:val="18"/>
              </w:rPr>
              <w:t> </w:t>
            </w:r>
            <w:r>
              <w:rPr>
                <w:rFonts w:ascii="宋体" w:hAnsi="宋体" w:cs="宋体" w:eastAsia="宋体" w:hint="default"/>
                <w:b/>
                <w:bCs/>
                <w:sz w:val="18"/>
                <w:szCs w:val="18"/>
              </w:rPr>
              <w:t>投</w:t>
            </w:r>
            <w:r>
              <w:rPr>
                <w:rFonts w:ascii="宋体" w:hAnsi="宋体" w:cs="宋体" w:eastAsia="宋体" w:hint="default"/>
                <w:b/>
                <w:bCs/>
                <w:spacing w:val="-68"/>
                <w:sz w:val="18"/>
                <w:szCs w:val="18"/>
              </w:rPr>
              <w:t> </w:t>
            </w:r>
            <w:r>
              <w:rPr>
                <w:rFonts w:ascii="宋体" w:hAnsi="宋体" w:cs="宋体" w:eastAsia="宋体" w:hint="default"/>
                <w:b/>
                <w:bCs/>
                <w:sz w:val="18"/>
                <w:szCs w:val="18"/>
              </w:rPr>
              <w:t>资</w:t>
            </w:r>
            <w:r>
              <w:rPr>
                <w:rFonts w:ascii="宋体" w:hAnsi="宋体" w:cs="宋体" w:eastAsia="宋体" w:hint="default"/>
                <w:b/>
                <w:bCs/>
                <w:spacing w:val="-66"/>
                <w:sz w:val="18"/>
                <w:szCs w:val="18"/>
              </w:rPr>
              <w:t> </w:t>
            </w:r>
            <w:r>
              <w:rPr>
                <w:rFonts w:ascii="宋体" w:hAnsi="宋体" w:cs="宋体" w:eastAsia="宋体" w:hint="default"/>
                <w:b/>
                <w:bCs/>
                <w:sz w:val="18"/>
                <w:szCs w:val="18"/>
              </w:rPr>
              <w:t>盈</w:t>
            </w:r>
            <w:r>
              <w:rPr>
                <w:rFonts w:ascii="宋体" w:hAnsi="宋体" w:cs="宋体" w:eastAsia="宋体" w:hint="default"/>
                <w:b/>
                <w:bCs/>
                <w:w w:val="99"/>
                <w:sz w:val="18"/>
                <w:szCs w:val="18"/>
              </w:rPr>
              <w:t> </w:t>
            </w:r>
            <w:r>
              <w:rPr>
                <w:rFonts w:ascii="宋体" w:hAnsi="宋体" w:cs="宋体" w:eastAsia="宋体" w:hint="default"/>
                <w:b/>
                <w:bCs/>
                <w:sz w:val="18"/>
                <w:szCs w:val="18"/>
              </w:rPr>
              <w:t>亏</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是否涉诉</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b/>
                <w:bCs/>
                <w:spacing w:val="-15"/>
                <w:w w:val="99"/>
                <w:sz w:val="18"/>
                <w:szCs w:val="18"/>
              </w:rPr>
              <w:t>披露日期（如</w:t>
            </w:r>
            <w:r>
              <w:rPr>
                <w:rFonts w:ascii="宋体" w:hAnsi="宋体" w:cs="宋体" w:eastAsia="宋体" w:hint="default"/>
                <w:b/>
                <w:bCs/>
                <w:spacing w:val="-86"/>
                <w:w w:val="99"/>
                <w:sz w:val="18"/>
                <w:szCs w:val="18"/>
              </w:rPr>
              <w:t> </w:t>
            </w:r>
            <w:r>
              <w:rPr>
                <w:rFonts w:ascii="宋体" w:hAnsi="宋体" w:cs="宋体" w:eastAsia="宋体" w:hint="default"/>
                <w:b/>
                <w:bCs/>
                <w:spacing w:val="-86"/>
                <w:w w:val="99"/>
                <w:sz w:val="18"/>
                <w:szCs w:val="18"/>
              </w:rPr>
            </w:r>
            <w:r>
              <w:rPr>
                <w:rFonts w:ascii="宋体" w:hAnsi="宋体" w:cs="宋体" w:eastAsia="宋体" w:hint="default"/>
                <w:b/>
                <w:bCs/>
                <w:sz w:val="18"/>
                <w:szCs w:val="18"/>
              </w:rPr>
              <w:t>有）</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pacing w:val="86"/>
                <w:w w:val="99"/>
                <w:sz w:val="18"/>
                <w:szCs w:val="18"/>
              </w:rPr>
              <w:t>披露</w:t>
            </w:r>
            <w:r>
              <w:rPr>
                <w:rFonts w:ascii="宋体" w:hAnsi="宋体" w:cs="宋体" w:eastAsia="宋体" w:hint="default"/>
                <w:b/>
                <w:bCs/>
                <w:w w:val="99"/>
                <w:sz w:val="18"/>
                <w:szCs w:val="18"/>
              </w:rPr>
              <w:t>索</w:t>
            </w:r>
            <w:r>
              <w:rPr>
                <w:rFonts w:ascii="宋体" w:hAnsi="宋体" w:cs="宋体" w:eastAsia="宋体" w:hint="default"/>
                <w:b/>
                <w:bCs/>
                <w:spacing w:val="-5"/>
                <w:sz w:val="18"/>
                <w:szCs w:val="18"/>
              </w:rPr>
              <w:t> </w:t>
            </w:r>
            <w:r>
              <w:rPr>
                <w:rFonts w:ascii="宋体" w:hAnsi="宋体" w:cs="宋体" w:eastAsia="宋体" w:hint="default"/>
                <w:b/>
                <w:bCs/>
                <w:w w:val="99"/>
                <w:sz w:val="18"/>
                <w:szCs w:val="18"/>
              </w:rPr>
              <w:t>引</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b/>
                <w:bCs/>
                <w:sz w:val="18"/>
                <w:szCs w:val="18"/>
              </w:rPr>
              <w:t>（如有）</w:t>
            </w:r>
            <w:r>
              <w:rPr>
                <w:rFonts w:ascii="宋体" w:hAnsi="宋体" w:cs="宋体" w:eastAsia="宋体" w:hint="default"/>
                <w:sz w:val="18"/>
                <w:szCs w:val="18"/>
              </w:rPr>
            </w:r>
          </w:p>
        </w:tc>
      </w:tr>
      <w:tr>
        <w:trPr>
          <w:trHeight w:val="23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都在哪智慧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9" w:lineRule="auto"/>
              <w:ind w:left="21" w:right="19"/>
              <w:jc w:val="both"/>
              <w:rPr>
                <w:rFonts w:ascii="宋体" w:hAnsi="宋体" w:cs="宋体" w:eastAsia="宋体" w:hint="default"/>
                <w:sz w:val="18"/>
                <w:szCs w:val="18"/>
              </w:rPr>
            </w:pPr>
            <w:r>
              <w:rPr>
                <w:rFonts w:ascii="宋体" w:hAnsi="宋体" w:cs="宋体" w:eastAsia="宋体" w:hint="default"/>
                <w:spacing w:val="48"/>
                <w:sz w:val="18"/>
                <w:szCs w:val="18"/>
              </w:rPr>
              <w:t>时空大</w:t>
            </w:r>
            <w:r>
              <w:rPr>
                <w:rFonts w:ascii="宋体" w:hAnsi="宋体" w:cs="宋体" w:eastAsia="宋体" w:hint="default"/>
                <w:spacing w:val="-18"/>
                <w:sz w:val="18"/>
                <w:szCs w:val="18"/>
              </w:rPr>
              <w:t> </w:t>
            </w:r>
            <w:r>
              <w:rPr>
                <w:rFonts w:ascii="宋体" w:hAnsi="宋体" w:cs="宋体" w:eastAsia="宋体" w:hint="default"/>
                <w:sz w:val="18"/>
                <w:szCs w:val="18"/>
              </w:rPr>
              <w:t>数</w:t>
            </w:r>
            <w:r>
              <w:rPr>
                <w:rFonts w:ascii="宋体" w:hAnsi="宋体" w:cs="宋体" w:eastAsia="宋体" w:hint="default"/>
                <w:sz w:val="18"/>
                <w:szCs w:val="18"/>
              </w:rPr>
              <w:t> </w:t>
            </w:r>
            <w:r>
              <w:rPr>
                <w:rFonts w:ascii="宋体" w:hAnsi="宋体" w:cs="宋体" w:eastAsia="宋体" w:hint="default"/>
                <w:spacing w:val="6"/>
                <w:sz w:val="18"/>
                <w:szCs w:val="18"/>
              </w:rPr>
              <w:t>据、智慧城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z w:val="18"/>
              </w:rPr>
              <w:t>31.00%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106"/>
              <w:ind w:left="21" w:right="-41"/>
              <w:jc w:val="both"/>
              <w:rPr>
                <w:rFonts w:ascii="宋体" w:hAnsi="宋体" w:cs="宋体" w:eastAsia="宋体" w:hint="default"/>
                <w:sz w:val="18"/>
                <w:szCs w:val="18"/>
              </w:rPr>
            </w:pPr>
            <w:r>
              <w:rPr>
                <w:rFonts w:ascii="宋体" w:hAnsi="宋体" w:cs="宋体" w:eastAsia="宋体" w:hint="default"/>
                <w:spacing w:val="41"/>
                <w:sz w:val="18"/>
                <w:szCs w:val="18"/>
              </w:rPr>
              <w:t>北京都在</w:t>
            </w:r>
            <w:r>
              <w:rPr>
                <w:rFonts w:ascii="宋体" w:hAnsi="宋体" w:cs="宋体" w:eastAsia="宋体" w:hint="default"/>
                <w:spacing w:val="-35"/>
                <w:sz w:val="18"/>
                <w:szCs w:val="18"/>
              </w:rPr>
              <w:t> </w:t>
            </w:r>
            <w:r>
              <w:rPr>
                <w:rFonts w:ascii="宋体" w:hAnsi="宋体" w:cs="宋体" w:eastAsia="宋体" w:hint="default"/>
                <w:spacing w:val="41"/>
                <w:sz w:val="18"/>
                <w:szCs w:val="18"/>
              </w:rPr>
              <w:t>哪网讯科</w:t>
            </w:r>
            <w:r>
              <w:rPr>
                <w:rFonts w:ascii="宋体" w:hAnsi="宋体" w:cs="宋体" w:eastAsia="宋体" w:hint="default"/>
                <w:spacing w:val="-35"/>
                <w:sz w:val="18"/>
                <w:szCs w:val="18"/>
              </w:rPr>
              <w:t> </w:t>
            </w:r>
            <w:r>
              <w:rPr>
                <w:rFonts w:ascii="宋体" w:hAnsi="宋体" w:cs="宋体" w:eastAsia="宋体" w:hint="default"/>
                <w:spacing w:val="41"/>
                <w:sz w:val="18"/>
                <w:szCs w:val="18"/>
              </w:rPr>
              <w:t>技有限公</w:t>
            </w:r>
            <w:r>
              <w:rPr>
                <w:rFonts w:ascii="宋体" w:hAnsi="宋体" w:cs="宋体" w:eastAsia="宋体" w:hint="default"/>
                <w:spacing w:val="-35"/>
                <w:sz w:val="18"/>
                <w:szCs w:val="18"/>
              </w:rPr>
              <w:t> </w:t>
            </w:r>
            <w:r>
              <w:rPr>
                <w:rFonts w:ascii="宋体" w:hAnsi="宋体" w:cs="宋体" w:eastAsia="宋体" w:hint="default"/>
                <w:spacing w:val="-4"/>
                <w:sz w:val="18"/>
                <w:szCs w:val="18"/>
              </w:rPr>
              <w:t>司、武汉力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龙信息科</w:t>
            </w:r>
            <w:r>
              <w:rPr>
                <w:rFonts w:ascii="宋体" w:hAnsi="宋体" w:cs="宋体" w:eastAsia="宋体" w:hint="default"/>
                <w:spacing w:val="-35"/>
                <w:sz w:val="18"/>
                <w:szCs w:val="18"/>
              </w:rPr>
              <w:t> </w:t>
            </w:r>
            <w:r>
              <w:rPr>
                <w:rFonts w:ascii="宋体" w:hAnsi="宋体" w:cs="宋体" w:eastAsia="宋体" w:hint="default"/>
                <w:spacing w:val="41"/>
                <w:sz w:val="18"/>
                <w:szCs w:val="18"/>
              </w:rPr>
              <w:t>技股份有</w:t>
            </w:r>
            <w:r>
              <w:rPr>
                <w:rFonts w:ascii="宋体" w:hAnsi="宋体" w:cs="宋体" w:eastAsia="宋体" w:hint="default"/>
                <w:spacing w:val="-35"/>
                <w:sz w:val="18"/>
                <w:szCs w:val="18"/>
              </w:rPr>
              <w:t> </w:t>
            </w:r>
            <w:r>
              <w:rPr>
                <w:rFonts w:ascii="宋体" w:hAnsi="宋体" w:cs="宋体" w:eastAsia="宋体" w:hint="default"/>
                <w:sz w:val="18"/>
                <w:szCs w:val="18"/>
              </w:rPr>
              <w:t>限公司</w:t>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936" w:lineRule="exact"/>
              <w:ind w:left="-8"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6.35pt;height:46.8pt;mso-position-horizontal-relative:char;mso-position-vertical-relative:line" coordorigin="0,0" coordsize="927,936">
                  <v:group style="position:absolute;left:0;top:0;width:927;height:936" coordorigin="0,0" coordsize="927,936">
                    <v:shape style="position:absolute;left:0;top:0;width:927;height:936" coordorigin="0,0" coordsize="927,936" path="m0,936l926,936,926,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107"/>
              <w:ind w:left="16"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9" w:lineRule="auto"/>
              <w:ind w:left="23" w:right="-40"/>
              <w:jc w:val="both"/>
              <w:rPr>
                <w:rFonts w:ascii="宋体" w:hAnsi="宋体" w:cs="宋体" w:eastAsia="宋体" w:hint="default"/>
                <w:sz w:val="18"/>
                <w:szCs w:val="18"/>
              </w:rPr>
            </w:pPr>
            <w:r>
              <w:rPr>
                <w:rFonts w:ascii="宋体" w:hAnsi="宋体" w:cs="宋体" w:eastAsia="宋体" w:hint="default"/>
                <w:spacing w:val="41"/>
                <w:sz w:val="18"/>
                <w:szCs w:val="18"/>
              </w:rPr>
              <w:t>智慧城市</w:t>
            </w:r>
            <w:r>
              <w:rPr>
                <w:rFonts w:ascii="宋体" w:hAnsi="宋体" w:cs="宋体" w:eastAsia="宋体" w:hint="default"/>
                <w:spacing w:val="-35"/>
                <w:sz w:val="18"/>
                <w:szCs w:val="18"/>
              </w:rPr>
              <w:t> </w:t>
            </w:r>
            <w:r>
              <w:rPr>
                <w:rFonts w:ascii="宋体" w:hAnsi="宋体" w:cs="宋体" w:eastAsia="宋体" w:hint="default"/>
                <w:spacing w:val="41"/>
                <w:sz w:val="18"/>
                <w:szCs w:val="18"/>
              </w:rPr>
              <w:t>综合服务</w:t>
            </w:r>
            <w:r>
              <w:rPr>
                <w:rFonts w:ascii="宋体" w:hAnsi="宋体" w:cs="宋体" w:eastAsia="宋体" w:hint="default"/>
                <w:spacing w:val="-35"/>
                <w:sz w:val="18"/>
                <w:szCs w:val="18"/>
              </w:rPr>
              <w:t> </w:t>
            </w:r>
            <w:r>
              <w:rPr>
                <w:rFonts w:ascii="宋体" w:hAnsi="宋体" w:cs="宋体" w:eastAsia="宋体" w:hint="default"/>
                <w:sz w:val="18"/>
                <w:szCs w:val="18"/>
              </w:rPr>
              <w:t>平台</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6"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9.6pt;height:46.8pt;mso-position-horizontal-relative:char;mso-position-vertical-relative:line" coordorigin="0,0" coordsize="992,936">
                  <v:group style="position:absolute;left:0;top:0;width:992;height:936" coordorigin="0,0" coordsize="992,936">
                    <v:shape style="position:absolute;left:0;top:0;width:992;height:936" coordorigin="0,0" coordsize="992,936" path="m0,936l991,936,991,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149"/>
              <w:ind w:left="15" w:right="0"/>
              <w:jc w:val="left"/>
              <w:rPr>
                <w:rFonts w:ascii="Times New Roman" w:hAnsi="Times New Roman" w:cs="Times New Roman" w:eastAsia="Times New Roman" w:hint="default"/>
                <w:sz w:val="18"/>
                <w:szCs w:val="18"/>
              </w:rPr>
            </w:pPr>
            <w:r>
              <w:rPr>
                <w:rFonts w:ascii="Times New Roman"/>
                <w:sz w:val="18"/>
              </w:rPr>
              <w:t>2,000,000.00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2017-014</w:t>
            </w:r>
          </w:p>
        </w:tc>
      </w:tr>
      <w:tr>
        <w:trPr>
          <w:trHeight w:val="300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湘潭创新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1" w:right="20"/>
              <w:jc w:val="both"/>
              <w:rPr>
                <w:rFonts w:ascii="宋体" w:hAnsi="宋体" w:cs="宋体" w:eastAsia="宋体" w:hint="default"/>
                <w:sz w:val="18"/>
                <w:szCs w:val="18"/>
              </w:rPr>
            </w:pPr>
            <w:r>
              <w:rPr>
                <w:rFonts w:ascii="宋体" w:hAnsi="宋体" w:cs="宋体" w:eastAsia="宋体" w:hint="default"/>
                <w:spacing w:val="6"/>
                <w:sz w:val="18"/>
                <w:szCs w:val="18"/>
              </w:rPr>
              <w:t>投资于湖南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湘潭市精美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湘潭建设领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域内的项目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104"/>
              <w:ind w:left="21" w:right="-41"/>
              <w:jc w:val="both"/>
              <w:rPr>
                <w:rFonts w:ascii="宋体" w:hAnsi="宋体" w:cs="宋体" w:eastAsia="宋体" w:hint="default"/>
                <w:sz w:val="18"/>
                <w:szCs w:val="18"/>
              </w:rPr>
            </w:pPr>
            <w:r>
              <w:rPr>
                <w:rFonts w:ascii="宋体" w:hAnsi="宋体" w:cs="宋体" w:eastAsia="宋体" w:hint="default"/>
                <w:spacing w:val="41"/>
                <w:sz w:val="18"/>
                <w:szCs w:val="18"/>
              </w:rPr>
              <w:t>湘潭中星</w:t>
            </w:r>
            <w:r>
              <w:rPr>
                <w:rFonts w:ascii="宋体" w:hAnsi="宋体" w:cs="宋体" w:eastAsia="宋体" w:hint="default"/>
                <w:spacing w:val="-35"/>
                <w:sz w:val="18"/>
                <w:szCs w:val="18"/>
              </w:rPr>
              <w:t> </w:t>
            </w:r>
            <w:r>
              <w:rPr>
                <w:rFonts w:ascii="宋体" w:hAnsi="宋体" w:cs="宋体" w:eastAsia="宋体" w:hint="default"/>
                <w:spacing w:val="41"/>
                <w:sz w:val="18"/>
                <w:szCs w:val="18"/>
              </w:rPr>
              <w:t>电子有限</w:t>
            </w:r>
            <w:r>
              <w:rPr>
                <w:rFonts w:ascii="宋体" w:hAnsi="宋体" w:cs="宋体" w:eastAsia="宋体" w:hint="default"/>
                <w:spacing w:val="-35"/>
                <w:sz w:val="18"/>
                <w:szCs w:val="18"/>
              </w:rPr>
              <w:t> </w:t>
            </w:r>
            <w:r>
              <w:rPr>
                <w:rFonts w:ascii="宋体" w:hAnsi="宋体" w:cs="宋体" w:eastAsia="宋体" w:hint="default"/>
                <w:spacing w:val="-4"/>
                <w:sz w:val="18"/>
                <w:szCs w:val="18"/>
              </w:rPr>
              <w:t>公司、瑾泰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资本管理</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316" w:lineRule="auto" w:before="19"/>
              <w:ind w:left="21" w:right="-41"/>
              <w:jc w:val="both"/>
              <w:rPr>
                <w:rFonts w:ascii="宋体" w:hAnsi="宋体" w:cs="宋体" w:eastAsia="宋体" w:hint="default"/>
                <w:sz w:val="18"/>
                <w:szCs w:val="18"/>
              </w:rPr>
            </w:pPr>
            <w:r>
              <w:rPr>
                <w:rFonts w:ascii="宋体" w:hAnsi="宋体" w:cs="宋体" w:eastAsia="宋体" w:hint="default"/>
                <w:spacing w:val="-4"/>
                <w:sz w:val="18"/>
                <w:szCs w:val="18"/>
              </w:rPr>
              <w:t>（北京）有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京介直投</w:t>
            </w:r>
            <w:r>
              <w:rPr>
                <w:rFonts w:ascii="宋体" w:hAnsi="宋体" w:cs="宋体" w:eastAsia="宋体" w:hint="default"/>
                <w:spacing w:val="-35"/>
                <w:sz w:val="18"/>
                <w:szCs w:val="18"/>
              </w:rPr>
              <w:t> </w:t>
            </w:r>
            <w:r>
              <w:rPr>
                <w:rFonts w:ascii="宋体" w:hAnsi="宋体" w:cs="宋体" w:eastAsia="宋体" w:hint="default"/>
                <w:spacing w:val="41"/>
                <w:sz w:val="18"/>
                <w:szCs w:val="18"/>
              </w:rPr>
              <w:t>资有限公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3" w:right="-40"/>
              <w:jc w:val="both"/>
              <w:rPr>
                <w:rFonts w:ascii="宋体" w:hAnsi="宋体" w:cs="宋体" w:eastAsia="宋体" w:hint="default"/>
                <w:sz w:val="18"/>
                <w:szCs w:val="18"/>
              </w:rPr>
            </w:pPr>
            <w:r>
              <w:rPr>
                <w:rFonts w:ascii="宋体" w:hAnsi="宋体" w:cs="宋体" w:eastAsia="宋体" w:hint="default"/>
                <w:spacing w:val="41"/>
                <w:sz w:val="18"/>
                <w:szCs w:val="18"/>
              </w:rPr>
              <w:t>湖南湘潭</w:t>
            </w:r>
            <w:r>
              <w:rPr>
                <w:rFonts w:ascii="宋体" w:hAnsi="宋体" w:cs="宋体" w:eastAsia="宋体" w:hint="default"/>
                <w:spacing w:val="-35"/>
                <w:sz w:val="18"/>
                <w:szCs w:val="18"/>
              </w:rPr>
              <w:t> </w:t>
            </w:r>
            <w:r>
              <w:rPr>
                <w:rFonts w:ascii="宋体" w:hAnsi="宋体" w:cs="宋体" w:eastAsia="宋体" w:hint="default"/>
                <w:spacing w:val="41"/>
                <w:sz w:val="18"/>
                <w:szCs w:val="18"/>
              </w:rPr>
              <w:t>市精美湘</w:t>
            </w:r>
            <w:r>
              <w:rPr>
                <w:rFonts w:ascii="宋体" w:hAnsi="宋体" w:cs="宋体" w:eastAsia="宋体" w:hint="default"/>
                <w:spacing w:val="-35"/>
                <w:sz w:val="18"/>
                <w:szCs w:val="18"/>
              </w:rPr>
              <w:t> </w:t>
            </w:r>
            <w:r>
              <w:rPr>
                <w:rFonts w:ascii="宋体" w:hAnsi="宋体" w:cs="宋体" w:eastAsia="宋体" w:hint="default"/>
                <w:spacing w:val="41"/>
                <w:sz w:val="18"/>
                <w:szCs w:val="18"/>
              </w:rPr>
              <w:t>潭建设领</w:t>
            </w:r>
            <w:r>
              <w:rPr>
                <w:rFonts w:ascii="宋体" w:hAnsi="宋体" w:cs="宋体" w:eastAsia="宋体" w:hint="default"/>
                <w:spacing w:val="-35"/>
                <w:sz w:val="18"/>
                <w:szCs w:val="18"/>
              </w:rPr>
              <w:t> </w:t>
            </w:r>
            <w:r>
              <w:rPr>
                <w:rFonts w:ascii="宋体" w:hAnsi="宋体" w:cs="宋体" w:eastAsia="宋体" w:hint="default"/>
                <w:spacing w:val="41"/>
                <w:sz w:val="18"/>
                <w:szCs w:val="18"/>
              </w:rPr>
              <w:t>域内的项</w:t>
            </w:r>
            <w:r>
              <w:rPr>
                <w:rFonts w:ascii="宋体" w:hAnsi="宋体" w:cs="宋体" w:eastAsia="宋体" w:hint="default"/>
                <w:spacing w:val="-35"/>
                <w:sz w:val="18"/>
                <w:szCs w:val="18"/>
              </w:rPr>
              <w:t> </w:t>
            </w:r>
            <w:r>
              <w:rPr>
                <w:rFonts w:ascii="宋体" w:hAnsi="宋体" w:cs="宋体" w:eastAsia="宋体" w:hint="default"/>
                <w:sz w:val="18"/>
                <w:szCs w:val="18"/>
              </w:rPr>
              <w:t>目</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1248" w:lineRule="exact"/>
              <w:ind w:left="-6"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49.6pt;height:62.45pt;mso-position-horizontal-relative:char;mso-position-vertical-relative:line" coordorigin="0,0" coordsize="992,1249">
                  <v:group style="position:absolute;left:0;top:0;width:992;height:1249" coordorigin="0,0" coordsize="992,1249">
                    <v:shape style="position:absolute;left:0;top:0;width:992;height:1249" coordorigin="0,0" coordsize="992,1249" path="m0,1248l991,1248,991,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2017-087</w:t>
            </w:r>
          </w:p>
        </w:tc>
      </w:tr>
      <w:tr>
        <w:trPr>
          <w:trHeight w:val="14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湘潭智城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1" w:right="20"/>
              <w:jc w:val="left"/>
              <w:rPr>
                <w:rFonts w:ascii="宋体" w:hAnsi="宋体" w:cs="宋体" w:eastAsia="宋体" w:hint="default"/>
                <w:sz w:val="18"/>
                <w:szCs w:val="18"/>
              </w:rPr>
            </w:pPr>
            <w:r>
              <w:rPr>
                <w:rFonts w:ascii="宋体" w:hAnsi="宋体" w:cs="宋体" w:eastAsia="宋体" w:hint="default"/>
                <w:spacing w:val="6"/>
                <w:sz w:val="18"/>
                <w:szCs w:val="18"/>
              </w:rPr>
              <w:t>湘潭智慧城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50,310,000.00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8"/>
              <w:jc w:val="right"/>
              <w:rPr>
                <w:rFonts w:ascii="Times New Roman" w:hAnsi="Times New Roman" w:cs="Times New Roman" w:eastAsia="Times New Roman" w:hint="default"/>
                <w:sz w:val="18"/>
                <w:szCs w:val="18"/>
              </w:rPr>
            </w:pPr>
            <w:r>
              <w:rPr>
                <w:rFonts w:ascii="Times New Roman"/>
                <w:sz w:val="18"/>
              </w:rPr>
              <w:t>10.00%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101"/>
              <w:ind w:left="21" w:right="-41"/>
              <w:jc w:val="both"/>
              <w:rPr>
                <w:rFonts w:ascii="宋体" w:hAnsi="宋体" w:cs="宋体" w:eastAsia="宋体" w:hint="default"/>
                <w:sz w:val="18"/>
                <w:szCs w:val="18"/>
              </w:rPr>
            </w:pPr>
            <w:r>
              <w:rPr>
                <w:rFonts w:ascii="宋体" w:hAnsi="宋体" w:cs="宋体" w:eastAsia="宋体" w:hint="default"/>
                <w:spacing w:val="41"/>
                <w:sz w:val="18"/>
                <w:szCs w:val="18"/>
              </w:rPr>
              <w:t>湘潭产业</w:t>
            </w:r>
            <w:r>
              <w:rPr>
                <w:rFonts w:ascii="宋体" w:hAnsi="宋体" w:cs="宋体" w:eastAsia="宋体" w:hint="default"/>
                <w:spacing w:val="-35"/>
                <w:sz w:val="18"/>
                <w:szCs w:val="18"/>
              </w:rPr>
              <w:t> </w:t>
            </w:r>
            <w:r>
              <w:rPr>
                <w:rFonts w:ascii="宋体" w:hAnsi="宋体" w:cs="宋体" w:eastAsia="宋体" w:hint="default"/>
                <w:spacing w:val="41"/>
                <w:sz w:val="18"/>
                <w:szCs w:val="18"/>
              </w:rPr>
              <w:t>投资发展</w:t>
            </w:r>
            <w:r>
              <w:rPr>
                <w:rFonts w:ascii="宋体" w:hAnsi="宋体" w:cs="宋体" w:eastAsia="宋体" w:hint="default"/>
                <w:spacing w:val="-35"/>
                <w:sz w:val="18"/>
                <w:szCs w:val="18"/>
              </w:rPr>
              <w:t> </w:t>
            </w:r>
            <w:r>
              <w:rPr>
                <w:rFonts w:ascii="宋体" w:hAnsi="宋体" w:cs="宋体" w:eastAsia="宋体" w:hint="default"/>
                <w:spacing w:val="36"/>
                <w:sz w:val="18"/>
                <w:szCs w:val="18"/>
              </w:rPr>
              <w:t>集团有</w:t>
            </w:r>
            <w:r>
              <w:rPr>
                <w:rFonts w:ascii="宋体" w:hAnsi="宋体" w:cs="宋体" w:eastAsia="宋体" w:hint="default"/>
                <w:spacing w:val="-3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09" w:lineRule="auto"/>
              <w:ind w:left="23" w:right="-40"/>
              <w:jc w:val="both"/>
              <w:rPr>
                <w:rFonts w:ascii="宋体" w:hAnsi="宋体" w:cs="宋体" w:eastAsia="宋体" w:hint="default"/>
                <w:sz w:val="18"/>
                <w:szCs w:val="18"/>
              </w:rPr>
            </w:pPr>
            <w:r>
              <w:rPr>
                <w:rFonts w:ascii="宋体" w:hAnsi="宋体" w:cs="宋体" w:eastAsia="宋体" w:hint="default"/>
                <w:spacing w:val="41"/>
                <w:sz w:val="18"/>
                <w:szCs w:val="18"/>
              </w:rPr>
              <w:t>湘潭智慧</w:t>
            </w:r>
            <w:r>
              <w:rPr>
                <w:rFonts w:ascii="宋体" w:hAnsi="宋体" w:cs="宋体" w:eastAsia="宋体" w:hint="default"/>
                <w:spacing w:val="-35"/>
                <w:sz w:val="18"/>
                <w:szCs w:val="18"/>
              </w:rPr>
              <w:t> </w:t>
            </w:r>
            <w:r>
              <w:rPr>
                <w:rFonts w:ascii="宋体" w:hAnsi="宋体" w:cs="宋体" w:eastAsia="宋体" w:hint="default"/>
                <w:spacing w:val="33"/>
                <w:sz w:val="18"/>
                <w:szCs w:val="18"/>
              </w:rPr>
              <w:t>城市</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2017-117</w:t>
            </w:r>
          </w:p>
        </w:tc>
      </w:tr>
      <w:tr>
        <w:trPr>
          <w:trHeight w:val="82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清创华元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21" w:right="20"/>
              <w:jc w:val="left"/>
              <w:rPr>
                <w:rFonts w:ascii="宋体" w:hAnsi="宋体" w:cs="宋体" w:eastAsia="宋体" w:hint="default"/>
                <w:sz w:val="18"/>
                <w:szCs w:val="18"/>
              </w:rPr>
            </w:pPr>
            <w:r>
              <w:rPr>
                <w:rFonts w:ascii="宋体" w:hAnsi="宋体" w:cs="宋体" w:eastAsia="宋体" w:hint="default"/>
                <w:spacing w:val="6"/>
                <w:sz w:val="18"/>
                <w:szCs w:val="18"/>
              </w:rPr>
              <w:t>投资于大数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据智能制造</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47"/>
              <w:ind w:left="21" w:right="-41"/>
              <w:jc w:val="left"/>
              <w:rPr>
                <w:rFonts w:ascii="宋体" w:hAnsi="宋体" w:cs="宋体" w:eastAsia="宋体" w:hint="default"/>
                <w:sz w:val="18"/>
                <w:szCs w:val="18"/>
              </w:rPr>
            </w:pPr>
            <w:r>
              <w:rPr>
                <w:rFonts w:ascii="宋体" w:hAnsi="宋体" w:cs="宋体" w:eastAsia="宋体" w:hint="default"/>
                <w:spacing w:val="41"/>
                <w:sz w:val="18"/>
                <w:szCs w:val="18"/>
              </w:rPr>
              <w:t>清创华能</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pacing w:val="-4"/>
                <w:sz w:val="18"/>
                <w:szCs w:val="18"/>
              </w:rPr>
              <w:t>（厦门）投</w:t>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47"/>
              <w:ind w:left="23" w:right="-40"/>
              <w:jc w:val="left"/>
              <w:rPr>
                <w:rFonts w:ascii="宋体" w:hAnsi="宋体" w:cs="宋体" w:eastAsia="宋体" w:hint="default"/>
                <w:sz w:val="18"/>
                <w:szCs w:val="18"/>
              </w:rPr>
            </w:pPr>
            <w:r>
              <w:rPr>
                <w:rFonts w:ascii="宋体" w:hAnsi="宋体" w:cs="宋体" w:eastAsia="宋体" w:hint="default"/>
                <w:spacing w:val="41"/>
                <w:sz w:val="18"/>
                <w:szCs w:val="18"/>
              </w:rPr>
              <w:t>大数据智</w:t>
            </w:r>
            <w:r>
              <w:rPr>
                <w:rFonts w:ascii="宋体" w:hAnsi="宋体" w:cs="宋体" w:eastAsia="宋体" w:hint="default"/>
                <w:spacing w:val="-35"/>
                <w:sz w:val="18"/>
                <w:szCs w:val="18"/>
              </w:rPr>
              <w:t> </w:t>
            </w:r>
            <w:r>
              <w:rPr>
                <w:rFonts w:ascii="宋体" w:hAnsi="宋体" w:cs="宋体" w:eastAsia="宋体" w:hint="default"/>
                <w:spacing w:val="41"/>
                <w:sz w:val="18"/>
                <w:szCs w:val="18"/>
              </w:rPr>
              <w:t>能制造与</w:t>
            </w:r>
            <w:r>
              <w:rPr>
                <w:rFonts w:ascii="宋体" w:hAnsi="宋体" w:cs="宋体" w:eastAsia="宋体" w:hint="default"/>
                <w:spacing w:val="-35"/>
                <w:sz w:val="18"/>
                <w:szCs w:val="18"/>
              </w:rPr>
              <w:t> </w:t>
            </w:r>
            <w:r>
              <w:rPr>
                <w:rFonts w:ascii="宋体" w:hAnsi="宋体" w:cs="宋体" w:eastAsia="宋体" w:hint="default"/>
                <w:sz w:val="18"/>
                <w:szCs w:val="18"/>
              </w:rPr>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2017-098</w:t>
            </w:r>
          </w:p>
        </w:tc>
      </w:tr>
    </w:tbl>
    <w:p>
      <w:pPr>
        <w:spacing w:after="0" w:line="240" w:lineRule="auto"/>
        <w:jc w:val="lef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882" w:footer="1132" w:top="1280" w:bottom="1320" w:left="1300" w:right="1280"/>
          <w:pgNumType w:start="32"/>
        </w:sectPr>
      </w:pPr>
    </w:p>
    <w:p>
      <w:pPr>
        <w:spacing w:line="240" w:lineRule="auto" w:before="9"/>
        <w:rPr>
          <w:rFonts w:ascii="Times New Roman" w:hAnsi="Times New Roman" w:cs="Times New Roman" w:eastAsia="Times New Roman" w:hint="default"/>
          <w:sz w:val="14"/>
          <w:szCs w:val="14"/>
        </w:rPr>
      </w:pPr>
      <w:r>
        <w:rPr/>
        <w:pict>
          <v:group style="position:absolute;margin-left:417.910004pt;margin-top:65.300011pt;width:46.35pt;height:114.25pt;mso-position-horizontal-relative:page;mso-position-vertical-relative:page;z-index:-1197544" coordorigin="8358,1306" coordsize="927,2285">
            <v:group style="position:absolute;left:8358;top:1306;width:927;height:1028" coordorigin="8358,1306" coordsize="927,1028">
              <v:shape style="position:absolute;left:8358;top:1306;width:927;height:1028" coordorigin="8358,1306" coordsize="927,1028" path="m8358,2333l9285,2333,9285,1306,8358,1306,8358,2333xe" filled="true" fillcolor="#ffffff" stroked="false">
                <v:path arrowok="t"/>
                <v:fill type="solid"/>
              </v:shape>
            </v:group>
            <v:group style="position:absolute;left:8358;top:2343;width:927;height:1248" coordorigin="8358,2343" coordsize="927,1248">
              <v:shape style="position:absolute;left:8358;top:2343;width:927;height:1248" coordorigin="8358,2343" coordsize="927,1248" path="m8358,3591l9285,3591,9285,2343,8358,2343,8358,3591xe" filled="true" fillcolor="#ffffff" stroked="false">
                <v:path arrowok="t"/>
                <v:fill type="solid"/>
              </v:shape>
            </v:group>
            <w10:wrap type="none"/>
          </v:group>
        </w:pict>
      </w:r>
      <w:r>
        <w:rPr/>
        <w:pict>
          <v:group style="position:absolute;margin-left:511.75pt;margin-top:65.300011pt;width:49.6pt;height:114.25pt;mso-position-horizontal-relative:page;mso-position-vertical-relative:page;z-index:-1197520" coordorigin="10235,1306" coordsize="992,2285">
            <v:group style="position:absolute;left:10235;top:1306;width:992;height:1028" coordorigin="10235,1306" coordsize="992,1028">
              <v:shape style="position:absolute;left:10235;top:1306;width:992;height:1028" coordorigin="10235,1306" coordsize="992,1028" path="m10235,2333l11226,2333,11226,1306,10235,1306,10235,2333xe" filled="true" fillcolor="#ffffff" stroked="false">
                <v:path arrowok="t"/>
                <v:fill type="solid"/>
              </v:shape>
            </v:group>
            <v:group style="position:absolute;left:10235;top:2343;width:992;height:1248" coordorigin="10235,2343" coordsize="992,1248">
              <v:shape style="position:absolute;left:10235;top:2343;width:992;height:1248" coordorigin="10235,2343" coordsize="992,1248" path="m10235,3591l11226,3591,11226,2343,10235,2343,10235,3591xe" filled="true" fillcolor="#ffffff" stroked="false">
                <v:path arrowok="t"/>
                <v:fill type="solid"/>
              </v:shape>
            </v:group>
            <w10:wrap type="none"/>
          </v:group>
        </w:pict>
      </w:r>
      <w:r>
        <w:rPr/>
        <w:pict>
          <v:group style="position:absolute;margin-left:417.910004pt;margin-top:204.530014pt;width:46.35pt;height:62.4pt;mso-position-horizontal-relative:page;mso-position-vertical-relative:page;z-index:-1197496" coordorigin="8358,4091" coordsize="927,1248">
            <v:shape style="position:absolute;left:8358;top:4091;width:927;height:1248" coordorigin="8358,4091" coordsize="927,1248" path="m8358,5339l9285,5339,9285,4091,8358,4091,8358,5339xe" filled="true" fillcolor="#ffffff" stroked="false">
              <v:path arrowok="t"/>
              <v:fill type="solid"/>
            </v:shape>
            <w10:wrap type="none"/>
          </v:group>
        </w:pict>
      </w:r>
      <w:r>
        <w:rPr/>
        <w:pict>
          <v:group style="position:absolute;margin-left:511.75pt;margin-top:204.530014pt;width:49.6pt;height:117.5pt;mso-position-horizontal-relative:page;mso-position-vertical-relative:page;z-index:-1197472" coordorigin="10235,4091" coordsize="992,2350">
            <v:group style="position:absolute;left:10235;top:4091;width:992;height:1248" coordorigin="10235,4091" coordsize="992,1248">
              <v:shape style="position:absolute;left:10235;top:4091;width:992;height:1248" coordorigin="10235,4091" coordsize="992,1248" path="m10235,5339l11226,5339,11226,4091,10235,4091,10235,5339xe" filled="true" fillcolor="#ffffff" stroked="false">
                <v:path arrowok="t"/>
                <v:fill type="solid"/>
              </v:shape>
            </v:group>
            <v:group style="position:absolute;left:10235;top:5348;width:992;height:1093" coordorigin="10235,5348" coordsize="992,1093">
              <v:shape style="position:absolute;left:10235;top:5348;width:992;height:1093" coordorigin="10235,5348" coordsize="992,1093" path="m10235,6441l11226,6441,11226,5348,10235,5348,10235,6441xe" filled="true" fillcolor="#ffffff" stroked="false">
                <v:path arrowok="t"/>
                <v:fill type="solid"/>
              </v:shape>
            </v:group>
            <w10:wrap type="none"/>
          </v:group>
        </w:pict>
      </w:r>
      <w:r>
        <w:rPr/>
        <w:pict>
          <v:group style="position:absolute;margin-left:511.75pt;margin-top:346.990021pt;width:49.6pt;height:99.55pt;mso-position-horizontal-relative:page;mso-position-vertical-relative:page;z-index:-1197448" coordorigin="10235,6940" coordsize="992,1991">
            <v:group style="position:absolute;left:10235;top:6940;width:992;height:1092" coordorigin="10235,6940" coordsize="992,1092">
              <v:shape style="position:absolute;left:10235;top:6940;width:992;height:1092" coordorigin="10235,6940" coordsize="992,1092" path="m10235,8032l11226,8032,11226,6940,10235,6940,10235,8032xe" filled="true" fillcolor="#ffffff" stroked="false">
                <v:path arrowok="t"/>
                <v:fill type="solid"/>
              </v:shape>
            </v:group>
            <v:group style="position:absolute;left:10235;top:8042;width:992;height:889" coordorigin="10235,8042" coordsize="992,889">
              <v:shape style="position:absolute;left:10235;top:8042;width:992;height:889" coordorigin="10235,8042" coordsize="992,889" path="m10235,8930l11226,8930,11226,8042,10235,8042,10235,8930xe" filled="true" fillcolor="#ffffff" stroked="false">
                <v:path arrowok="t"/>
                <v:fill type="solid"/>
              </v:shape>
            </v:group>
            <w10:wrap type="none"/>
          </v:group>
        </w:pict>
      </w:r>
      <w:r>
        <w:rPr/>
        <w:pict>
          <v:group style="position:absolute;margin-left:417.910004pt;margin-top:471.455994pt;width:46.35pt;height:44.55pt;mso-position-horizontal-relative:page;mso-position-vertical-relative:page;z-index:-1197424" coordorigin="8358,9429" coordsize="927,891">
            <v:shape style="position:absolute;left:8358;top:9429;width:927;height:891" coordorigin="8358,9429" coordsize="927,891" path="m8358,10320l9285,10320,9285,9429,8358,9429,8358,10320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994"/>
        <w:gridCol w:w="989"/>
        <w:gridCol w:w="946"/>
        <w:gridCol w:w="1181"/>
        <w:gridCol w:w="948"/>
        <w:gridCol w:w="946"/>
        <w:gridCol w:w="939"/>
        <w:gridCol w:w="936"/>
        <w:gridCol w:w="941"/>
        <w:gridCol w:w="1001"/>
        <w:gridCol w:w="1059"/>
        <w:gridCol w:w="1051"/>
        <w:gridCol w:w="1051"/>
        <w:gridCol w:w="1037"/>
      </w:tblGrid>
      <w:tr>
        <w:trPr>
          <w:trHeight w:val="1051" w:hRule="exact"/>
        </w:trPr>
        <w:tc>
          <w:tcPr>
            <w:tcW w:w="994"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1" w:right="20"/>
              <w:jc w:val="left"/>
              <w:rPr>
                <w:rFonts w:ascii="宋体" w:hAnsi="宋体" w:cs="宋体" w:eastAsia="宋体" w:hint="default"/>
                <w:sz w:val="18"/>
                <w:szCs w:val="18"/>
              </w:rPr>
            </w:pPr>
            <w:r>
              <w:rPr>
                <w:rFonts w:ascii="宋体" w:hAnsi="宋体" w:cs="宋体" w:eastAsia="宋体" w:hint="default"/>
                <w:spacing w:val="6"/>
                <w:sz w:val="18"/>
                <w:szCs w:val="18"/>
              </w:rPr>
              <w:t>与智慧医疗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相关的产业</w:t>
            </w:r>
          </w:p>
        </w:tc>
        <w:tc>
          <w:tcPr>
            <w:tcW w:w="94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948" w:type="dxa"/>
            <w:tcBorders>
              <w:top w:val="single" w:sz="10" w:space="0" w:color="000000"/>
              <w:left w:val="single" w:sz="4" w:space="0" w:color="000000"/>
              <w:bottom w:val="single" w:sz="4" w:space="0" w:color="000000"/>
              <w:right w:val="single" w:sz="4" w:space="0" w:color="000000"/>
            </w:tcBorders>
          </w:tcPr>
          <w:p>
            <w:pPr/>
          </w:p>
        </w:tc>
        <w:tc>
          <w:tcPr>
            <w:tcW w:w="946" w:type="dxa"/>
            <w:tcBorders>
              <w:top w:val="single" w:sz="10" w:space="0" w:color="000000"/>
              <w:left w:val="single" w:sz="4" w:space="0" w:color="000000"/>
              <w:bottom w:val="single" w:sz="4" w:space="0" w:color="000000"/>
              <w:right w:val="single" w:sz="4" w:space="0" w:color="000000"/>
            </w:tcBorders>
          </w:tcPr>
          <w:p>
            <w:pPr/>
          </w:p>
        </w:tc>
        <w:tc>
          <w:tcPr>
            <w:tcW w:w="939"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1" w:right="-34"/>
              <w:jc w:val="both"/>
              <w:rPr>
                <w:rFonts w:ascii="宋体" w:hAnsi="宋体" w:cs="宋体" w:eastAsia="宋体" w:hint="default"/>
                <w:sz w:val="18"/>
                <w:szCs w:val="18"/>
              </w:rPr>
            </w:pPr>
            <w:r>
              <w:rPr>
                <w:rFonts w:ascii="宋体" w:hAnsi="宋体" w:cs="宋体" w:eastAsia="宋体" w:hint="default"/>
                <w:spacing w:val="41"/>
                <w:sz w:val="18"/>
                <w:szCs w:val="18"/>
              </w:rPr>
              <w:t>资管理有</w:t>
            </w:r>
            <w:r>
              <w:rPr>
                <w:rFonts w:ascii="宋体" w:hAnsi="宋体" w:cs="宋体" w:eastAsia="宋体" w:hint="default"/>
                <w:spacing w:val="-35"/>
                <w:sz w:val="18"/>
                <w:szCs w:val="18"/>
              </w:rPr>
              <w:t> </w:t>
            </w:r>
            <w:r>
              <w:rPr>
                <w:rFonts w:ascii="宋体" w:hAnsi="宋体" w:cs="宋体" w:eastAsia="宋体" w:hint="default"/>
                <w:spacing w:val="-4"/>
                <w:sz w:val="18"/>
                <w:szCs w:val="18"/>
              </w:rPr>
              <w:t>限公司、王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犀、刘国超</w:t>
            </w:r>
          </w:p>
        </w:tc>
        <w:tc>
          <w:tcPr>
            <w:tcW w:w="936" w:type="dxa"/>
            <w:tcBorders>
              <w:top w:val="single" w:sz="10" w:space="0" w:color="000000"/>
              <w:left w:val="single" w:sz="4" w:space="0" w:color="000000"/>
              <w:bottom w:val="single" w:sz="4" w:space="0" w:color="000000"/>
              <w:right w:val="single" w:sz="4" w:space="0" w:color="000000"/>
            </w:tcBorders>
          </w:tcPr>
          <w:p>
            <w:pPr/>
          </w:p>
        </w:tc>
        <w:tc>
          <w:tcPr>
            <w:tcW w:w="94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3" w:right="-34"/>
              <w:jc w:val="both"/>
              <w:rPr>
                <w:rFonts w:ascii="宋体" w:hAnsi="宋体" w:cs="宋体" w:eastAsia="宋体" w:hint="default"/>
                <w:sz w:val="18"/>
                <w:szCs w:val="18"/>
              </w:rPr>
            </w:pPr>
            <w:r>
              <w:rPr>
                <w:rFonts w:ascii="宋体" w:hAnsi="宋体" w:cs="宋体" w:eastAsia="宋体" w:hint="default"/>
                <w:spacing w:val="41"/>
                <w:sz w:val="18"/>
                <w:szCs w:val="18"/>
              </w:rPr>
              <w:t>智慧医疗</w:t>
            </w:r>
            <w:r>
              <w:rPr>
                <w:rFonts w:ascii="宋体" w:hAnsi="宋体" w:cs="宋体" w:eastAsia="宋体" w:hint="default"/>
                <w:spacing w:val="-35"/>
                <w:sz w:val="18"/>
                <w:szCs w:val="18"/>
              </w:rPr>
              <w:t> </w:t>
            </w:r>
            <w:r>
              <w:rPr>
                <w:rFonts w:ascii="宋体" w:hAnsi="宋体" w:cs="宋体" w:eastAsia="宋体" w:hint="default"/>
                <w:spacing w:val="41"/>
                <w:sz w:val="18"/>
                <w:szCs w:val="18"/>
              </w:rPr>
              <w:t>相关的产</w:t>
            </w:r>
            <w:r>
              <w:rPr>
                <w:rFonts w:ascii="宋体" w:hAnsi="宋体" w:cs="宋体" w:eastAsia="宋体" w:hint="default"/>
                <w:spacing w:val="-35"/>
                <w:sz w:val="18"/>
                <w:szCs w:val="18"/>
              </w:rPr>
              <w:t> </w:t>
            </w:r>
            <w:r>
              <w:rPr>
                <w:rFonts w:ascii="宋体" w:hAnsi="宋体" w:cs="宋体" w:eastAsia="宋体" w:hint="default"/>
                <w:sz w:val="18"/>
                <w:szCs w:val="18"/>
              </w:rPr>
              <w:t>业</w:t>
            </w:r>
          </w:p>
        </w:tc>
        <w:tc>
          <w:tcPr>
            <w:tcW w:w="1001" w:type="dxa"/>
            <w:tcBorders>
              <w:top w:val="single" w:sz="10" w:space="0" w:color="000000"/>
              <w:left w:val="single" w:sz="4" w:space="0" w:color="000000"/>
              <w:bottom w:val="single" w:sz="4" w:space="0" w:color="000000"/>
              <w:right w:val="single" w:sz="4" w:space="0" w:color="000000"/>
            </w:tcBorders>
          </w:tcPr>
          <w:p>
            <w:pPr/>
          </w:p>
        </w:tc>
        <w:tc>
          <w:tcPr>
            <w:tcW w:w="1059" w:type="dxa"/>
            <w:tcBorders>
              <w:top w:val="single" w:sz="10" w:space="0" w:color="000000"/>
              <w:left w:val="single" w:sz="4" w:space="0" w:color="000000"/>
              <w:bottom w:val="single" w:sz="4" w:space="0" w:color="000000"/>
              <w:right w:val="single" w:sz="4" w:space="0" w:color="000000"/>
            </w:tcBorders>
          </w:tcPr>
          <w:p>
            <w:pPr/>
          </w:p>
        </w:tc>
        <w:tc>
          <w:tcPr>
            <w:tcW w:w="1051" w:type="dxa"/>
            <w:tcBorders>
              <w:top w:val="single" w:sz="10" w:space="0" w:color="000000"/>
              <w:left w:val="single" w:sz="4" w:space="0" w:color="000000"/>
              <w:bottom w:val="single" w:sz="4" w:space="0" w:color="000000"/>
              <w:right w:val="single" w:sz="4" w:space="0" w:color="000000"/>
            </w:tcBorders>
          </w:tcPr>
          <w:p>
            <w:pPr/>
          </w:p>
        </w:tc>
        <w:tc>
          <w:tcPr>
            <w:tcW w:w="1051" w:type="dxa"/>
            <w:tcBorders>
              <w:top w:val="single" w:sz="10" w:space="0" w:color="000000"/>
              <w:left w:val="single" w:sz="4" w:space="0" w:color="000000"/>
              <w:bottom w:val="single" w:sz="4" w:space="0" w:color="000000"/>
              <w:right w:val="single" w:sz="4" w:space="0" w:color="000000"/>
            </w:tcBorders>
          </w:tcPr>
          <w:p>
            <w:pPr/>
          </w:p>
        </w:tc>
        <w:tc>
          <w:tcPr>
            <w:tcW w:w="1037" w:type="dxa"/>
            <w:tcBorders>
              <w:top w:val="single" w:sz="10" w:space="0" w:color="000000"/>
              <w:left w:val="single" w:sz="4" w:space="0" w:color="000000"/>
              <w:bottom w:val="single" w:sz="4" w:space="0" w:color="000000"/>
              <w:right w:val="single" w:sz="4" w:space="0" w:color="000000"/>
            </w:tcBorders>
          </w:tcPr>
          <w:p>
            <w:pPr/>
          </w:p>
        </w:tc>
      </w:tr>
      <w:tr>
        <w:trPr>
          <w:trHeight w:val="300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蓝图清创</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1" w:right="20"/>
              <w:jc w:val="both"/>
              <w:rPr>
                <w:rFonts w:ascii="宋体" w:hAnsi="宋体" w:cs="宋体" w:eastAsia="宋体" w:hint="default"/>
                <w:sz w:val="18"/>
                <w:szCs w:val="18"/>
              </w:rPr>
            </w:pPr>
            <w:r>
              <w:rPr>
                <w:rFonts w:ascii="宋体" w:hAnsi="宋体" w:cs="宋体" w:eastAsia="宋体" w:hint="default"/>
                <w:spacing w:val="6"/>
                <w:sz w:val="18"/>
                <w:szCs w:val="18"/>
              </w:rPr>
              <w:t>投资于大数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据智能制造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与智慧医疗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相关的产业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12.91%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101"/>
              <w:ind w:left="21" w:right="-41"/>
              <w:jc w:val="both"/>
              <w:rPr>
                <w:rFonts w:ascii="宋体" w:hAnsi="宋体" w:cs="宋体" w:eastAsia="宋体" w:hint="default"/>
                <w:sz w:val="18"/>
                <w:szCs w:val="18"/>
              </w:rPr>
            </w:pPr>
            <w:r>
              <w:rPr>
                <w:rFonts w:ascii="宋体" w:hAnsi="宋体" w:cs="宋体" w:eastAsia="宋体" w:hint="default"/>
                <w:sz w:val="18"/>
                <w:szCs w:val="18"/>
              </w:rPr>
              <w:t>清创华元、 </w:t>
            </w:r>
            <w:r>
              <w:rPr>
                <w:rFonts w:ascii="宋体" w:hAnsi="宋体" w:cs="宋体" w:eastAsia="宋体" w:hint="default"/>
                <w:spacing w:val="41"/>
                <w:sz w:val="18"/>
                <w:szCs w:val="18"/>
              </w:rPr>
              <w:t>厦门海峡</w:t>
            </w:r>
            <w:r>
              <w:rPr>
                <w:rFonts w:ascii="宋体" w:hAnsi="宋体" w:cs="宋体" w:eastAsia="宋体" w:hint="default"/>
                <w:spacing w:val="-35"/>
                <w:sz w:val="18"/>
                <w:szCs w:val="18"/>
              </w:rPr>
              <w:t> </w:t>
            </w:r>
            <w:r>
              <w:rPr>
                <w:rFonts w:ascii="宋体" w:hAnsi="宋体" w:cs="宋体" w:eastAsia="宋体" w:hint="default"/>
                <w:spacing w:val="41"/>
                <w:sz w:val="18"/>
                <w:szCs w:val="18"/>
              </w:rPr>
              <w:t>研究院发</w:t>
            </w:r>
            <w:r>
              <w:rPr>
                <w:rFonts w:ascii="宋体" w:hAnsi="宋体" w:cs="宋体" w:eastAsia="宋体" w:hint="default"/>
                <w:spacing w:val="-35"/>
                <w:sz w:val="18"/>
                <w:szCs w:val="18"/>
              </w:rPr>
              <w:t> </w:t>
            </w:r>
            <w:r>
              <w:rPr>
                <w:rFonts w:ascii="宋体" w:hAnsi="宋体" w:cs="宋体" w:eastAsia="宋体" w:hint="default"/>
                <w:sz w:val="18"/>
                <w:szCs w:val="18"/>
              </w:rPr>
              <w:t>展基金会、</w:t>
            </w:r>
            <w:r>
              <w:rPr>
                <w:rFonts w:ascii="宋体" w:hAnsi="宋体" w:cs="宋体" w:eastAsia="宋体" w:hint="default"/>
                <w:sz w:val="18"/>
                <w:szCs w:val="18"/>
              </w:rPr>
              <w:t> </w:t>
            </w:r>
            <w:r>
              <w:rPr>
                <w:rFonts w:ascii="宋体" w:hAnsi="宋体" w:cs="宋体" w:eastAsia="宋体" w:hint="default"/>
                <w:spacing w:val="41"/>
                <w:sz w:val="18"/>
                <w:szCs w:val="18"/>
              </w:rPr>
              <w:t>厦门象屿</w:t>
            </w:r>
            <w:r>
              <w:rPr>
                <w:rFonts w:ascii="宋体" w:hAnsi="宋体" w:cs="宋体" w:eastAsia="宋体" w:hint="default"/>
                <w:spacing w:val="-35"/>
                <w:sz w:val="18"/>
                <w:szCs w:val="18"/>
              </w:rPr>
              <w:t> </w:t>
            </w:r>
            <w:r>
              <w:rPr>
                <w:rFonts w:ascii="宋体" w:hAnsi="宋体" w:cs="宋体" w:eastAsia="宋体" w:hint="default"/>
                <w:spacing w:val="41"/>
                <w:sz w:val="18"/>
                <w:szCs w:val="18"/>
              </w:rPr>
              <w:t>创业投资</w:t>
            </w:r>
            <w:r>
              <w:rPr>
                <w:rFonts w:ascii="宋体" w:hAnsi="宋体" w:cs="宋体" w:eastAsia="宋体" w:hint="default"/>
                <w:spacing w:val="-35"/>
                <w:sz w:val="18"/>
                <w:szCs w:val="18"/>
              </w:rPr>
              <w:t> </w:t>
            </w:r>
            <w:r>
              <w:rPr>
                <w:rFonts w:ascii="宋体" w:hAnsi="宋体" w:cs="宋体" w:eastAsia="宋体" w:hint="default"/>
                <w:spacing w:val="41"/>
                <w:sz w:val="18"/>
                <w:szCs w:val="18"/>
              </w:rPr>
              <w:t>管理有限</w:t>
            </w:r>
            <w:r>
              <w:rPr>
                <w:rFonts w:ascii="宋体" w:hAnsi="宋体" w:cs="宋体" w:eastAsia="宋体" w:hint="default"/>
                <w:spacing w:val="-35"/>
                <w:sz w:val="18"/>
                <w:szCs w:val="18"/>
              </w:rPr>
              <w:t> </w:t>
            </w:r>
            <w:r>
              <w:rPr>
                <w:rFonts w:ascii="宋体" w:hAnsi="宋体" w:cs="宋体" w:eastAsia="宋体" w:hint="default"/>
                <w:spacing w:val="-4"/>
                <w:sz w:val="18"/>
                <w:szCs w:val="18"/>
              </w:rPr>
              <w:t>公司、刘国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w:t>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40"/>
              <w:jc w:val="both"/>
              <w:rPr>
                <w:rFonts w:ascii="宋体" w:hAnsi="宋体" w:cs="宋体" w:eastAsia="宋体" w:hint="default"/>
                <w:sz w:val="18"/>
                <w:szCs w:val="18"/>
              </w:rPr>
            </w:pPr>
            <w:r>
              <w:rPr>
                <w:rFonts w:ascii="宋体" w:hAnsi="宋体" w:cs="宋体" w:eastAsia="宋体" w:hint="default"/>
                <w:spacing w:val="41"/>
                <w:sz w:val="18"/>
                <w:szCs w:val="18"/>
              </w:rPr>
              <w:t>大数据智</w:t>
            </w:r>
            <w:r>
              <w:rPr>
                <w:rFonts w:ascii="宋体" w:hAnsi="宋体" w:cs="宋体" w:eastAsia="宋体" w:hint="default"/>
                <w:spacing w:val="-35"/>
                <w:sz w:val="18"/>
                <w:szCs w:val="18"/>
              </w:rPr>
              <w:t> </w:t>
            </w:r>
            <w:r>
              <w:rPr>
                <w:rFonts w:ascii="宋体" w:hAnsi="宋体" w:cs="宋体" w:eastAsia="宋体" w:hint="default"/>
                <w:spacing w:val="41"/>
                <w:sz w:val="18"/>
                <w:szCs w:val="18"/>
              </w:rPr>
              <w:t>能制造与</w:t>
            </w:r>
            <w:r>
              <w:rPr>
                <w:rFonts w:ascii="宋体" w:hAnsi="宋体" w:cs="宋体" w:eastAsia="宋体" w:hint="default"/>
                <w:spacing w:val="-35"/>
                <w:sz w:val="18"/>
                <w:szCs w:val="18"/>
              </w:rPr>
              <w:t> </w:t>
            </w:r>
            <w:r>
              <w:rPr>
                <w:rFonts w:ascii="宋体" w:hAnsi="宋体" w:cs="宋体" w:eastAsia="宋体" w:hint="default"/>
                <w:spacing w:val="41"/>
                <w:sz w:val="18"/>
                <w:szCs w:val="18"/>
              </w:rPr>
              <w:t>智慧医疗</w:t>
            </w:r>
            <w:r>
              <w:rPr>
                <w:rFonts w:ascii="宋体" w:hAnsi="宋体" w:cs="宋体" w:eastAsia="宋体" w:hint="default"/>
                <w:spacing w:val="-35"/>
                <w:sz w:val="18"/>
                <w:szCs w:val="18"/>
              </w:rPr>
              <w:t> </w:t>
            </w:r>
            <w:r>
              <w:rPr>
                <w:rFonts w:ascii="宋体" w:hAnsi="宋体" w:cs="宋体" w:eastAsia="宋体" w:hint="default"/>
                <w:spacing w:val="41"/>
                <w:sz w:val="18"/>
                <w:szCs w:val="18"/>
              </w:rPr>
              <w:t>相关的产</w:t>
            </w:r>
            <w:r>
              <w:rPr>
                <w:rFonts w:ascii="宋体" w:hAnsi="宋体" w:cs="宋体" w:eastAsia="宋体" w:hint="default"/>
                <w:spacing w:val="-35"/>
                <w:sz w:val="18"/>
                <w:szCs w:val="18"/>
              </w:rPr>
              <w:t> </w:t>
            </w:r>
            <w:r>
              <w:rPr>
                <w:rFonts w:ascii="宋体" w:hAnsi="宋体" w:cs="宋体" w:eastAsia="宋体" w:hint="default"/>
                <w:sz w:val="18"/>
                <w:szCs w:val="18"/>
              </w:rPr>
              <w:t>业</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2017-097</w:t>
            </w:r>
          </w:p>
        </w:tc>
      </w:tr>
      <w:tr>
        <w:trPr>
          <w:trHeight w:val="26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上海旋极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pacing w:val="6"/>
                <w:sz w:val="18"/>
                <w:szCs w:val="18"/>
              </w:rPr>
              <w:t>面向军工领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域的业务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01"/>
              <w:ind w:left="23" w:right="-40"/>
              <w:jc w:val="both"/>
              <w:rPr>
                <w:rFonts w:ascii="宋体" w:hAnsi="宋体" w:cs="宋体" w:eastAsia="宋体" w:hint="default"/>
                <w:sz w:val="18"/>
                <w:szCs w:val="18"/>
              </w:rPr>
            </w:pPr>
            <w:r>
              <w:rPr>
                <w:rFonts w:ascii="宋体" w:hAnsi="宋体" w:cs="宋体" w:eastAsia="宋体" w:hint="default"/>
                <w:spacing w:val="41"/>
                <w:sz w:val="18"/>
                <w:szCs w:val="18"/>
              </w:rPr>
              <w:t>嵌入式系</w:t>
            </w:r>
            <w:r>
              <w:rPr>
                <w:rFonts w:ascii="宋体" w:hAnsi="宋体" w:cs="宋体" w:eastAsia="宋体" w:hint="default"/>
                <w:spacing w:val="-35"/>
                <w:sz w:val="18"/>
                <w:szCs w:val="18"/>
              </w:rPr>
              <w:t> </w:t>
            </w:r>
            <w:r>
              <w:rPr>
                <w:rFonts w:ascii="宋体" w:hAnsi="宋体" w:cs="宋体" w:eastAsia="宋体" w:hint="default"/>
                <w:spacing w:val="-4"/>
                <w:sz w:val="18"/>
                <w:szCs w:val="18"/>
              </w:rPr>
              <w:t>统测试、装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备健康管</w:t>
            </w:r>
            <w:r>
              <w:rPr>
                <w:rFonts w:ascii="宋体" w:hAnsi="宋体" w:cs="宋体" w:eastAsia="宋体" w:hint="default"/>
                <w:spacing w:val="-35"/>
                <w:sz w:val="18"/>
                <w:szCs w:val="18"/>
              </w:rPr>
              <w:t> </w:t>
            </w:r>
            <w:r>
              <w:rPr>
                <w:rFonts w:ascii="宋体" w:hAnsi="宋体" w:cs="宋体" w:eastAsia="宋体" w:hint="default"/>
                <w:spacing w:val="41"/>
                <w:sz w:val="18"/>
                <w:szCs w:val="18"/>
              </w:rPr>
              <w:t>理产品体</w:t>
            </w:r>
            <w:r>
              <w:rPr>
                <w:rFonts w:ascii="宋体" w:hAnsi="宋体" w:cs="宋体" w:eastAsia="宋体" w:hint="default"/>
                <w:spacing w:val="-35"/>
                <w:sz w:val="18"/>
                <w:szCs w:val="18"/>
              </w:rPr>
              <w:t> </w:t>
            </w:r>
            <w:r>
              <w:rPr>
                <w:rFonts w:ascii="宋体" w:hAnsi="宋体" w:cs="宋体" w:eastAsia="宋体" w:hint="default"/>
                <w:spacing w:val="-4"/>
                <w:sz w:val="18"/>
                <w:szCs w:val="18"/>
              </w:rPr>
              <w:t>系、末端自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组网无线</w:t>
            </w:r>
            <w:r>
              <w:rPr>
                <w:rFonts w:ascii="宋体" w:hAnsi="宋体" w:cs="宋体" w:eastAsia="宋体" w:hint="default"/>
                <w:spacing w:val="-35"/>
                <w:sz w:val="18"/>
                <w:szCs w:val="18"/>
              </w:rPr>
              <w:t> </w:t>
            </w:r>
            <w:r>
              <w:rPr>
                <w:rFonts w:ascii="宋体" w:hAnsi="宋体" w:cs="宋体" w:eastAsia="宋体" w:hint="default"/>
                <w:spacing w:val="41"/>
                <w:sz w:val="18"/>
                <w:szCs w:val="18"/>
              </w:rPr>
              <w:t>通信产品</w:t>
            </w:r>
            <w:r>
              <w:rPr>
                <w:rFonts w:ascii="宋体" w:hAnsi="宋体" w:cs="宋体" w:eastAsia="宋体" w:hint="default"/>
                <w:spacing w:val="-35"/>
                <w:sz w:val="18"/>
                <w:szCs w:val="18"/>
              </w:rPr>
              <w:t> </w:t>
            </w:r>
            <w:r>
              <w:rPr>
                <w:rFonts w:ascii="宋体" w:hAnsi="宋体" w:cs="宋体" w:eastAsia="宋体" w:hint="default"/>
                <w:sz w:val="18"/>
                <w:szCs w:val="18"/>
              </w:rPr>
              <w:t>等</w:t>
            </w:r>
          </w:p>
        </w:tc>
        <w:tc>
          <w:tcPr>
            <w:tcW w:w="1001" w:type="dxa"/>
            <w:tcBorders>
              <w:top w:val="single" w:sz="4" w:space="0" w:color="000000"/>
              <w:left w:val="single" w:sz="9" w:space="0" w:color="FFFFFF"/>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5,097,051.55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2017-128</w:t>
            </w:r>
          </w:p>
        </w:tc>
      </w:tr>
      <w:tr>
        <w:trPr>
          <w:trHeight w:val="22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9"/>
                <w:sz w:val="18"/>
                <w:szCs w:val="18"/>
              </w:rPr>
              <w:t>华控产业基 </w:t>
            </w:r>
            <w:r>
              <w:rPr>
                <w:rFonts w:ascii="宋体" w:hAnsi="宋体" w:cs="宋体" w:eastAsia="宋体" w:hint="default"/>
                <w:sz w:val="18"/>
                <w:szCs w:val="18"/>
              </w:rPr>
              <w:t>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1" w:right="20"/>
              <w:jc w:val="both"/>
              <w:rPr>
                <w:rFonts w:ascii="宋体" w:hAnsi="宋体" w:cs="宋体" w:eastAsia="宋体" w:hint="default"/>
                <w:sz w:val="18"/>
                <w:szCs w:val="18"/>
              </w:rPr>
            </w:pPr>
            <w:r>
              <w:rPr>
                <w:rFonts w:ascii="宋体" w:hAnsi="宋体" w:cs="宋体" w:eastAsia="宋体" w:hint="default"/>
                <w:spacing w:val="6"/>
                <w:sz w:val="18"/>
                <w:szCs w:val="18"/>
              </w:rPr>
              <w:t>军民融合方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向相关领域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39"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101"/>
              <w:ind w:left="21" w:right="-41"/>
              <w:jc w:val="both"/>
              <w:rPr>
                <w:rFonts w:ascii="宋体" w:hAnsi="宋体" w:cs="宋体" w:eastAsia="宋体" w:hint="default"/>
                <w:sz w:val="18"/>
                <w:szCs w:val="18"/>
              </w:rPr>
            </w:pPr>
            <w:r>
              <w:rPr>
                <w:rFonts w:ascii="宋体" w:hAnsi="宋体" w:cs="宋体" w:eastAsia="宋体" w:hint="default"/>
                <w:spacing w:val="41"/>
                <w:sz w:val="18"/>
                <w:szCs w:val="18"/>
              </w:rPr>
              <w:t>北京市经</w:t>
            </w:r>
            <w:r>
              <w:rPr>
                <w:rFonts w:ascii="宋体" w:hAnsi="宋体" w:cs="宋体" w:eastAsia="宋体" w:hint="default"/>
                <w:spacing w:val="-35"/>
                <w:sz w:val="18"/>
                <w:szCs w:val="18"/>
              </w:rPr>
              <w:t> </w:t>
            </w:r>
            <w:r>
              <w:rPr>
                <w:rFonts w:ascii="宋体" w:hAnsi="宋体" w:cs="宋体" w:eastAsia="宋体" w:hint="default"/>
                <w:spacing w:val="41"/>
                <w:sz w:val="18"/>
                <w:szCs w:val="18"/>
              </w:rPr>
              <w:t>济和信息</w:t>
            </w:r>
            <w:r>
              <w:rPr>
                <w:rFonts w:ascii="宋体" w:hAnsi="宋体" w:cs="宋体" w:eastAsia="宋体" w:hint="default"/>
                <w:spacing w:val="-35"/>
                <w:sz w:val="18"/>
                <w:szCs w:val="18"/>
              </w:rPr>
              <w:t> </w:t>
            </w:r>
            <w:r>
              <w:rPr>
                <w:rFonts w:ascii="宋体" w:hAnsi="宋体" w:cs="宋体" w:eastAsia="宋体" w:hint="default"/>
                <w:spacing w:val="27"/>
                <w:sz w:val="18"/>
                <w:szCs w:val="18"/>
              </w:rPr>
              <w:t>化委</w:t>
            </w:r>
            <w:r>
              <w:rPr>
                <w:rFonts w:ascii="宋体" w:hAnsi="宋体" w:cs="宋体" w:eastAsia="宋体" w:hint="default"/>
                <w:spacing w:val="-35"/>
                <w:sz w:val="18"/>
                <w:szCs w:val="18"/>
              </w:rPr>
              <w:t> </w:t>
            </w:r>
            <w:r>
              <w:rPr>
                <w:rFonts w:ascii="宋体" w:hAnsi="宋体" w:cs="宋体" w:eastAsia="宋体" w:hint="default"/>
                <w:spacing w:val="27"/>
                <w:sz w:val="18"/>
                <w:szCs w:val="18"/>
              </w:rPr>
              <w:t>员会</w:t>
            </w:r>
            <w:r>
              <w:rPr>
                <w:rFonts w:ascii="宋体" w:hAnsi="宋体" w:cs="宋体" w:eastAsia="宋体" w:hint="default"/>
                <w:spacing w:val="-35"/>
                <w:sz w:val="18"/>
                <w:szCs w:val="18"/>
              </w:rPr>
              <w:t> </w:t>
            </w:r>
            <w:r>
              <w:rPr>
                <w:rFonts w:ascii="宋体" w:hAnsi="宋体" w:cs="宋体" w:eastAsia="宋体" w:hint="default"/>
                <w:spacing w:val="41"/>
                <w:sz w:val="18"/>
                <w:szCs w:val="18"/>
              </w:rPr>
              <w:t>经济技术</w:t>
            </w:r>
            <w:r>
              <w:rPr>
                <w:rFonts w:ascii="宋体" w:hAnsi="宋体" w:cs="宋体" w:eastAsia="宋体" w:hint="default"/>
                <w:spacing w:val="-35"/>
                <w:sz w:val="18"/>
                <w:szCs w:val="18"/>
              </w:rPr>
              <w:t> </w:t>
            </w:r>
            <w:r>
              <w:rPr>
                <w:rFonts w:ascii="宋体" w:hAnsi="宋体" w:cs="宋体" w:eastAsia="宋体" w:hint="default"/>
                <w:spacing w:val="41"/>
                <w:sz w:val="18"/>
                <w:szCs w:val="18"/>
              </w:rPr>
              <w:t>市场发展</w:t>
            </w:r>
            <w:r>
              <w:rPr>
                <w:rFonts w:ascii="宋体" w:hAnsi="宋体" w:cs="宋体" w:eastAsia="宋体" w:hint="default"/>
                <w:spacing w:val="-35"/>
                <w:sz w:val="18"/>
                <w:szCs w:val="18"/>
              </w:rPr>
              <w:t> </w:t>
            </w:r>
            <w:r>
              <w:rPr>
                <w:rFonts w:ascii="宋体" w:hAnsi="宋体" w:cs="宋体" w:eastAsia="宋体" w:hint="default"/>
                <w:spacing w:val="-4"/>
                <w:sz w:val="18"/>
                <w:szCs w:val="18"/>
              </w:rPr>
              <w:t>中心、华控</w:t>
            </w:r>
          </w:p>
          <w:p>
            <w:pPr>
              <w:pStyle w:val="TableParagraph"/>
              <w:spacing w:line="240" w:lineRule="auto" w:before="17"/>
              <w:ind w:left="21" w:right="0"/>
              <w:jc w:val="both"/>
              <w:rPr>
                <w:rFonts w:ascii="宋体" w:hAnsi="宋体" w:cs="宋体" w:eastAsia="宋体" w:hint="default"/>
                <w:sz w:val="18"/>
                <w:szCs w:val="18"/>
              </w:rPr>
            </w:pPr>
            <w:r>
              <w:rPr>
                <w:rFonts w:ascii="宋体" w:hAnsi="宋体" w:cs="宋体" w:eastAsia="宋体" w:hint="default"/>
                <w:spacing w:val="41"/>
                <w:sz w:val="18"/>
                <w:szCs w:val="18"/>
              </w:rPr>
              <w:t>（宁波梅</w:t>
            </w:r>
            <w:r>
              <w:rPr>
                <w:rFonts w:ascii="宋体" w:hAnsi="宋体" w:cs="宋体" w:eastAsia="宋体" w:hint="default"/>
                <w:spacing w:val="-35"/>
                <w:sz w:val="18"/>
                <w:szCs w:val="18"/>
              </w:rPr>
              <w:t> </w:t>
            </w:r>
            <w:r>
              <w:rPr>
                <w:rFonts w:ascii="宋体" w:hAnsi="宋体" w:cs="宋体" w:eastAsia="宋体" w:hint="default"/>
                <w:sz w:val="18"/>
                <w:szCs w:val="18"/>
              </w:rPr>
            </w:r>
          </w:p>
        </w:tc>
        <w:tc>
          <w:tcPr>
            <w:tcW w:w="936" w:type="dxa"/>
            <w:tcBorders>
              <w:top w:val="single" w:sz="4" w:space="0" w:color="000000"/>
              <w:left w:val="single" w:sz="10" w:space="0" w:color="FFFFFF"/>
              <w:bottom w:val="single" w:sz="4" w:space="0" w:color="000000"/>
              <w:right w:val="single" w:sz="4" w:space="0" w:color="000000"/>
            </w:tcBorders>
          </w:tcPr>
          <w:p>
            <w:pPr>
              <w:pStyle w:val="TableParagraph"/>
              <w:spacing w:line="888"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46.35pt;height:44.45pt;mso-position-horizontal-relative:char;mso-position-vertical-relative:line" coordorigin="0,0" coordsize="927,889">
                  <v:group style="position:absolute;left:0;top:0;width:927;height:889" coordorigin="0,0" coordsize="927,889">
                    <v:shape style="position:absolute;left:0;top:0;width:927;height:889" coordorigin="0,0" coordsize="927,889" path="m0,888l926,888,926,0,0,0,0,888xe" filled="true" fillcolor="#ffffff" stroked="false">
                      <v:path arrowok="t"/>
                      <v:fill type="solid"/>
                    </v:shape>
                  </v:group>
                </v:group>
              </w:pict>
            </w:r>
            <w:r>
              <w:rPr>
                <w:rFonts w:ascii="Times New Roman" w:hAnsi="Times New Roman" w:cs="Times New Roman" w:eastAsia="Times New Roman" w:hint="default"/>
                <w:position w:val="-17"/>
                <w:sz w:val="20"/>
                <w:szCs w:val="20"/>
              </w:rPr>
            </w:r>
          </w:p>
          <w:p>
            <w:pPr>
              <w:pStyle w:val="TableParagraph"/>
              <w:spacing w:line="240" w:lineRule="auto" w:before="10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40"/>
              <w:jc w:val="both"/>
              <w:rPr>
                <w:rFonts w:ascii="宋体" w:hAnsi="宋体" w:cs="宋体" w:eastAsia="宋体" w:hint="default"/>
                <w:sz w:val="18"/>
                <w:szCs w:val="18"/>
              </w:rPr>
            </w:pPr>
            <w:r>
              <w:rPr>
                <w:rFonts w:ascii="宋体" w:hAnsi="宋体" w:cs="宋体" w:eastAsia="宋体" w:hint="default"/>
                <w:spacing w:val="41"/>
                <w:sz w:val="18"/>
                <w:szCs w:val="18"/>
              </w:rPr>
              <w:t>军民融合</w:t>
            </w:r>
            <w:r>
              <w:rPr>
                <w:rFonts w:ascii="宋体" w:hAnsi="宋体" w:cs="宋体" w:eastAsia="宋体" w:hint="default"/>
                <w:spacing w:val="-35"/>
                <w:sz w:val="18"/>
                <w:szCs w:val="18"/>
              </w:rPr>
              <w:t> </w:t>
            </w:r>
            <w:r>
              <w:rPr>
                <w:rFonts w:ascii="宋体" w:hAnsi="宋体" w:cs="宋体" w:eastAsia="宋体" w:hint="default"/>
                <w:spacing w:val="41"/>
                <w:sz w:val="18"/>
                <w:szCs w:val="18"/>
              </w:rPr>
              <w:t>方向相关</w:t>
            </w:r>
            <w:r>
              <w:rPr>
                <w:rFonts w:ascii="宋体" w:hAnsi="宋体" w:cs="宋体" w:eastAsia="宋体" w:hint="default"/>
                <w:spacing w:val="-35"/>
                <w:sz w:val="18"/>
                <w:szCs w:val="18"/>
              </w:rPr>
              <w:t> </w:t>
            </w:r>
            <w:r>
              <w:rPr>
                <w:rFonts w:ascii="宋体" w:hAnsi="宋体" w:cs="宋体" w:eastAsia="宋体" w:hint="default"/>
                <w:spacing w:val="41"/>
                <w:sz w:val="18"/>
                <w:szCs w:val="18"/>
              </w:rPr>
              <w:t>领域投资</w:t>
            </w:r>
            <w:r>
              <w:rPr>
                <w:rFonts w:ascii="宋体" w:hAnsi="宋体" w:cs="宋体" w:eastAsia="宋体" w:hint="default"/>
                <w:spacing w:val="-35"/>
                <w:sz w:val="18"/>
                <w:szCs w:val="18"/>
              </w:rPr>
              <w:t> </w:t>
            </w:r>
            <w:r>
              <w:rPr>
                <w:rFonts w:ascii="宋体" w:hAnsi="宋体" w:cs="宋体" w:eastAsia="宋体" w:hint="default"/>
                <w:sz w:val="18"/>
                <w:szCs w:val="18"/>
              </w:rPr>
              <w:t>业务</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2017-115</w:t>
            </w:r>
          </w:p>
        </w:tc>
      </w:tr>
    </w:tbl>
    <w:p>
      <w:pPr>
        <w:spacing w:after="0" w:line="240" w:lineRule="auto"/>
        <w:jc w:val="left"/>
        <w:rPr>
          <w:rFonts w:ascii="Times New Roman" w:hAnsi="Times New Roman" w:cs="Times New Roman" w:eastAsia="Times New Roman" w:hint="default"/>
          <w:sz w:val="18"/>
          <w:szCs w:val="18"/>
        </w:rPr>
        <w:sectPr>
          <w:headerReference w:type="default" r:id="rId17"/>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994"/>
        <w:gridCol w:w="989"/>
        <w:gridCol w:w="946"/>
        <w:gridCol w:w="1181"/>
        <w:gridCol w:w="948"/>
        <w:gridCol w:w="946"/>
        <w:gridCol w:w="939"/>
        <w:gridCol w:w="936"/>
        <w:gridCol w:w="941"/>
        <w:gridCol w:w="1001"/>
        <w:gridCol w:w="1059"/>
        <w:gridCol w:w="1051"/>
        <w:gridCol w:w="1051"/>
        <w:gridCol w:w="1037"/>
      </w:tblGrid>
      <w:tr>
        <w:trPr>
          <w:trHeight w:val="1987" w:hRule="exact"/>
        </w:trPr>
        <w:tc>
          <w:tcPr>
            <w:tcW w:w="994"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10" w:space="0" w:color="000000"/>
              <w:left w:val="single" w:sz="4" w:space="0" w:color="000000"/>
              <w:bottom w:val="single" w:sz="4" w:space="0" w:color="000000"/>
              <w:right w:val="single" w:sz="4" w:space="0" w:color="000000"/>
            </w:tcBorders>
          </w:tcPr>
          <w:p>
            <w:pPr/>
          </w:p>
        </w:tc>
        <w:tc>
          <w:tcPr>
            <w:tcW w:w="94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948" w:type="dxa"/>
            <w:tcBorders>
              <w:top w:val="single" w:sz="10" w:space="0" w:color="000000"/>
              <w:left w:val="single" w:sz="4" w:space="0" w:color="000000"/>
              <w:bottom w:val="single" w:sz="4" w:space="0" w:color="000000"/>
              <w:right w:val="single" w:sz="4" w:space="0" w:color="000000"/>
            </w:tcBorders>
          </w:tcPr>
          <w:p>
            <w:pPr/>
          </w:p>
        </w:tc>
        <w:tc>
          <w:tcPr>
            <w:tcW w:w="946" w:type="dxa"/>
            <w:tcBorders>
              <w:top w:val="single" w:sz="10" w:space="0" w:color="000000"/>
              <w:left w:val="single" w:sz="4" w:space="0" w:color="000000"/>
              <w:bottom w:val="single" w:sz="4" w:space="0" w:color="000000"/>
              <w:right w:val="single" w:sz="4" w:space="0" w:color="000000"/>
            </w:tcBorders>
          </w:tcPr>
          <w:p>
            <w:pPr/>
          </w:p>
        </w:tc>
        <w:tc>
          <w:tcPr>
            <w:tcW w:w="939"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1" w:right="-34"/>
              <w:jc w:val="both"/>
              <w:rPr>
                <w:rFonts w:ascii="宋体" w:hAnsi="宋体" w:cs="宋体" w:eastAsia="宋体" w:hint="default"/>
                <w:sz w:val="18"/>
                <w:szCs w:val="18"/>
              </w:rPr>
            </w:pPr>
            <w:r>
              <w:rPr>
                <w:rFonts w:ascii="宋体" w:hAnsi="宋体" w:cs="宋体" w:eastAsia="宋体" w:hint="default"/>
                <w:spacing w:val="41"/>
                <w:sz w:val="18"/>
                <w:szCs w:val="18"/>
              </w:rPr>
              <w:t>山保税港</w:t>
            </w:r>
            <w:r>
              <w:rPr>
                <w:rFonts w:ascii="宋体" w:hAnsi="宋体" w:cs="宋体" w:eastAsia="宋体" w:hint="default"/>
                <w:spacing w:val="-35"/>
                <w:sz w:val="18"/>
                <w:szCs w:val="18"/>
              </w:rPr>
              <w:t> </w:t>
            </w:r>
            <w:r>
              <w:rPr>
                <w:rFonts w:ascii="宋体" w:hAnsi="宋体" w:cs="宋体" w:eastAsia="宋体" w:hint="default"/>
                <w:spacing w:val="-4"/>
                <w:sz w:val="18"/>
                <w:szCs w:val="18"/>
              </w:rPr>
              <w:t>区）防务股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权投资基</w:t>
            </w:r>
            <w:r>
              <w:rPr>
                <w:rFonts w:ascii="宋体" w:hAnsi="宋体" w:cs="宋体" w:eastAsia="宋体" w:hint="default"/>
                <w:spacing w:val="-35"/>
                <w:sz w:val="18"/>
                <w:szCs w:val="18"/>
              </w:rPr>
              <w:t> </w:t>
            </w:r>
            <w:r>
              <w:rPr>
                <w:rFonts w:ascii="宋体" w:hAnsi="宋体" w:cs="宋体" w:eastAsia="宋体" w:hint="default"/>
                <w:spacing w:val="41"/>
                <w:sz w:val="18"/>
                <w:szCs w:val="18"/>
              </w:rPr>
              <w:t>金合伙企</w:t>
            </w:r>
            <w:r>
              <w:rPr>
                <w:rFonts w:ascii="宋体" w:hAnsi="宋体" w:cs="宋体" w:eastAsia="宋体" w:hint="default"/>
                <w:spacing w:val="-35"/>
                <w:sz w:val="18"/>
                <w:szCs w:val="18"/>
              </w:rPr>
              <w:t> </w:t>
            </w:r>
            <w:r>
              <w:rPr>
                <w:rFonts w:ascii="宋体" w:hAnsi="宋体" w:cs="宋体" w:eastAsia="宋体" w:hint="default"/>
                <w:spacing w:val="-4"/>
                <w:sz w:val="18"/>
                <w:szCs w:val="18"/>
              </w:rPr>
              <w:t>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伙）等</w:t>
            </w:r>
          </w:p>
        </w:tc>
        <w:tc>
          <w:tcPr>
            <w:tcW w:w="936" w:type="dxa"/>
            <w:tcBorders>
              <w:top w:val="single" w:sz="10" w:space="0" w:color="000000"/>
              <w:left w:val="single" w:sz="4" w:space="0" w:color="000000"/>
              <w:bottom w:val="single" w:sz="4" w:space="0" w:color="000000"/>
              <w:right w:val="single" w:sz="4" w:space="0" w:color="000000"/>
            </w:tcBorders>
          </w:tcPr>
          <w:p>
            <w:pPr>
              <w:pStyle w:val="TableParagraph"/>
              <w:spacing w:line="196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pict>
                <v:group style="width:46.35pt;height:98.2pt;mso-position-horizontal-relative:char;mso-position-vertical-relative:line" coordorigin="0,0" coordsize="927,1964">
                  <v:group style="position:absolute;left:0;top:0;width:927;height:1964" coordorigin="0,0" coordsize="927,1964">
                    <v:shape style="position:absolute;left:0;top:0;width:927;height:1964" coordorigin="0,0" coordsize="927,1964" path="m0,1963l926,1963,926,0,0,0,0,1963xe" filled="true" fillcolor="#ffffff" stroked="false">
                      <v:path arrowok="t"/>
                      <v:fill type="solid"/>
                    </v:shape>
                  </v:group>
                </v:group>
              </w:pict>
            </w:r>
            <w:r>
              <w:rPr>
                <w:rFonts w:ascii="Times New Roman" w:hAnsi="Times New Roman" w:cs="Times New Roman" w:eastAsia="Times New Roman" w:hint="default"/>
                <w:position w:val="-38"/>
                <w:sz w:val="20"/>
                <w:szCs w:val="20"/>
              </w:rPr>
            </w:r>
          </w:p>
        </w:tc>
        <w:tc>
          <w:tcPr>
            <w:tcW w:w="941"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1059" w:type="dxa"/>
            <w:tcBorders>
              <w:top w:val="single" w:sz="10" w:space="0" w:color="000000"/>
              <w:left w:val="single" w:sz="4" w:space="0" w:color="000000"/>
              <w:bottom w:val="single" w:sz="4" w:space="0" w:color="000000"/>
              <w:right w:val="single" w:sz="4" w:space="0" w:color="000000"/>
            </w:tcBorders>
          </w:tcPr>
          <w:p>
            <w:pPr/>
          </w:p>
        </w:tc>
        <w:tc>
          <w:tcPr>
            <w:tcW w:w="1051" w:type="dxa"/>
            <w:tcBorders>
              <w:top w:val="single" w:sz="10" w:space="0" w:color="000000"/>
              <w:left w:val="single" w:sz="4" w:space="0" w:color="000000"/>
              <w:bottom w:val="single" w:sz="4" w:space="0" w:color="000000"/>
              <w:right w:val="single" w:sz="4" w:space="0" w:color="000000"/>
            </w:tcBorders>
          </w:tcPr>
          <w:p>
            <w:pPr/>
          </w:p>
        </w:tc>
        <w:tc>
          <w:tcPr>
            <w:tcW w:w="1051" w:type="dxa"/>
            <w:tcBorders>
              <w:top w:val="single" w:sz="10" w:space="0" w:color="000000"/>
              <w:left w:val="single" w:sz="4" w:space="0" w:color="000000"/>
              <w:bottom w:val="single" w:sz="4" w:space="0" w:color="000000"/>
              <w:right w:val="single" w:sz="4" w:space="0" w:color="000000"/>
            </w:tcBorders>
          </w:tcPr>
          <w:p>
            <w:pPr/>
          </w:p>
        </w:tc>
        <w:tc>
          <w:tcPr>
            <w:tcW w:w="1037" w:type="dxa"/>
            <w:tcBorders>
              <w:top w:val="single" w:sz="10" w:space="0" w:color="000000"/>
              <w:left w:val="single" w:sz="4" w:space="0" w:color="000000"/>
              <w:bottom w:val="single" w:sz="4" w:space="0" w:color="000000"/>
              <w:right w:val="single" w:sz="4" w:space="0" w:color="000000"/>
            </w:tcBorders>
          </w:tcPr>
          <w:p>
            <w:pPr/>
          </w:p>
        </w:tc>
      </w:tr>
      <w:tr>
        <w:trPr>
          <w:trHeight w:val="50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174,560,000.00</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2,000,000.00</w:t>
            </w:r>
          </w:p>
        </w:tc>
        <w:tc>
          <w:tcPr>
            <w:tcW w:w="105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5,097,051.55</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left="140" w:right="8264"/>
        <w:jc w:val="left"/>
      </w:pPr>
      <w:r>
        <w:rPr>
          <w:rFonts w:ascii="Times New Roman" w:hAnsi="Times New Roman" w:cs="Times New Roman" w:eastAsia="Times New Roman" w:hint="default"/>
        </w:rPr>
        <w:t>3</w:t>
      </w:r>
      <w:r>
        <w:rPr/>
        <w:t>、报告期内正在进行的重大的非股权投资情况</w:t>
      </w:r>
    </w:p>
    <w:p>
      <w:pPr>
        <w:spacing w:line="240" w:lineRule="auto" w:before="3"/>
        <w:rPr>
          <w:rFonts w:ascii="黑体" w:hAnsi="黑体" w:cs="黑体" w:eastAsia="黑体" w:hint="default"/>
          <w:sz w:val="24"/>
          <w:szCs w:val="24"/>
        </w:rPr>
      </w:pPr>
    </w:p>
    <w:p>
      <w:pPr>
        <w:pStyle w:val="BodyText"/>
        <w:spacing w:line="240" w:lineRule="auto"/>
        <w:ind w:left="121" w:right="1164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left="140" w:right="8264"/>
        <w:jc w:val="left"/>
      </w:pPr>
      <w:r>
        <w:rPr>
          <w:rFonts w:ascii="Times New Roman" w:hAnsi="Times New Roman" w:cs="Times New Roman" w:eastAsia="Times New Roman" w:hint="default"/>
        </w:rPr>
        <w:t>4</w:t>
      </w:r>
      <w:r>
        <w:rPr/>
        <w:t>、以公允价值计量的金融资产</w:t>
      </w:r>
    </w:p>
    <w:p>
      <w:pPr>
        <w:spacing w:line="240" w:lineRule="auto" w:before="1"/>
        <w:rPr>
          <w:rFonts w:ascii="黑体" w:hAnsi="黑体" w:cs="黑体" w:eastAsia="黑体" w:hint="default"/>
          <w:sz w:val="24"/>
          <w:szCs w:val="24"/>
        </w:rPr>
      </w:pPr>
    </w:p>
    <w:p>
      <w:pPr>
        <w:pStyle w:val="BodyText"/>
        <w:spacing w:line="240" w:lineRule="auto"/>
        <w:ind w:left="121" w:right="1164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3"/>
          <w:szCs w:val="23"/>
        </w:rPr>
      </w:pPr>
    </w:p>
    <w:p>
      <w:pPr>
        <w:pStyle w:val="Heading3"/>
        <w:spacing w:line="240" w:lineRule="auto"/>
        <w:ind w:left="121" w:right="11816"/>
        <w:jc w:val="center"/>
      </w:pPr>
      <w:r>
        <w:rPr>
          <w:rFonts w:ascii="Times New Roman" w:hAnsi="Times New Roman" w:cs="Times New Roman" w:eastAsia="Times New Roman" w:hint="default"/>
        </w:rPr>
        <w:t>5</w:t>
      </w:r>
      <w:r>
        <w:rPr/>
        <w:t>、募集资金使用情况</w:t>
      </w:r>
    </w:p>
    <w:p>
      <w:pPr>
        <w:spacing w:line="240" w:lineRule="auto" w:before="1"/>
        <w:rPr>
          <w:rFonts w:ascii="黑体" w:hAnsi="黑体" w:cs="黑体" w:eastAsia="黑体" w:hint="default"/>
          <w:sz w:val="24"/>
          <w:szCs w:val="24"/>
        </w:rPr>
      </w:pPr>
    </w:p>
    <w:p>
      <w:pPr>
        <w:pStyle w:val="BodyText"/>
        <w:spacing w:line="240" w:lineRule="auto"/>
        <w:ind w:left="121" w:right="1164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left="140" w:right="8264"/>
        <w:jc w:val="left"/>
      </w:pPr>
      <w:r>
        <w:rPr/>
        <w:t>（</w:t>
      </w:r>
      <w:r>
        <w:rPr>
          <w:rFonts w:ascii="Times New Roman" w:hAnsi="Times New Roman" w:cs="Times New Roman" w:eastAsia="Times New Roman" w:hint="default"/>
        </w:rPr>
        <w:t>1</w:t>
      </w:r>
      <w:r>
        <w:rPr/>
        <w:t>）募集资金总体使用情况</w:t>
      </w:r>
    </w:p>
    <w:p>
      <w:pPr>
        <w:spacing w:line="240" w:lineRule="auto" w:before="1"/>
        <w:rPr>
          <w:rFonts w:ascii="黑体" w:hAnsi="黑体" w:cs="黑体" w:eastAsia="黑体" w:hint="default"/>
          <w:sz w:val="24"/>
          <w:szCs w:val="24"/>
        </w:rPr>
      </w:pPr>
    </w:p>
    <w:p>
      <w:pPr>
        <w:pStyle w:val="BodyText"/>
        <w:spacing w:line="240" w:lineRule="auto"/>
        <w:ind w:left="121" w:right="1164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8"/>
          <w:szCs w:val="18"/>
        </w:rPr>
      </w:pPr>
    </w:p>
    <w:p>
      <w:pPr>
        <w:pStyle w:val="BodyText"/>
        <w:spacing w:line="240" w:lineRule="auto" w:before="36"/>
        <w:ind w:left="0" w:right="251"/>
        <w:jc w:val="right"/>
      </w:pPr>
      <w:r>
        <w:rPr>
          <w:spacing w:val="-1"/>
        </w:rPr>
        <w:t>单位：万元</w:t>
      </w:r>
    </w:p>
    <w:p>
      <w:pPr>
        <w:spacing w:line="240" w:lineRule="auto" w:before="6"/>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270"/>
        <w:gridCol w:w="1274"/>
        <w:gridCol w:w="1277"/>
        <w:gridCol w:w="1274"/>
        <w:gridCol w:w="1277"/>
        <w:gridCol w:w="1272"/>
        <w:gridCol w:w="1274"/>
        <w:gridCol w:w="1275"/>
        <w:gridCol w:w="1274"/>
        <w:gridCol w:w="1277"/>
        <w:gridCol w:w="1271"/>
      </w:tblGrid>
      <w:tr>
        <w:trPr>
          <w:trHeight w:val="820"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募集年份</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募集方式</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募集资金总额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3" w:right="20"/>
              <w:jc w:val="left"/>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spacing w:val="-64"/>
                <w:sz w:val="18"/>
                <w:szCs w:val="18"/>
              </w:rPr>
              <w:t> </w:t>
            </w:r>
            <w:r>
              <w:rPr>
                <w:rFonts w:ascii="宋体" w:hAnsi="宋体" w:cs="宋体" w:eastAsia="宋体" w:hint="default"/>
                <w:b/>
                <w:bCs/>
                <w:sz w:val="18"/>
                <w:szCs w:val="18"/>
              </w:rPr>
              <w:t>期</w:t>
            </w:r>
            <w:r>
              <w:rPr>
                <w:rFonts w:ascii="宋体" w:hAnsi="宋体" w:cs="宋体" w:eastAsia="宋体" w:hint="default"/>
                <w:b/>
                <w:bCs/>
                <w:spacing w:val="-64"/>
                <w:sz w:val="18"/>
                <w:szCs w:val="18"/>
              </w:rPr>
              <w:t> </w:t>
            </w:r>
            <w:r>
              <w:rPr>
                <w:rFonts w:ascii="宋体" w:hAnsi="宋体" w:cs="宋体" w:eastAsia="宋体" w:hint="default"/>
                <w:b/>
                <w:bCs/>
                <w:sz w:val="18"/>
                <w:szCs w:val="18"/>
              </w:rPr>
              <w:t>已</w:t>
            </w:r>
            <w:r>
              <w:rPr>
                <w:rFonts w:ascii="宋体" w:hAnsi="宋体" w:cs="宋体" w:eastAsia="宋体" w:hint="default"/>
                <w:b/>
                <w:bCs/>
                <w:spacing w:val="-66"/>
                <w:sz w:val="18"/>
                <w:szCs w:val="18"/>
              </w:rPr>
              <w:t> </w:t>
            </w:r>
            <w:r>
              <w:rPr>
                <w:rFonts w:ascii="宋体" w:hAnsi="宋体" w:cs="宋体" w:eastAsia="宋体" w:hint="default"/>
                <w:b/>
                <w:bCs/>
                <w:sz w:val="18"/>
                <w:szCs w:val="18"/>
              </w:rPr>
              <w:t>使</w:t>
            </w:r>
            <w:r>
              <w:rPr>
                <w:rFonts w:ascii="宋体" w:hAnsi="宋体" w:cs="宋体" w:eastAsia="宋体" w:hint="default"/>
                <w:b/>
                <w:bCs/>
                <w:spacing w:val="-64"/>
                <w:sz w:val="18"/>
                <w:szCs w:val="18"/>
              </w:rPr>
              <w:t> </w:t>
            </w:r>
            <w:r>
              <w:rPr>
                <w:rFonts w:ascii="宋体" w:hAnsi="宋体" w:cs="宋体" w:eastAsia="宋体" w:hint="default"/>
                <w:b/>
                <w:bCs/>
                <w:sz w:val="18"/>
                <w:szCs w:val="18"/>
              </w:rPr>
              <w:t>用</w:t>
            </w:r>
            <w:r>
              <w:rPr>
                <w:rFonts w:ascii="宋体" w:hAnsi="宋体" w:cs="宋体" w:eastAsia="宋体" w:hint="default"/>
                <w:b/>
                <w:bCs/>
                <w:spacing w:val="-66"/>
                <w:sz w:val="18"/>
                <w:szCs w:val="18"/>
              </w:rPr>
              <w:t> </w:t>
            </w:r>
            <w:r>
              <w:rPr>
                <w:rFonts w:ascii="宋体" w:hAnsi="宋体" w:cs="宋体" w:eastAsia="宋体" w:hint="default"/>
                <w:b/>
                <w:bCs/>
                <w:sz w:val="18"/>
                <w:szCs w:val="18"/>
              </w:rPr>
              <w:t>募</w:t>
            </w:r>
            <w:r>
              <w:rPr>
                <w:rFonts w:ascii="宋体" w:hAnsi="宋体" w:cs="宋体" w:eastAsia="宋体" w:hint="default"/>
                <w:b/>
                <w:bCs/>
                <w:w w:val="99"/>
                <w:sz w:val="18"/>
                <w:szCs w:val="18"/>
              </w:rPr>
              <w:t> </w:t>
            </w:r>
            <w:r>
              <w:rPr>
                <w:rFonts w:ascii="宋体" w:hAnsi="宋体" w:cs="宋体" w:eastAsia="宋体" w:hint="default"/>
                <w:b/>
                <w:bCs/>
                <w:sz w:val="18"/>
                <w:szCs w:val="18"/>
              </w:rPr>
              <w:t>集资金总额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3" w:right="22"/>
              <w:jc w:val="left"/>
              <w:rPr>
                <w:rFonts w:ascii="宋体" w:hAnsi="宋体" w:cs="宋体" w:eastAsia="宋体" w:hint="default"/>
                <w:sz w:val="18"/>
                <w:szCs w:val="18"/>
              </w:rPr>
            </w:pPr>
            <w:r>
              <w:rPr>
                <w:rFonts w:ascii="宋体" w:hAnsi="宋体" w:cs="宋体" w:eastAsia="宋体" w:hint="default"/>
                <w:b/>
                <w:bCs/>
                <w:sz w:val="18"/>
                <w:szCs w:val="18"/>
              </w:rPr>
              <w:t>已</w:t>
            </w:r>
            <w:r>
              <w:rPr>
                <w:rFonts w:ascii="宋体" w:hAnsi="宋体" w:cs="宋体" w:eastAsia="宋体" w:hint="default"/>
                <w:b/>
                <w:bCs/>
                <w:spacing w:val="-64"/>
                <w:sz w:val="18"/>
                <w:szCs w:val="18"/>
              </w:rPr>
              <w:t> </w:t>
            </w:r>
            <w:r>
              <w:rPr>
                <w:rFonts w:ascii="宋体" w:hAnsi="宋体" w:cs="宋体" w:eastAsia="宋体" w:hint="default"/>
                <w:b/>
                <w:bCs/>
                <w:sz w:val="18"/>
                <w:szCs w:val="18"/>
              </w:rPr>
              <w:t>累</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b/>
                <w:bCs/>
                <w:spacing w:val="-66"/>
                <w:sz w:val="18"/>
                <w:szCs w:val="18"/>
              </w:rPr>
              <w:t> </w:t>
            </w:r>
            <w:r>
              <w:rPr>
                <w:rFonts w:ascii="宋体" w:hAnsi="宋体" w:cs="宋体" w:eastAsia="宋体" w:hint="default"/>
                <w:b/>
                <w:bCs/>
                <w:sz w:val="18"/>
                <w:szCs w:val="18"/>
              </w:rPr>
              <w:t>使</w:t>
            </w:r>
            <w:r>
              <w:rPr>
                <w:rFonts w:ascii="宋体" w:hAnsi="宋体" w:cs="宋体" w:eastAsia="宋体" w:hint="default"/>
                <w:b/>
                <w:bCs/>
                <w:spacing w:val="-64"/>
                <w:sz w:val="18"/>
                <w:szCs w:val="18"/>
              </w:rPr>
              <w:t> </w:t>
            </w:r>
            <w:r>
              <w:rPr>
                <w:rFonts w:ascii="宋体" w:hAnsi="宋体" w:cs="宋体" w:eastAsia="宋体" w:hint="default"/>
                <w:b/>
                <w:bCs/>
                <w:sz w:val="18"/>
                <w:szCs w:val="18"/>
              </w:rPr>
              <w:t>用</w:t>
            </w:r>
            <w:r>
              <w:rPr>
                <w:rFonts w:ascii="宋体" w:hAnsi="宋体" w:cs="宋体" w:eastAsia="宋体" w:hint="default"/>
                <w:b/>
                <w:bCs/>
                <w:spacing w:val="-66"/>
                <w:sz w:val="18"/>
                <w:szCs w:val="18"/>
              </w:rPr>
              <w:t> </w:t>
            </w:r>
            <w:r>
              <w:rPr>
                <w:rFonts w:ascii="宋体" w:hAnsi="宋体" w:cs="宋体" w:eastAsia="宋体" w:hint="default"/>
                <w:b/>
                <w:bCs/>
                <w:sz w:val="18"/>
                <w:szCs w:val="18"/>
              </w:rPr>
              <w:t>募</w:t>
            </w:r>
            <w:r>
              <w:rPr>
                <w:rFonts w:ascii="宋体" w:hAnsi="宋体" w:cs="宋体" w:eastAsia="宋体" w:hint="default"/>
                <w:b/>
                <w:bCs/>
                <w:w w:val="99"/>
                <w:sz w:val="18"/>
                <w:szCs w:val="18"/>
              </w:rPr>
              <w:t> </w:t>
            </w:r>
            <w:r>
              <w:rPr>
                <w:rFonts w:ascii="宋体" w:hAnsi="宋体" w:cs="宋体" w:eastAsia="宋体" w:hint="default"/>
                <w:b/>
                <w:bCs/>
                <w:sz w:val="18"/>
                <w:szCs w:val="18"/>
              </w:rPr>
              <w:t>集资金总额</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8"/>
              <w:ind w:left="21" w:right="23"/>
              <w:jc w:val="left"/>
              <w:rPr>
                <w:rFonts w:ascii="宋体" w:hAnsi="宋体" w:cs="宋体" w:eastAsia="宋体" w:hint="default"/>
                <w:sz w:val="18"/>
                <w:szCs w:val="18"/>
              </w:rPr>
            </w:pPr>
            <w:r>
              <w:rPr>
                <w:rFonts w:ascii="宋体" w:hAnsi="宋体" w:cs="宋体" w:eastAsia="宋体" w:hint="default"/>
                <w:b/>
                <w:bCs/>
                <w:sz w:val="18"/>
                <w:szCs w:val="18"/>
              </w:rPr>
              <w:t>报</w:t>
            </w:r>
            <w:r>
              <w:rPr>
                <w:rFonts w:ascii="宋体" w:hAnsi="宋体" w:cs="宋体" w:eastAsia="宋体" w:hint="default"/>
                <w:b/>
                <w:bCs/>
                <w:spacing w:val="-64"/>
                <w:sz w:val="18"/>
                <w:szCs w:val="18"/>
              </w:rPr>
              <w:t> </w:t>
            </w:r>
            <w:r>
              <w:rPr>
                <w:rFonts w:ascii="宋体" w:hAnsi="宋体" w:cs="宋体" w:eastAsia="宋体" w:hint="default"/>
                <w:b/>
                <w:bCs/>
                <w:sz w:val="18"/>
                <w:szCs w:val="18"/>
              </w:rPr>
              <w:t>告</w:t>
            </w:r>
            <w:r>
              <w:rPr>
                <w:rFonts w:ascii="宋体" w:hAnsi="宋体" w:cs="宋体" w:eastAsia="宋体" w:hint="default"/>
                <w:b/>
                <w:bCs/>
                <w:spacing w:val="-66"/>
                <w:sz w:val="18"/>
                <w:szCs w:val="18"/>
              </w:rPr>
              <w:t> </w:t>
            </w:r>
            <w:r>
              <w:rPr>
                <w:rFonts w:ascii="宋体" w:hAnsi="宋体" w:cs="宋体" w:eastAsia="宋体" w:hint="default"/>
                <w:b/>
                <w:bCs/>
                <w:sz w:val="18"/>
                <w:szCs w:val="18"/>
              </w:rPr>
              <w:t>期</w:t>
            </w:r>
            <w:r>
              <w:rPr>
                <w:rFonts w:ascii="宋体" w:hAnsi="宋体" w:cs="宋体" w:eastAsia="宋体" w:hint="default"/>
                <w:b/>
                <w:bCs/>
                <w:spacing w:val="-66"/>
                <w:sz w:val="18"/>
                <w:szCs w:val="18"/>
              </w:rPr>
              <w:t> </w:t>
            </w:r>
            <w:r>
              <w:rPr>
                <w:rFonts w:ascii="宋体" w:hAnsi="宋体" w:cs="宋体" w:eastAsia="宋体" w:hint="default"/>
                <w:b/>
                <w:bCs/>
                <w:sz w:val="18"/>
                <w:szCs w:val="18"/>
              </w:rPr>
              <w:t>内</w:t>
            </w:r>
            <w:r>
              <w:rPr>
                <w:rFonts w:ascii="宋体" w:hAnsi="宋体" w:cs="宋体" w:eastAsia="宋体" w:hint="default"/>
                <w:b/>
                <w:bCs/>
                <w:spacing w:val="-66"/>
                <w:sz w:val="18"/>
                <w:szCs w:val="18"/>
              </w:rPr>
              <w:t> </w:t>
            </w:r>
            <w:r>
              <w:rPr>
                <w:rFonts w:ascii="宋体" w:hAnsi="宋体" w:cs="宋体" w:eastAsia="宋体" w:hint="default"/>
                <w:b/>
                <w:bCs/>
                <w:sz w:val="18"/>
                <w:szCs w:val="18"/>
              </w:rPr>
              <w:t>变</w:t>
            </w:r>
            <w:r>
              <w:rPr>
                <w:rFonts w:ascii="宋体" w:hAnsi="宋体" w:cs="宋体" w:eastAsia="宋体" w:hint="default"/>
                <w:b/>
                <w:bCs/>
                <w:spacing w:val="-64"/>
                <w:sz w:val="18"/>
                <w:szCs w:val="18"/>
              </w:rPr>
              <w:t> </w:t>
            </w:r>
            <w:r>
              <w:rPr>
                <w:rFonts w:ascii="宋体" w:hAnsi="宋体" w:cs="宋体" w:eastAsia="宋体" w:hint="default"/>
                <w:b/>
                <w:bCs/>
                <w:sz w:val="18"/>
                <w:szCs w:val="18"/>
              </w:rPr>
              <w:t>更</w:t>
            </w:r>
            <w:r>
              <w:rPr>
                <w:rFonts w:ascii="宋体" w:hAnsi="宋体" w:cs="宋体" w:eastAsia="宋体" w:hint="default"/>
                <w:b/>
                <w:bCs/>
                <w:w w:val="99"/>
                <w:sz w:val="18"/>
                <w:szCs w:val="18"/>
              </w:rPr>
              <w:t> </w:t>
            </w:r>
            <w:r>
              <w:rPr>
                <w:rFonts w:ascii="宋体" w:hAnsi="宋体" w:cs="宋体" w:eastAsia="宋体" w:hint="default"/>
                <w:b/>
                <w:bCs/>
                <w:sz w:val="18"/>
                <w:szCs w:val="18"/>
              </w:rPr>
              <w:t>用</w:t>
            </w:r>
            <w:r>
              <w:rPr>
                <w:rFonts w:ascii="宋体" w:hAnsi="宋体" w:cs="宋体" w:eastAsia="宋体" w:hint="default"/>
                <w:b/>
                <w:bCs/>
                <w:spacing w:val="-64"/>
                <w:sz w:val="18"/>
                <w:szCs w:val="18"/>
              </w:rPr>
              <w:t> </w:t>
            </w:r>
            <w:r>
              <w:rPr>
                <w:rFonts w:ascii="宋体" w:hAnsi="宋体" w:cs="宋体" w:eastAsia="宋体" w:hint="default"/>
                <w:b/>
                <w:bCs/>
                <w:sz w:val="18"/>
                <w:szCs w:val="18"/>
              </w:rPr>
              <w:t>途</w:t>
            </w:r>
            <w:r>
              <w:rPr>
                <w:rFonts w:ascii="宋体" w:hAnsi="宋体" w:cs="宋体" w:eastAsia="宋体" w:hint="default"/>
                <w:b/>
                <w:bCs/>
                <w:spacing w:val="-66"/>
                <w:sz w:val="18"/>
                <w:szCs w:val="18"/>
              </w:rPr>
              <w:t> </w:t>
            </w:r>
            <w:r>
              <w:rPr>
                <w:rFonts w:ascii="宋体" w:hAnsi="宋体" w:cs="宋体" w:eastAsia="宋体" w:hint="default"/>
                <w:b/>
                <w:bCs/>
                <w:sz w:val="18"/>
                <w:szCs w:val="18"/>
              </w:rPr>
              <w:t>的</w:t>
            </w:r>
            <w:r>
              <w:rPr>
                <w:rFonts w:ascii="宋体" w:hAnsi="宋体" w:cs="宋体" w:eastAsia="宋体" w:hint="default"/>
                <w:b/>
                <w:bCs/>
                <w:spacing w:val="-66"/>
                <w:sz w:val="18"/>
                <w:szCs w:val="18"/>
              </w:rPr>
              <w:t> </w:t>
            </w:r>
            <w:r>
              <w:rPr>
                <w:rFonts w:ascii="宋体" w:hAnsi="宋体" w:cs="宋体" w:eastAsia="宋体" w:hint="default"/>
                <w:b/>
                <w:bCs/>
                <w:sz w:val="18"/>
                <w:szCs w:val="18"/>
              </w:rPr>
              <w:t>募</w:t>
            </w:r>
            <w:r>
              <w:rPr>
                <w:rFonts w:ascii="宋体" w:hAnsi="宋体" w:cs="宋体" w:eastAsia="宋体" w:hint="default"/>
                <w:b/>
                <w:bCs/>
                <w:spacing w:val="-66"/>
                <w:sz w:val="18"/>
                <w:szCs w:val="18"/>
              </w:rPr>
              <w:t> </w:t>
            </w:r>
            <w:r>
              <w:rPr>
                <w:rFonts w:ascii="宋体" w:hAnsi="宋体" w:cs="宋体" w:eastAsia="宋体" w:hint="default"/>
                <w:b/>
                <w:bCs/>
                <w:sz w:val="18"/>
                <w:szCs w:val="18"/>
              </w:rPr>
              <w:t>集</w:t>
            </w:r>
            <w:r>
              <w:rPr>
                <w:rFonts w:ascii="宋体" w:hAnsi="宋体" w:cs="宋体" w:eastAsia="宋体" w:hint="default"/>
                <w:b/>
                <w:bCs/>
                <w:spacing w:val="-64"/>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8"/>
              <w:ind w:left="21" w:right="22"/>
              <w:jc w:val="left"/>
              <w:rPr>
                <w:rFonts w:ascii="宋体" w:hAnsi="宋体" w:cs="宋体" w:eastAsia="宋体" w:hint="default"/>
                <w:sz w:val="18"/>
                <w:szCs w:val="18"/>
              </w:rPr>
            </w:pPr>
            <w:r>
              <w:rPr>
                <w:rFonts w:ascii="宋体" w:hAnsi="宋体" w:cs="宋体" w:eastAsia="宋体" w:hint="default"/>
                <w:b/>
                <w:bCs/>
                <w:sz w:val="18"/>
                <w:szCs w:val="18"/>
              </w:rPr>
              <w:t>累</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b/>
                <w:bCs/>
                <w:spacing w:val="-64"/>
                <w:sz w:val="18"/>
                <w:szCs w:val="18"/>
              </w:rPr>
              <w:t> </w:t>
            </w:r>
            <w:r>
              <w:rPr>
                <w:rFonts w:ascii="宋体" w:hAnsi="宋体" w:cs="宋体" w:eastAsia="宋体" w:hint="default"/>
                <w:b/>
                <w:bCs/>
                <w:sz w:val="18"/>
                <w:szCs w:val="18"/>
              </w:rPr>
              <w:t>变</w:t>
            </w:r>
            <w:r>
              <w:rPr>
                <w:rFonts w:ascii="宋体" w:hAnsi="宋体" w:cs="宋体" w:eastAsia="宋体" w:hint="default"/>
                <w:b/>
                <w:bCs/>
                <w:spacing w:val="-66"/>
                <w:sz w:val="18"/>
                <w:szCs w:val="18"/>
              </w:rPr>
              <w:t> </w:t>
            </w:r>
            <w:r>
              <w:rPr>
                <w:rFonts w:ascii="宋体" w:hAnsi="宋体" w:cs="宋体" w:eastAsia="宋体" w:hint="default"/>
                <w:b/>
                <w:bCs/>
                <w:sz w:val="18"/>
                <w:szCs w:val="18"/>
              </w:rPr>
              <w:t>更</w:t>
            </w:r>
            <w:r>
              <w:rPr>
                <w:rFonts w:ascii="宋体" w:hAnsi="宋体" w:cs="宋体" w:eastAsia="宋体" w:hint="default"/>
                <w:b/>
                <w:bCs/>
                <w:spacing w:val="-64"/>
                <w:sz w:val="18"/>
                <w:szCs w:val="18"/>
              </w:rPr>
              <w:t> </w:t>
            </w:r>
            <w:r>
              <w:rPr>
                <w:rFonts w:ascii="宋体" w:hAnsi="宋体" w:cs="宋体" w:eastAsia="宋体" w:hint="default"/>
                <w:b/>
                <w:bCs/>
                <w:sz w:val="18"/>
                <w:szCs w:val="18"/>
              </w:rPr>
              <w:t>用</w:t>
            </w:r>
            <w:r>
              <w:rPr>
                <w:rFonts w:ascii="宋体" w:hAnsi="宋体" w:cs="宋体" w:eastAsia="宋体" w:hint="default"/>
                <w:b/>
                <w:bCs/>
                <w:spacing w:val="-66"/>
                <w:sz w:val="18"/>
                <w:szCs w:val="18"/>
              </w:rPr>
              <w:t> </w:t>
            </w:r>
            <w:r>
              <w:rPr>
                <w:rFonts w:ascii="宋体" w:hAnsi="宋体" w:cs="宋体" w:eastAsia="宋体" w:hint="default"/>
                <w:b/>
                <w:bCs/>
                <w:sz w:val="18"/>
                <w:szCs w:val="18"/>
              </w:rPr>
              <w:t>途</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b/>
                <w:bCs/>
                <w:spacing w:val="-64"/>
                <w:sz w:val="18"/>
                <w:szCs w:val="18"/>
              </w:rPr>
              <w:t> </w:t>
            </w:r>
            <w:r>
              <w:rPr>
                <w:rFonts w:ascii="宋体" w:hAnsi="宋体" w:cs="宋体" w:eastAsia="宋体" w:hint="default"/>
                <w:b/>
                <w:bCs/>
                <w:sz w:val="18"/>
                <w:szCs w:val="18"/>
              </w:rPr>
              <w:t>募</w:t>
            </w:r>
            <w:r>
              <w:rPr>
                <w:rFonts w:ascii="宋体" w:hAnsi="宋体" w:cs="宋体" w:eastAsia="宋体" w:hint="default"/>
                <w:b/>
                <w:bCs/>
                <w:spacing w:val="-64"/>
                <w:sz w:val="18"/>
                <w:szCs w:val="18"/>
              </w:rPr>
              <w:t> </w:t>
            </w:r>
            <w:r>
              <w:rPr>
                <w:rFonts w:ascii="宋体" w:hAnsi="宋体" w:cs="宋体" w:eastAsia="宋体" w:hint="default"/>
                <w:b/>
                <w:bCs/>
                <w:sz w:val="18"/>
                <w:szCs w:val="18"/>
              </w:rPr>
              <w:t>集</w:t>
            </w:r>
            <w:r>
              <w:rPr>
                <w:rFonts w:ascii="宋体" w:hAnsi="宋体" w:cs="宋体" w:eastAsia="宋体" w:hint="default"/>
                <w:b/>
                <w:bCs/>
                <w:spacing w:val="-66"/>
                <w:sz w:val="18"/>
                <w:szCs w:val="18"/>
              </w:rPr>
              <w:t> </w:t>
            </w:r>
            <w:r>
              <w:rPr>
                <w:rFonts w:ascii="宋体" w:hAnsi="宋体" w:cs="宋体" w:eastAsia="宋体" w:hint="default"/>
                <w:b/>
                <w:bCs/>
                <w:sz w:val="18"/>
                <w:szCs w:val="18"/>
              </w:rPr>
              <w:t>资</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6"/>
                <w:sz w:val="18"/>
                <w:szCs w:val="18"/>
              </w:rPr>
              <w:t> </w:t>
            </w:r>
            <w:r>
              <w:rPr>
                <w:rFonts w:ascii="宋体" w:hAnsi="宋体" w:cs="宋体" w:eastAsia="宋体" w:hint="default"/>
                <w:b/>
                <w:bCs/>
                <w:sz w:val="18"/>
                <w:szCs w:val="18"/>
              </w:rPr>
              <w:t>总</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8"/>
              <w:ind w:left="21" w:right="23"/>
              <w:jc w:val="left"/>
              <w:rPr>
                <w:rFonts w:ascii="宋体" w:hAnsi="宋体" w:cs="宋体" w:eastAsia="宋体" w:hint="default"/>
                <w:sz w:val="18"/>
                <w:szCs w:val="18"/>
              </w:rPr>
            </w:pPr>
            <w:r>
              <w:rPr>
                <w:rFonts w:ascii="宋体" w:hAnsi="宋体" w:cs="宋体" w:eastAsia="宋体" w:hint="default"/>
                <w:b/>
                <w:bCs/>
                <w:sz w:val="18"/>
                <w:szCs w:val="18"/>
              </w:rPr>
              <w:t>累</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b/>
                <w:bCs/>
                <w:spacing w:val="-64"/>
                <w:sz w:val="18"/>
                <w:szCs w:val="18"/>
              </w:rPr>
              <w:t> </w:t>
            </w:r>
            <w:r>
              <w:rPr>
                <w:rFonts w:ascii="宋体" w:hAnsi="宋体" w:cs="宋体" w:eastAsia="宋体" w:hint="default"/>
                <w:b/>
                <w:bCs/>
                <w:sz w:val="18"/>
                <w:szCs w:val="18"/>
              </w:rPr>
              <w:t>变</w:t>
            </w:r>
            <w:r>
              <w:rPr>
                <w:rFonts w:ascii="宋体" w:hAnsi="宋体" w:cs="宋体" w:eastAsia="宋体" w:hint="default"/>
                <w:b/>
                <w:bCs/>
                <w:spacing w:val="-66"/>
                <w:sz w:val="18"/>
                <w:szCs w:val="18"/>
              </w:rPr>
              <w:t> </w:t>
            </w:r>
            <w:r>
              <w:rPr>
                <w:rFonts w:ascii="宋体" w:hAnsi="宋体" w:cs="宋体" w:eastAsia="宋体" w:hint="default"/>
                <w:b/>
                <w:bCs/>
                <w:sz w:val="18"/>
                <w:szCs w:val="18"/>
              </w:rPr>
              <w:t>更</w:t>
            </w:r>
            <w:r>
              <w:rPr>
                <w:rFonts w:ascii="宋体" w:hAnsi="宋体" w:cs="宋体" w:eastAsia="宋体" w:hint="default"/>
                <w:b/>
                <w:bCs/>
                <w:spacing w:val="-64"/>
                <w:sz w:val="18"/>
                <w:szCs w:val="18"/>
              </w:rPr>
              <w:t> </w:t>
            </w:r>
            <w:r>
              <w:rPr>
                <w:rFonts w:ascii="宋体" w:hAnsi="宋体" w:cs="宋体" w:eastAsia="宋体" w:hint="default"/>
                <w:b/>
                <w:bCs/>
                <w:sz w:val="18"/>
                <w:szCs w:val="18"/>
              </w:rPr>
              <w:t>用</w:t>
            </w:r>
            <w:r>
              <w:rPr>
                <w:rFonts w:ascii="宋体" w:hAnsi="宋体" w:cs="宋体" w:eastAsia="宋体" w:hint="default"/>
                <w:b/>
                <w:bCs/>
                <w:spacing w:val="-66"/>
                <w:sz w:val="18"/>
                <w:szCs w:val="18"/>
              </w:rPr>
              <w:t> </w:t>
            </w:r>
            <w:r>
              <w:rPr>
                <w:rFonts w:ascii="宋体" w:hAnsi="宋体" w:cs="宋体" w:eastAsia="宋体" w:hint="default"/>
                <w:b/>
                <w:bCs/>
                <w:sz w:val="18"/>
                <w:szCs w:val="18"/>
              </w:rPr>
              <w:t>途</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b/>
                <w:bCs/>
                <w:spacing w:val="-64"/>
                <w:sz w:val="18"/>
                <w:szCs w:val="18"/>
              </w:rPr>
              <w:t> </w:t>
            </w:r>
            <w:r>
              <w:rPr>
                <w:rFonts w:ascii="宋体" w:hAnsi="宋体" w:cs="宋体" w:eastAsia="宋体" w:hint="default"/>
                <w:b/>
                <w:bCs/>
                <w:sz w:val="18"/>
                <w:szCs w:val="18"/>
              </w:rPr>
              <w:t>募</w:t>
            </w:r>
            <w:r>
              <w:rPr>
                <w:rFonts w:ascii="宋体" w:hAnsi="宋体" w:cs="宋体" w:eastAsia="宋体" w:hint="default"/>
                <w:b/>
                <w:bCs/>
                <w:spacing w:val="-64"/>
                <w:sz w:val="18"/>
                <w:szCs w:val="18"/>
              </w:rPr>
              <w:t> </w:t>
            </w:r>
            <w:r>
              <w:rPr>
                <w:rFonts w:ascii="宋体" w:hAnsi="宋体" w:cs="宋体" w:eastAsia="宋体" w:hint="default"/>
                <w:b/>
                <w:bCs/>
                <w:sz w:val="18"/>
                <w:szCs w:val="18"/>
              </w:rPr>
              <w:t>集</w:t>
            </w:r>
            <w:r>
              <w:rPr>
                <w:rFonts w:ascii="宋体" w:hAnsi="宋体" w:cs="宋体" w:eastAsia="宋体" w:hint="default"/>
                <w:b/>
                <w:bCs/>
                <w:spacing w:val="-66"/>
                <w:sz w:val="18"/>
                <w:szCs w:val="18"/>
              </w:rPr>
              <w:t> </w:t>
            </w:r>
            <w:r>
              <w:rPr>
                <w:rFonts w:ascii="宋体" w:hAnsi="宋体" w:cs="宋体" w:eastAsia="宋体" w:hint="default"/>
                <w:b/>
                <w:bCs/>
                <w:sz w:val="18"/>
                <w:szCs w:val="18"/>
              </w:rPr>
              <w:t>资</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6"/>
                <w:sz w:val="18"/>
                <w:szCs w:val="18"/>
              </w:rPr>
              <w:t> </w:t>
            </w:r>
            <w:r>
              <w:rPr>
                <w:rFonts w:ascii="宋体" w:hAnsi="宋体" w:cs="宋体" w:eastAsia="宋体" w:hint="default"/>
                <w:b/>
                <w:bCs/>
                <w:sz w:val="18"/>
                <w:szCs w:val="18"/>
              </w:rPr>
              <w:t>总</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4" w:right="20"/>
              <w:jc w:val="left"/>
              <w:rPr>
                <w:rFonts w:ascii="宋体" w:hAnsi="宋体" w:cs="宋体" w:eastAsia="宋体" w:hint="default"/>
                <w:sz w:val="18"/>
                <w:szCs w:val="18"/>
              </w:rPr>
            </w:pPr>
            <w:r>
              <w:rPr>
                <w:rFonts w:ascii="宋体" w:hAnsi="宋体" w:cs="宋体" w:eastAsia="宋体" w:hint="default"/>
                <w:b/>
                <w:bCs/>
                <w:sz w:val="18"/>
                <w:szCs w:val="18"/>
              </w:rPr>
              <w:t>尚</w:t>
            </w:r>
            <w:r>
              <w:rPr>
                <w:rFonts w:ascii="宋体" w:hAnsi="宋体" w:cs="宋体" w:eastAsia="宋体" w:hint="default"/>
                <w:b/>
                <w:bCs/>
                <w:spacing w:val="-64"/>
                <w:sz w:val="18"/>
                <w:szCs w:val="18"/>
              </w:rPr>
              <w:t> </w:t>
            </w:r>
            <w:r>
              <w:rPr>
                <w:rFonts w:ascii="宋体" w:hAnsi="宋体" w:cs="宋体" w:eastAsia="宋体" w:hint="default"/>
                <w:b/>
                <w:bCs/>
                <w:sz w:val="18"/>
                <w:szCs w:val="18"/>
              </w:rPr>
              <w:t>未</w:t>
            </w:r>
            <w:r>
              <w:rPr>
                <w:rFonts w:ascii="宋体" w:hAnsi="宋体" w:cs="宋体" w:eastAsia="宋体" w:hint="default"/>
                <w:b/>
                <w:bCs/>
                <w:spacing w:val="-64"/>
                <w:sz w:val="18"/>
                <w:szCs w:val="18"/>
              </w:rPr>
              <w:t> </w:t>
            </w:r>
            <w:r>
              <w:rPr>
                <w:rFonts w:ascii="宋体" w:hAnsi="宋体" w:cs="宋体" w:eastAsia="宋体" w:hint="default"/>
                <w:b/>
                <w:bCs/>
                <w:sz w:val="18"/>
                <w:szCs w:val="18"/>
              </w:rPr>
              <w:t>使</w:t>
            </w:r>
            <w:r>
              <w:rPr>
                <w:rFonts w:ascii="宋体" w:hAnsi="宋体" w:cs="宋体" w:eastAsia="宋体" w:hint="default"/>
                <w:b/>
                <w:bCs/>
                <w:spacing w:val="-66"/>
                <w:sz w:val="18"/>
                <w:szCs w:val="18"/>
              </w:rPr>
              <w:t> </w:t>
            </w:r>
            <w:r>
              <w:rPr>
                <w:rFonts w:ascii="宋体" w:hAnsi="宋体" w:cs="宋体" w:eastAsia="宋体" w:hint="default"/>
                <w:b/>
                <w:bCs/>
                <w:sz w:val="18"/>
                <w:szCs w:val="18"/>
              </w:rPr>
              <w:t>用</w:t>
            </w:r>
            <w:r>
              <w:rPr>
                <w:rFonts w:ascii="宋体" w:hAnsi="宋体" w:cs="宋体" w:eastAsia="宋体" w:hint="default"/>
                <w:b/>
                <w:bCs/>
                <w:spacing w:val="-64"/>
                <w:sz w:val="18"/>
                <w:szCs w:val="18"/>
              </w:rPr>
              <w:t> </w:t>
            </w:r>
            <w:r>
              <w:rPr>
                <w:rFonts w:ascii="宋体" w:hAnsi="宋体" w:cs="宋体" w:eastAsia="宋体" w:hint="default"/>
                <w:b/>
                <w:bCs/>
                <w:sz w:val="18"/>
                <w:szCs w:val="18"/>
              </w:rPr>
              <w:t>募</w:t>
            </w:r>
            <w:r>
              <w:rPr>
                <w:rFonts w:ascii="宋体" w:hAnsi="宋体" w:cs="宋体" w:eastAsia="宋体" w:hint="default"/>
                <w:b/>
                <w:bCs/>
                <w:spacing w:val="-66"/>
                <w:sz w:val="18"/>
                <w:szCs w:val="18"/>
              </w:rPr>
              <w:t> </w:t>
            </w:r>
            <w:r>
              <w:rPr>
                <w:rFonts w:ascii="宋体" w:hAnsi="宋体" w:cs="宋体" w:eastAsia="宋体" w:hint="default"/>
                <w:b/>
                <w:bCs/>
                <w:sz w:val="18"/>
                <w:szCs w:val="18"/>
              </w:rPr>
              <w:t>集</w:t>
            </w:r>
            <w:r>
              <w:rPr>
                <w:rFonts w:ascii="宋体" w:hAnsi="宋体" w:cs="宋体" w:eastAsia="宋体" w:hint="default"/>
                <w:b/>
                <w:bCs/>
                <w:w w:val="99"/>
                <w:sz w:val="18"/>
                <w:szCs w:val="18"/>
              </w:rPr>
              <w:t> </w:t>
            </w:r>
            <w:r>
              <w:rPr>
                <w:rFonts w:ascii="宋体" w:hAnsi="宋体" w:cs="宋体" w:eastAsia="宋体" w:hint="default"/>
                <w:b/>
                <w:bCs/>
                <w:sz w:val="18"/>
                <w:szCs w:val="18"/>
              </w:rPr>
              <w:t>资金总额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8"/>
              <w:ind w:left="24" w:right="22"/>
              <w:jc w:val="left"/>
              <w:rPr>
                <w:rFonts w:ascii="宋体" w:hAnsi="宋体" w:cs="宋体" w:eastAsia="宋体" w:hint="default"/>
                <w:sz w:val="18"/>
                <w:szCs w:val="18"/>
              </w:rPr>
            </w:pPr>
            <w:r>
              <w:rPr>
                <w:rFonts w:ascii="宋体" w:hAnsi="宋体" w:cs="宋体" w:eastAsia="宋体" w:hint="default"/>
                <w:b/>
                <w:bCs/>
                <w:sz w:val="18"/>
                <w:szCs w:val="18"/>
              </w:rPr>
              <w:t>尚</w:t>
            </w:r>
            <w:r>
              <w:rPr>
                <w:rFonts w:ascii="宋体" w:hAnsi="宋体" w:cs="宋体" w:eastAsia="宋体" w:hint="default"/>
                <w:b/>
                <w:bCs/>
                <w:spacing w:val="-64"/>
                <w:sz w:val="18"/>
                <w:szCs w:val="18"/>
              </w:rPr>
              <w:t> </w:t>
            </w:r>
            <w:r>
              <w:rPr>
                <w:rFonts w:ascii="宋体" w:hAnsi="宋体" w:cs="宋体" w:eastAsia="宋体" w:hint="default"/>
                <w:b/>
                <w:bCs/>
                <w:sz w:val="18"/>
                <w:szCs w:val="18"/>
              </w:rPr>
              <w:t>未</w:t>
            </w:r>
            <w:r>
              <w:rPr>
                <w:rFonts w:ascii="宋体" w:hAnsi="宋体" w:cs="宋体" w:eastAsia="宋体" w:hint="default"/>
                <w:b/>
                <w:bCs/>
                <w:spacing w:val="-64"/>
                <w:sz w:val="18"/>
                <w:szCs w:val="18"/>
              </w:rPr>
              <w:t> </w:t>
            </w:r>
            <w:r>
              <w:rPr>
                <w:rFonts w:ascii="宋体" w:hAnsi="宋体" w:cs="宋体" w:eastAsia="宋体" w:hint="default"/>
                <w:b/>
                <w:bCs/>
                <w:sz w:val="18"/>
                <w:szCs w:val="18"/>
              </w:rPr>
              <w:t>使</w:t>
            </w:r>
            <w:r>
              <w:rPr>
                <w:rFonts w:ascii="宋体" w:hAnsi="宋体" w:cs="宋体" w:eastAsia="宋体" w:hint="default"/>
                <w:b/>
                <w:bCs/>
                <w:spacing w:val="-66"/>
                <w:sz w:val="18"/>
                <w:szCs w:val="18"/>
              </w:rPr>
              <w:t> </w:t>
            </w:r>
            <w:r>
              <w:rPr>
                <w:rFonts w:ascii="宋体" w:hAnsi="宋体" w:cs="宋体" w:eastAsia="宋体" w:hint="default"/>
                <w:b/>
                <w:bCs/>
                <w:sz w:val="18"/>
                <w:szCs w:val="18"/>
              </w:rPr>
              <w:t>用</w:t>
            </w:r>
            <w:r>
              <w:rPr>
                <w:rFonts w:ascii="宋体" w:hAnsi="宋体" w:cs="宋体" w:eastAsia="宋体" w:hint="default"/>
                <w:b/>
                <w:bCs/>
                <w:spacing w:val="-64"/>
                <w:sz w:val="18"/>
                <w:szCs w:val="18"/>
              </w:rPr>
              <w:t> </w:t>
            </w:r>
            <w:r>
              <w:rPr>
                <w:rFonts w:ascii="宋体" w:hAnsi="宋体" w:cs="宋体" w:eastAsia="宋体" w:hint="default"/>
                <w:b/>
                <w:bCs/>
                <w:sz w:val="18"/>
                <w:szCs w:val="18"/>
              </w:rPr>
              <w:t>募</w:t>
            </w:r>
            <w:r>
              <w:rPr>
                <w:rFonts w:ascii="宋体" w:hAnsi="宋体" w:cs="宋体" w:eastAsia="宋体" w:hint="default"/>
                <w:b/>
                <w:bCs/>
                <w:spacing w:val="-66"/>
                <w:sz w:val="18"/>
                <w:szCs w:val="18"/>
              </w:rPr>
              <w:t> </w:t>
            </w:r>
            <w:r>
              <w:rPr>
                <w:rFonts w:ascii="宋体" w:hAnsi="宋体" w:cs="宋体" w:eastAsia="宋体" w:hint="default"/>
                <w:b/>
                <w:bCs/>
                <w:sz w:val="18"/>
                <w:szCs w:val="18"/>
              </w:rPr>
              <w:t>集</w:t>
            </w:r>
            <w:r>
              <w:rPr>
                <w:rFonts w:ascii="宋体" w:hAnsi="宋体" w:cs="宋体" w:eastAsia="宋体" w:hint="default"/>
                <w:b/>
                <w:bCs/>
                <w:w w:val="99"/>
                <w:sz w:val="18"/>
                <w:szCs w:val="18"/>
              </w:rPr>
              <w:t> </w:t>
            </w:r>
            <w:r>
              <w:rPr>
                <w:rFonts w:ascii="宋体" w:hAnsi="宋体" w:cs="宋体" w:eastAsia="宋体" w:hint="default"/>
                <w:b/>
                <w:bCs/>
                <w:sz w:val="18"/>
                <w:szCs w:val="18"/>
              </w:rPr>
              <w:t>资</w:t>
            </w:r>
            <w:r>
              <w:rPr>
                <w:rFonts w:ascii="宋体" w:hAnsi="宋体" w:cs="宋体" w:eastAsia="宋体" w:hint="default"/>
                <w:b/>
                <w:bCs/>
                <w:spacing w:val="-64"/>
                <w:sz w:val="18"/>
                <w:szCs w:val="18"/>
              </w:rPr>
              <w:t> </w:t>
            </w:r>
            <w:r>
              <w:rPr>
                <w:rFonts w:ascii="宋体" w:hAnsi="宋体" w:cs="宋体" w:eastAsia="宋体" w:hint="default"/>
                <w:b/>
                <w:bCs/>
                <w:sz w:val="18"/>
                <w:szCs w:val="18"/>
              </w:rPr>
              <w:t>金</w:t>
            </w:r>
            <w:r>
              <w:rPr>
                <w:rFonts w:ascii="宋体" w:hAnsi="宋体" w:cs="宋体" w:eastAsia="宋体" w:hint="default"/>
                <w:b/>
                <w:bCs/>
                <w:spacing w:val="-64"/>
                <w:sz w:val="18"/>
                <w:szCs w:val="18"/>
              </w:rPr>
              <w:t> </w:t>
            </w:r>
            <w:r>
              <w:rPr>
                <w:rFonts w:ascii="宋体" w:hAnsi="宋体" w:cs="宋体" w:eastAsia="宋体" w:hint="default"/>
                <w:b/>
                <w:bCs/>
                <w:sz w:val="18"/>
                <w:szCs w:val="18"/>
              </w:rPr>
              <w:t>用</w:t>
            </w:r>
            <w:r>
              <w:rPr>
                <w:rFonts w:ascii="宋体" w:hAnsi="宋体" w:cs="宋体" w:eastAsia="宋体" w:hint="default"/>
                <w:b/>
                <w:bCs/>
                <w:spacing w:val="-66"/>
                <w:sz w:val="18"/>
                <w:szCs w:val="18"/>
              </w:rPr>
              <w:t> </w:t>
            </w:r>
            <w:r>
              <w:rPr>
                <w:rFonts w:ascii="宋体" w:hAnsi="宋体" w:cs="宋体" w:eastAsia="宋体" w:hint="default"/>
                <w:b/>
                <w:bCs/>
                <w:sz w:val="18"/>
                <w:szCs w:val="18"/>
              </w:rPr>
              <w:t>途</w:t>
            </w:r>
            <w:r>
              <w:rPr>
                <w:rFonts w:ascii="宋体" w:hAnsi="宋体" w:cs="宋体" w:eastAsia="宋体" w:hint="default"/>
                <w:b/>
                <w:bCs/>
                <w:spacing w:val="-64"/>
                <w:sz w:val="18"/>
                <w:szCs w:val="18"/>
              </w:rPr>
              <w:t> </w:t>
            </w:r>
            <w:r>
              <w:rPr>
                <w:rFonts w:ascii="宋体" w:hAnsi="宋体" w:cs="宋体" w:eastAsia="宋体" w:hint="default"/>
                <w:b/>
                <w:bCs/>
                <w:sz w:val="18"/>
                <w:szCs w:val="18"/>
              </w:rPr>
              <w:t>及</w:t>
            </w:r>
            <w:r>
              <w:rPr>
                <w:rFonts w:ascii="宋体" w:hAnsi="宋体" w:cs="宋体" w:eastAsia="宋体" w:hint="default"/>
                <w:b/>
                <w:bCs/>
                <w:spacing w:val="-66"/>
                <w:sz w:val="18"/>
                <w:szCs w:val="18"/>
              </w:rPr>
              <w:t> </w:t>
            </w:r>
            <w:r>
              <w:rPr>
                <w:rFonts w:ascii="宋体" w:hAnsi="宋体" w:cs="宋体" w:eastAsia="宋体" w:hint="default"/>
                <w:b/>
                <w:bCs/>
                <w:sz w:val="18"/>
                <w:szCs w:val="18"/>
              </w:rPr>
              <w:t>去</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1" w:right="21"/>
              <w:jc w:val="left"/>
              <w:rPr>
                <w:rFonts w:ascii="宋体" w:hAnsi="宋体" w:cs="宋体" w:eastAsia="宋体" w:hint="default"/>
                <w:sz w:val="18"/>
                <w:szCs w:val="18"/>
              </w:rPr>
            </w:pPr>
            <w:r>
              <w:rPr>
                <w:rFonts w:ascii="宋体" w:hAnsi="宋体" w:cs="宋体" w:eastAsia="宋体" w:hint="default"/>
                <w:b/>
                <w:bCs/>
                <w:sz w:val="18"/>
                <w:szCs w:val="18"/>
              </w:rPr>
              <w:t>闲</w:t>
            </w:r>
            <w:r>
              <w:rPr>
                <w:rFonts w:ascii="宋体" w:hAnsi="宋体" w:cs="宋体" w:eastAsia="宋体" w:hint="default"/>
                <w:b/>
                <w:bCs/>
                <w:spacing w:val="-64"/>
                <w:sz w:val="18"/>
                <w:szCs w:val="18"/>
              </w:rPr>
              <w:t> </w:t>
            </w:r>
            <w:r>
              <w:rPr>
                <w:rFonts w:ascii="宋体" w:hAnsi="宋体" w:cs="宋体" w:eastAsia="宋体" w:hint="default"/>
                <w:b/>
                <w:bCs/>
                <w:sz w:val="18"/>
                <w:szCs w:val="18"/>
              </w:rPr>
              <w:t>置</w:t>
            </w:r>
            <w:r>
              <w:rPr>
                <w:rFonts w:ascii="宋体" w:hAnsi="宋体" w:cs="宋体" w:eastAsia="宋体" w:hint="default"/>
                <w:b/>
                <w:bCs/>
                <w:spacing w:val="-66"/>
                <w:sz w:val="18"/>
                <w:szCs w:val="18"/>
              </w:rPr>
              <w:t> </w:t>
            </w:r>
            <w:r>
              <w:rPr>
                <w:rFonts w:ascii="宋体" w:hAnsi="宋体" w:cs="宋体" w:eastAsia="宋体" w:hint="default"/>
                <w:b/>
                <w:bCs/>
                <w:sz w:val="18"/>
                <w:szCs w:val="18"/>
              </w:rPr>
              <w:t>两</w:t>
            </w:r>
            <w:r>
              <w:rPr>
                <w:rFonts w:ascii="宋体" w:hAnsi="宋体" w:cs="宋体" w:eastAsia="宋体" w:hint="default"/>
                <w:b/>
                <w:bCs/>
                <w:spacing w:val="-66"/>
                <w:sz w:val="18"/>
                <w:szCs w:val="18"/>
              </w:rPr>
              <w:t> </w:t>
            </w:r>
            <w:r>
              <w:rPr>
                <w:rFonts w:ascii="宋体" w:hAnsi="宋体" w:cs="宋体" w:eastAsia="宋体" w:hint="default"/>
                <w:b/>
                <w:bCs/>
                <w:sz w:val="18"/>
                <w:szCs w:val="18"/>
              </w:rPr>
              <w:t>年</w:t>
            </w:r>
            <w:r>
              <w:rPr>
                <w:rFonts w:ascii="宋体" w:hAnsi="宋体" w:cs="宋体" w:eastAsia="宋体" w:hint="default"/>
                <w:b/>
                <w:bCs/>
                <w:spacing w:val="-66"/>
                <w:sz w:val="18"/>
                <w:szCs w:val="18"/>
              </w:rPr>
              <w:t> </w:t>
            </w:r>
            <w:r>
              <w:rPr>
                <w:rFonts w:ascii="宋体" w:hAnsi="宋体" w:cs="宋体" w:eastAsia="宋体" w:hint="default"/>
                <w:b/>
                <w:bCs/>
                <w:sz w:val="18"/>
                <w:szCs w:val="18"/>
              </w:rPr>
              <w:t>以</w:t>
            </w:r>
            <w:r>
              <w:rPr>
                <w:rFonts w:ascii="宋体" w:hAnsi="宋体" w:cs="宋体" w:eastAsia="宋体" w:hint="default"/>
                <w:b/>
                <w:bCs/>
                <w:spacing w:val="-64"/>
                <w:sz w:val="18"/>
                <w:szCs w:val="18"/>
              </w:rPr>
              <w:t> </w:t>
            </w:r>
            <w:r>
              <w:rPr>
                <w:rFonts w:ascii="宋体" w:hAnsi="宋体" w:cs="宋体" w:eastAsia="宋体" w:hint="default"/>
                <w:b/>
                <w:bCs/>
                <w:sz w:val="18"/>
                <w:szCs w:val="18"/>
              </w:rPr>
              <w:t>上</w:t>
            </w:r>
            <w:r>
              <w:rPr>
                <w:rFonts w:ascii="宋体" w:hAnsi="宋体" w:cs="宋体" w:eastAsia="宋体" w:hint="default"/>
                <w:b/>
                <w:bCs/>
                <w:w w:val="99"/>
                <w:sz w:val="18"/>
                <w:szCs w:val="18"/>
              </w:rPr>
              <w:t> </w:t>
            </w:r>
            <w:r>
              <w:rPr>
                <w:rFonts w:ascii="宋体" w:hAnsi="宋体" w:cs="宋体" w:eastAsia="宋体" w:hint="default"/>
                <w:b/>
                <w:bCs/>
                <w:sz w:val="18"/>
                <w:szCs w:val="18"/>
              </w:rPr>
              <w:t>募集资金金额</w:t>
            </w:r>
            <w:r>
              <w:rPr>
                <w:rFonts w:ascii="宋体" w:hAnsi="宋体" w:cs="宋体" w:eastAsia="宋体" w:hint="default"/>
                <w:sz w:val="18"/>
                <w:szCs w:val="18"/>
              </w:rPr>
            </w:r>
          </w:p>
        </w:tc>
      </w:tr>
    </w:tbl>
    <w:p>
      <w:pPr>
        <w:spacing w:after="0" w:line="314" w:lineRule="auto"/>
        <w:jc w:val="left"/>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6"/>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70"/>
        <w:gridCol w:w="1274"/>
        <w:gridCol w:w="1277"/>
        <w:gridCol w:w="1274"/>
        <w:gridCol w:w="1277"/>
        <w:gridCol w:w="1272"/>
        <w:gridCol w:w="1274"/>
        <w:gridCol w:w="1275"/>
        <w:gridCol w:w="1274"/>
        <w:gridCol w:w="1277"/>
        <w:gridCol w:w="1272"/>
      </w:tblGrid>
      <w:tr>
        <w:trPr>
          <w:trHeight w:val="421" w:hRule="exact"/>
        </w:trPr>
        <w:tc>
          <w:tcPr>
            <w:tcW w:w="127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b/>
                <w:bCs/>
                <w:sz w:val="18"/>
                <w:szCs w:val="18"/>
              </w:rPr>
              <w:t>金总额</w:t>
            </w:r>
            <w:r>
              <w:rPr>
                <w:rFonts w:ascii="宋体" w:hAnsi="宋体" w:cs="宋体" w:eastAsia="宋体" w:hint="default"/>
                <w:sz w:val="18"/>
                <w:szCs w:val="18"/>
              </w:rPr>
            </w:r>
          </w:p>
        </w:tc>
        <w:tc>
          <w:tcPr>
            <w:tcW w:w="127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27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b/>
                <w:bCs/>
                <w:sz w:val="18"/>
                <w:szCs w:val="18"/>
              </w:rPr>
              <w:t>额比例</w:t>
            </w:r>
            <w:r>
              <w:rPr>
                <w:rFonts w:ascii="宋体" w:hAnsi="宋体" w:cs="宋体" w:eastAsia="宋体" w:hint="default"/>
                <w:sz w:val="18"/>
                <w:szCs w:val="18"/>
              </w:rPr>
            </w:r>
          </w:p>
        </w:tc>
        <w:tc>
          <w:tcPr>
            <w:tcW w:w="127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w w:val="99"/>
                <w:sz w:val="18"/>
                <w:szCs w:val="18"/>
              </w:rPr>
              <w:t>向</w:t>
            </w:r>
            <w:r>
              <w:rPr>
                <w:rFonts w:ascii="宋体" w:hAnsi="宋体" w:cs="宋体" w:eastAsia="宋体" w:hint="default"/>
                <w:sz w:val="18"/>
                <w:szCs w:val="18"/>
              </w:rPr>
            </w:r>
          </w:p>
        </w:tc>
        <w:tc>
          <w:tcPr>
            <w:tcW w:w="1272"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8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33,784.02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35,443.35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专</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z w:val="18"/>
                <w:szCs w:val="18"/>
              </w:rPr>
              <w:t> 账户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定向非公开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8,440.93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专</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z w:val="18"/>
                <w:szCs w:val="18"/>
              </w:rPr>
              <w:t> 账户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r>
      <w:tr>
        <w:trPr>
          <w:trHeight w:val="81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定向非公开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127,782.14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18,543.03</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111,103.96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专</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z w:val="18"/>
                <w:szCs w:val="18"/>
              </w:rPr>
              <w:t> 账户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170,006.16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17,659.08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62,427.31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6"/>
              <w:jc w:val="right"/>
              <w:rPr>
                <w:rFonts w:ascii="Times New Roman" w:hAnsi="Times New Roman" w:cs="Times New Roman" w:eastAsia="Times New Roman" w:hint="default"/>
                <w:sz w:val="18"/>
                <w:szCs w:val="18"/>
              </w:rPr>
            </w:pPr>
            <w:r>
              <w:rPr>
                <w:rFonts w:ascii="Times New Roman"/>
                <w:spacing w:val="-2"/>
                <w:sz w:val="18"/>
              </w:rPr>
              <w:t>111,103.96</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left="9" w:right="0"/>
              <w:jc w:val="left"/>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b/>
                <w:bCs/>
                <w:sz w:val="18"/>
                <w:szCs w:val="18"/>
              </w:rPr>
              <w:t>募集资金总体使用情况说明</w:t>
            </w:r>
            <w:r>
              <w:rPr>
                <w:rFonts w:ascii="宋体" w:hAnsi="宋体" w:cs="宋体" w:eastAsia="宋体" w:hint="default"/>
                <w:sz w:val="18"/>
                <w:szCs w:val="18"/>
              </w:rPr>
            </w:r>
          </w:p>
        </w:tc>
      </w:tr>
      <w:tr>
        <w:trPr>
          <w:trHeight w:val="4751"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7"/>
              <w:jc w:val="both"/>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[2012]593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号《关于核准北京旋极信息技术股份有限公司首次公开发行股票并在创业板上市的批复》核准，首次向社会公众发行人民币普 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元，扣除各项发行费用合计人民币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40,159,827.02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 募集资金净额为人民币</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337,840,172.98</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元。上述募集资金到位情况已经信永中和会计师事务所有限责任公司验证，并出具</w:t>
            </w:r>
            <w:r>
              <w:rPr>
                <w:rFonts w:ascii="宋体" w:hAnsi="宋体" w:cs="宋体" w:eastAsia="宋体" w:hint="default"/>
                <w:spacing w:val="-33"/>
                <w:sz w:val="18"/>
                <w:szCs w:val="18"/>
              </w:rPr>
              <w:t> </w:t>
            </w:r>
            <w:r>
              <w:rPr>
                <w:rFonts w:ascii="Times New Roman" w:hAnsi="Times New Roman" w:cs="Times New Roman" w:eastAsia="Times New Roman" w:hint="default"/>
                <w:spacing w:val="-1"/>
                <w:w w:val="99"/>
                <w:sz w:val="18"/>
                <w:szCs w:val="18"/>
              </w:rPr>
              <w:t>XYZH/2011JNA3058</w:t>
            </w:r>
            <w:r>
              <w:rPr>
                <w:rFonts w:ascii="Times New Roman" w:hAnsi="Times New Roman" w:cs="Times New Roman" w:eastAsia="Times New Roman" w:hint="default"/>
                <w:spacing w:val="14"/>
                <w:w w:val="99"/>
                <w:sz w:val="18"/>
                <w:szCs w:val="18"/>
              </w:rPr>
              <w:t> </w:t>
            </w:r>
            <w:r>
              <w:rPr>
                <w:rFonts w:ascii="宋体" w:hAnsi="宋体" w:cs="宋体" w:eastAsia="宋体" w:hint="default"/>
                <w:spacing w:val="-7"/>
                <w:sz w:val="18"/>
                <w:szCs w:val="18"/>
              </w:rPr>
              <w:t>号《验资报告》。公司对募集资金采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取了专户存储制度。截至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日，本次募集资金将结余金额永久补充流动资金后，公司注销了上述募集资金专户，专户注销后公司与该专户银行、保荐机构签署的《募 集资金三方监管协议》随之终止。</w:t>
            </w:r>
          </w:p>
          <w:p>
            <w:pPr>
              <w:pStyle w:val="TableParagraph"/>
              <w:spacing w:line="300" w:lineRule="auto" w:before="122"/>
              <w:ind w:left="23" w:right="17"/>
              <w:jc w:val="both"/>
              <w:rPr>
                <w:rFonts w:ascii="宋体" w:hAnsi="宋体" w:cs="宋体" w:eastAsia="宋体" w:hint="default"/>
                <w:sz w:val="18"/>
                <w:szCs w:val="18"/>
              </w:rPr>
            </w:pPr>
            <w:r>
              <w:rPr>
                <w:rFonts w:ascii="宋体" w:hAnsi="宋体" w:cs="宋体" w:eastAsia="宋体" w:hint="default"/>
                <w:spacing w:val="-1"/>
                <w:sz w:val="18"/>
                <w:szCs w:val="18"/>
              </w:rPr>
              <w:t>公司经中国证券监督管理委员会证监许可</w:t>
            </w:r>
            <w:r>
              <w:rPr>
                <w:rFonts w:ascii="Times New Roman" w:hAnsi="Times New Roman" w:cs="Times New Roman" w:eastAsia="Times New Roman" w:hint="default"/>
                <w:spacing w:val="-1"/>
                <w:sz w:val="18"/>
                <w:szCs w:val="18"/>
              </w:rPr>
              <w:t>[2015]2355</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号《关于核准北京旋极信息技术股份有限公司向白巍等发行股份购买资产并募集配套资金的批复》核准，非公开发行为定价发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行，最终人民币普通股（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4,542,758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股，发行股票价格为人民币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91,899,994.34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元，扣除各项发行费用合计人民币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元，实</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际募集资金净额为人民币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上述募集资金</w:t>
            </w:r>
            <w:r>
              <w:rPr>
                <w:rFonts w:ascii="宋体" w:hAnsi="宋体" w:cs="宋体" w:eastAsia="宋体" w:hint="default"/>
                <w:spacing w:val="-3"/>
                <w:sz w:val="18"/>
                <w:szCs w:val="18"/>
              </w:rPr>
              <w:t>到</w:t>
            </w:r>
            <w:r>
              <w:rPr>
                <w:rFonts w:ascii="宋体" w:hAnsi="宋体" w:cs="宋体" w:eastAsia="宋体" w:hint="default"/>
                <w:sz w:val="18"/>
                <w:szCs w:val="18"/>
              </w:rPr>
              <w:t>位情况已经立信会计师事务</w:t>
            </w:r>
            <w:r>
              <w:rPr>
                <w:rFonts w:ascii="宋体" w:hAnsi="宋体" w:cs="宋体" w:eastAsia="宋体" w:hint="default"/>
                <w:spacing w:val="-3"/>
                <w:sz w:val="18"/>
                <w:szCs w:val="18"/>
              </w:rPr>
              <w:t>所</w:t>
            </w:r>
            <w:r>
              <w:rPr>
                <w:rFonts w:ascii="宋体" w:hAnsi="宋体" w:cs="宋体" w:eastAsia="宋体" w:hint="default"/>
                <w:sz w:val="18"/>
                <w:szCs w:val="18"/>
              </w:rPr>
              <w:t>（特殊普通合伙</w:t>
            </w:r>
            <w:r>
              <w:rPr>
                <w:rFonts w:ascii="宋体" w:hAnsi="宋体" w:cs="宋体" w:eastAsia="宋体" w:hint="default"/>
                <w:spacing w:val="-3"/>
                <w:sz w:val="18"/>
                <w:szCs w:val="18"/>
              </w:rPr>
              <w:t>）</w:t>
            </w:r>
            <w:r>
              <w:rPr>
                <w:rFonts w:ascii="宋体" w:hAnsi="宋体" w:cs="宋体" w:eastAsia="宋体" w:hint="default"/>
                <w:sz w:val="18"/>
                <w:szCs w:val="18"/>
              </w:rPr>
              <w:t>验证</w:t>
            </w:r>
            <w:r>
              <w:rPr>
                <w:rFonts w:ascii="宋体" w:hAnsi="宋体" w:cs="宋体" w:eastAsia="宋体" w:hint="default"/>
                <w:spacing w:val="-3"/>
                <w:sz w:val="18"/>
                <w:szCs w:val="18"/>
              </w:rPr>
              <w:t>，</w:t>
            </w:r>
            <w:r>
              <w:rPr>
                <w:rFonts w:ascii="宋体" w:hAnsi="宋体" w:cs="宋体" w:eastAsia="宋体" w:hint="default"/>
                <w:sz w:val="18"/>
                <w:szCs w:val="18"/>
              </w:rPr>
              <w:t>并出具</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信会师报</w:t>
            </w:r>
            <w:r>
              <w:rPr>
                <w:rFonts w:ascii="宋体" w:hAnsi="宋体" w:cs="宋体" w:eastAsia="宋体" w:hint="default"/>
                <w:spacing w:val="-3"/>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宋体" w:hAnsi="宋体" w:cs="宋体" w:eastAsia="宋体" w:hint="default"/>
                <w:spacing w:val="-3"/>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《验资报告</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公司对</w:t>
            </w:r>
          </w:p>
          <w:p>
            <w:pPr>
              <w:pStyle w:val="TableParagraph"/>
              <w:spacing w:line="300" w:lineRule="auto" w:before="63"/>
              <w:ind w:left="23" w:right="25"/>
              <w:jc w:val="both"/>
              <w:rPr>
                <w:rFonts w:ascii="宋体" w:hAnsi="宋体" w:cs="宋体" w:eastAsia="宋体" w:hint="default"/>
                <w:sz w:val="18"/>
                <w:szCs w:val="18"/>
              </w:rPr>
            </w:pPr>
            <w:r>
              <w:rPr>
                <w:rFonts w:ascii="宋体" w:hAnsi="宋体" w:cs="宋体" w:eastAsia="宋体" w:hint="default"/>
                <w:sz w:val="18"/>
                <w:szCs w:val="18"/>
              </w:rPr>
              <w:t>募集资金采取了专户存储制度。截至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日，本次募集资金已按规定用途全部使用完毕，公司注销了上述募集资金专户，公司与中信银行及中信建投签订的《募集资金 三方监管协议》相应终止。</w:t>
            </w:r>
          </w:p>
          <w:p>
            <w:pPr>
              <w:pStyle w:val="TableParagraph"/>
              <w:spacing w:line="240" w:lineRule="auto" w:before="125"/>
              <w:ind w:left="23" w:right="0"/>
              <w:jc w:val="both"/>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[2016] 2164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号《关于核准北京旋极信息技术股份有限公司向西藏泰豪智能技术有限公司等发行股份购买资产并募集配套资金的批复》核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准，非公开发行为定价发行，最终人民币普通股（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58,558,558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股，发行股票价格为人民币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1,299,999,987.60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元，扣除各项发行费用合</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计人民币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22,178,558.56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1,277,821,429.04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元。上述募集资金到位情况已经立信会计师事务所（特殊普通合伙）验证，并出具</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司对募集资金采取了专户存储制度。</w:t>
            </w:r>
          </w:p>
        </w:tc>
      </w:tr>
    </w:tbl>
    <w:p>
      <w:pPr>
        <w:spacing w:line="240" w:lineRule="auto" w:before="12"/>
        <w:rPr>
          <w:rFonts w:ascii="宋体" w:hAnsi="宋体" w:cs="宋体" w:eastAsia="宋体" w:hint="default"/>
          <w:sz w:val="12"/>
          <w:szCs w:val="12"/>
        </w:rPr>
      </w:pPr>
    </w:p>
    <w:p>
      <w:pPr>
        <w:pStyle w:val="Heading3"/>
        <w:spacing w:line="240" w:lineRule="auto" w:before="26"/>
        <w:ind w:left="140" w:right="8264"/>
        <w:jc w:val="left"/>
      </w:pPr>
      <w:r>
        <w:rPr/>
        <w:t>（</w:t>
      </w:r>
      <w:r>
        <w:rPr>
          <w:rFonts w:ascii="Times New Roman" w:hAnsi="Times New Roman" w:cs="Times New Roman" w:eastAsia="Times New Roman" w:hint="default"/>
        </w:rPr>
        <w:t>2</w:t>
      </w:r>
      <w:r>
        <w:rPr/>
        <w:t>）募集资金承诺项目情况</w:t>
      </w:r>
    </w:p>
    <w:p>
      <w:pPr>
        <w:spacing w:after="0" w:line="240" w:lineRule="auto"/>
        <w:jc w:val="left"/>
        <w:sectPr>
          <w:pgSz w:w="16840" w:h="11910" w:orient="landscape"/>
          <w:pgMar w:header="882" w:footer="1132" w:top="1100" w:bottom="1320" w:left="1300" w:right="1280"/>
        </w:sectPr>
      </w:pPr>
    </w:p>
    <w:p>
      <w:pPr>
        <w:spacing w:line="240" w:lineRule="auto" w:before="5"/>
        <w:rPr>
          <w:rFonts w:ascii="黑体" w:hAnsi="黑体" w:cs="黑体" w:eastAsia="黑体" w:hint="default"/>
          <w:sz w:val="13"/>
          <w:szCs w:val="13"/>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黑体" w:hAnsi="黑体" w:cs="黑体" w:eastAsia="黑体" w:hint="default"/>
          <w:sz w:val="2"/>
          <w:szCs w:val="2"/>
        </w:rPr>
      </w:r>
    </w:p>
    <w:p>
      <w:pPr>
        <w:pStyle w:val="BodyText"/>
        <w:spacing w:line="240" w:lineRule="auto" w:before="58"/>
        <w:ind w:left="560" w:right="82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251"/>
        <w:jc w:val="right"/>
      </w:pPr>
      <w:r>
        <w:rPr>
          <w:spacing w:val="-1"/>
        </w:rPr>
        <w:t>单位：万元</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592"/>
        <w:gridCol w:w="1141"/>
        <w:gridCol w:w="1145"/>
        <w:gridCol w:w="1142"/>
        <w:gridCol w:w="1140"/>
        <w:gridCol w:w="1145"/>
        <w:gridCol w:w="1145"/>
        <w:gridCol w:w="1143"/>
        <w:gridCol w:w="1145"/>
        <w:gridCol w:w="1145"/>
        <w:gridCol w:w="1136"/>
      </w:tblGrid>
      <w:tr>
        <w:trPr>
          <w:trHeight w:val="1132"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承诺投资项目和超募资金投向</w:t>
            </w:r>
            <w:r>
              <w:rPr>
                <w:rFonts w:ascii="宋体" w:hAnsi="宋体" w:cs="宋体" w:eastAsia="宋体" w:hint="default"/>
                <w:sz w:val="18"/>
                <w:szCs w:val="18"/>
              </w:rPr>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1"/>
              <w:ind w:left="23" w:right="2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w:t>
            </w:r>
            <w:r>
              <w:rPr>
                <w:rFonts w:ascii="宋体" w:hAnsi="宋体" w:cs="宋体" w:eastAsia="宋体" w:hint="default"/>
                <w:b/>
                <w:bCs/>
                <w:spacing w:val="-47"/>
                <w:sz w:val="18"/>
                <w:szCs w:val="18"/>
              </w:rPr>
              <w:t> </w:t>
            </w:r>
            <w:r>
              <w:rPr>
                <w:rFonts w:ascii="宋体" w:hAnsi="宋体" w:cs="宋体" w:eastAsia="宋体" w:hint="default"/>
                <w:b/>
                <w:bCs/>
                <w:sz w:val="18"/>
                <w:szCs w:val="18"/>
              </w:rPr>
              <w:t>否</w:t>
            </w:r>
            <w:r>
              <w:rPr>
                <w:rFonts w:ascii="宋体" w:hAnsi="宋体" w:cs="宋体" w:eastAsia="宋体" w:hint="default"/>
                <w:b/>
                <w:bCs/>
                <w:spacing w:val="-47"/>
                <w:sz w:val="18"/>
                <w:szCs w:val="18"/>
              </w:rPr>
              <w:t> </w:t>
            </w:r>
            <w:r>
              <w:rPr>
                <w:rFonts w:ascii="宋体" w:hAnsi="宋体" w:cs="宋体" w:eastAsia="宋体" w:hint="default"/>
                <w:b/>
                <w:bCs/>
                <w:sz w:val="18"/>
                <w:szCs w:val="18"/>
              </w:rPr>
              <w:t>已</w:t>
            </w:r>
            <w:r>
              <w:rPr>
                <w:rFonts w:ascii="宋体" w:hAnsi="宋体" w:cs="宋体" w:eastAsia="宋体" w:hint="default"/>
                <w:b/>
                <w:bCs/>
                <w:spacing w:val="-47"/>
                <w:sz w:val="18"/>
                <w:szCs w:val="18"/>
              </w:rPr>
              <w:t> </w:t>
            </w:r>
            <w:r>
              <w:rPr>
                <w:rFonts w:ascii="宋体" w:hAnsi="宋体" w:cs="宋体" w:eastAsia="宋体" w:hint="default"/>
                <w:b/>
                <w:bCs/>
                <w:sz w:val="18"/>
                <w:szCs w:val="18"/>
              </w:rPr>
              <w:t>变</w:t>
            </w:r>
            <w:r>
              <w:rPr>
                <w:rFonts w:ascii="宋体" w:hAnsi="宋体" w:cs="宋体" w:eastAsia="宋体" w:hint="default"/>
                <w:b/>
                <w:bCs/>
                <w:spacing w:val="-44"/>
                <w:sz w:val="18"/>
                <w:szCs w:val="18"/>
              </w:rPr>
              <w:t> </w:t>
            </w:r>
            <w:r>
              <w:rPr>
                <w:rFonts w:ascii="宋体" w:hAnsi="宋体" w:cs="宋体" w:eastAsia="宋体" w:hint="default"/>
                <w:b/>
                <w:bCs/>
                <w:sz w:val="18"/>
                <w:szCs w:val="18"/>
              </w:rPr>
              <w:t>更</w:t>
            </w:r>
            <w:r>
              <w:rPr>
                <w:rFonts w:ascii="宋体" w:hAnsi="宋体" w:cs="宋体" w:eastAsia="宋体" w:hint="default"/>
                <w:b/>
                <w:bCs/>
                <w:w w:val="99"/>
                <w:sz w:val="18"/>
                <w:szCs w:val="18"/>
              </w:rPr>
              <w:t> </w:t>
            </w:r>
            <w:r>
              <w:rPr>
                <w:rFonts w:ascii="宋体" w:hAnsi="宋体" w:cs="宋体" w:eastAsia="宋体" w:hint="default"/>
                <w:b/>
                <w:bCs/>
                <w:spacing w:val="13"/>
                <w:sz w:val="18"/>
                <w:szCs w:val="18"/>
              </w:rPr>
              <w:t>项目</w:t>
            </w:r>
            <w:r>
              <w:rPr>
                <w:rFonts w:ascii="宋体" w:hAnsi="宋体" w:cs="宋体" w:eastAsia="宋体" w:hint="default"/>
                <w:b/>
                <w:bCs/>
                <w:spacing w:val="-66"/>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5"/>
                <w:sz w:val="18"/>
                <w:szCs w:val="18"/>
              </w:rPr>
              <w:t> </w:t>
            </w:r>
            <w:r>
              <w:rPr>
                <w:rFonts w:ascii="宋体" w:hAnsi="宋体" w:cs="宋体" w:eastAsia="宋体" w:hint="default"/>
                <w:b/>
                <w:bCs/>
                <w:sz w:val="18"/>
                <w:szCs w:val="18"/>
              </w:rPr>
              <w:t>含</w:t>
            </w:r>
            <w:r>
              <w:rPr>
                <w:rFonts w:ascii="宋体" w:hAnsi="宋体" w:cs="宋体" w:eastAsia="宋体" w:hint="default"/>
                <w:b/>
                <w:bCs/>
                <w:spacing w:val="-68"/>
                <w:sz w:val="18"/>
                <w:szCs w:val="18"/>
              </w:rPr>
              <w:t> </w:t>
            </w:r>
            <w:r>
              <w:rPr>
                <w:rFonts w:ascii="宋体" w:hAnsi="宋体" w:cs="宋体" w:eastAsia="宋体" w:hint="default"/>
                <w:b/>
                <w:bCs/>
                <w:sz w:val="18"/>
                <w:szCs w:val="18"/>
              </w:rPr>
              <w:t>部</w:t>
            </w:r>
            <w:r>
              <w:rPr>
                <w:rFonts w:ascii="宋体" w:hAnsi="宋体" w:cs="宋体" w:eastAsia="宋体" w:hint="default"/>
                <w:b/>
                <w:bCs/>
                <w:spacing w:val="-66"/>
                <w:sz w:val="18"/>
                <w:szCs w:val="18"/>
              </w:rPr>
              <w:t> </w:t>
            </w:r>
            <w:r>
              <w:rPr>
                <w:rFonts w:ascii="宋体" w:hAnsi="宋体" w:cs="宋体" w:eastAsia="宋体" w:hint="default"/>
                <w:b/>
                <w:bCs/>
                <w:sz w:val="18"/>
                <w:szCs w:val="18"/>
              </w:rPr>
              <w:t>分</w:t>
            </w:r>
            <w:r>
              <w:rPr>
                <w:rFonts w:ascii="宋体" w:hAnsi="宋体" w:cs="宋体" w:eastAsia="宋体" w:hint="default"/>
                <w:b/>
                <w:bCs/>
                <w:w w:val="99"/>
                <w:sz w:val="18"/>
                <w:szCs w:val="18"/>
              </w:rPr>
              <w:t> </w:t>
            </w:r>
            <w:r>
              <w:rPr>
                <w:rFonts w:ascii="宋体" w:hAnsi="宋体" w:cs="宋体" w:eastAsia="宋体" w:hint="default"/>
                <w:b/>
                <w:bCs/>
                <w:sz w:val="18"/>
                <w:szCs w:val="18"/>
              </w:rPr>
              <w:t>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b/>
                <w:bCs/>
                <w:sz w:val="18"/>
                <w:szCs w:val="18"/>
              </w:rPr>
              <w:t>募集资金承诺</w:t>
            </w:r>
            <w:r>
              <w:rPr>
                <w:rFonts w:ascii="宋体" w:hAnsi="宋体" w:cs="宋体" w:eastAsia="宋体" w:hint="default"/>
                <w:b/>
                <w:bCs/>
                <w:w w:val="99"/>
                <w:sz w:val="18"/>
                <w:szCs w:val="18"/>
              </w:rPr>
              <w:t> </w:t>
            </w:r>
            <w:r>
              <w:rPr>
                <w:rFonts w:ascii="宋体" w:hAnsi="宋体" w:cs="宋体" w:eastAsia="宋体" w:hint="default"/>
                <w:b/>
                <w:bCs/>
                <w:sz w:val="18"/>
                <w:szCs w:val="18"/>
              </w:rPr>
              <w:t>投资总额</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1" w:right="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调整后投资总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b/>
                <w:bCs/>
                <w:sz w:val="18"/>
                <w:szCs w:val="18"/>
              </w:rPr>
              <w:t>本报告期投入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截至期末累计</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101"/>
              <w:ind w:left="24" w:right="23"/>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截至期末投资</w:t>
            </w:r>
            <w:r>
              <w:rPr>
                <w:rFonts w:ascii="宋体" w:hAnsi="宋体" w:cs="宋体" w:eastAsia="宋体" w:hint="default"/>
                <w:b/>
                <w:bCs/>
                <w:w w:val="99"/>
                <w:sz w:val="18"/>
                <w:szCs w:val="18"/>
              </w:rPr>
              <w:t> </w:t>
            </w:r>
            <w:r>
              <w:rPr>
                <w:rFonts w:ascii="宋体" w:hAnsi="宋体" w:cs="宋体" w:eastAsia="宋体" w:hint="default"/>
                <w:b/>
                <w:bCs/>
                <w:sz w:val="18"/>
                <w:szCs w:val="18"/>
              </w:rPr>
              <w:t>进 度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7"/>
                <w:sz w:val="18"/>
                <w:szCs w:val="18"/>
              </w:rPr>
              <w:t> </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1" w:right="23"/>
              <w:jc w:val="both"/>
              <w:rPr>
                <w:rFonts w:ascii="宋体" w:hAnsi="宋体" w:cs="宋体" w:eastAsia="宋体" w:hint="default"/>
                <w:sz w:val="18"/>
                <w:szCs w:val="18"/>
              </w:rPr>
            </w:pPr>
            <w:r>
              <w:rPr>
                <w:rFonts w:ascii="宋体" w:hAnsi="宋体" w:cs="宋体" w:eastAsia="宋体" w:hint="default"/>
                <w:b/>
                <w:bCs/>
                <w:sz w:val="18"/>
                <w:szCs w:val="18"/>
              </w:rPr>
              <w:t>项目达到预定</w:t>
            </w:r>
            <w:r>
              <w:rPr>
                <w:rFonts w:ascii="宋体" w:hAnsi="宋体" w:cs="宋体" w:eastAsia="宋体" w:hint="default"/>
                <w:b/>
                <w:bCs/>
                <w:w w:val="99"/>
                <w:sz w:val="18"/>
                <w:szCs w:val="18"/>
              </w:rPr>
              <w:t> </w:t>
            </w:r>
            <w:r>
              <w:rPr>
                <w:rFonts w:ascii="宋体" w:hAnsi="宋体" w:cs="宋体" w:eastAsia="宋体" w:hint="default"/>
                <w:b/>
                <w:bCs/>
                <w:sz w:val="18"/>
                <w:szCs w:val="18"/>
              </w:rPr>
              <w:t>可使用状态日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b/>
                <w:bCs/>
                <w:sz w:val="18"/>
                <w:szCs w:val="18"/>
              </w:rPr>
              <w:t>本报告期实现</w:t>
            </w:r>
            <w:r>
              <w:rPr>
                <w:rFonts w:ascii="宋体" w:hAnsi="宋体" w:cs="宋体" w:eastAsia="宋体" w:hint="default"/>
                <w:b/>
                <w:bCs/>
                <w:w w:val="99"/>
                <w:sz w:val="18"/>
                <w:szCs w:val="18"/>
              </w:rPr>
              <w:t> </w:t>
            </w:r>
            <w:r>
              <w:rPr>
                <w:rFonts w:ascii="宋体" w:hAnsi="宋体" w:cs="宋体" w:eastAsia="宋体" w:hint="default"/>
                <w:b/>
                <w:bCs/>
                <w:sz w:val="18"/>
                <w:szCs w:val="18"/>
              </w:rPr>
              <w:t>的效益</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b/>
                <w:bCs/>
                <w:sz w:val="18"/>
                <w:szCs w:val="18"/>
              </w:rPr>
              <w:t>是否达到预计</w:t>
            </w:r>
            <w:r>
              <w:rPr>
                <w:rFonts w:ascii="宋体" w:hAnsi="宋体" w:cs="宋体" w:eastAsia="宋体" w:hint="default"/>
                <w:b/>
                <w:bCs/>
                <w:w w:val="99"/>
                <w:sz w:val="18"/>
                <w:szCs w:val="18"/>
              </w:rPr>
              <w:t> </w:t>
            </w:r>
            <w:r>
              <w:rPr>
                <w:rFonts w:ascii="宋体" w:hAnsi="宋体" w:cs="宋体" w:eastAsia="宋体" w:hint="default"/>
                <w:b/>
                <w:bCs/>
                <w:sz w:val="18"/>
                <w:szCs w:val="18"/>
              </w:rPr>
              <w:t>效益</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1" w:right="23"/>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47"/>
                <w:sz w:val="18"/>
                <w:szCs w:val="18"/>
              </w:rPr>
              <w:t> </w:t>
            </w:r>
            <w:r>
              <w:rPr>
                <w:rFonts w:ascii="宋体" w:hAnsi="宋体" w:cs="宋体" w:eastAsia="宋体" w:hint="default"/>
                <w:b/>
                <w:bCs/>
                <w:sz w:val="18"/>
                <w:szCs w:val="18"/>
              </w:rPr>
              <w:t>目</w:t>
            </w:r>
            <w:r>
              <w:rPr>
                <w:rFonts w:ascii="宋体" w:hAnsi="宋体" w:cs="宋体" w:eastAsia="宋体" w:hint="default"/>
                <w:b/>
                <w:bCs/>
                <w:spacing w:val="-47"/>
                <w:sz w:val="18"/>
                <w:szCs w:val="18"/>
              </w:rPr>
              <w:t> </w:t>
            </w:r>
            <w:r>
              <w:rPr>
                <w:rFonts w:ascii="宋体" w:hAnsi="宋体" w:cs="宋体" w:eastAsia="宋体" w:hint="default"/>
                <w:b/>
                <w:bCs/>
                <w:sz w:val="18"/>
                <w:szCs w:val="18"/>
              </w:rPr>
              <w:t>可</w:t>
            </w:r>
            <w:r>
              <w:rPr>
                <w:rFonts w:ascii="宋体" w:hAnsi="宋体" w:cs="宋体" w:eastAsia="宋体" w:hint="default"/>
                <w:b/>
                <w:bCs/>
                <w:spacing w:val="-49"/>
                <w:sz w:val="18"/>
                <w:szCs w:val="18"/>
              </w:rPr>
              <w:t> </w:t>
            </w:r>
            <w:r>
              <w:rPr>
                <w:rFonts w:ascii="宋体" w:hAnsi="宋体" w:cs="宋体" w:eastAsia="宋体" w:hint="default"/>
                <w:b/>
                <w:bCs/>
                <w:sz w:val="18"/>
                <w:szCs w:val="18"/>
              </w:rPr>
              <w:t>行</w:t>
            </w:r>
            <w:r>
              <w:rPr>
                <w:rFonts w:ascii="宋体" w:hAnsi="宋体" w:cs="宋体" w:eastAsia="宋体" w:hint="default"/>
                <w:b/>
                <w:bCs/>
                <w:spacing w:val="-47"/>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是</w:t>
            </w:r>
            <w:r>
              <w:rPr>
                <w:rFonts w:ascii="宋体" w:hAnsi="宋体" w:cs="宋体" w:eastAsia="宋体" w:hint="default"/>
                <w:b/>
                <w:bCs/>
                <w:spacing w:val="-47"/>
                <w:sz w:val="18"/>
                <w:szCs w:val="18"/>
              </w:rPr>
              <w:t> </w:t>
            </w:r>
            <w:r>
              <w:rPr>
                <w:rFonts w:ascii="宋体" w:hAnsi="宋体" w:cs="宋体" w:eastAsia="宋体" w:hint="default"/>
                <w:b/>
                <w:bCs/>
                <w:sz w:val="18"/>
                <w:szCs w:val="18"/>
              </w:rPr>
              <w:t>否</w:t>
            </w:r>
            <w:r>
              <w:rPr>
                <w:rFonts w:ascii="宋体" w:hAnsi="宋体" w:cs="宋体" w:eastAsia="宋体" w:hint="default"/>
                <w:b/>
                <w:bCs/>
                <w:spacing w:val="-47"/>
                <w:sz w:val="18"/>
                <w:szCs w:val="18"/>
              </w:rPr>
              <w:t> </w:t>
            </w:r>
            <w:r>
              <w:rPr>
                <w:rFonts w:ascii="宋体" w:hAnsi="宋体" w:cs="宋体" w:eastAsia="宋体" w:hint="default"/>
                <w:b/>
                <w:bCs/>
                <w:sz w:val="18"/>
                <w:szCs w:val="18"/>
              </w:rPr>
              <w:t>发</w:t>
            </w:r>
            <w:r>
              <w:rPr>
                <w:rFonts w:ascii="宋体" w:hAnsi="宋体" w:cs="宋体" w:eastAsia="宋体" w:hint="default"/>
                <w:b/>
                <w:bCs/>
                <w:spacing w:val="-49"/>
                <w:sz w:val="18"/>
                <w:szCs w:val="18"/>
              </w:rPr>
              <w:t> </w:t>
            </w:r>
            <w:r>
              <w:rPr>
                <w:rFonts w:ascii="宋体" w:hAnsi="宋体" w:cs="宋体" w:eastAsia="宋体" w:hint="default"/>
                <w:b/>
                <w:bCs/>
                <w:sz w:val="18"/>
                <w:szCs w:val="18"/>
              </w:rPr>
              <w:t>生</w:t>
            </w:r>
            <w:r>
              <w:rPr>
                <w:rFonts w:ascii="宋体" w:hAnsi="宋体" w:cs="宋体" w:eastAsia="宋体" w:hint="default"/>
                <w:b/>
                <w:bCs/>
                <w:spacing w:val="-47"/>
                <w:sz w:val="18"/>
                <w:szCs w:val="18"/>
              </w:rPr>
              <w:t> </w:t>
            </w:r>
            <w:r>
              <w:rPr>
                <w:rFonts w:ascii="宋体" w:hAnsi="宋体" w:cs="宋体" w:eastAsia="宋体" w:hint="default"/>
                <w:b/>
                <w:bCs/>
                <w:sz w:val="18"/>
                <w:szCs w:val="18"/>
              </w:rPr>
              <w:t>重</w:t>
            </w:r>
            <w:r>
              <w:rPr>
                <w:rFonts w:ascii="宋体" w:hAnsi="宋体" w:cs="宋体" w:eastAsia="宋体" w:hint="default"/>
                <w:b/>
                <w:bCs/>
                <w:w w:val="99"/>
                <w:sz w:val="18"/>
                <w:szCs w:val="18"/>
              </w:rPr>
              <w:t> </w:t>
            </w:r>
            <w:r>
              <w:rPr>
                <w:rFonts w:ascii="宋体" w:hAnsi="宋体" w:cs="宋体" w:eastAsia="宋体" w:hint="default"/>
                <w:b/>
                <w:bCs/>
                <w:sz w:val="18"/>
                <w:szCs w:val="18"/>
              </w:rPr>
              <w:t>大变化</w:t>
            </w:r>
            <w:r>
              <w:rPr>
                <w:rFonts w:ascii="宋体" w:hAnsi="宋体" w:cs="宋体" w:eastAsia="宋体" w:hint="default"/>
                <w:sz w:val="18"/>
                <w:szCs w:val="18"/>
              </w:rPr>
            </w:r>
          </w:p>
        </w:tc>
      </w:tr>
      <w:tr>
        <w:trPr>
          <w:trHeight w:val="508"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新一代航空总线产品的研制及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产业化项目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5,255.4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4,709.47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4,633.55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98.39%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网上银行客户端安全产品研发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及产业化项目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3,942.08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2,532.28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2,461.47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97.20%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24,699.11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04"/>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行业智能移动终端及应用系统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3,471.4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2,206.01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97.65%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西安西谷微电子有限责任公司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8,440.93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新一代装备健康管理产品体系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研制及服务平台建设项目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6,478.85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6,478.85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16.61%</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04"/>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基于全球时空剖分的大数据高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速处理技术与服务平台项目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3,061.66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3,061.66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结余募集资金永久补充流动资金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（含利息收入）</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3,890.98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107.17%</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50,282.14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7,794.13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9,002.52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17.90%</w:t>
            </w:r>
          </w:p>
        </w:tc>
        <w:tc>
          <w:tcPr>
            <w:tcW w:w="11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93"/>
        <w:gridCol w:w="1135"/>
        <w:gridCol w:w="1150"/>
        <w:gridCol w:w="1142"/>
        <w:gridCol w:w="1140"/>
        <w:gridCol w:w="1151"/>
        <w:gridCol w:w="1138"/>
        <w:gridCol w:w="1138"/>
        <w:gridCol w:w="1156"/>
        <w:gridCol w:w="1138"/>
        <w:gridCol w:w="1136"/>
      </w:tblGrid>
      <w:tr>
        <w:trPr>
          <w:trHeight w:val="526" w:hRule="exact"/>
        </w:trPr>
        <w:tc>
          <w:tcPr>
            <w:tcW w:w="259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6"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10" w:space="0" w:color="000000"/>
              <w:left w:val="single" w:sz="12" w:space="0" w:color="D2D2D2"/>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98,608.88</w:t>
            </w:r>
          </w:p>
        </w:tc>
        <w:tc>
          <w:tcPr>
            <w:tcW w:w="11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149,353.39</w:t>
            </w:r>
          </w:p>
        </w:tc>
        <w:tc>
          <w:tcPr>
            <w:tcW w:w="11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17,612.25</w:t>
            </w:r>
          </w:p>
        </w:tc>
        <w:tc>
          <w:tcPr>
            <w:tcW w:w="1151" w:type="dxa"/>
            <w:tcBorders>
              <w:top w:val="single" w:sz="10" w:space="0" w:color="000000"/>
              <w:left w:val="single" w:sz="4" w:space="0" w:color="000000"/>
              <w:bottom w:val="single" w:sz="4" w:space="0" w:color="000000"/>
              <w:right w:val="single" w:sz="13" w:space="0" w:color="D2D2D2"/>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spacing w:val="-1"/>
                <w:sz w:val="18"/>
              </w:rPr>
              <w:t>40,175.97</w:t>
            </w:r>
          </w:p>
        </w:tc>
        <w:tc>
          <w:tcPr>
            <w:tcW w:w="11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500"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10" w:space="0" w:color="000000"/>
              <w:left w:val="single" w:sz="12" w:space="0" w:color="D2D2D2"/>
              <w:bottom w:val="single" w:sz="4" w:space="0" w:color="000000"/>
              <w:right w:val="single" w:sz="13" w:space="0" w:color="D2D2D2"/>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spacing w:val="-1"/>
                <w:sz w:val="18"/>
              </w:rPr>
              <w:t>24.534.30</w:t>
            </w:r>
          </w:p>
        </w:tc>
        <w:tc>
          <w:tcPr>
            <w:tcW w:w="11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5"/>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w:t>
            </w:r>
          </w:p>
        </w:tc>
      </w:tr>
      <w:tr>
        <w:trPr>
          <w:trHeight w:val="504"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22"/>
              <w:jc w:val="righ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06"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银行手续费支出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18"/>
                <w:szCs w:val="18"/>
              </w:rPr>
            </w:pPr>
            <w:r>
              <w:rPr>
                <w:rFonts w:ascii="Times New Roman"/>
                <w:spacing w:val="-1"/>
                <w:sz w:val="18"/>
              </w:rPr>
              <w:t>0.33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9" w:right="0"/>
              <w:jc w:val="lef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购置办公楼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w w:val="95"/>
                <w:sz w:val="18"/>
              </w:rPr>
              <w:t>1,850.99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w w:val="95"/>
                <w:sz w:val="18"/>
              </w:rPr>
              <w:t>1,850.99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Times New Roman" w:hAnsi="Times New Roman" w:cs="Times New Roman" w:eastAsia="Times New Roman" w:hint="default"/>
                <w:sz w:val="18"/>
                <w:szCs w:val="18"/>
              </w:rPr>
            </w:pPr>
            <w:r>
              <w:rPr>
                <w:rFonts w:ascii="Times New Roman"/>
                <w:w w:val="95"/>
                <w:sz w:val="18"/>
              </w:rPr>
              <w:t>1,850.99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9" w:right="0"/>
              <w:jc w:val="lef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2"/>
              <w:jc w:val="left"/>
              <w:rPr>
                <w:rFonts w:ascii="宋体" w:hAnsi="宋体" w:cs="宋体" w:eastAsia="宋体" w:hint="default"/>
                <w:sz w:val="18"/>
                <w:szCs w:val="18"/>
              </w:rPr>
            </w:pPr>
            <w:r>
              <w:rPr>
                <w:rFonts w:ascii="宋体" w:hAnsi="宋体" w:cs="宋体" w:eastAsia="宋体" w:hint="default"/>
                <w:sz w:val="18"/>
                <w:szCs w:val="18"/>
              </w:rPr>
              <w:t>投资收购北京中软金卡信息技术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设立北京旋极百旺科技有限公司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4,400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4,400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18"/>
                <w:szCs w:val="18"/>
              </w:rPr>
            </w:pPr>
            <w:r>
              <w:rPr>
                <w:rFonts w:ascii="Times New Roman"/>
                <w:sz w:val="18"/>
              </w:rPr>
              <w:t>4,400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9" w:right="0"/>
              <w:jc w:val="lef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发起设立软件测评公司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600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600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5"/>
              <w:jc w:val="right"/>
              <w:rPr>
                <w:rFonts w:ascii="Times New Roman" w:hAnsi="Times New Roman" w:cs="Times New Roman" w:eastAsia="Times New Roman" w:hint="default"/>
                <w:sz w:val="18"/>
                <w:szCs w:val="18"/>
              </w:rPr>
            </w:pPr>
            <w:r>
              <w:rPr>
                <w:rFonts w:ascii="Times New Roman"/>
                <w:sz w:val="18"/>
              </w:rPr>
              <w:t>600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9" w:right="0"/>
              <w:jc w:val="left"/>
              <w:rPr>
                <w:rFonts w:ascii="Times New Roman" w:hAnsi="Times New Roman" w:cs="Times New Roman" w:eastAsia="Times New Roman" w:hint="default"/>
                <w:sz w:val="18"/>
                <w:szCs w:val="18"/>
              </w:rPr>
            </w:pPr>
            <w:r>
              <w:rPr>
                <w:rFonts w:ascii="Times New Roman"/>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10,553.2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10,553.2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46.82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18"/>
                <w:szCs w:val="18"/>
              </w:rPr>
            </w:pPr>
            <w:r>
              <w:rPr>
                <w:rFonts w:ascii="Times New Roman"/>
                <w:spacing w:val="-1"/>
                <w:sz w:val="18"/>
              </w:rPr>
              <w:t>10,600.02</w:t>
            </w:r>
          </w:p>
        </w:tc>
        <w:tc>
          <w:tcPr>
            <w:tcW w:w="113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144"/>
              <w:ind w:left="459" w:right="0"/>
              <w:jc w:val="left"/>
              <w:rPr>
                <w:rFonts w:ascii="Times New Roman" w:hAnsi="Times New Roman" w:cs="Times New Roman" w:eastAsia="Times New Roman" w:hint="default"/>
                <w:sz w:val="18"/>
                <w:szCs w:val="18"/>
              </w:rPr>
            </w:pPr>
            <w:r>
              <w:rPr>
                <w:rFonts w:ascii="Times New Roman"/>
                <w:sz w:val="18"/>
              </w:rPr>
              <w:t>100.44%</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5"/>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r>
      <w:tr>
        <w:trPr>
          <w:trHeight w:val="508"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22,204.52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22,204.52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46.83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18"/>
                <w:szCs w:val="18"/>
              </w:rPr>
            </w:pPr>
            <w:r>
              <w:rPr>
                <w:rFonts w:ascii="Times New Roman"/>
                <w:spacing w:val="-1"/>
                <w:sz w:val="18"/>
              </w:rPr>
              <w:t>22,251.34</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500"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0</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5"/>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r>
      <w:tr>
        <w:trPr>
          <w:trHeight w:val="508"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6" w:right="0"/>
              <w:jc w:val="center"/>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120,813.4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171,557.91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17,659.08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pacing w:val="-1"/>
                <w:sz w:val="18"/>
              </w:rPr>
              <w:t>62,427.31</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500"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145"/>
              <w:ind w:right="15"/>
              <w:jc w:val="right"/>
              <w:rPr>
                <w:rFonts w:ascii="Times New Roman" w:hAnsi="Times New Roman" w:cs="Times New Roman" w:eastAsia="Times New Roman" w:hint="default"/>
                <w:sz w:val="18"/>
                <w:szCs w:val="18"/>
              </w:rPr>
            </w:pPr>
            <w:r>
              <w:rPr>
                <w:rFonts w:ascii="Times New Roman"/>
                <w:spacing w:val="-1"/>
                <w:sz w:val="18"/>
              </w:rPr>
              <w:t>24.534.30</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5"/>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r>
      <w:tr>
        <w:trPr>
          <w:trHeight w:val="521" w:hRule="exact"/>
        </w:trPr>
        <w:tc>
          <w:tcPr>
            <w:tcW w:w="2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5" w:type="dxa"/>
            <w:gridSpan w:val="10"/>
            <w:vMerge w:val="restart"/>
            <w:tcBorders>
              <w:top w:val="single" w:sz="4" w:space="0" w:color="000000"/>
              <w:left w:val="single" w:sz="9" w:space="0" w:color="D2D2D2"/>
              <w:right w:val="single" w:sz="4" w:space="0" w:color="000000"/>
            </w:tcBorders>
          </w:tcPr>
          <w:p>
            <w:pPr>
              <w:pStyle w:val="TableParagraph"/>
              <w:spacing w:line="240" w:lineRule="auto" w:before="10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年根据本公司第二届董事会第十四次会议决议，本公司将募集资金投资项目新一代航空总线产品的研制及产业化项目延期至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日，将行业智能终端及应用系统项目延期至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56"/>
              <w:ind w:left="17" w:right="-4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日行业智能移动终端及应用系统项目已研发完毕，由于市场正在推广中，尚未实现规模生产及销售，故尚未达到预期收益。</w:t>
            </w:r>
          </w:p>
          <w:p>
            <w:pPr>
              <w:pStyle w:val="TableParagraph"/>
              <w:spacing w:line="300" w:lineRule="auto" w:before="63"/>
              <w:ind w:left="17" w:right="2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日新一代航空总线产品的研制及产业化项目已研发完毕，但因大飞机整体项目延期影响，尚未实现规模生产及销售，故尚未 达到预期收益。</w:t>
            </w:r>
          </w:p>
        </w:tc>
      </w:tr>
      <w:tr>
        <w:trPr>
          <w:trHeight w:val="809" w:hRule="exact"/>
        </w:trPr>
        <w:tc>
          <w:tcPr>
            <w:tcW w:w="2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101"/>
              <w:ind w:left="23" w:right="22"/>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况和原因（分具体项目）</w:t>
            </w:r>
          </w:p>
        </w:tc>
        <w:tc>
          <w:tcPr>
            <w:tcW w:w="11425" w:type="dxa"/>
            <w:gridSpan w:val="10"/>
            <w:vMerge/>
            <w:tcBorders>
              <w:left w:val="single" w:sz="9" w:space="0" w:color="D2D2D2"/>
              <w:right w:val="single" w:sz="4" w:space="0" w:color="000000"/>
            </w:tcBorders>
          </w:tcPr>
          <w:p>
            <w:pPr/>
          </w:p>
        </w:tc>
      </w:tr>
      <w:tr>
        <w:trPr>
          <w:trHeight w:val="518" w:hRule="exact"/>
        </w:trPr>
        <w:tc>
          <w:tcPr>
            <w:tcW w:w="2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5" w:type="dxa"/>
            <w:gridSpan w:val="10"/>
            <w:vMerge/>
            <w:tcBorders>
              <w:left w:val="single" w:sz="9" w:space="0" w:color="D2D2D2"/>
              <w:bottom w:val="single" w:sz="4" w:space="0" w:color="000000"/>
              <w:right w:val="single" w:sz="4" w:space="0" w:color="000000"/>
            </w:tcBorders>
          </w:tcPr>
          <w:p>
            <w:pPr/>
          </w:p>
        </w:tc>
      </w:tr>
      <w:tr>
        <w:trPr>
          <w:trHeight w:val="821"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23" w:right="22"/>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说明</w:t>
            </w:r>
          </w:p>
        </w:tc>
        <w:tc>
          <w:tcPr>
            <w:tcW w:w="1142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 w:hRule="exact"/>
        </w:trPr>
        <w:tc>
          <w:tcPr>
            <w:tcW w:w="2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5" w:type="dxa"/>
            <w:gridSpan w:val="10"/>
            <w:vMerge w:val="restart"/>
            <w:tcBorders>
              <w:top w:val="single" w:sz="4" w:space="0" w:color="000000"/>
              <w:left w:val="single" w:sz="9" w:space="0" w:color="D2D2D2"/>
              <w:right w:val="single" w:sz="4" w:space="0" w:color="000000"/>
            </w:tcBorders>
          </w:tcPr>
          <w:p>
            <w:pPr>
              <w:pStyle w:val="TableParagraph"/>
              <w:spacing w:line="240" w:lineRule="auto" w:before="101"/>
              <w:ind w:left="1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6" w:hRule="exact"/>
        </w:trPr>
        <w:tc>
          <w:tcPr>
            <w:tcW w:w="25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z w:val="18"/>
                <w:szCs w:val="18"/>
              </w:rPr>
              <w:t>超募资金的金额、用途及使用进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展情况</w:t>
            </w:r>
          </w:p>
        </w:tc>
        <w:tc>
          <w:tcPr>
            <w:tcW w:w="11425" w:type="dxa"/>
            <w:gridSpan w:val="10"/>
            <w:vMerge/>
            <w:tcBorders>
              <w:left w:val="single" w:sz="9" w:space="0" w:color="D2D2D2"/>
              <w:bottom w:val="single" w:sz="4" w:space="0" w:color="000000"/>
              <w:right w:val="single" w:sz="4" w:space="0" w:color="000000"/>
            </w:tcBorders>
          </w:tcPr>
          <w:p>
            <w:pPr/>
          </w:p>
        </w:tc>
      </w:tr>
      <w:tr>
        <w:trPr>
          <w:trHeight w:val="509" w:hRule="exact"/>
        </w:trPr>
        <w:tc>
          <w:tcPr>
            <w:tcW w:w="2593" w:type="dxa"/>
            <w:vMerge/>
            <w:tcBorders>
              <w:left w:val="single" w:sz="4" w:space="0" w:color="000000"/>
              <w:bottom w:val="single" w:sz="4" w:space="0" w:color="000000"/>
              <w:right w:val="single" w:sz="4" w:space="0" w:color="000000"/>
            </w:tcBorders>
            <w:shd w:val="clear" w:color="auto" w:fill="D2D2D2"/>
          </w:tcPr>
          <w:p>
            <w:pPr/>
          </w:p>
        </w:tc>
        <w:tc>
          <w:tcPr>
            <w:tcW w:w="1142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01"/>
              <w:ind w:left="1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日召开的第二届董事会第九次会议决议通过，同意公司使用超募资金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元永久补充流动资金。该项目已实施完毕。</w:t>
            </w:r>
          </w:p>
        </w:tc>
      </w:tr>
    </w:tbl>
    <w:p>
      <w:pPr>
        <w:spacing w:after="0" w:line="240" w:lineRule="auto"/>
        <w:jc w:val="left"/>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0"/>
        <w:rPr>
          <w:rFonts w:ascii="Times New Roman" w:hAnsi="Times New Roman" w:cs="Times New Roman" w:eastAsia="Times New Roman" w:hint="default"/>
          <w:sz w:val="20"/>
          <w:szCs w:val="20"/>
        </w:rPr>
      </w:pPr>
      <w:r>
        <w:rPr/>
        <w:pict>
          <v:shape style="position:absolute;margin-left:70.320pt;margin-top:63.980007pt;width:701.65pt;height:446.7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2"/>
                    <w:gridCol w:w="11426"/>
                  </w:tblGrid>
                  <w:tr>
                    <w:trPr>
                      <w:trHeight w:val="3697" w:hRule="exact"/>
                    </w:trPr>
                    <w:tc>
                      <w:tcPr>
                        <w:tcW w:w="259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年第二次临时股东大会会议决议通过，同意公司使用超募资金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元永久补充流动资金。该项目已实施完毕。</w:t>
                        </w: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日召开的第二届董事会第二十三次会议决议、第二届监事会第十三次会议决议，公司使用超募资金进行以下两项投资一、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使用超募资金 </w:t>
                        </w:r>
                        <w:r>
                          <w:rPr>
                            <w:rFonts w:ascii="Times New Roman" w:hAnsi="Times New Roman" w:cs="Times New Roman" w:eastAsia="Times New Roman" w:hint="default"/>
                            <w:sz w:val="18"/>
                            <w:szCs w:val="18"/>
                          </w:rPr>
                          <w:t>6,000,000 </w:t>
                        </w:r>
                        <w:r>
                          <w:rPr>
                            <w:rFonts w:ascii="Times New Roman" w:hAnsi="Times New Roman" w:cs="Times New Roman" w:eastAsia="Times New Roman" w:hint="default"/>
                            <w:spacing w:val="32"/>
                            <w:sz w:val="18"/>
                            <w:szCs w:val="18"/>
                          </w:rPr>
                          <w:t> </w:t>
                        </w:r>
                        <w:r>
                          <w:rPr>
                            <w:rFonts w:ascii="宋体" w:hAnsi="宋体" w:cs="宋体" w:eastAsia="宋体" w:hint="default"/>
                            <w:spacing w:val="6"/>
                            <w:sz w:val="18"/>
                            <w:szCs w:val="18"/>
                          </w:rPr>
                          <w:t>元联合工业和信息化部电子科学技术情报研究所共同投资设立软件测评公司，本项投资已完成；二、使用超募资金</w:t>
                        </w:r>
                      </w:p>
                      <w:p>
                        <w:pPr>
                          <w:pStyle w:val="TableParagraph"/>
                          <w:spacing w:line="300"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18,509,900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元结合先期支付自有资金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5,947,200 </w:t>
                        </w:r>
                        <w:r>
                          <w:rPr>
                            <w:rFonts w:ascii="宋体" w:hAnsi="宋体" w:cs="宋体" w:eastAsia="宋体" w:hint="default"/>
                            <w:spacing w:val="-4"/>
                            <w:sz w:val="18"/>
                            <w:szCs w:val="18"/>
                          </w:rPr>
                          <w:t>元、已计入募集资金投资项目资金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36,000,000 </w:t>
                        </w:r>
                        <w:r>
                          <w:rPr>
                            <w:rFonts w:ascii="宋体" w:hAnsi="宋体" w:cs="宋体" w:eastAsia="宋体" w:hint="default"/>
                            <w:sz w:val="18"/>
                            <w:szCs w:val="18"/>
                          </w:rPr>
                          <w:t>元购置的永丰产业基地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地块高新技术成果转移中 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厂房作为公司研发中心、办公场所，截止到报告期末本项目已实施完毕。</w:t>
                        </w:r>
                      </w:p>
                      <w:p>
                        <w:pPr>
                          <w:pStyle w:val="TableParagraph"/>
                          <w:spacing w:line="300" w:lineRule="auto" w:before="106"/>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日召开的第二届董事会第二十四次会议决议、第二届监事会第十四次会议决议通过，同意公司使用超募资金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元设立 税控业务公司，截止到报告期末本项目已实施完毕。</w:t>
                        </w:r>
                      </w:p>
                      <w:p>
                        <w:pPr>
                          <w:pStyle w:val="TableParagraph"/>
                          <w:spacing w:line="240" w:lineRule="auto" w:before="125"/>
                          <w:ind w:left="23" w:right="-4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年第二次临时股东大会会议决议通过，同意公司使用超募资金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元支付收购中软金卡股权款现金对价部分，本项投资已完成。</w:t>
                        </w: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年第五次临时股东大会会议决议通过，同意公司使用剩余超募资金及利息收入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万元永久补充流动资金。该项目已实施完毕。</w:t>
                        </w: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日将结余超募资金永久补充流动资金并注销募集账户，详见公告编号：</w:t>
                        </w:r>
                        <w:r>
                          <w:rPr>
                            <w:rFonts w:ascii="Times New Roman" w:hAnsi="Times New Roman" w:cs="Times New Roman" w:eastAsia="Times New Roman" w:hint="default"/>
                            <w:sz w:val="18"/>
                            <w:szCs w:val="18"/>
                          </w:rPr>
                          <w:t>2017-030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p>
                    </w:tc>
                  </w:tr>
                  <w:tr>
                    <w:trPr>
                      <w:trHeight w:val="509"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06" w:hRule="exact"/>
                    </w:trPr>
                    <w:tc>
                      <w:tcPr>
                        <w:tcW w:w="2592" w:type="dxa"/>
                        <w:vMerge/>
                        <w:tcBorders>
                          <w:left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06" w:hRule="exact"/>
                    </w:trPr>
                    <w:tc>
                      <w:tcPr>
                        <w:tcW w:w="2592" w:type="dxa"/>
                        <w:vMerge/>
                        <w:tcBorders>
                          <w:left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换情况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64"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日，本公司以自筹资金投入募集资金投资项目的实际投资金额合计为人民币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23,542,321.43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元，其中新一代航空总线产品的研</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制及产业化项目先期投入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11,496,113.87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元；网上银行客户端安全产品研发及产业化项目先期投入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4,461,496.55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元；行业智能移动终端及应用系统</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7,584,711.01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元，募集资金投资项目置换先期投入金额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23,542,321.43 </w:t>
                        </w:r>
                        <w:r>
                          <w:rPr>
                            <w:rFonts w:ascii="宋体" w:hAnsi="宋体" w:cs="宋体" w:eastAsia="宋体" w:hint="default"/>
                            <w:spacing w:val="-4"/>
                            <w:sz w:val="18"/>
                            <w:szCs w:val="18"/>
                          </w:rPr>
                          <w:t>元。募集资金项目先期投入金额已由信永中和会计师事务所（特</w:t>
                        </w:r>
                        <w:r>
                          <w:rPr>
                            <w:rFonts w:ascii="宋体" w:hAnsi="宋体" w:cs="宋体" w:eastAsia="宋体" w:hint="default"/>
                            <w:sz w:val="18"/>
                            <w:szCs w:val="18"/>
                          </w:rPr>
                          <w:t> 殊普通合伙）进行专项审核，并出具了</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XYZH/2012JNA3013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号《关于北京旋极信息技术股份有限公司以自筹资金预先投入募集资金投资项目的鉴 </w:t>
                        </w:r>
                        <w:r>
                          <w:rPr>
                            <w:rFonts w:ascii="宋体" w:hAnsi="宋体" w:cs="宋体" w:eastAsia="宋体" w:hint="default"/>
                            <w:spacing w:val="-23"/>
                            <w:sz w:val="18"/>
                            <w:szCs w:val="18"/>
                          </w:rPr>
                          <w:t>证报告》。公司于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日第二届董事会第十三次会议决议通过《关于使用募集资金置换预先已投入募集资金投资项目的自筹资金的议案》</w:t>
                        </w:r>
                        <w:r>
                          <w:rPr>
                            <w:rFonts w:ascii="宋体" w:hAnsi="宋体" w:cs="宋体" w:eastAsia="宋体" w:hint="default"/>
                            <w:sz w:val="18"/>
                            <w:szCs w:val="18"/>
                          </w:rPr>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before="44"/>
        <w:ind w:left="0" w:right="1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82" w:footer="1132" w:top="1100" w:bottom="1320" w:left="1300" w:right="1240"/>
        </w:sectPr>
      </w:pPr>
    </w:p>
    <w:p>
      <w:pPr>
        <w:spacing w:line="240" w:lineRule="auto" w:before="0"/>
        <w:rPr>
          <w:rFonts w:ascii="宋体" w:hAnsi="宋体" w:cs="宋体" w:eastAsia="宋体" w:hint="default"/>
          <w:sz w:val="20"/>
          <w:szCs w:val="20"/>
        </w:rPr>
      </w:pPr>
      <w:r>
        <w:rPr/>
        <w:pict>
          <v:shape style="position:absolute;margin-left:70.320pt;margin-top:63.980007pt;width:701.65pt;height:449.6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2"/>
                    <w:gridCol w:w="11426"/>
                  </w:tblGrid>
                  <w:tr>
                    <w:trPr>
                      <w:trHeight w:val="2076" w:hRule="exact"/>
                    </w:trPr>
                    <w:tc>
                      <w:tcPr>
                        <w:tcW w:w="259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2012-12-06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进行了披露，该事项已实施完毕。</w:t>
                        </w: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日，公司以自筹资金投入募集资金投资项目的实际投资金额合计为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28,187,425.05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元，其中基于全球时空剖分的大数据高速处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理技术与服务平台项目先期投入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19,799,367.31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元；新一代装备健康管理产品体系研制及服务平台建设项目先期投入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8,388,057.74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元，募集资金投</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资项目置换先期投入金额 </w:t>
                        </w:r>
                        <w:r>
                          <w:rPr>
                            <w:rFonts w:ascii="Times New Roman" w:hAnsi="Times New Roman" w:cs="Times New Roman" w:eastAsia="Times New Roman" w:hint="default"/>
                            <w:sz w:val="18"/>
                            <w:szCs w:val="18"/>
                          </w:rPr>
                          <w:t>28,187,425.05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元。募集资金项目先期投入金额已由立信会计师事务所（特殊普通合伙）进行专项审核，并出具了</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38"/>
                            <w:sz w:val="18"/>
                            <w:szCs w:val="18"/>
                          </w:rPr>
                          <w:t> </w:t>
                        </w:r>
                        <w:r>
                          <w:rPr>
                            <w:rFonts w:ascii="Times New Roman" w:hAnsi="Times New Roman" w:cs="Times New Roman" w:eastAsia="Times New Roman" w:hint="default"/>
                            <w:w w:val="99"/>
                            <w:sz w:val="18"/>
                            <w:szCs w:val="18"/>
                          </w:rPr>
                          <w:t>Z</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号《关于北京旋</w:t>
                        </w:r>
                        <w:r>
                          <w:rPr>
                            <w:rFonts w:ascii="宋体" w:hAnsi="宋体" w:cs="宋体" w:eastAsia="宋体" w:hint="default"/>
                            <w:spacing w:val="-3"/>
                            <w:sz w:val="18"/>
                            <w:szCs w:val="18"/>
                          </w:rPr>
                          <w:t>极</w:t>
                        </w:r>
                        <w:r>
                          <w:rPr>
                            <w:rFonts w:ascii="宋体" w:hAnsi="宋体" w:cs="宋体" w:eastAsia="宋体" w:hint="default"/>
                            <w:sz w:val="18"/>
                            <w:szCs w:val="18"/>
                          </w:rPr>
                          <w:t>信息技术股份有限公司募集资金投资项目实际自筹资金使用专项审核报告</w:t>
                        </w:r>
                        <w:r>
                          <w:rPr>
                            <w:rFonts w:ascii="宋体" w:hAnsi="宋体" w:cs="宋体" w:eastAsia="宋体" w:hint="default"/>
                            <w:spacing w:val="-92"/>
                            <w:sz w:val="18"/>
                            <w:szCs w:val="18"/>
                          </w:rPr>
                          <w:t>》</w:t>
                        </w:r>
                        <w:r>
                          <w:rPr>
                            <w:rFonts w:ascii="宋体" w:hAnsi="宋体" w:cs="宋体" w:eastAsia="宋体" w:hint="default"/>
                            <w:sz w:val="18"/>
                            <w:szCs w:val="18"/>
                          </w:rPr>
                          <w:t>。公司于</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日第三届董事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会第四十三次会议决议通</w:t>
                        </w:r>
                        <w:r>
                          <w:rPr>
                            <w:rFonts w:ascii="宋体" w:hAnsi="宋体" w:cs="宋体" w:eastAsia="宋体" w:hint="default"/>
                            <w:spacing w:val="-51"/>
                            <w:sz w:val="18"/>
                            <w:szCs w:val="18"/>
                          </w:rPr>
                          <w:t>过</w:t>
                        </w:r>
                        <w:r>
                          <w:rPr>
                            <w:rFonts w:ascii="宋体" w:hAnsi="宋体" w:cs="宋体" w:eastAsia="宋体" w:hint="default"/>
                            <w:sz w:val="18"/>
                            <w:szCs w:val="18"/>
                          </w:rPr>
                          <w:t>《关于使用募集资金置换预先投入募投项目自筹资金的议案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并于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w:t>
                        </w:r>
                        <w:r>
                          <w:rPr>
                            <w:rFonts w:ascii="宋体" w:hAnsi="宋体" w:cs="宋体" w:eastAsia="宋体" w:hint="default"/>
                            <w:spacing w:val="-3"/>
                            <w:sz w:val="18"/>
                            <w:szCs w:val="18"/>
                          </w:rPr>
                          <w:t>了</w:t>
                        </w:r>
                        <w:r>
                          <w:rPr>
                            <w:rFonts w:ascii="宋体" w:hAnsi="宋体" w:cs="宋体" w:eastAsia="宋体" w:hint="default"/>
                            <w:sz w:val="18"/>
                            <w:szCs w:val="18"/>
                          </w:rPr>
                          <w:t>披露</w:t>
                        </w:r>
                        <w:r>
                          <w:rPr>
                            <w:rFonts w:ascii="宋体" w:hAnsi="宋体" w:cs="宋体" w:eastAsia="宋体" w:hint="default"/>
                            <w:spacing w:val="-51"/>
                            <w:sz w:val="18"/>
                            <w:szCs w:val="18"/>
                          </w:rPr>
                          <w:t>，</w:t>
                        </w:r>
                        <w:r>
                          <w:rPr>
                            <w:rFonts w:ascii="宋体" w:hAnsi="宋体" w:cs="宋体" w:eastAsia="宋体" w:hint="default"/>
                            <w:sz w:val="18"/>
                            <w:szCs w:val="18"/>
                          </w:rPr>
                          <w:t>该事项已实施完毕</w:t>
                        </w:r>
                      </w:p>
                    </w:tc>
                  </w:tr>
                  <w:tr>
                    <w:trPr>
                      <w:trHeight w:val="509"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06"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额及原因</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75"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日，网上银行客户端安全产品研发及产业化项目相关研发已经完成，但因购买的北京市海淀区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地块科技厂房项目中</w:t>
                        </w:r>
                      </w:p>
                      <w:p>
                        <w:pPr>
                          <w:pStyle w:val="TableParagraph"/>
                          <w:spacing w:line="300" w:lineRule="auto" w:before="63"/>
                          <w:ind w:left="23"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号楼承担的装修款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2,462,753.70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元尚未支付。除上述尚未支付款项，该募投项目共结余资金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15,527,062.75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行业智能移动终端机应用系统项目相关研发已经完成，但因购买的北京市海淀区 </w:t>
                        </w:r>
                        <w:r>
                          <w:rPr>
                            <w:rFonts w:ascii="Times New Roman" w:hAnsi="Times New Roman" w:cs="Times New Roman" w:eastAsia="Times New Roman" w:hint="default"/>
                            <w:sz w:val="18"/>
                            <w:szCs w:val="18"/>
                          </w:rPr>
                          <w:t>I-22 </w:t>
                        </w:r>
                        <w:r>
                          <w:rPr>
                            <w:rFonts w:ascii="宋体" w:hAnsi="宋体" w:cs="宋体" w:eastAsia="宋体" w:hint="default"/>
                            <w:sz w:val="18"/>
                            <w:szCs w:val="18"/>
                          </w:rPr>
                          <w:t>地块科技厂房项目中 </w:t>
                        </w:r>
                        <w:r>
                          <w:rPr>
                            <w:rFonts w:ascii="Times New Roman" w:hAnsi="Times New Roman" w:cs="Times New Roman" w:eastAsia="Times New Roman" w:hint="default"/>
                            <w:sz w:val="18"/>
                            <w:szCs w:val="18"/>
                          </w:rPr>
                          <w:t>A </w:t>
                        </w:r>
                        <w:r>
                          <w:rPr>
                            <w:rFonts w:ascii="宋体" w:hAnsi="宋体" w:cs="宋体" w:eastAsia="宋体" w:hint="default"/>
                            <w:sz w:val="18"/>
                            <w:szCs w:val="18"/>
                          </w:rPr>
                          <w:t>区 </w:t>
                        </w:r>
                        <w:r>
                          <w:rPr>
                            <w:rFonts w:ascii="Times New Roman" w:hAnsi="Times New Roman" w:cs="Times New Roman" w:eastAsia="Times New Roman" w:hint="default"/>
                            <w:sz w:val="18"/>
                            <w:szCs w:val="18"/>
                          </w:rPr>
                          <w:t>A1 </w:t>
                        </w:r>
                        <w:r>
                          <w:rPr>
                            <w:rFonts w:ascii="宋体" w:hAnsi="宋体" w:cs="宋体" w:eastAsia="宋体" w:hint="default"/>
                            <w:sz w:val="18"/>
                            <w:szCs w:val="18"/>
                          </w:rPr>
                          <w:t>号楼承担的装修款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1,847,250 </w:t>
                        </w:r>
                        <w:r>
                          <w:rPr>
                            <w:rFonts w:ascii="宋体" w:hAnsi="宋体" w:cs="宋体" w:eastAsia="宋体" w:hint="default"/>
                            <w:sz w:val="18"/>
                            <w:szCs w:val="18"/>
                          </w:rPr>
                          <w:t>元尚未支付。除上述尚未支付款项，该募投项目共结余资金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13,361,307.11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307" w:lineRule="auto" w:before="107"/>
                          <w:ind w:left="23" w:right="22"/>
                          <w:jc w:val="both"/>
                          <w:rPr>
                            <w:rFonts w:ascii="宋体" w:hAnsi="宋体" w:cs="宋体" w:eastAsia="宋体" w:hint="default"/>
                            <w:sz w:val="18"/>
                            <w:szCs w:val="18"/>
                          </w:rPr>
                        </w:pPr>
                        <w:r>
                          <w:rPr>
                            <w:rFonts w:ascii="宋体" w:hAnsi="宋体" w:cs="宋体" w:eastAsia="宋体" w:hint="default"/>
                            <w:sz w:val="18"/>
                            <w:szCs w:val="18"/>
                          </w:rPr>
                          <w:t>总结以上两募投项目结余资金原因如下：公司在项目建设中本着合理、节约及有效使用募集资金的原则，严格项目资金管理，充分利用公司自主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研发，自主改造设备的优势，以最少的投入达到最高的效能，从而最大限度的节约了项目资金，主要体现在以下两方面：（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）在募投项目建设过</w:t>
                        </w:r>
                        <w:r>
                          <w:rPr>
                            <w:rFonts w:ascii="宋体" w:hAnsi="宋体" w:cs="宋体" w:eastAsia="宋体" w:hint="default"/>
                            <w:spacing w:val="-32"/>
                            <w:sz w:val="18"/>
                            <w:szCs w:val="18"/>
                          </w:rPr>
                          <w:t> </w:t>
                        </w:r>
                        <w:r>
                          <w:rPr>
                            <w:rFonts w:ascii="宋体" w:hAnsi="宋体" w:cs="宋体" w:eastAsia="宋体" w:hint="default"/>
                            <w:sz w:val="18"/>
                            <w:szCs w:val="18"/>
                          </w:rPr>
                          <w:t>程中，在保证项目建设质量的前提下，公司严格控制募集资金的支出，充分考虑资源的综合利用，加强了对项目费用的控制，监督和管理，相应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的减少了项目开支，主要体现在：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）关于项目研发计划采购的硬件设备，公司通过对于原有硬件设备的自主升级，改造，提高设备使用效率，并</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2"/>
                            <w:sz w:val="18"/>
                            <w:szCs w:val="18"/>
                          </w:rPr>
                          <w:t>采用多项目共用同一设备的方式，大幅度降低了项目的硬件采购数量，降低支出；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）公司通过</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IPD</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研发模式，合理安排研发人员工作时间，提供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研发人员工作效率，节约了成本。（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）在募集资金存放期间，公司通过合理安排支出，对于暂未使用募集资金采用定存等方式产生了一定的利息</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收入。</w:t>
                        </w:r>
                      </w:p>
                      <w:p>
                        <w:pPr>
                          <w:pStyle w:val="TableParagraph"/>
                          <w:spacing w:line="240" w:lineRule="auto" w:before="118"/>
                          <w:ind w:left="2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日召开第二届董事会第二十四次会议审议通过，同意公司将募集资金投资项目中网上银行客户端安全产品研发及产业化项</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目及行业智能移动终端机应用系统项目的结余募集资金及利息收入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28,888,400.00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元用于永久补充公司日常经营所需的流动资金，截止到报告期末</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pacing w:val="-3"/>
                            <w:sz w:val="18"/>
                            <w:szCs w:val="18"/>
                          </w:rPr>
                          <w:t>本项目已实施完毕。公司于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日支付永丰装修工程款尾款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7"/>
                            <w:sz w:val="18"/>
                            <w:szCs w:val="18"/>
                          </w:rPr>
                          <w:t>万元，并于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日将结余募集资金永久补充流动资金并注销 募集账户，详见公告编号：</w:t>
                        </w:r>
                        <w:r>
                          <w:rPr>
                            <w:rFonts w:ascii="Times New Roman" w:hAnsi="Times New Roman" w:cs="Times New Roman" w:eastAsia="Times New Roman" w:hint="default"/>
                            <w:sz w:val="18"/>
                            <w:szCs w:val="18"/>
                          </w:rPr>
                          <w:t>2017-030  </w:t>
                        </w:r>
                        <w:r>
                          <w:rPr>
                            <w:rFonts w:ascii="宋体" w:hAnsi="宋体" w:cs="宋体" w:eastAsia="宋体" w:hint="default"/>
                            <w:sz w:val="18"/>
                            <w:szCs w:val="18"/>
                          </w:rPr>
                          <w:t>。</w:t>
                        </w:r>
                      </w:p>
                      <w:p>
                        <w:pPr>
                          <w:pStyle w:val="TableParagraph"/>
                          <w:spacing w:line="240" w:lineRule="auto" w:before="10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日，新一代航空总线产品的研制及产业化项目相关研发已经完成，但因该募投项目尚有部分款项未支付，除未支付款项，</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82" w:footer="1132" w:top="1100" w:bottom="1320" w:left="1300" w:right="1240"/>
        </w:sectPr>
      </w:pP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92"/>
        <w:gridCol w:w="11426"/>
      </w:tblGrid>
      <w:tr>
        <w:trPr>
          <w:trHeight w:val="3418" w:hRule="exact"/>
        </w:trPr>
        <w:tc>
          <w:tcPr>
            <w:tcW w:w="259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该募投项目共结余资金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5,497,659.36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6" w:lineRule="auto" w:before="154"/>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新一代航空总线产品的研制及产业化项目产生节余的主要原因在于：公司在项目建设中本着合理、节约及有效使用募集资金的原则，严格项目资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金管理，充分利用公司自主研发，自主改造设备的优势，以最少的投入达到最高的效能，从而最大限度的节约了项目资金，主要体现在以下方面</w:t>
            </w:r>
            <w:r>
              <w:rPr>
                <w:rFonts w:ascii="Times New Roman" w:hAnsi="Times New Roman" w:cs="Times New Roman" w:eastAsia="Times New Roman" w:hint="default"/>
                <w:spacing w:val="-1"/>
                <w:sz w:val="18"/>
                <w:szCs w:val="18"/>
              </w:rPr>
              <w:t>:</w:t>
            </w:r>
          </w:p>
          <w:p>
            <w:pPr>
              <w:pStyle w:val="TableParagraph"/>
              <w:spacing w:line="300"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）在募投项目建设过程中，在保证项目建设质量的前提下，公司严格控制募集资金的支出，充分考虑资源的综合利用，加强了对项目费用的控</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制，监督和管理，相应的减少了项目开支。（</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）因大飞机整体项目延期影响，公司新一代航空总线产品的研制及产业化项目整体效益实现延后，</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2"/>
                <w:sz w:val="18"/>
                <w:szCs w:val="18"/>
              </w:rPr>
              <w:t>故相关市场推广也相应推后进行，造成市场推广费用节余，公司计划以自有资金支付后续的市场推广及其他费用。（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）在募集资金存放期间，公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司通过合理安排支出，对于暂未使用募集资金采用定存等方式产生了一定的利息收入。</w:t>
            </w:r>
          </w:p>
          <w:p>
            <w:pPr>
              <w:pStyle w:val="TableParagraph"/>
              <w:spacing w:line="240" w:lineRule="auto" w:before="125"/>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日召开的第二届董事会第三十二次会议通过，同意公司将募集资金投资项目中新一代航空总线产品的研制及产业化项目的结余</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募集资金及利息收入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549.76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万元用于永久补充公司日常经营所需的流动资金，截止到报告期末本项目已实施完毕。公司于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日将结 余募集资金永久补充流动资金并注销募集账户，详见公告编号：</w:t>
            </w:r>
            <w:r>
              <w:rPr>
                <w:rFonts w:ascii="Times New Roman" w:hAnsi="Times New Roman" w:cs="Times New Roman" w:eastAsia="Times New Roman" w:hint="default"/>
                <w:sz w:val="18"/>
                <w:szCs w:val="18"/>
              </w:rPr>
              <w:t>2017-030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506"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21"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23" w:right="19"/>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题或其他情况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12"/>
          <w:szCs w:val="12"/>
        </w:rPr>
      </w:pPr>
    </w:p>
    <w:p>
      <w:pPr>
        <w:pStyle w:val="Heading3"/>
        <w:spacing w:line="240" w:lineRule="auto" w:before="26"/>
        <w:ind w:left="140" w:right="8264"/>
        <w:jc w:val="left"/>
      </w:pPr>
      <w:r>
        <w:rPr/>
        <w:t>（</w:t>
      </w:r>
      <w:r>
        <w:rPr>
          <w:rFonts w:ascii="Times New Roman" w:hAnsi="Times New Roman" w:cs="Times New Roman" w:eastAsia="Times New Roman" w:hint="default"/>
        </w:rPr>
        <w:t>3</w:t>
      </w:r>
      <w:r>
        <w:rPr/>
        <w:t>）募集资金变更项目情况</w:t>
      </w:r>
    </w:p>
    <w:p>
      <w:pPr>
        <w:spacing w:line="240" w:lineRule="auto" w:before="3"/>
        <w:rPr>
          <w:rFonts w:ascii="黑体" w:hAnsi="黑体" w:cs="黑体" w:eastAsia="黑体" w:hint="default"/>
          <w:sz w:val="24"/>
          <w:szCs w:val="24"/>
        </w:rPr>
      </w:pPr>
    </w:p>
    <w:p>
      <w:pPr>
        <w:pStyle w:val="BodyText"/>
        <w:spacing w:line="470" w:lineRule="auto"/>
        <w:ind w:left="560" w:right="82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公司报告期不存在募集资金变更项目情况。</w:t>
      </w:r>
    </w:p>
    <w:p>
      <w:pPr>
        <w:spacing w:line="240" w:lineRule="auto" w:before="13"/>
        <w:rPr>
          <w:rFonts w:ascii="宋体" w:hAnsi="宋体" w:cs="宋体" w:eastAsia="宋体" w:hint="default"/>
          <w:sz w:val="20"/>
          <w:szCs w:val="20"/>
        </w:rPr>
      </w:pPr>
    </w:p>
    <w:p>
      <w:pPr>
        <w:pStyle w:val="Heading2"/>
        <w:spacing w:line="240" w:lineRule="auto" w:before="0"/>
        <w:ind w:left="140" w:right="8264"/>
        <w:jc w:val="left"/>
      </w:pPr>
      <w:r>
        <w:rPr/>
        <w:t>六、重大资产和股权出售</w:t>
      </w:r>
    </w:p>
    <w:p>
      <w:pPr>
        <w:spacing w:line="240" w:lineRule="auto" w:before="13"/>
        <w:rPr>
          <w:rFonts w:ascii="黑体" w:hAnsi="黑体" w:cs="黑体" w:eastAsia="黑体" w:hint="default"/>
          <w:sz w:val="35"/>
          <w:szCs w:val="35"/>
        </w:rPr>
      </w:pPr>
    </w:p>
    <w:p>
      <w:pPr>
        <w:pStyle w:val="Heading3"/>
        <w:spacing w:line="240" w:lineRule="auto"/>
        <w:ind w:left="140" w:right="8264"/>
        <w:jc w:val="left"/>
      </w:pPr>
      <w:r>
        <w:rPr>
          <w:rFonts w:ascii="Times New Roman" w:hAnsi="Times New Roman" w:cs="Times New Roman" w:eastAsia="Times New Roman" w:hint="default"/>
        </w:rPr>
        <w:t>1</w:t>
      </w:r>
      <w:r>
        <w:rPr/>
        <w:t>、出售重大资产情况</w:t>
      </w:r>
    </w:p>
    <w:p>
      <w:pPr>
        <w:spacing w:line="240" w:lineRule="auto" w:before="3"/>
        <w:rPr>
          <w:rFonts w:ascii="黑体" w:hAnsi="黑体" w:cs="黑体" w:eastAsia="黑体" w:hint="default"/>
          <w:sz w:val="24"/>
          <w:szCs w:val="24"/>
        </w:rPr>
      </w:pPr>
    </w:p>
    <w:p>
      <w:pPr>
        <w:pStyle w:val="BodyText"/>
        <w:spacing w:line="240" w:lineRule="auto"/>
        <w:ind w:left="560" w:right="82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82" w:footer="1132" w:top="1100" w:bottom="1320" w:left="1300" w:right="128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8"/>
        <w:ind w:left="560" w:right="8264"/>
        <w:jc w:val="left"/>
      </w:pPr>
      <w:r>
        <w:rPr/>
        <w:t>公司报告期未出售重大资产。</w:t>
      </w:r>
    </w:p>
    <w:p>
      <w:pPr>
        <w:spacing w:line="240" w:lineRule="auto" w:before="12"/>
        <w:rPr>
          <w:rFonts w:ascii="宋体" w:hAnsi="宋体" w:cs="宋体" w:eastAsia="宋体" w:hint="default"/>
          <w:sz w:val="24"/>
          <w:szCs w:val="24"/>
        </w:rPr>
      </w:pPr>
    </w:p>
    <w:p>
      <w:pPr>
        <w:pStyle w:val="Heading3"/>
        <w:spacing w:line="240" w:lineRule="auto"/>
        <w:ind w:left="121" w:right="11816"/>
        <w:jc w:val="center"/>
      </w:pPr>
      <w:r>
        <w:rPr>
          <w:rFonts w:ascii="Times New Roman" w:hAnsi="Times New Roman" w:cs="Times New Roman" w:eastAsia="Times New Roman" w:hint="default"/>
        </w:rPr>
        <w:t>2</w:t>
      </w:r>
      <w:r>
        <w:rPr/>
        <w:t>、出售重大股权情况</w:t>
      </w:r>
    </w:p>
    <w:p>
      <w:pPr>
        <w:spacing w:line="240" w:lineRule="auto" w:before="1"/>
        <w:rPr>
          <w:rFonts w:ascii="黑体" w:hAnsi="黑体" w:cs="黑体" w:eastAsia="黑体" w:hint="default"/>
          <w:sz w:val="24"/>
          <w:szCs w:val="24"/>
        </w:rPr>
      </w:pPr>
    </w:p>
    <w:p>
      <w:pPr>
        <w:pStyle w:val="BodyText"/>
        <w:spacing w:line="240" w:lineRule="auto"/>
        <w:ind w:left="560" w:right="8264"/>
        <w:jc w:val="left"/>
      </w:pPr>
      <w:r>
        <w:rPr/>
        <w:pict>
          <v:shape style="position:absolute;margin-left:288.173004pt;margin-top:105.293663pt;width:82.8pt;height:39pt;mso-position-horizontal-relative:page;mso-position-vertical-relative:paragraph;z-index:-1197280"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004"/>
        <w:gridCol w:w="1001"/>
        <w:gridCol w:w="1003"/>
        <w:gridCol w:w="1004"/>
        <w:gridCol w:w="1001"/>
        <w:gridCol w:w="1001"/>
        <w:gridCol w:w="1001"/>
        <w:gridCol w:w="1006"/>
        <w:gridCol w:w="1003"/>
        <w:gridCol w:w="1004"/>
        <w:gridCol w:w="1003"/>
        <w:gridCol w:w="1003"/>
        <w:gridCol w:w="1003"/>
        <w:gridCol w:w="982"/>
      </w:tblGrid>
      <w:tr>
        <w:trPr>
          <w:trHeight w:val="2381" w:hRule="exact"/>
        </w:trPr>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6"/>
                <w:sz w:val="18"/>
                <w:szCs w:val="18"/>
              </w:rPr>
              <w:t>交易</w:t>
            </w:r>
            <w:r>
              <w:rPr>
                <w:rFonts w:ascii="宋体" w:hAnsi="宋体" w:cs="宋体" w:eastAsia="宋体" w:hint="default"/>
                <w:sz w:val="18"/>
                <w:szCs w:val="18"/>
              </w:rPr>
              <w:t>价</w:t>
            </w:r>
            <w:r>
              <w:rPr>
                <w:rFonts w:ascii="宋体" w:hAnsi="宋体" w:cs="宋体" w:eastAsia="宋体" w:hint="default"/>
                <w:spacing w:val="-14"/>
                <w:sz w:val="18"/>
                <w:szCs w:val="18"/>
              </w:rPr>
              <w:t> </w:t>
            </w:r>
            <w:r>
              <w:rPr>
                <w:rFonts w:ascii="宋体" w:hAnsi="宋体" w:cs="宋体" w:eastAsia="宋体" w:hint="default"/>
                <w:sz w:val="18"/>
                <w:szCs w:val="18"/>
              </w:rPr>
              <w:t>格</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1" w:right="7"/>
              <w:jc w:val="both"/>
              <w:rPr>
                <w:rFonts w:ascii="宋体" w:hAnsi="宋体" w:cs="宋体" w:eastAsia="宋体" w:hint="default"/>
                <w:sz w:val="18"/>
                <w:szCs w:val="18"/>
              </w:rPr>
            </w:pPr>
            <w:r>
              <w:rPr>
                <w:rFonts w:ascii="宋体" w:hAnsi="宋体" w:cs="宋体" w:eastAsia="宋体" w:hint="default"/>
                <w:spacing w:val="12"/>
                <w:sz w:val="18"/>
                <w:szCs w:val="18"/>
              </w:rPr>
              <w:t>本期初起至 出售日该股 权为上市公 司贡献的净 </w:t>
            </w:r>
            <w:r>
              <w:rPr>
                <w:rFonts w:ascii="宋体" w:hAnsi="宋体" w:cs="宋体" w:eastAsia="宋体" w:hint="default"/>
                <w:sz w:val="18"/>
                <w:szCs w:val="18"/>
              </w:rPr>
              <w:t>利润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5"/>
              <w:jc w:val="left"/>
              <w:rPr>
                <w:rFonts w:ascii="宋体" w:hAnsi="宋体" w:cs="宋体" w:eastAsia="宋体" w:hint="default"/>
                <w:sz w:val="18"/>
                <w:szCs w:val="18"/>
              </w:rPr>
            </w:pPr>
            <w:r>
              <w:rPr>
                <w:rFonts w:ascii="宋体" w:hAnsi="宋体" w:cs="宋体" w:eastAsia="宋体" w:hint="default"/>
                <w:spacing w:val="12"/>
                <w:sz w:val="18"/>
                <w:szCs w:val="18"/>
              </w:rPr>
              <w:t>出售对公司 </w:t>
            </w:r>
            <w:r>
              <w:rPr>
                <w:rFonts w:ascii="宋体" w:hAnsi="宋体" w:cs="宋体" w:eastAsia="宋体" w:hint="default"/>
                <w:sz w:val="18"/>
                <w:szCs w:val="18"/>
              </w:rPr>
              <w:t>的影响</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4" w:right="5"/>
              <w:jc w:val="both"/>
              <w:rPr>
                <w:rFonts w:ascii="宋体" w:hAnsi="宋体" w:cs="宋体" w:eastAsia="宋体" w:hint="default"/>
                <w:sz w:val="18"/>
                <w:szCs w:val="18"/>
              </w:rPr>
            </w:pPr>
            <w:r>
              <w:rPr>
                <w:rFonts w:ascii="宋体" w:hAnsi="宋体" w:cs="宋体" w:eastAsia="宋体" w:hint="default"/>
                <w:spacing w:val="12"/>
                <w:sz w:val="18"/>
                <w:szCs w:val="18"/>
              </w:rPr>
              <w:t>股权出售为 上市公司贡 献的净利润 占净利润总 </w:t>
            </w:r>
            <w:r>
              <w:rPr>
                <w:rFonts w:ascii="宋体" w:hAnsi="宋体" w:cs="宋体" w:eastAsia="宋体" w:hint="default"/>
                <w:sz w:val="18"/>
                <w:szCs w:val="18"/>
              </w:rPr>
              <w:t>额的比例</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pacing w:val="12"/>
                <w:sz w:val="18"/>
                <w:szCs w:val="18"/>
              </w:rPr>
              <w:t>股权出售定 </w:t>
            </w:r>
            <w:r>
              <w:rPr>
                <w:rFonts w:ascii="宋体" w:hAnsi="宋体" w:cs="宋体" w:eastAsia="宋体" w:hint="default"/>
                <w:sz w:val="18"/>
                <w:szCs w:val="18"/>
              </w:rPr>
              <w:t>价原则</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pacing w:val="12"/>
                <w:sz w:val="18"/>
                <w:szCs w:val="18"/>
              </w:rPr>
              <w:t>是否为关联 </w:t>
            </w:r>
            <w:r>
              <w:rPr>
                <w:rFonts w:ascii="宋体" w:hAnsi="宋体" w:cs="宋体" w:eastAsia="宋体" w:hint="default"/>
                <w:sz w:val="18"/>
                <w:szCs w:val="18"/>
              </w:rPr>
              <w:t>交易</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pacing w:val="12"/>
                <w:sz w:val="18"/>
                <w:szCs w:val="18"/>
              </w:rPr>
              <w:t>与交易对方 </w:t>
            </w:r>
            <w:r>
              <w:rPr>
                <w:rFonts w:ascii="宋体" w:hAnsi="宋体" w:cs="宋体" w:eastAsia="宋体" w:hint="default"/>
                <w:sz w:val="18"/>
                <w:szCs w:val="18"/>
              </w:rPr>
              <w:t>的关联关系</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4" w:right="7"/>
              <w:jc w:val="both"/>
              <w:rPr>
                <w:rFonts w:ascii="宋体" w:hAnsi="宋体" w:cs="宋体" w:eastAsia="宋体" w:hint="default"/>
                <w:sz w:val="18"/>
                <w:szCs w:val="18"/>
              </w:rPr>
            </w:pPr>
            <w:r>
              <w:rPr>
                <w:rFonts w:ascii="宋体" w:hAnsi="宋体" w:cs="宋体" w:eastAsia="宋体" w:hint="default"/>
                <w:spacing w:val="12"/>
                <w:sz w:val="18"/>
                <w:szCs w:val="18"/>
              </w:rPr>
              <w:t>所涉及的股 权是否已全 </w:t>
            </w:r>
            <w:r>
              <w:rPr>
                <w:rFonts w:ascii="宋体" w:hAnsi="宋体" w:cs="宋体" w:eastAsia="宋体" w:hint="default"/>
                <w:sz w:val="18"/>
                <w:szCs w:val="18"/>
              </w:rPr>
              <w:t>部过户</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3" w:right="7"/>
              <w:jc w:val="both"/>
              <w:rPr>
                <w:rFonts w:ascii="宋体" w:hAnsi="宋体" w:cs="宋体" w:eastAsia="宋体" w:hint="default"/>
                <w:sz w:val="18"/>
                <w:szCs w:val="18"/>
              </w:rPr>
            </w:pPr>
            <w:r>
              <w:rPr>
                <w:rFonts w:ascii="宋体" w:hAnsi="宋体" w:cs="宋体" w:eastAsia="宋体" w:hint="default"/>
                <w:spacing w:val="12"/>
                <w:sz w:val="18"/>
                <w:szCs w:val="18"/>
              </w:rPr>
              <w:t>是否按计划 如期实施， 如未按计划 实施，应当 说明原因及 公司已采取 </w:t>
            </w:r>
            <w:r>
              <w:rPr>
                <w:rFonts w:ascii="宋体" w:hAnsi="宋体" w:cs="宋体" w:eastAsia="宋体" w:hint="default"/>
                <w:sz w:val="18"/>
                <w:szCs w:val="18"/>
              </w:rPr>
              <w:t>的措施</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00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9"/>
              <w:jc w:val="both"/>
              <w:rPr>
                <w:rFonts w:ascii="宋体" w:hAnsi="宋体" w:cs="宋体" w:eastAsia="宋体" w:hint="default"/>
                <w:sz w:val="18"/>
                <w:szCs w:val="18"/>
              </w:rPr>
            </w:pPr>
            <w:r>
              <w:rPr>
                <w:rFonts w:ascii="宋体" w:hAnsi="宋体" w:cs="宋体" w:eastAsia="宋体" w:hint="default"/>
                <w:spacing w:val="12"/>
                <w:sz w:val="18"/>
                <w:szCs w:val="18"/>
              </w:rPr>
              <w:t>苏州孔雀信 天游电子有 </w:t>
            </w:r>
            <w:r>
              <w:rPr>
                <w:rFonts w:ascii="宋体" w:hAnsi="宋体" w:cs="宋体" w:eastAsia="宋体" w:hint="default"/>
                <w:sz w:val="18"/>
                <w:szCs w:val="18"/>
              </w:rPr>
              <w:t>限公司</w:t>
            </w:r>
          </w:p>
        </w:tc>
        <w:tc>
          <w:tcPr>
            <w:tcW w:w="10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 w:right="-61"/>
              <w:jc w:val="left"/>
              <w:rPr>
                <w:rFonts w:ascii="宋体" w:hAnsi="宋体" w:cs="宋体" w:eastAsia="宋体" w:hint="default"/>
                <w:sz w:val="18"/>
                <w:szCs w:val="18"/>
              </w:rPr>
            </w:pPr>
            <w:r>
              <w:rPr>
                <w:rFonts w:ascii="宋体" w:hAnsi="宋体" w:cs="宋体" w:eastAsia="宋体" w:hint="default"/>
                <w:spacing w:val="74"/>
                <w:sz w:val="18"/>
                <w:szCs w:val="18"/>
              </w:rPr>
              <w:t>江海通</w:t>
            </w:r>
            <w:r>
              <w:rPr>
                <w:rFonts w:ascii="宋体" w:hAnsi="宋体" w:cs="宋体" w:eastAsia="宋体" w:hint="default"/>
                <w:sz w:val="18"/>
                <w:szCs w:val="18"/>
              </w:rPr>
              <w:t>讯</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10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7,129.22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111.01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5"/>
              <w:jc w:val="both"/>
              <w:rPr>
                <w:rFonts w:ascii="宋体" w:hAnsi="宋体" w:cs="宋体" w:eastAsia="宋体" w:hint="default"/>
                <w:sz w:val="18"/>
                <w:szCs w:val="18"/>
              </w:rPr>
            </w:pPr>
            <w:r>
              <w:rPr>
                <w:rFonts w:ascii="宋体" w:hAnsi="宋体" w:cs="宋体" w:eastAsia="宋体" w:hint="default"/>
                <w:spacing w:val="12"/>
                <w:sz w:val="18"/>
                <w:szCs w:val="18"/>
              </w:rPr>
              <w:t>出售事项对 公司业务连 续性、管理 层稳定性、 报告期财务 状况和经营 成果不构成 </w:t>
            </w:r>
            <w:r>
              <w:rPr>
                <w:rFonts w:ascii="宋体" w:hAnsi="宋体" w:cs="宋体" w:eastAsia="宋体" w:hint="default"/>
                <w:sz w:val="18"/>
                <w:szCs w:val="18"/>
              </w:rPr>
              <w:t>重大影响。</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1"/>
              <w:jc w:val="both"/>
              <w:rPr>
                <w:rFonts w:ascii="宋体" w:hAnsi="宋体" w:cs="宋体" w:eastAsia="宋体" w:hint="default"/>
                <w:sz w:val="18"/>
                <w:szCs w:val="18"/>
              </w:rPr>
            </w:pPr>
            <w:r>
              <w:rPr>
                <w:rFonts w:ascii="宋体" w:hAnsi="宋体" w:cs="宋体" w:eastAsia="宋体" w:hint="default"/>
                <w:spacing w:val="12"/>
                <w:sz w:val="18"/>
                <w:szCs w:val="18"/>
              </w:rPr>
              <w:t>旋极信息所 付全部增资 款本金加上 </w:t>
            </w:r>
            <w:r>
              <w:rPr>
                <w:rFonts w:ascii="宋体" w:hAnsi="宋体" w:cs="宋体" w:eastAsia="宋体" w:hint="default"/>
                <w:sz w:val="18"/>
                <w:szCs w:val="18"/>
              </w:rPr>
              <w:t>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年计 </w:t>
            </w:r>
            <w:r>
              <w:rPr>
                <w:rFonts w:ascii="宋体" w:hAnsi="宋体" w:cs="宋体" w:eastAsia="宋体" w:hint="default"/>
                <w:spacing w:val="12"/>
                <w:sz w:val="18"/>
                <w:szCs w:val="18"/>
              </w:rPr>
              <w:t>算的增资款</w:t>
            </w:r>
            <w:r>
              <w:rPr>
                <w:rFonts w:ascii="宋体" w:hAnsi="宋体" w:cs="宋体" w:eastAsia="宋体" w:hint="default"/>
                <w:spacing w:val="12"/>
                <w:sz w:val="18"/>
                <w:szCs w:val="18"/>
              </w:rPr>
              <w:t> 利息，再减 去原股东向 公司支付的 </w:t>
            </w:r>
            <w:r>
              <w:rPr>
                <w:rFonts w:ascii="宋体" w:hAnsi="宋体" w:cs="宋体" w:eastAsia="宋体" w:hint="default"/>
                <w:sz w:val="18"/>
                <w:szCs w:val="18"/>
              </w:rPr>
              <w:t>业绩补偿款</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2017-096</w:t>
            </w:r>
          </w:p>
        </w:tc>
      </w:tr>
      <w:tr>
        <w:trPr>
          <w:trHeight w:val="1976"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12"/>
                <w:sz w:val="18"/>
                <w:szCs w:val="18"/>
              </w:rPr>
              <w:t>金城集团有 </w:t>
            </w:r>
            <w:r>
              <w:rPr>
                <w:rFonts w:ascii="宋体" w:hAnsi="宋体" w:cs="宋体" w:eastAsia="宋体" w:hint="default"/>
                <w:sz w:val="18"/>
                <w:szCs w:val="18"/>
              </w:rPr>
              <w:t>限公司</w:t>
            </w:r>
          </w:p>
        </w:tc>
        <w:tc>
          <w:tcPr>
            <w:tcW w:w="100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61"/>
              <w:jc w:val="left"/>
              <w:rPr>
                <w:rFonts w:ascii="宋体" w:hAnsi="宋体" w:cs="宋体" w:eastAsia="宋体" w:hint="default"/>
                <w:sz w:val="18"/>
                <w:szCs w:val="18"/>
              </w:rPr>
            </w:pPr>
            <w:r>
              <w:rPr>
                <w:rFonts w:ascii="宋体" w:hAnsi="宋体" w:cs="宋体" w:eastAsia="宋体" w:hint="default"/>
                <w:spacing w:val="74"/>
                <w:sz w:val="18"/>
                <w:szCs w:val="18"/>
              </w:rPr>
              <w:t>中航特</w:t>
            </w:r>
            <w:r>
              <w:rPr>
                <w:rFonts w:ascii="宋体" w:hAnsi="宋体" w:cs="宋体" w:eastAsia="宋体" w:hint="default"/>
                <w:sz w:val="18"/>
                <w:szCs w:val="18"/>
              </w:rPr>
              <w:t>装</w:t>
            </w:r>
            <w:r>
              <w:rPr>
                <w:rFonts w:ascii="宋体" w:hAnsi="宋体" w:cs="宋体" w:eastAsia="宋体" w:hint="default"/>
                <w:spacing w:val="-16"/>
                <w:sz w:val="18"/>
                <w:szCs w:val="18"/>
              </w:rPr>
              <w:t> </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10.47%</w:t>
            </w:r>
            <w:r>
              <w:rPr>
                <w:rFonts w:ascii="宋体" w:hAnsi="宋体" w:cs="宋体" w:eastAsia="宋体" w:hint="default"/>
                <w:sz w:val="18"/>
                <w:szCs w:val="18"/>
              </w:rPr>
              <w:t>股权</w:t>
            </w:r>
          </w:p>
        </w:tc>
        <w:tc>
          <w:tcPr>
            <w:tcW w:w="10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5"/>
              <w:jc w:val="both"/>
              <w:rPr>
                <w:rFonts w:ascii="宋体" w:hAnsi="宋体" w:cs="宋体" w:eastAsia="宋体" w:hint="default"/>
                <w:sz w:val="18"/>
                <w:szCs w:val="18"/>
              </w:rPr>
            </w:pPr>
            <w:r>
              <w:rPr>
                <w:rFonts w:ascii="宋体" w:hAnsi="宋体" w:cs="宋体" w:eastAsia="宋体" w:hint="default"/>
                <w:spacing w:val="12"/>
                <w:sz w:val="18"/>
                <w:szCs w:val="18"/>
              </w:rPr>
              <w:t>出售事项对 公司业务连 续性、管理 层稳定性、 报告期财务 状况和经营</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11"/>
              <w:jc w:val="both"/>
              <w:rPr>
                <w:rFonts w:ascii="宋体" w:hAnsi="宋体" w:cs="宋体" w:eastAsia="宋体" w:hint="default"/>
                <w:sz w:val="18"/>
                <w:szCs w:val="18"/>
              </w:rPr>
            </w:pPr>
            <w:r>
              <w:rPr>
                <w:rFonts w:ascii="宋体" w:hAnsi="宋体" w:cs="宋体" w:eastAsia="宋体" w:hint="default"/>
                <w:spacing w:val="12"/>
                <w:sz w:val="18"/>
                <w:szCs w:val="18"/>
              </w:rPr>
              <w:t>旋极信息投 资总额加上 按中国人民 银行公布的 一年期同期 银行贷款基</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2017-118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004"/>
        <w:gridCol w:w="1001"/>
        <w:gridCol w:w="1003"/>
        <w:gridCol w:w="1004"/>
        <w:gridCol w:w="1001"/>
        <w:gridCol w:w="1001"/>
        <w:gridCol w:w="1001"/>
        <w:gridCol w:w="1006"/>
        <w:gridCol w:w="1003"/>
        <w:gridCol w:w="1004"/>
        <w:gridCol w:w="1003"/>
        <w:gridCol w:w="1003"/>
        <w:gridCol w:w="1003"/>
        <w:gridCol w:w="982"/>
      </w:tblGrid>
      <w:tr>
        <w:trPr>
          <w:trHeight w:val="739" w:hRule="exact"/>
        </w:trPr>
        <w:tc>
          <w:tcPr>
            <w:tcW w:w="1004"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4"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4" w:right="5"/>
              <w:jc w:val="left"/>
              <w:rPr>
                <w:rFonts w:ascii="宋体" w:hAnsi="宋体" w:cs="宋体" w:eastAsia="宋体" w:hint="default"/>
                <w:sz w:val="18"/>
                <w:szCs w:val="18"/>
              </w:rPr>
            </w:pPr>
            <w:r>
              <w:rPr>
                <w:rFonts w:ascii="宋体" w:hAnsi="宋体" w:cs="宋体" w:eastAsia="宋体" w:hint="default"/>
                <w:spacing w:val="12"/>
                <w:sz w:val="18"/>
                <w:szCs w:val="18"/>
              </w:rPr>
              <w:t>成果不构成 </w:t>
            </w:r>
            <w:r>
              <w:rPr>
                <w:rFonts w:ascii="宋体" w:hAnsi="宋体" w:cs="宋体" w:eastAsia="宋体" w:hint="default"/>
                <w:sz w:val="18"/>
                <w:szCs w:val="18"/>
              </w:rPr>
              <w:t>重大影响。</w:t>
            </w:r>
          </w:p>
        </w:tc>
        <w:tc>
          <w:tcPr>
            <w:tcW w:w="1001" w:type="dxa"/>
            <w:tcBorders>
              <w:top w:val="single" w:sz="10" w:space="0" w:color="000000"/>
              <w:left w:val="single" w:sz="4" w:space="0" w:color="000000"/>
              <w:bottom w:val="single" w:sz="4" w:space="0" w:color="000000"/>
              <w:right w:val="single" w:sz="4" w:space="0" w:color="000000"/>
            </w:tcBorders>
          </w:tcPr>
          <w:p>
            <w:pPr/>
          </w:p>
        </w:tc>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4" w:right="11"/>
              <w:jc w:val="left"/>
              <w:rPr>
                <w:rFonts w:ascii="宋体" w:hAnsi="宋体" w:cs="宋体" w:eastAsia="宋体" w:hint="default"/>
                <w:sz w:val="18"/>
                <w:szCs w:val="18"/>
              </w:rPr>
            </w:pPr>
            <w:r>
              <w:rPr>
                <w:rFonts w:ascii="宋体" w:hAnsi="宋体" w:cs="宋体" w:eastAsia="宋体" w:hint="default"/>
                <w:spacing w:val="12"/>
                <w:sz w:val="18"/>
                <w:szCs w:val="18"/>
              </w:rPr>
              <w:t>准利率计算 </w:t>
            </w:r>
            <w:r>
              <w:rPr>
                <w:rFonts w:ascii="宋体" w:hAnsi="宋体" w:cs="宋体" w:eastAsia="宋体" w:hint="default"/>
                <w:sz w:val="18"/>
                <w:szCs w:val="18"/>
              </w:rPr>
              <w:t>出的复利</w:t>
            </w:r>
          </w:p>
        </w:tc>
        <w:tc>
          <w:tcPr>
            <w:tcW w:w="1003" w:type="dxa"/>
            <w:tcBorders>
              <w:top w:val="single" w:sz="10" w:space="0" w:color="000000"/>
              <w:left w:val="single" w:sz="4" w:space="0" w:color="000000"/>
              <w:bottom w:val="single" w:sz="4" w:space="0" w:color="000000"/>
              <w:right w:val="single" w:sz="4" w:space="0" w:color="000000"/>
            </w:tcBorders>
          </w:tcPr>
          <w:p>
            <w:pPr/>
          </w:p>
        </w:tc>
        <w:tc>
          <w:tcPr>
            <w:tcW w:w="1004"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982" w:type="dxa"/>
            <w:tcBorders>
              <w:top w:val="single" w:sz="10"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before="109"/>
        <w:ind w:left="152" w:right="11" w:firstLine="0"/>
        <w:jc w:val="left"/>
        <w:rPr>
          <w:rFonts w:ascii="宋体" w:hAnsi="宋体" w:cs="宋体" w:eastAsia="宋体" w:hint="default"/>
          <w:sz w:val="24"/>
          <w:szCs w:val="24"/>
        </w:rPr>
      </w:pP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line="240" w:lineRule="auto" w:before="10"/>
        <w:rPr>
          <w:rFonts w:ascii="宋体" w:hAnsi="宋体" w:cs="宋体" w:eastAsia="宋体" w:hint="default"/>
          <w:b/>
          <w:bCs/>
          <w:sz w:val="30"/>
          <w:szCs w:val="30"/>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054"/>
        <w:gridCol w:w="931"/>
        <w:gridCol w:w="1311"/>
        <w:gridCol w:w="1044"/>
        <w:gridCol w:w="1047"/>
        <w:gridCol w:w="1046"/>
        <w:gridCol w:w="1044"/>
        <w:gridCol w:w="1045"/>
        <w:gridCol w:w="1046"/>
      </w:tblGrid>
      <w:tr>
        <w:trPr>
          <w:trHeight w:val="506"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6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主要业务</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6"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7"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7"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5"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9"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113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19"/>
                <w:sz w:val="18"/>
                <w:szCs w:val="18"/>
              </w:rPr>
              <w:t>北京泰豪智</w:t>
            </w:r>
            <w:r>
              <w:rPr>
                <w:rFonts w:ascii="宋体" w:hAnsi="宋体" w:cs="宋体" w:eastAsia="宋体" w:hint="default"/>
                <w:spacing w:val="-66"/>
                <w:sz w:val="18"/>
                <w:szCs w:val="18"/>
              </w:rPr>
              <w:t> </w:t>
            </w:r>
            <w:r>
              <w:rPr>
                <w:rFonts w:ascii="宋体" w:hAnsi="宋体" w:cs="宋体" w:eastAsia="宋体" w:hint="default"/>
                <w:spacing w:val="19"/>
                <w:sz w:val="18"/>
                <w:szCs w:val="18"/>
              </w:rPr>
              <w:t>能工程有限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智慧城市</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105,887,336.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2,057,919,63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683,563,897.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1,801,111,90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249,799,898.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210,029,531.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97</w:t>
            </w:r>
          </w:p>
        </w:tc>
      </w:tr>
      <w:tr>
        <w:trPr>
          <w:trHeight w:val="113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19"/>
                <w:sz w:val="18"/>
                <w:szCs w:val="18"/>
              </w:rPr>
              <w:t>西安西谷微</w:t>
            </w:r>
            <w:r>
              <w:rPr>
                <w:rFonts w:ascii="宋体" w:hAnsi="宋体" w:cs="宋体" w:eastAsia="宋体" w:hint="default"/>
                <w:spacing w:val="-66"/>
                <w:sz w:val="18"/>
                <w:szCs w:val="18"/>
              </w:rPr>
              <w:t> </w:t>
            </w:r>
            <w:r>
              <w:rPr>
                <w:rFonts w:ascii="宋体" w:hAnsi="宋体" w:cs="宋体" w:eastAsia="宋体" w:hint="default"/>
                <w:spacing w:val="19"/>
                <w:sz w:val="18"/>
                <w:szCs w:val="18"/>
              </w:rPr>
              <w:t>电子有限责</w:t>
            </w:r>
            <w:r>
              <w:rPr>
                <w:rFonts w:ascii="宋体" w:hAnsi="宋体" w:cs="宋体" w:eastAsia="宋体" w:hint="default"/>
                <w:spacing w:val="-66"/>
                <w:sz w:val="18"/>
                <w:szCs w:val="18"/>
              </w:rPr>
              <w:t> </w:t>
            </w:r>
            <w:r>
              <w:rPr>
                <w:rFonts w:ascii="宋体" w:hAnsi="宋体" w:cs="宋体" w:eastAsia="宋体" w:hint="default"/>
                <w:sz w:val="18"/>
                <w:szCs w:val="18"/>
              </w:rPr>
              <w:t>任公</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center"/>
              <w:rPr>
                <w:rFonts w:ascii="宋体" w:hAnsi="宋体" w:cs="宋体" w:eastAsia="宋体" w:hint="default"/>
                <w:sz w:val="18"/>
                <w:szCs w:val="18"/>
              </w:rPr>
            </w:pPr>
            <w:r>
              <w:rPr>
                <w:rFonts w:ascii="宋体" w:hAnsi="宋体" w:cs="宋体" w:eastAsia="宋体" w:hint="default"/>
                <w:sz w:val="18"/>
                <w:szCs w:val="18"/>
              </w:rPr>
              <w:t>电子元器件测 </w:t>
            </w:r>
            <w:r>
              <w:rPr>
                <w:rFonts w:ascii="宋体" w:hAnsi="宋体" w:cs="宋体" w:eastAsia="宋体" w:hint="default"/>
                <w:spacing w:val="-2"/>
                <w:sz w:val="18"/>
                <w:szCs w:val="18"/>
              </w:rPr>
              <w:t>试、筛选及可靠</w:t>
            </w:r>
            <w:r>
              <w:rPr>
                <w:rFonts w:ascii="宋体" w:hAnsi="宋体" w:cs="宋体" w:eastAsia="宋体" w:hint="default"/>
                <w:sz w:val="18"/>
                <w:szCs w:val="18"/>
              </w:rPr>
              <w:t> 性保证服务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297,197,096.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255,713,638.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178,423,026.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103,569,684.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92,379,044.0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13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19"/>
                <w:sz w:val="18"/>
                <w:szCs w:val="18"/>
              </w:rPr>
              <w:t>北京百旺金</w:t>
            </w:r>
            <w:r>
              <w:rPr>
                <w:rFonts w:ascii="宋体" w:hAnsi="宋体" w:cs="宋体" w:eastAsia="宋体" w:hint="default"/>
                <w:spacing w:val="-66"/>
                <w:sz w:val="18"/>
                <w:szCs w:val="18"/>
              </w:rPr>
              <w:t> </w:t>
            </w:r>
            <w:r>
              <w:rPr>
                <w:rFonts w:ascii="宋体" w:hAnsi="宋体" w:cs="宋体" w:eastAsia="宋体" w:hint="default"/>
                <w:spacing w:val="19"/>
                <w:sz w:val="18"/>
                <w:szCs w:val="18"/>
              </w:rPr>
              <w:t>赋科技有限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318,471,152.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185,900,641.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304,378,288.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137,764,169.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116,413,680.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报告期内取得和处置子公司的情况</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报告期内取得和处置子公司方式</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15"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9"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北京泰豪太阳能科技有限公司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9"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河北泰豪慧城科技有限公司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9"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西安华睿云创信息技术有限公司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9"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北京伏羲众合投资管理有限公司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9"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bl>
    <w:p>
      <w:pPr>
        <w:spacing w:line="240" w:lineRule="auto" w:before="11"/>
        <w:rPr>
          <w:rFonts w:ascii="宋体" w:hAnsi="宋体" w:cs="宋体" w:eastAsia="宋体" w:hint="default"/>
          <w:sz w:val="9"/>
          <w:szCs w:val="9"/>
        </w:rPr>
      </w:pPr>
    </w:p>
    <w:p>
      <w:pPr>
        <w:spacing w:line="499" w:lineRule="auto" w:before="36"/>
        <w:ind w:left="573" w:right="6507" w:firstLine="0"/>
        <w:jc w:val="left"/>
        <w:rPr>
          <w:rFonts w:ascii="宋体" w:hAnsi="宋体" w:cs="宋体" w:eastAsia="宋体" w:hint="default"/>
          <w:sz w:val="21"/>
          <w:szCs w:val="21"/>
        </w:rPr>
      </w:pPr>
      <w:r>
        <w:rPr>
          <w:rFonts w:ascii="宋体" w:hAnsi="宋体" w:cs="宋体" w:eastAsia="宋体" w:hint="default"/>
          <w:sz w:val="21"/>
          <w:szCs w:val="21"/>
        </w:rPr>
        <w:t>主要控股参股公司情况说明</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）北京泰豪智能工程有限公司</w:t>
      </w:r>
      <w:r>
        <w:rPr>
          <w:rFonts w:ascii="宋体" w:hAnsi="宋体" w:cs="宋体" w:eastAsia="宋体" w:hint="default"/>
          <w:b/>
          <w:bCs/>
          <w:w w:val="100"/>
          <w:sz w:val="21"/>
          <w:szCs w:val="21"/>
        </w:rPr>
        <w:t> </w:t>
      </w:r>
      <w:r>
        <w:rPr>
          <w:rFonts w:ascii="宋体" w:hAnsi="宋体" w:cs="宋体" w:eastAsia="宋体" w:hint="default"/>
          <w:sz w:val="21"/>
          <w:szCs w:val="21"/>
        </w:rPr>
        <w:t>法定代表人：邹卫明</w:t>
      </w:r>
    </w:p>
    <w:p>
      <w:pPr>
        <w:pStyle w:val="BodyText"/>
        <w:spacing w:line="468" w:lineRule="auto" w:before="67"/>
        <w:ind w:left="573" w:right="6577"/>
        <w:jc w:val="left"/>
      </w:pPr>
      <w:r>
        <w:rPr/>
        <w:t>成立日期：</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r>
        <w:rPr>
          <w:w w:val="100"/>
        </w:rPr>
        <w:t> </w:t>
      </w:r>
      <w:r>
        <w:rPr/>
        <w:t>注册资金：</w:t>
      </w:r>
      <w:r>
        <w:rPr>
          <w:rFonts w:ascii="Times New Roman" w:hAnsi="Times New Roman" w:cs="Times New Roman" w:eastAsia="Times New Roman" w:hint="default"/>
        </w:rPr>
        <w:t>10,588.7336</w:t>
      </w:r>
      <w:r>
        <w:rPr>
          <w:rFonts w:ascii="Times New Roman" w:hAnsi="Times New Roman" w:cs="Times New Roman" w:eastAsia="Times New Roman" w:hint="default"/>
          <w:spacing w:val="-1"/>
        </w:rPr>
        <w:t> </w:t>
      </w:r>
      <w:r>
        <w:rPr>
          <w:spacing w:val="-3"/>
        </w:rPr>
        <w:t>万元</w:t>
      </w:r>
      <w:r>
        <w:rPr/>
      </w:r>
    </w:p>
    <w:p>
      <w:pPr>
        <w:pStyle w:val="BodyText"/>
        <w:spacing w:line="240" w:lineRule="auto" w:before="57"/>
        <w:ind w:left="573" w:right="11"/>
        <w:jc w:val="left"/>
      </w:pPr>
      <w:r>
        <w:rPr/>
        <w:t>经营范围：承包与其实力、规模、业绩相适应的国外工程项目；对外派遣实施上述境外工程所需的劳</w:t>
      </w:r>
    </w:p>
    <w:p>
      <w:pPr>
        <w:spacing w:after="0" w:line="240" w:lineRule="auto"/>
        <w:jc w:val="left"/>
        <w:sectPr>
          <w:headerReference w:type="default" r:id="rId18"/>
          <w:footerReference w:type="default" r:id="rId19"/>
          <w:pgSz w:w="11910" w:h="16840"/>
          <w:pgMar w:header="882" w:footer="1132" w:top="1280" w:bottom="1320" w:left="980" w:right="980"/>
          <w:pgNumType w:start="43"/>
        </w:sectPr>
      </w:pPr>
    </w:p>
    <w:p>
      <w:pPr>
        <w:spacing w:line="240" w:lineRule="auto" w:before="5"/>
        <w:rPr>
          <w:rFonts w:ascii="宋体" w:hAnsi="宋体" w:cs="宋体" w:eastAsia="宋体" w:hint="default"/>
          <w:sz w:val="13"/>
          <w:szCs w:val="13"/>
        </w:rPr>
      </w:pPr>
    </w:p>
    <w:p>
      <w:pPr>
        <w:pStyle w:val="BodyText"/>
        <w:spacing w:line="408" w:lineRule="auto" w:before="36"/>
        <w:ind w:right="185"/>
        <w:jc w:val="both"/>
      </w:pPr>
      <w:r>
        <w:rPr>
          <w:spacing w:val="-2"/>
        </w:rPr>
        <w:t>务人员；专业承包；提供智能建筑产品、节能产品、水利监测及水文监测产品的系统集成方案的设计、安</w:t>
      </w:r>
      <w:r>
        <w:rPr>
          <w:spacing w:val="-43"/>
        </w:rPr>
        <w:t> </w:t>
      </w:r>
      <w:r>
        <w:rPr>
          <w:spacing w:val="-43"/>
        </w:rPr>
      </w:r>
      <w:r>
        <w:rPr>
          <w:spacing w:val="-2"/>
        </w:rPr>
        <w:t>装、调试、售后服务；技术服务、技术咨询、技术转让、安装工程技术培训；货物进出口、技术进出口；</w:t>
      </w:r>
      <w:r>
        <w:rPr>
          <w:spacing w:val="-21"/>
        </w:rPr>
        <w:t> </w:t>
      </w:r>
      <w:r>
        <w:rPr>
          <w:spacing w:val="-21"/>
        </w:rPr>
      </w:r>
      <w:r>
        <w:rPr/>
        <w:t>提供供热服务；暖通系统技术服务；软件技术开发、技术转让、技术咨询、技术服务。</w:t>
      </w:r>
    </w:p>
    <w:p>
      <w:pPr>
        <w:pStyle w:val="BodyText"/>
        <w:spacing w:line="240" w:lineRule="auto" w:before="147"/>
        <w:ind w:left="573" w:right="100"/>
        <w:jc w:val="left"/>
        <w:rPr>
          <w:rFonts w:ascii="Times New Roman" w:hAnsi="Times New Roman" w:cs="Times New Roman" w:eastAsia="Times New Roman" w:hint="default"/>
        </w:rPr>
      </w:pPr>
      <w:r>
        <w:rPr/>
        <w:t>股东构成：本公司持股</w:t>
      </w:r>
      <w:r>
        <w:rPr>
          <w:spacing w:val="-57"/>
        </w:rPr>
        <w:t> </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3"/>
          <w:szCs w:val="23"/>
        </w:rPr>
      </w:pPr>
    </w:p>
    <w:p>
      <w:pPr>
        <w:pStyle w:val="BodyText"/>
        <w:spacing w:line="240" w:lineRule="auto"/>
        <w:ind w:left="573" w:right="100"/>
        <w:jc w:val="left"/>
      </w:pPr>
      <w:r>
        <w:rPr/>
        <w:t>截至</w:t>
      </w:r>
      <w:r>
        <w:rPr>
          <w:spacing w:val="-50"/>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日，该公司总资产为</w:t>
      </w:r>
      <w:r>
        <w:rPr>
          <w:spacing w:val="-49"/>
        </w:rPr>
        <w:t> </w:t>
      </w:r>
      <w:r>
        <w:rPr>
          <w:rFonts w:ascii="Times New Roman" w:hAnsi="Times New Roman" w:cs="Times New Roman" w:eastAsia="Times New Roman" w:hint="default"/>
        </w:rPr>
        <w:t>205,791.26</w:t>
      </w:r>
      <w:r>
        <w:rPr>
          <w:rFonts w:ascii="Times New Roman" w:hAnsi="Times New Roman" w:cs="Times New Roman" w:eastAsia="Times New Roman" w:hint="default"/>
          <w:spacing w:val="3"/>
        </w:rPr>
        <w:t> </w:t>
      </w:r>
      <w:r>
        <w:rPr>
          <w:spacing w:val="-6"/>
        </w:rPr>
        <w:t>万元，净资产</w:t>
      </w:r>
      <w:r>
        <w:rPr>
          <w:spacing w:val="-50"/>
        </w:rPr>
        <w:t> </w:t>
      </w:r>
      <w:r>
        <w:rPr>
          <w:rFonts w:ascii="Times New Roman" w:hAnsi="Times New Roman" w:cs="Times New Roman" w:eastAsia="Times New Roman" w:hint="default"/>
        </w:rPr>
        <w:t>68,356.39 </w:t>
      </w:r>
      <w:r>
        <w:rPr>
          <w:spacing w:val="-5"/>
        </w:rPr>
        <w:t>万元，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3"/>
        </w:rPr>
        <w:t> </w:t>
      </w:r>
      <w:r>
        <w:rPr/>
        <w:t>年度实现营</w:t>
      </w:r>
    </w:p>
    <w:p>
      <w:pPr>
        <w:pStyle w:val="BodyText"/>
        <w:spacing w:line="240" w:lineRule="auto" w:before="177"/>
        <w:ind w:right="0"/>
        <w:jc w:val="both"/>
      </w:pPr>
      <w:r>
        <w:rPr/>
        <w:t>业收入</w:t>
      </w:r>
      <w:r>
        <w:rPr>
          <w:spacing w:val="-50"/>
        </w:rPr>
        <w:t> </w:t>
      </w:r>
      <w:r>
        <w:rPr>
          <w:rFonts w:ascii="Times New Roman" w:hAnsi="Times New Roman" w:cs="Times New Roman" w:eastAsia="Times New Roman" w:hint="default"/>
          <w:spacing w:val="-3"/>
        </w:rPr>
        <w:t>180,111.19</w:t>
      </w:r>
      <w:r>
        <w:rPr>
          <w:rFonts w:ascii="Times New Roman" w:hAnsi="Times New Roman" w:cs="Times New Roman" w:eastAsia="Times New Roman" w:hint="default"/>
          <w:spacing w:val="-1"/>
        </w:rPr>
        <w:t> </w:t>
      </w:r>
      <w:r>
        <w:rPr/>
        <w:t>万元</w:t>
      </w:r>
      <w:r>
        <w:rPr>
          <w:spacing w:val="2"/>
        </w:rPr>
        <w:t> </w:t>
      </w:r>
      <w:r>
        <w:rPr/>
        <w:t>，营业成本</w:t>
      </w:r>
      <w:r>
        <w:rPr>
          <w:spacing w:val="-50"/>
        </w:rPr>
        <w:t> </w:t>
      </w:r>
      <w:r>
        <w:rPr>
          <w:rFonts w:ascii="Times New Roman" w:hAnsi="Times New Roman" w:cs="Times New Roman" w:eastAsia="Times New Roman" w:hint="default"/>
        </w:rPr>
        <w:t>141,775.31</w:t>
      </w:r>
      <w:r>
        <w:rPr>
          <w:rFonts w:ascii="Times New Roman" w:hAnsi="Times New Roman" w:cs="Times New Roman" w:eastAsia="Times New Roman" w:hint="default"/>
          <w:spacing w:val="-1"/>
        </w:rPr>
        <w:t> </w:t>
      </w:r>
      <w:r>
        <w:rPr/>
        <w:t>万元，账面净利润</w:t>
      </w:r>
      <w:r>
        <w:rPr>
          <w:spacing w:val="-51"/>
        </w:rPr>
        <w:t> </w:t>
      </w:r>
      <w:r>
        <w:rPr>
          <w:rFonts w:ascii="Times New Roman" w:hAnsi="Times New Roman" w:cs="Times New Roman" w:eastAsia="Times New Roman" w:hint="default"/>
        </w:rPr>
        <w:t>21,002.95</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22"/>
          <w:szCs w:val="22"/>
        </w:rPr>
      </w:pPr>
    </w:p>
    <w:p>
      <w:pPr>
        <w:spacing w:line="482" w:lineRule="auto" w:before="0"/>
        <w:ind w:left="573" w:right="6369"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）西安西谷微电子有限责任公司</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法定代表人：董月芳</w:t>
      </w:r>
      <w:r>
        <w:rPr>
          <w:rFonts w:ascii="宋体" w:hAnsi="宋体" w:cs="宋体" w:eastAsia="宋体" w:hint="default"/>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注册资金：</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p>
      <w:pPr>
        <w:pStyle w:val="BodyText"/>
        <w:spacing w:line="408" w:lineRule="auto" w:before="41"/>
        <w:ind w:right="206" w:firstLine="420"/>
        <w:jc w:val="both"/>
      </w:pPr>
      <w:r>
        <w:rPr>
          <w:spacing w:val="-2"/>
        </w:rPr>
        <w:t>经营范围：半导体器件的检测、筛选与失效分析；集成电路、电子产品的设计、制造、销售与技术服</w:t>
      </w:r>
      <w:r>
        <w:rPr>
          <w:w w:val="100"/>
        </w:rPr>
        <w:t> </w:t>
      </w:r>
      <w:r>
        <w:rPr>
          <w:spacing w:val="-2"/>
        </w:rPr>
        <w:t>务；计算机软件的开发、销售与技术服务；电子设备及部件的设计、加工、制造和销售；围绕集成电路测</w:t>
      </w:r>
      <w:r>
        <w:rPr>
          <w:spacing w:val="-42"/>
        </w:rPr>
        <w:t> </w:t>
      </w:r>
      <w:r>
        <w:rPr>
          <w:spacing w:val="-42"/>
        </w:rPr>
      </w:r>
      <w:r>
        <w:rPr/>
        <w:t>试技术、集成电路组装技术、集成电路应用技术进行的技术开发、技术转让、技术咨询、技术服务。</w:t>
      </w:r>
    </w:p>
    <w:p>
      <w:pPr>
        <w:pStyle w:val="BodyText"/>
        <w:spacing w:line="240" w:lineRule="auto" w:before="147"/>
        <w:ind w:left="573" w:right="100"/>
        <w:jc w:val="left"/>
        <w:rPr>
          <w:rFonts w:ascii="Times New Roman" w:hAnsi="Times New Roman" w:cs="Times New Roman" w:eastAsia="Times New Roman" w:hint="default"/>
        </w:rPr>
      </w:pPr>
      <w:r>
        <w:rPr/>
        <w:t>股东构成：本公司持股</w:t>
      </w:r>
      <w:r>
        <w:rPr>
          <w:spacing w:val="-57"/>
        </w:rPr>
        <w:t> </w:t>
      </w:r>
      <w:r>
        <w:rPr>
          <w:rFonts w:ascii="Times New Roman" w:hAnsi="Times New Roman" w:cs="Times New Roman" w:eastAsia="Times New Roman" w:hint="default"/>
        </w:rPr>
        <w:t>100%</w:t>
      </w:r>
    </w:p>
    <w:p>
      <w:pPr>
        <w:spacing w:line="240" w:lineRule="auto" w:before="2"/>
        <w:rPr>
          <w:rFonts w:ascii="Times New Roman" w:hAnsi="Times New Roman" w:cs="Times New Roman" w:eastAsia="Times New Roman" w:hint="default"/>
          <w:sz w:val="24"/>
          <w:szCs w:val="24"/>
        </w:rPr>
      </w:pPr>
    </w:p>
    <w:p>
      <w:pPr>
        <w:pStyle w:val="BodyText"/>
        <w:spacing w:line="240" w:lineRule="auto"/>
        <w:ind w:left="573" w:right="100"/>
        <w:jc w:val="left"/>
      </w:pPr>
      <w:r>
        <w:rPr/>
        <w:t>截至</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日，该公司总资产为</w:t>
      </w:r>
      <w:r>
        <w:rPr>
          <w:spacing w:val="-52"/>
        </w:rPr>
        <w:t> </w:t>
      </w:r>
      <w:r>
        <w:rPr>
          <w:rFonts w:ascii="Times New Roman" w:hAnsi="Times New Roman" w:cs="Times New Roman" w:eastAsia="Times New Roman" w:hint="default"/>
        </w:rPr>
        <w:t>29,719.71 </w:t>
      </w:r>
      <w:r>
        <w:rPr/>
        <w:t>万元，净资产</w:t>
      </w:r>
      <w:r>
        <w:rPr>
          <w:spacing w:val="-50"/>
        </w:rPr>
        <w:t> </w:t>
      </w:r>
      <w:r>
        <w:rPr>
          <w:rFonts w:ascii="Times New Roman" w:hAnsi="Times New Roman" w:cs="Times New Roman" w:eastAsia="Times New Roman" w:hint="default"/>
        </w:rPr>
        <w:t>25,571.36</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年实现营业</w:t>
      </w:r>
    </w:p>
    <w:p>
      <w:pPr>
        <w:pStyle w:val="BodyText"/>
        <w:spacing w:line="240" w:lineRule="auto" w:before="177"/>
        <w:ind w:right="0"/>
        <w:jc w:val="both"/>
      </w:pPr>
      <w:r>
        <w:rPr/>
        <w:t>收入</w:t>
      </w:r>
      <w:r>
        <w:rPr>
          <w:spacing w:val="-52"/>
        </w:rPr>
        <w:t> </w:t>
      </w:r>
      <w:r>
        <w:rPr>
          <w:rFonts w:ascii="Times New Roman" w:hAnsi="Times New Roman" w:cs="Times New Roman" w:eastAsia="Times New Roman" w:hint="default"/>
        </w:rPr>
        <w:t>17,842.30</w:t>
      </w:r>
      <w:r>
        <w:rPr>
          <w:rFonts w:ascii="Times New Roman" w:hAnsi="Times New Roman" w:cs="Times New Roman" w:eastAsia="Times New Roman" w:hint="default"/>
          <w:spacing w:val="-3"/>
        </w:rPr>
        <w:t> </w:t>
      </w:r>
      <w:r>
        <w:rPr/>
        <w:t>万元</w:t>
      </w:r>
      <w:r>
        <w:rPr>
          <w:spacing w:val="-1"/>
        </w:rPr>
        <w:t> </w:t>
      </w:r>
      <w:r>
        <w:rPr/>
        <w:t>，营业成本</w:t>
      </w:r>
      <w:r>
        <w:rPr>
          <w:spacing w:val="-52"/>
        </w:rPr>
        <w:t> </w:t>
      </w:r>
      <w:r>
        <w:rPr>
          <w:rFonts w:ascii="Times New Roman" w:hAnsi="Times New Roman" w:cs="Times New Roman" w:eastAsia="Times New Roman" w:hint="default"/>
        </w:rPr>
        <w:t>5,063.70</w:t>
      </w:r>
      <w:r>
        <w:rPr>
          <w:rFonts w:ascii="Times New Roman" w:hAnsi="Times New Roman" w:cs="Times New Roman" w:eastAsia="Times New Roman" w:hint="default"/>
          <w:spacing w:val="-3"/>
        </w:rPr>
        <w:t> </w:t>
      </w:r>
      <w:r>
        <w:rPr/>
        <w:t>万元，账面净利润</w:t>
      </w:r>
      <w:r>
        <w:rPr>
          <w:spacing w:val="-53"/>
        </w:rPr>
        <w:t> </w:t>
      </w:r>
      <w:r>
        <w:rPr>
          <w:rFonts w:ascii="Times New Roman" w:hAnsi="Times New Roman" w:cs="Times New Roman" w:eastAsia="Times New Roman" w:hint="default"/>
        </w:rPr>
        <w:t>9,237.90 </w:t>
      </w:r>
      <w:r>
        <w:rPr/>
        <w:t>万元。</w:t>
      </w:r>
    </w:p>
    <w:p>
      <w:pPr>
        <w:spacing w:line="240" w:lineRule="auto" w:before="9"/>
        <w:rPr>
          <w:rFonts w:ascii="宋体" w:hAnsi="宋体" w:cs="宋体" w:eastAsia="宋体" w:hint="default"/>
          <w:sz w:val="22"/>
          <w:szCs w:val="22"/>
        </w:rPr>
      </w:pPr>
    </w:p>
    <w:p>
      <w:pPr>
        <w:spacing w:line="480" w:lineRule="auto" w:before="0"/>
        <w:ind w:left="573" w:right="6579"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）北京百旺金赋科技有限公司</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法定代表人：陈江涛</w:t>
      </w:r>
      <w:r>
        <w:rPr>
          <w:rFonts w:ascii="宋体" w:hAnsi="宋体" w:cs="宋体" w:eastAsia="宋体" w:hint="default"/>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注册资金：</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z w:val="21"/>
          <w:szCs w:val="21"/>
        </w:rPr>
        <w:t>经营范围：许可经营项目：无</w:t>
      </w:r>
    </w:p>
    <w:p>
      <w:pPr>
        <w:pStyle w:val="BodyText"/>
        <w:spacing w:line="408" w:lineRule="auto" w:before="81"/>
        <w:ind w:right="100" w:firstLine="420"/>
        <w:jc w:val="left"/>
      </w:pPr>
      <w:r>
        <w:rPr>
          <w:spacing w:val="-3"/>
        </w:rPr>
        <w:t>一般经营项目：技术开发、技术转让、技术咨询、技术服务、技术推广；计算机系统服务；计算机维</w:t>
      </w:r>
      <w:r>
        <w:rPr>
          <w:w w:val="100"/>
        </w:rPr>
        <w:t> </w:t>
      </w:r>
      <w:r>
        <w:rPr/>
        <w:t>修；基础软件服务；数据处理；计算机技术培训；销售家用电器、计算机、软件及辅助设备、通讯设备。</w:t>
      </w:r>
    </w:p>
    <w:p>
      <w:pPr>
        <w:pStyle w:val="BodyText"/>
        <w:spacing w:line="496" w:lineRule="auto" w:before="46"/>
        <w:ind w:left="573" w:right="6883" w:hanging="421"/>
        <w:jc w:val="left"/>
        <w:rPr>
          <w:rFonts w:ascii="Times New Roman" w:hAnsi="Times New Roman" w:cs="Times New Roman" w:eastAsia="Times New Roman" w:hint="default"/>
        </w:rPr>
      </w:pPr>
      <w:r>
        <w:rPr>
          <w:spacing w:val="-2"/>
        </w:rPr>
        <w:t>（未取得行政许可的项目除外）</w:t>
      </w:r>
      <w:r>
        <w:rPr>
          <w:spacing w:val="-76"/>
        </w:rPr>
        <w:t> </w:t>
      </w:r>
      <w:r>
        <w:rPr>
          <w:spacing w:val="-76"/>
        </w:rPr>
      </w:r>
      <w:r>
        <w:rPr/>
        <w:t>股东构成：本公司持股</w:t>
      </w:r>
      <w:r>
        <w:rPr>
          <w:spacing w:val="-51"/>
        </w:rPr>
        <w:t> </w:t>
      </w:r>
      <w:r>
        <w:rPr>
          <w:rFonts w:ascii="Times New Roman" w:hAnsi="Times New Roman" w:cs="Times New Roman" w:eastAsia="Times New Roman" w:hint="default"/>
          <w:spacing w:val="-3"/>
        </w:rPr>
        <w:t>51%</w:t>
      </w:r>
      <w:r>
        <w:rPr>
          <w:rFonts w:ascii="Times New Roman" w:hAnsi="Times New Roman" w:cs="Times New Roman" w:eastAsia="Times New Roman" w:hint="default"/>
        </w:rPr>
      </w:r>
    </w:p>
    <w:p>
      <w:pPr>
        <w:pStyle w:val="BodyText"/>
        <w:spacing w:line="240" w:lineRule="auto" w:before="29"/>
        <w:ind w:left="573" w:right="100"/>
        <w:jc w:val="left"/>
      </w:pPr>
      <w:r>
        <w:rPr/>
        <w:t>截至</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日，该公司总资产为</w:t>
      </w:r>
      <w:r>
        <w:rPr>
          <w:spacing w:val="1"/>
        </w:rPr>
        <w:t> </w:t>
      </w:r>
      <w:r>
        <w:rPr>
          <w:rFonts w:ascii="Times New Roman" w:hAnsi="Times New Roman" w:cs="Times New Roman" w:eastAsia="Times New Roman" w:hint="default"/>
        </w:rPr>
        <w:t>31,847.12</w:t>
      </w:r>
      <w:r>
        <w:rPr>
          <w:rFonts w:ascii="Times New Roman" w:hAnsi="Times New Roman" w:cs="Times New Roman" w:eastAsia="Times New Roman" w:hint="default"/>
          <w:spacing w:val="1"/>
        </w:rPr>
        <w:t> </w:t>
      </w:r>
      <w:r>
        <w:rPr>
          <w:spacing w:val="-3"/>
        </w:rPr>
        <w:t>万元，净资产</w:t>
      </w:r>
      <w:r>
        <w:rPr>
          <w:spacing w:val="-52"/>
        </w:rPr>
        <w:t> </w:t>
      </w:r>
      <w:r>
        <w:rPr>
          <w:rFonts w:ascii="Times New Roman" w:hAnsi="Times New Roman" w:cs="Times New Roman" w:eastAsia="Times New Roman" w:hint="default"/>
        </w:rPr>
        <w:t>18,590.06</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年实现营业</w:t>
      </w:r>
    </w:p>
    <w:p>
      <w:pPr>
        <w:spacing w:after="0" w:line="240" w:lineRule="auto"/>
        <w:jc w:val="left"/>
        <w:sectPr>
          <w:footerReference w:type="default" r:id="rId20"/>
          <w:pgSz w:w="11910" w:h="16840"/>
          <w:pgMar w:footer="1132" w:header="882" w:top="1280" w:bottom="1320" w:left="980" w:right="920"/>
          <w:pgNumType w:start="44"/>
        </w:sectPr>
      </w:pPr>
    </w:p>
    <w:p>
      <w:pPr>
        <w:spacing w:line="240" w:lineRule="auto" w:before="5"/>
        <w:rPr>
          <w:rFonts w:ascii="宋体" w:hAnsi="宋体" w:cs="宋体" w:eastAsia="宋体" w:hint="default"/>
          <w:sz w:val="13"/>
          <w:szCs w:val="13"/>
        </w:rPr>
      </w:pPr>
    </w:p>
    <w:p>
      <w:pPr>
        <w:pStyle w:val="BodyText"/>
        <w:spacing w:line="240" w:lineRule="auto" w:before="36"/>
        <w:ind w:right="0"/>
        <w:jc w:val="both"/>
      </w:pPr>
      <w:r>
        <w:rPr/>
        <w:t>收入</w:t>
      </w:r>
      <w:r>
        <w:rPr>
          <w:spacing w:val="-53"/>
        </w:rPr>
        <w:t> </w:t>
      </w:r>
      <w:r>
        <w:rPr>
          <w:rFonts w:ascii="Times New Roman" w:hAnsi="Times New Roman" w:cs="Times New Roman" w:eastAsia="Times New Roman" w:hint="default"/>
        </w:rPr>
        <w:t>30,437.83</w:t>
      </w:r>
      <w:r>
        <w:rPr>
          <w:rFonts w:ascii="Times New Roman" w:hAnsi="Times New Roman" w:cs="Times New Roman" w:eastAsia="Times New Roman" w:hint="default"/>
          <w:spacing w:val="-4"/>
        </w:rPr>
        <w:t> </w:t>
      </w:r>
      <w:r>
        <w:rPr/>
        <w:t>万元</w:t>
      </w:r>
      <w:r>
        <w:rPr>
          <w:spacing w:val="-4"/>
        </w:rPr>
        <w:t> </w:t>
      </w:r>
      <w:r>
        <w:rPr/>
        <w:t>，营业成本</w:t>
      </w:r>
      <w:r>
        <w:rPr>
          <w:spacing w:val="-53"/>
        </w:rPr>
        <w:t> </w:t>
      </w:r>
      <w:r>
        <w:rPr>
          <w:rFonts w:ascii="Times New Roman" w:hAnsi="Times New Roman" w:cs="Times New Roman" w:eastAsia="Times New Roman" w:hint="default"/>
        </w:rPr>
        <w:t>10,859.65</w:t>
      </w:r>
      <w:r>
        <w:rPr>
          <w:rFonts w:ascii="Times New Roman" w:hAnsi="Times New Roman" w:cs="Times New Roman" w:eastAsia="Times New Roman" w:hint="default"/>
          <w:spacing w:val="-1"/>
        </w:rPr>
        <w:t> </w:t>
      </w:r>
      <w:r>
        <w:rPr/>
        <w:t>万元，净利润</w:t>
      </w:r>
      <w:r>
        <w:rPr>
          <w:spacing w:val="-56"/>
        </w:rPr>
        <w:t> </w:t>
      </w:r>
      <w:r>
        <w:rPr>
          <w:rFonts w:ascii="Times New Roman" w:hAnsi="Times New Roman" w:cs="Times New Roman" w:eastAsia="Times New Roman" w:hint="default"/>
        </w:rPr>
        <w:t>11,641.37</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pStyle w:val="Heading2"/>
        <w:spacing w:line="240" w:lineRule="auto" w:before="172"/>
        <w:ind w:right="0"/>
        <w:jc w:val="both"/>
      </w:pPr>
      <w:r>
        <w:rPr/>
        <w:t>八、公司控制的结构化主体情况</w:t>
      </w:r>
    </w:p>
    <w:p>
      <w:pPr>
        <w:spacing w:line="240" w:lineRule="auto" w:before="11"/>
        <w:rPr>
          <w:rFonts w:ascii="黑体" w:hAnsi="黑体" w:cs="黑体" w:eastAsia="黑体" w:hint="default"/>
          <w:sz w:val="37"/>
          <w:szCs w:val="37"/>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0"/>
        <w:ind w:right="0"/>
        <w:jc w:val="both"/>
      </w:pPr>
      <w:r>
        <w:rPr/>
        <w:t>九、公司未来发展的展望</w:t>
      </w:r>
    </w:p>
    <w:p>
      <w:pPr>
        <w:spacing w:line="240" w:lineRule="auto" w:before="9"/>
        <w:rPr>
          <w:rFonts w:ascii="黑体" w:hAnsi="黑体" w:cs="黑体" w:eastAsia="黑体" w:hint="default"/>
          <w:sz w:val="38"/>
          <w:szCs w:val="38"/>
        </w:rPr>
      </w:pPr>
    </w:p>
    <w:p>
      <w:pPr>
        <w:pStyle w:val="Heading3"/>
        <w:spacing w:line="240" w:lineRule="auto"/>
        <w:ind w:right="0"/>
        <w:jc w:val="both"/>
      </w:pPr>
      <w:r>
        <w:rPr/>
        <w:t>（一）公司所处行业的发展趋势与机遇</w:t>
      </w:r>
    </w:p>
    <w:p>
      <w:pPr>
        <w:spacing w:line="240" w:lineRule="auto" w:before="6"/>
        <w:rPr>
          <w:rFonts w:ascii="黑体" w:hAnsi="黑体" w:cs="黑体" w:eastAsia="黑体" w:hint="default"/>
          <w:sz w:val="26"/>
          <w:szCs w:val="26"/>
        </w:rPr>
      </w:pPr>
    </w:p>
    <w:p>
      <w:pPr>
        <w:pStyle w:val="Heading3"/>
        <w:spacing w:line="240" w:lineRule="auto"/>
        <w:ind w:right="0"/>
        <w:jc w:val="both"/>
      </w:pPr>
      <w:r>
        <w:rPr>
          <w:rFonts w:ascii="Times New Roman" w:hAnsi="Times New Roman" w:cs="Times New Roman" w:eastAsia="Times New Roman" w:hint="default"/>
        </w:rPr>
        <w:t>1</w:t>
      </w:r>
      <w:r>
        <w:rPr/>
        <w:t>、军民融合发展的趋势与机遇</w:t>
      </w:r>
    </w:p>
    <w:p>
      <w:pPr>
        <w:spacing w:line="240" w:lineRule="auto" w:before="3"/>
        <w:rPr>
          <w:rFonts w:ascii="黑体" w:hAnsi="黑体" w:cs="黑体" w:eastAsia="黑体" w:hint="default"/>
          <w:sz w:val="24"/>
          <w:szCs w:val="24"/>
        </w:rPr>
      </w:pPr>
    </w:p>
    <w:p>
      <w:pPr>
        <w:pStyle w:val="BodyText"/>
        <w:spacing w:line="408" w:lineRule="auto"/>
        <w:ind w:right="184" w:firstLine="420"/>
        <w:jc w:val="both"/>
      </w:pPr>
      <w:r>
        <w:rPr>
          <w:spacing w:val="-2"/>
        </w:rPr>
        <w:t>军民融合，是指把国防和军队现代化建设深深植入国家社会发展体系之中，在更广范围、更高层次、</w:t>
      </w:r>
      <w:r>
        <w:rPr>
          <w:w w:val="100"/>
        </w:rPr>
        <w:t> </w:t>
      </w:r>
      <w:r>
        <w:rPr>
          <w:spacing w:val="-2"/>
        </w:rPr>
        <w:t>更深内涵上把国防事业和军队现代化建设与国家社会发展结合起来，全面推进文化、人才、科技、信息、</w:t>
      </w:r>
      <w:r>
        <w:rPr>
          <w:spacing w:val="-21"/>
        </w:rPr>
        <w:t> </w:t>
      </w:r>
      <w:r>
        <w:rPr>
          <w:spacing w:val="-21"/>
        </w:rPr>
      </w:r>
      <w:r>
        <w:rPr>
          <w:spacing w:val="-2"/>
        </w:rPr>
        <w:t>资本等各个领域的融合，为实现国防事业、军队现代化和国家经济全面发展提供更丰富的资源和可持续发</w:t>
      </w:r>
      <w:r>
        <w:rPr>
          <w:spacing w:val="-43"/>
        </w:rPr>
        <w:t> </w:t>
      </w:r>
      <w:r>
        <w:rPr>
          <w:spacing w:val="-43"/>
        </w:rPr>
      </w:r>
      <w:r>
        <w:rPr>
          <w:spacing w:val="-2"/>
        </w:rPr>
        <w:t>展的动力，它既是强军之道，又是兴国之举。军民融合发展，是国家针对国防工业和民用工业发展的长远</w:t>
      </w:r>
      <w:r>
        <w:rPr>
          <w:spacing w:val="-47"/>
        </w:rPr>
        <w:t> </w:t>
      </w:r>
      <w:r>
        <w:rPr>
          <w:spacing w:val="-47"/>
        </w:rPr>
      </w:r>
      <w:r>
        <w:rPr>
          <w:spacing w:val="-2"/>
        </w:rPr>
        <w:t>考虑而进行的战略布局，是在社会历史、文化、国防工业基础、经济建设等诸多因素共同作用下的综合体</w:t>
      </w:r>
      <w:r>
        <w:rPr>
          <w:spacing w:val="-47"/>
        </w:rPr>
        <w:t> </w:t>
      </w:r>
      <w:r>
        <w:rPr>
          <w:spacing w:val="-47"/>
        </w:rPr>
      </w:r>
      <w:r>
        <w:rPr/>
        <w:t>现。军民融合的发展进程受发展动因、目标、模式、体制机制、措施保障和法规政策等因素影响。</w:t>
      </w:r>
    </w:p>
    <w:p>
      <w:pPr>
        <w:pStyle w:val="BodyText"/>
        <w:spacing w:line="400" w:lineRule="auto" w:before="147"/>
        <w:ind w:right="100" w:firstLine="420"/>
        <w:jc w:val="left"/>
      </w:pPr>
      <w:r>
        <w:rPr/>
        <w:t>中国共产党第十九次全国代表大会报告明确了</w:t>
      </w:r>
      <w:r>
        <w:rPr>
          <w:rFonts w:ascii="Times New Roman" w:hAnsi="Times New Roman" w:cs="Times New Roman" w:eastAsia="Times New Roman" w:hint="default"/>
        </w:rPr>
        <w:t>“</w:t>
      </w:r>
      <w:r>
        <w:rPr/>
        <w:t>军民融合</w:t>
      </w:r>
      <w:r>
        <w:rPr>
          <w:rFonts w:ascii="Times New Roman" w:hAnsi="Times New Roman" w:cs="Times New Roman" w:eastAsia="Times New Roman" w:hint="default"/>
        </w:rPr>
        <w:t>”</w:t>
      </w:r>
      <w:r>
        <w:rPr/>
        <w:t>是国防和军队建设的</w:t>
      </w:r>
      <w:r>
        <w:rPr>
          <w:rFonts w:ascii="Times New Roman" w:hAnsi="Times New Roman" w:cs="Times New Roman" w:eastAsia="Times New Roman" w:hint="default"/>
        </w:rPr>
        <w:t>“</w:t>
      </w:r>
      <w:r>
        <w:rPr/>
        <w:t>五个更加注重</w:t>
      </w:r>
      <w:r>
        <w:rPr>
          <w:rFonts w:ascii="Times New Roman" w:hAnsi="Times New Roman" w:cs="Times New Roman" w:eastAsia="Times New Roman" w:hint="default"/>
        </w:rPr>
        <w:t>”</w:t>
      </w:r>
      <w:r>
        <w:rPr/>
        <w:t>之一；</w:t>
      </w:r>
      <w:r>
        <w:rPr>
          <w:w w:val="100"/>
        </w:rPr>
        <w:t> </w:t>
      </w:r>
      <w:r>
        <w:rPr>
          <w:spacing w:val="-5"/>
        </w:rPr>
        <w:t>明确了新时代军民融合发展的战略目标，形成军民融合深度发展格局，构建一体化的国家战略体系和能力；</w:t>
      </w:r>
      <w:r>
        <w:rPr>
          <w:spacing w:val="-6"/>
        </w:rPr>
        <w:t> </w:t>
      </w:r>
      <w:r>
        <w:rPr>
          <w:spacing w:val="-6"/>
        </w:rPr>
      </w:r>
      <w:r>
        <w:rPr/>
        <w:t>特别是，把军民融合发展战略和科教兴国战略、创新驱动发展战略等并列，作为国家必须坚定实施的七大</w:t>
      </w:r>
      <w:r>
        <w:rPr>
          <w:w w:val="100"/>
        </w:rPr>
        <w:t> </w:t>
      </w:r>
      <w:r>
        <w:rPr>
          <w:spacing w:val="-3"/>
        </w:rPr>
        <w:t>战略之一。</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spacing w:val="-3"/>
        </w:rPr>
        <w:t>日，</w:t>
      </w:r>
      <w:r>
        <w:rPr>
          <w:rFonts w:ascii="Times New Roman" w:hAnsi="Times New Roman" w:cs="Times New Roman" w:eastAsia="Times New Roman" w:hint="default"/>
          <w:spacing w:val="-3"/>
        </w:rPr>
        <w:t>“</w:t>
      </w:r>
      <w:r>
        <w:rPr>
          <w:spacing w:val="-3"/>
        </w:rPr>
        <w:t>实施军民融合发展战略</w:t>
      </w:r>
      <w:r>
        <w:rPr>
          <w:rFonts w:ascii="Times New Roman" w:hAnsi="Times New Roman" w:cs="Times New Roman" w:eastAsia="Times New Roman" w:hint="default"/>
          <w:spacing w:val="-3"/>
        </w:rPr>
        <w:t>”</w:t>
      </w:r>
      <w:r>
        <w:rPr>
          <w:spacing w:val="-3"/>
        </w:rPr>
        <w:t>写入新修订的中国共产党章程，进一步强化军民</w:t>
      </w:r>
    </w:p>
    <w:p>
      <w:pPr>
        <w:pStyle w:val="BodyText"/>
        <w:spacing w:line="386" w:lineRule="auto" w:before="21"/>
        <w:ind w:right="206"/>
        <w:jc w:val="both"/>
      </w:pPr>
      <w:r>
        <w:rPr/>
        <w:t>融合发展战略在国家战略体系中的重要地位；</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日，国务院办公厅印发《关于推动国防科技</w:t>
      </w:r>
      <w:r>
        <w:rPr>
          <w:w w:val="100"/>
        </w:rPr>
        <w:t> </w:t>
      </w:r>
      <w:r>
        <w:rPr>
          <w:spacing w:val="-7"/>
          <w:w w:val="100"/>
        </w:rPr>
        <w:t>工业军民融合深度发展的意见》；</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spacing w:val="4"/>
          <w:w w:val="100"/>
        </w:rPr>
        <w:t> </w:t>
      </w:r>
      <w:r>
        <w:rPr>
          <w:spacing w:val="-3"/>
          <w:w w:val="100"/>
        </w:rPr>
        <w:t>年底，</w:t>
      </w:r>
      <w:r>
        <w:rPr>
          <w:rFonts w:ascii="Times New Roman" w:hAnsi="Times New Roman" w:cs="Times New Roman" w:eastAsia="Times New Roman" w:hint="default"/>
          <w:spacing w:val="-3"/>
          <w:w w:val="100"/>
        </w:rPr>
        <w:t>31</w:t>
      </w:r>
      <w:r>
        <w:rPr>
          <w:rFonts w:ascii="Times New Roman" w:hAnsi="Times New Roman" w:cs="Times New Roman" w:eastAsia="Times New Roman" w:hint="default"/>
          <w:spacing w:val="1"/>
          <w:w w:val="100"/>
        </w:rPr>
        <w:t> </w:t>
      </w:r>
      <w:r>
        <w:rPr>
          <w:spacing w:val="-2"/>
          <w:w w:val="100"/>
        </w:rPr>
        <w:t>个省市自治区党委相继完成组建军民融合领导机构，标志</w:t>
      </w:r>
      <w:r>
        <w:rPr>
          <w:spacing w:val="-104"/>
          <w:w w:val="100"/>
        </w:rPr>
        <w:t> </w:t>
      </w:r>
      <w:r>
        <w:rPr>
          <w:spacing w:val="-104"/>
          <w:w w:val="100"/>
        </w:rPr>
      </w:r>
      <w:r>
        <w:rPr/>
        <w:t>着军民融合战略实施的两级组织管理体系基本建成。</w:t>
      </w:r>
    </w:p>
    <w:p>
      <w:pPr>
        <w:pStyle w:val="BodyText"/>
        <w:spacing w:line="408" w:lineRule="auto" w:before="163"/>
        <w:ind w:right="206" w:firstLine="420"/>
        <w:jc w:val="left"/>
      </w:pPr>
      <w:r>
        <w:rPr>
          <w:spacing w:val="-2"/>
        </w:rPr>
        <w:t>我国国防工业由四大支柱支撑，即国有军工集团、地方国有军工企业、军工高校和民营军工企业，其</w:t>
      </w:r>
      <w:r>
        <w:rPr>
          <w:w w:val="100"/>
        </w:rPr>
        <w:t> </w:t>
      </w:r>
      <w:r>
        <w:rPr/>
        <w:t>中民营军工企业扮演了十分重要的角色。根据武器装备采购信息网统计，截至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年，注册企业已达到</w:t>
      </w:r>
    </w:p>
    <w:p>
      <w:pPr>
        <w:pStyle w:val="BodyText"/>
        <w:spacing w:line="386" w:lineRule="auto" w:before="14"/>
        <w:ind w:right="100"/>
        <w:jc w:val="left"/>
      </w:pPr>
      <w:r>
        <w:rPr>
          <w:rFonts w:ascii="Times New Roman" w:hAnsi="Times New Roman" w:cs="Times New Roman" w:eastAsia="Times New Roman" w:hint="default"/>
        </w:rPr>
        <w:t>11,791 </w:t>
      </w:r>
      <w:r>
        <w:rPr/>
        <w:t>家，现场认证的 </w:t>
      </w:r>
      <w:r>
        <w:rPr>
          <w:rFonts w:ascii="Times New Roman" w:hAnsi="Times New Roman" w:cs="Times New Roman" w:eastAsia="Times New Roman" w:hint="default"/>
        </w:rPr>
        <w:t>5,716 </w:t>
      </w:r>
      <w:r>
        <w:rPr/>
        <w:t>家，其中民营企业 </w:t>
      </w:r>
      <w:r>
        <w:rPr>
          <w:rFonts w:ascii="Times New Roman" w:hAnsi="Times New Roman" w:cs="Times New Roman" w:eastAsia="Times New Roman" w:hint="default"/>
        </w:rPr>
        <w:t>3,709 </w:t>
      </w:r>
      <w:r>
        <w:rPr/>
        <w:t>家，占</w:t>
      </w:r>
      <w:r>
        <w:rPr>
          <w:spacing w:val="28"/>
        </w:rPr>
        <w:t> </w:t>
      </w:r>
      <w:r>
        <w:rPr>
          <w:rFonts w:ascii="Times New Roman" w:hAnsi="Times New Roman" w:cs="Times New Roman" w:eastAsia="Times New Roman" w:hint="default"/>
        </w:rPr>
        <w:t>64.9%</w:t>
      </w:r>
      <w:r>
        <w:rPr/>
        <w:t>。</w:t>
      </w:r>
      <w:r>
        <w:rPr>
          <w:rFonts w:ascii="Times New Roman" w:hAnsi="Times New Roman" w:cs="Times New Roman" w:eastAsia="Times New Roman" w:hint="default"/>
        </w:rPr>
        <w:t>“</w:t>
      </w:r>
      <w:r>
        <w:rPr/>
        <w:t>民参军</w:t>
      </w:r>
      <w:r>
        <w:rPr>
          <w:rFonts w:ascii="Times New Roman" w:hAnsi="Times New Roman" w:cs="Times New Roman" w:eastAsia="Times New Roman" w:hint="default"/>
        </w:rPr>
        <w:t>”</w:t>
      </w:r>
      <w:r>
        <w:rPr/>
        <w:t>企业队伍在政策的引导</w:t>
      </w:r>
      <w:r>
        <w:rPr>
          <w:w w:val="100"/>
        </w:rPr>
        <w:t> </w:t>
      </w:r>
      <w:r>
        <w:rPr/>
        <w:t>下已经进入快速发展期。</w:t>
      </w:r>
    </w:p>
    <w:p>
      <w:pPr>
        <w:pStyle w:val="BodyText"/>
        <w:spacing w:line="408" w:lineRule="auto" w:before="166"/>
        <w:ind w:right="100" w:firstLine="420"/>
        <w:jc w:val="left"/>
      </w:pPr>
      <w:r>
        <w:rPr>
          <w:spacing w:val="-2"/>
        </w:rPr>
        <w:t>旋极信息作为国内知名的军民融合高科技企业，不仅具有国防科工局准入资质，同时也是武器装备采</w:t>
      </w:r>
      <w:r>
        <w:rPr>
          <w:w w:val="100"/>
        </w:rPr>
        <w:t> </w:t>
      </w:r>
      <w:r>
        <w:rPr>
          <w:spacing w:val="-2"/>
        </w:rPr>
        <w:t>购信息网注册企业，多年来为国防军工提供定制和配套信息化嵌入式产品与服务，在装备保障、国防大数</w:t>
      </w:r>
    </w:p>
    <w:p>
      <w:pPr>
        <w:spacing w:after="0" w:line="408"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100"/>
        <w:jc w:val="left"/>
      </w:pPr>
      <w:r>
        <w:rPr/>
        <w:t>据、智能平台、复杂通信等领域积累了丰富的经验，将充分享受这个巨大的军民融合发展机遇。</w:t>
      </w:r>
    </w:p>
    <w:p>
      <w:pPr>
        <w:spacing w:line="240" w:lineRule="auto" w:before="12"/>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2</w:t>
      </w:r>
      <w:r>
        <w:rPr/>
        <w:t>、工业信息化、智能化发展的趋势与机遇</w:t>
      </w:r>
    </w:p>
    <w:p>
      <w:pPr>
        <w:spacing w:line="240" w:lineRule="auto" w:before="1"/>
        <w:rPr>
          <w:rFonts w:ascii="黑体" w:hAnsi="黑体" w:cs="黑体" w:eastAsia="黑体" w:hint="default"/>
          <w:sz w:val="24"/>
          <w:szCs w:val="24"/>
        </w:rPr>
      </w:pPr>
    </w:p>
    <w:p>
      <w:pPr>
        <w:pStyle w:val="BodyText"/>
        <w:spacing w:line="391" w:lineRule="auto"/>
        <w:ind w:right="103" w:firstLine="420"/>
        <w:jc w:val="left"/>
      </w:pPr>
      <w:r>
        <w:rPr/>
        <w:t>工业</w:t>
      </w:r>
      <w:r>
        <w:rPr>
          <w:spacing w:val="-40"/>
        </w:rPr>
        <w:t> </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spacing w:val="-3"/>
        </w:rPr>
        <w:t>即实体物理世界和虚拟网络世界的融合，构建资源、信息、物品和人相互关联的</w:t>
      </w:r>
      <w:r>
        <w:rPr>
          <w:rFonts w:ascii="Times New Roman" w:hAnsi="Times New Roman" w:cs="Times New Roman" w:eastAsia="Times New Roman" w:hint="default"/>
          <w:spacing w:val="-3"/>
        </w:rPr>
        <w:t>“</w:t>
      </w:r>
      <w:r>
        <w:rPr>
          <w:spacing w:val="-3"/>
        </w:rPr>
        <w:t>虚拟网络</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spacing w:val="-2"/>
        </w:rPr>
        <w:t>实体物理系统（</w:t>
      </w:r>
      <w:r>
        <w:rPr>
          <w:rFonts w:ascii="Times New Roman" w:hAnsi="Times New Roman" w:cs="Times New Roman" w:eastAsia="Times New Roman" w:hint="default"/>
          <w:spacing w:val="-2"/>
        </w:rPr>
        <w:t>Cyber-Physical</w:t>
      </w:r>
      <w:r>
        <w:rPr>
          <w:rFonts w:ascii="Times New Roman" w:hAnsi="Times New Roman" w:cs="Times New Roman" w:eastAsia="Times New Roman" w:hint="default"/>
        </w:rPr>
        <w:t> </w:t>
      </w:r>
      <w:r>
        <w:rPr>
          <w:rFonts w:ascii="Times New Roman" w:hAnsi="Times New Roman" w:cs="Times New Roman" w:eastAsia="Times New Roman" w:hint="default"/>
          <w:spacing w:val="-2"/>
        </w:rPr>
        <w:t>System</w:t>
      </w:r>
      <w:r>
        <w:rPr>
          <w:spacing w:val="-2"/>
        </w:rPr>
        <w:t>，</w:t>
      </w:r>
      <w:r>
        <w:rPr>
          <w:rFonts w:ascii="Times New Roman" w:hAnsi="Times New Roman" w:cs="Times New Roman" w:eastAsia="Times New Roman" w:hint="default"/>
          <w:spacing w:val="-2"/>
        </w:rPr>
        <w:t>CPS</w:t>
      </w:r>
      <w:r>
        <w:rPr>
          <w:spacing w:val="-2"/>
        </w:rPr>
        <w:t>）</w:t>
      </w:r>
      <w:r>
        <w:rPr>
          <w:rFonts w:ascii="Times New Roman" w:hAnsi="Times New Roman" w:cs="Times New Roman" w:eastAsia="Times New Roman" w:hint="default"/>
          <w:spacing w:val="-2"/>
        </w:rPr>
        <w:t>”</w:t>
      </w:r>
      <w:r>
        <w:rPr>
          <w:spacing w:val="-2"/>
        </w:rPr>
        <w:t>，把无处不在的传感器、嵌入式终端系统、智能控制系统、</w:t>
      </w:r>
      <w:r>
        <w:rPr>
          <w:spacing w:val="-93"/>
        </w:rPr>
        <w:t> </w:t>
      </w:r>
      <w:r>
        <w:rPr>
          <w:spacing w:val="-93"/>
        </w:rPr>
      </w:r>
      <w:r>
        <w:rPr/>
        <w:t>通信设施通过</w:t>
      </w:r>
      <w:r>
        <w:rPr>
          <w:spacing w:val="-58"/>
        </w:rPr>
        <w:t> </w:t>
      </w:r>
      <w:r>
        <w:rPr>
          <w:rFonts w:ascii="Times New Roman" w:hAnsi="Times New Roman" w:cs="Times New Roman" w:eastAsia="Times New Roman" w:hint="default"/>
        </w:rPr>
        <w:t>CPS</w:t>
      </w:r>
      <w:r>
        <w:rPr>
          <w:rFonts w:ascii="Times New Roman" w:hAnsi="Times New Roman" w:cs="Times New Roman" w:eastAsia="Times New Roman" w:hint="default"/>
          <w:spacing w:val="-11"/>
        </w:rPr>
        <w:t> </w:t>
      </w:r>
      <w:r>
        <w:rPr/>
        <w:t>形成一个智能网络，使人与人、人与机器、机器与机器以及服务与服务之间能够互联，</w:t>
      </w:r>
      <w:r>
        <w:rPr>
          <w:w w:val="100"/>
        </w:rPr>
        <w:t> </w:t>
      </w:r>
      <w:r>
        <w:rPr>
          <w:spacing w:val="-2"/>
        </w:rPr>
        <w:t>在实现横向、纵向和端对端的高度集成的基础上，并将生产工厂转变为一个智能环境，实现智能工厂和智</w:t>
      </w:r>
      <w:r>
        <w:rPr>
          <w:spacing w:val="-43"/>
        </w:rPr>
        <w:t> </w:t>
      </w:r>
      <w:r>
        <w:rPr>
          <w:spacing w:val="-43"/>
        </w:rPr>
      </w:r>
      <w:r>
        <w:rPr/>
        <w:t>能生产。</w:t>
      </w:r>
    </w:p>
    <w:p>
      <w:pPr>
        <w:pStyle w:val="BodyText"/>
        <w:spacing w:line="403" w:lineRule="auto" w:before="161"/>
        <w:ind w:right="206" w:firstLine="420"/>
        <w:jc w:val="both"/>
      </w:pPr>
      <w:r>
        <w:rPr>
          <w:spacing w:val="-2"/>
        </w:rPr>
        <w:t>随着物联网、移动互联网、云计算、数据仓库、信息安全等新一代信息技术的基础支撑，工业产业正</w:t>
      </w:r>
      <w:r>
        <w:rPr>
          <w:w w:val="100"/>
        </w:rPr>
        <w:t> </w:t>
      </w:r>
      <w:r>
        <w:rPr>
          <w:spacing w:val="-2"/>
        </w:rPr>
        <w:t>在朝着全面信息化、智能化方向发展。在技术融合方面，信息技术在工业发展中的影响力和渗透力将不断</w:t>
      </w:r>
      <w:r>
        <w:rPr>
          <w:spacing w:val="-43"/>
        </w:rPr>
        <w:t> </w:t>
      </w:r>
      <w:r>
        <w:rPr>
          <w:spacing w:val="-43"/>
        </w:rPr>
      </w:r>
      <w:r>
        <w:rPr>
          <w:spacing w:val="-2"/>
        </w:rPr>
        <w:t>增强。工业发达国家的制造业正在加速朝着以计算机控制为主，以定制化、智能化、柔性化和集成化为特</w:t>
      </w:r>
      <w:r>
        <w:rPr>
          <w:spacing w:val="-47"/>
        </w:rPr>
        <w:t> </w:t>
      </w:r>
      <w:r>
        <w:rPr>
          <w:spacing w:val="-47"/>
        </w:rPr>
      </w:r>
      <w:r>
        <w:rPr>
          <w:spacing w:val="-2"/>
        </w:rPr>
        <w:t>征的自动化生产方向发展。在产品融合方面，产品的信息技术含量将成为在激烈的市场竞争中制胜的关键</w:t>
      </w:r>
      <w:r>
        <w:rPr>
          <w:spacing w:val="-44"/>
        </w:rPr>
        <w:t> </w:t>
      </w:r>
      <w:r>
        <w:rPr>
          <w:spacing w:val="-44"/>
        </w:rPr>
      </w:r>
      <w:r>
        <w:rPr>
          <w:spacing w:val="-2"/>
        </w:rPr>
        <w:t>因素。随着电子信息技术的应用，产品的智能化程度将越来越高。在业务融合方面，企业管理信息化将从</w:t>
      </w:r>
      <w:r>
        <w:rPr>
          <w:spacing w:val="-50"/>
        </w:rPr>
        <w:t> </w:t>
      </w:r>
      <w:r>
        <w:rPr>
          <w:spacing w:val="-50"/>
        </w:rPr>
      </w:r>
      <w:r>
        <w:rPr>
          <w:spacing w:val="-2"/>
        </w:rPr>
        <w:t>信息系统相互独立向信息资源整合和业务协同方向发展，信息化将向上下游延伸，企业经营管理方面的决</w:t>
      </w:r>
      <w:r>
        <w:rPr>
          <w:spacing w:val="-42"/>
        </w:rPr>
        <w:t> </w:t>
      </w:r>
      <w:r>
        <w:rPr>
          <w:spacing w:val="-42"/>
        </w:rPr>
      </w:r>
      <w:r>
        <w:rPr>
          <w:spacing w:val="-2"/>
        </w:rPr>
        <w:t>策智能化程度越来越高。在产业衍生方面，</w:t>
      </w:r>
      <w:r>
        <w:rPr>
          <w:rFonts w:ascii="Times New Roman" w:hAnsi="Times New Roman" w:cs="Times New Roman" w:eastAsia="Times New Roman" w:hint="default"/>
          <w:spacing w:val="-2"/>
        </w:rPr>
        <w:t>ICT</w:t>
      </w:r>
      <w:r>
        <w:rPr>
          <w:rFonts w:ascii="Times New Roman" w:hAnsi="Times New Roman" w:cs="Times New Roman" w:eastAsia="Times New Roman" w:hint="default"/>
        </w:rPr>
        <w:t> </w:t>
      </w:r>
      <w:r>
        <w:rPr>
          <w:spacing w:val="-2"/>
        </w:rPr>
        <w:t>产业以及与两化融合有关的信息服务业发展水平将越来越</w:t>
      </w:r>
      <w:r>
        <w:rPr>
          <w:spacing w:val="-64"/>
        </w:rPr>
        <w:t> </w:t>
      </w:r>
      <w:r>
        <w:rPr>
          <w:spacing w:val="-64"/>
        </w:rPr>
      </w:r>
      <w:r>
        <w:rPr/>
        <w:t>高，将继续涌现一批新兴产业。</w:t>
      </w:r>
      <w:r>
        <w:rPr>
          <w:rFonts w:ascii="Times New Roman" w:hAnsi="Times New Roman" w:cs="Times New Roman" w:eastAsia="Times New Roman" w:hint="default"/>
        </w:rPr>
        <w:t>IT </w:t>
      </w:r>
      <w:r>
        <w:rPr/>
        <w:t>厂商将从过去销售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产品向提供服务方向发展，软件即服务等理念将</w:t>
      </w:r>
      <w:r>
        <w:rPr>
          <w:spacing w:val="-3"/>
          <w:w w:val="100"/>
        </w:rPr>
        <w:t> </w:t>
      </w:r>
      <w:r>
        <w:rPr/>
        <w:t>越来越深入人心。</w:t>
      </w:r>
    </w:p>
    <w:p>
      <w:pPr>
        <w:pStyle w:val="BodyText"/>
        <w:spacing w:line="408" w:lineRule="auto" w:before="148"/>
        <w:ind w:right="206" w:firstLine="420"/>
        <w:jc w:val="both"/>
      </w:pPr>
      <w:r>
        <w:rPr>
          <w:spacing w:val="-2"/>
        </w:rPr>
        <w:t>在信息化与工业化融合战略的带动下，嵌入式技术与自动化技术、现代管理技术、制造技术互相渗透</w:t>
      </w:r>
      <w:r>
        <w:rPr>
          <w:w w:val="100"/>
        </w:rPr>
        <w:t> </w:t>
      </w:r>
      <w:r>
        <w:rPr>
          <w:spacing w:val="-2"/>
        </w:rPr>
        <w:t>力度正在加大。公司将结合自身技术、产品、平台优势，在城市管理信息化、生产过程控制智能化、制造</w:t>
      </w:r>
      <w:r>
        <w:rPr>
          <w:spacing w:val="-42"/>
        </w:rPr>
        <w:t> </w:t>
      </w:r>
      <w:r>
        <w:rPr>
          <w:spacing w:val="-42"/>
        </w:rPr>
      </w:r>
      <w:r>
        <w:rPr/>
        <w:t>装备数字化、金融及物流服务信息化、网络化、智能化的变革中发挥的越来越大作用。</w:t>
      </w:r>
    </w:p>
    <w:p>
      <w:pPr>
        <w:pStyle w:val="Heading3"/>
        <w:spacing w:line="240" w:lineRule="auto" w:before="179"/>
        <w:ind w:right="100"/>
        <w:jc w:val="left"/>
      </w:pPr>
      <w:r>
        <w:rPr>
          <w:rFonts w:ascii="Times New Roman" w:hAnsi="Times New Roman" w:cs="Times New Roman" w:eastAsia="Times New Roman" w:hint="default"/>
        </w:rPr>
        <w:t>3</w:t>
      </w:r>
      <w:r>
        <w:rPr/>
        <w:t>、嵌入式技术发展的趋势与机遇</w:t>
      </w:r>
    </w:p>
    <w:p>
      <w:pPr>
        <w:spacing w:line="240" w:lineRule="auto" w:before="1"/>
        <w:rPr>
          <w:rFonts w:ascii="黑体" w:hAnsi="黑体" w:cs="黑体" w:eastAsia="黑体" w:hint="default"/>
          <w:sz w:val="24"/>
          <w:szCs w:val="24"/>
        </w:rPr>
      </w:pPr>
    </w:p>
    <w:p>
      <w:pPr>
        <w:pStyle w:val="BodyText"/>
        <w:spacing w:line="398" w:lineRule="auto"/>
        <w:ind w:right="100" w:firstLine="420"/>
        <w:jc w:val="left"/>
      </w:pPr>
      <w:r>
        <w:rPr/>
        <w:t>随着科学技术的发展，嵌入式系统的应用几乎无处不在，制造工业、过程控制、网络、通讯、仪器、</w:t>
      </w:r>
      <w:r>
        <w:rPr>
          <w:w w:val="100"/>
        </w:rPr>
        <w:t> </w:t>
      </w:r>
      <w:r>
        <w:rPr/>
        <w:t>仪表、汽车、船舶、航空、航天、军事装备、消费类产品等均是嵌入式系统的应用领域。凭借其体积小、</w:t>
      </w:r>
      <w:r>
        <w:rPr>
          <w:w w:val="100"/>
        </w:rPr>
        <w:t> </w:t>
      </w:r>
      <w:r>
        <w:rPr/>
        <w:t>可靠性高、功能强、灵活方便等许多优点，嵌入式系统对各行各业的技术改造、产品更新换代、自动化进</w:t>
      </w:r>
      <w:r>
        <w:rPr>
          <w:w w:val="100"/>
        </w:rPr>
        <w:t> </w:t>
      </w:r>
      <w:r>
        <w:rPr>
          <w:spacing w:val="-4"/>
        </w:rPr>
        <w:t>程加速、生产率提高等方面起到了极其重要的推动作用，我们可以把嵌入式系统称为是构成未来世界的</w:t>
      </w:r>
      <w:r>
        <w:rPr>
          <w:rFonts w:ascii="Times New Roman" w:hAnsi="Times New Roman" w:cs="Times New Roman" w:eastAsia="Times New Roman" w:hint="default"/>
          <w:spacing w:val="-4"/>
        </w:rPr>
        <w:t>“</w:t>
      </w:r>
      <w:r>
        <w:rPr>
          <w:spacing w:val="-4"/>
        </w:rPr>
        <w:t>数</w:t>
      </w:r>
      <w:r>
        <w:rPr>
          <w:spacing w:val="-39"/>
        </w:rPr>
        <w:t> </w:t>
      </w:r>
      <w:r>
        <w:rPr>
          <w:spacing w:val="-2"/>
        </w:rPr>
        <w:t>字基因</w:t>
      </w:r>
      <w:r>
        <w:rPr>
          <w:rFonts w:ascii="Times New Roman" w:hAnsi="Times New Roman" w:cs="Times New Roman" w:eastAsia="Times New Roman" w:hint="default"/>
          <w:spacing w:val="-2"/>
        </w:rPr>
        <w:t>”</w:t>
      </w:r>
      <w:r>
        <w:rPr>
          <w:spacing w:val="-2"/>
        </w:rPr>
        <w:t>。目前，随着硬件设备爆炸式增长及其对信息处理需求的提高，嵌入式系统正在从传统的弱计算、</w:t>
      </w:r>
      <w:r>
        <w:rPr>
          <w:spacing w:val="-28"/>
        </w:rPr>
        <w:t> </w:t>
      </w:r>
      <w:r>
        <w:rPr>
          <w:spacing w:val="-28"/>
        </w:rPr>
      </w:r>
      <w:r>
        <w:rPr/>
        <w:t>弱控制、弱通信向具备更强能力的信息物理系统（</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Cyber-Physical</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System</w:t>
      </w:r>
      <w:r>
        <w:rPr>
          <w:spacing w:val="-3"/>
        </w:rPr>
        <w:t>）转变。信息物理系统是集</w:t>
      </w:r>
      <w:r>
        <w:rPr>
          <w:w w:val="100"/>
        </w:rPr>
        <w:t> </w:t>
      </w:r>
      <w:r>
        <w:rPr/>
        <w:t>计算、通信与控制于一体的下一代智能系统，通过人机交互接口实现和物理进程的交互，使用网络化空间</w:t>
      </w:r>
      <w:r>
        <w:rPr>
          <w:w w:val="100"/>
        </w:rPr>
        <w:t> </w:t>
      </w:r>
      <w:r>
        <w:rPr/>
        <w:t>以远程的、可靠的、实时的、安全的、协作的方式操控一个物理实体，即形成信息采集</w:t>
      </w:r>
      <w:r>
        <w:rPr>
          <w:rFonts w:ascii="Times New Roman" w:hAnsi="Times New Roman" w:cs="Times New Roman" w:eastAsia="Times New Roman" w:hint="default"/>
        </w:rPr>
        <w:t>—</w:t>
      </w:r>
      <w:r>
        <w:rPr/>
        <w:t>传输</w:t>
      </w:r>
      <w:r>
        <w:rPr>
          <w:rFonts w:ascii="Times New Roman" w:hAnsi="Times New Roman" w:cs="Times New Roman" w:eastAsia="Times New Roman" w:hint="default"/>
        </w:rPr>
        <w:t>—</w:t>
      </w:r>
      <w:r>
        <w:rPr/>
        <w:t>处理</w:t>
      </w:r>
      <w:r>
        <w:rPr>
          <w:rFonts w:ascii="Times New Roman" w:hAnsi="Times New Roman" w:cs="Times New Roman" w:eastAsia="Times New Roman" w:hint="default"/>
        </w:rPr>
        <w:t>—</w:t>
      </w:r>
      <w:r>
        <w:rPr/>
        <w:t>控</w:t>
      </w:r>
    </w:p>
    <w:p>
      <w:pPr>
        <w:spacing w:after="0" w:line="398"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398" w:lineRule="auto" w:before="36"/>
        <w:ind w:right="146"/>
        <w:jc w:val="both"/>
      </w:pPr>
      <w:r>
        <w:rPr>
          <w:spacing w:val="-2"/>
        </w:rPr>
        <w:t>制的闭环智能系统。如同互联网改变了人与人的通信和互动方式一样，嵌入式系统和其更高形态的信息物</w:t>
      </w:r>
      <w:r>
        <w:rPr>
          <w:spacing w:val="-42"/>
        </w:rPr>
        <w:t> </w:t>
      </w:r>
      <w:r>
        <w:rPr>
          <w:spacing w:val="-42"/>
        </w:rPr>
      </w:r>
      <w:r>
        <w:rPr>
          <w:spacing w:val="-2"/>
        </w:rPr>
        <w:t>理系统，将会改变物理空间与信息空间、以及物理空间与物理空间、信息空间与信息空间之间的通信和互</w:t>
      </w:r>
      <w:r>
        <w:rPr>
          <w:spacing w:val="-44"/>
        </w:rPr>
        <w:t> </w:t>
      </w:r>
      <w:r>
        <w:rPr>
          <w:spacing w:val="-44"/>
        </w:rPr>
      </w:r>
      <w:r>
        <w:rPr>
          <w:spacing w:val="-4"/>
        </w:rPr>
        <w:t>动方式，为我们提供无限的发展空间，从而极大地提高汽车、航空航天、国防、工业自动化、健康</w:t>
      </w:r>
      <w:r>
        <w:rPr>
          <w:rFonts w:ascii="Times New Roman" w:hAnsi="Times New Roman" w:cs="Times New Roman" w:eastAsia="Times New Roman" w:hint="default"/>
          <w:spacing w:val="-4"/>
        </w:rPr>
        <w:t>/</w:t>
      </w:r>
      <w:r>
        <w:rPr>
          <w:spacing w:val="-4"/>
        </w:rPr>
        <w:t>医疗设</w:t>
      </w:r>
      <w:r>
        <w:rPr>
          <w:spacing w:val="-7"/>
        </w:rPr>
        <w:t> </w:t>
      </w:r>
      <w:r>
        <w:rPr>
          <w:spacing w:val="-7"/>
        </w:rPr>
      </w:r>
      <w:r>
        <w:rPr/>
        <w:t>备、重大基础设施等主要工业领域的竞争力。德国工业 </w:t>
      </w:r>
      <w:r>
        <w:rPr>
          <w:rFonts w:ascii="Times New Roman" w:hAnsi="Times New Roman" w:cs="Times New Roman" w:eastAsia="Times New Roman" w:hint="default"/>
        </w:rPr>
        <w:t>4.0</w:t>
      </w:r>
      <w:r>
        <w:rPr/>
        <w:t>、美国工业互联网、</w:t>
      </w:r>
      <w:r>
        <w:rPr>
          <w:rFonts w:ascii="Times New Roman" w:hAnsi="Times New Roman" w:cs="Times New Roman" w:eastAsia="Times New Roman" w:hint="default"/>
        </w:rPr>
        <w:t>“</w:t>
      </w:r>
      <w:r>
        <w:rPr/>
        <w:t>中国制造</w:t>
      </w:r>
      <w:r>
        <w:rPr>
          <w:spacing w:val="-63"/>
        </w:rPr>
        <w:t> </w:t>
      </w:r>
      <w:r>
        <w:rPr>
          <w:rFonts w:ascii="Times New Roman" w:hAnsi="Times New Roman" w:cs="Times New Roman" w:eastAsia="Times New Roman" w:hint="default"/>
        </w:rPr>
        <w:t>2025”</w:t>
      </w:r>
      <w:r>
        <w:rPr/>
        <w:t>均以信息</w:t>
      </w:r>
      <w:r>
        <w:rPr>
          <w:spacing w:val="-3"/>
          <w:w w:val="100"/>
        </w:rPr>
        <w:t> </w:t>
      </w:r>
      <w:r>
        <w:rPr/>
        <w:t>物理系统作为核心技术。</w:t>
      </w:r>
    </w:p>
    <w:p>
      <w:pPr>
        <w:pStyle w:val="BodyText"/>
        <w:spacing w:line="408" w:lineRule="auto" w:before="155"/>
        <w:ind w:right="146" w:firstLine="420"/>
        <w:jc w:val="both"/>
      </w:pPr>
      <w:r>
        <w:rPr>
          <w:spacing w:val="-2"/>
        </w:rPr>
        <w:t>未来几年，由于大飞机、高铁等国家重点项目测试与量产装备的需求加大，我国嵌入式系统测试市场</w:t>
      </w:r>
      <w:r>
        <w:rPr>
          <w:w w:val="100"/>
        </w:rPr>
        <w:t> </w:t>
      </w:r>
      <w:r>
        <w:rPr>
          <w:spacing w:val="-2"/>
        </w:rPr>
        <w:t>仍将快速增长。嵌入式产业的发展重点出现了由重视嵌入式基础软硬件向重视嵌入式技术的行业化应用渗</w:t>
      </w:r>
      <w:r>
        <w:rPr>
          <w:spacing w:val="-43"/>
        </w:rPr>
        <w:t> </w:t>
      </w:r>
      <w:r>
        <w:rPr>
          <w:spacing w:val="-43"/>
        </w:rPr>
      </w:r>
      <w:r>
        <w:rPr>
          <w:spacing w:val="-2"/>
        </w:rPr>
        <w:t>透的趋势，公司作为国内嵌入式系统测试的领军企业，将在国防军工和其他关键行业的嵌入式测试获得较</w:t>
      </w:r>
      <w:r>
        <w:rPr>
          <w:spacing w:val="-43"/>
        </w:rPr>
        <w:t> </w:t>
      </w:r>
      <w:r>
        <w:rPr>
          <w:spacing w:val="-43"/>
        </w:rPr>
      </w:r>
      <w:r>
        <w:rPr/>
        <w:t>大的市场份额。</w:t>
      </w:r>
    </w:p>
    <w:p>
      <w:pPr>
        <w:pStyle w:val="Heading3"/>
        <w:spacing w:line="240" w:lineRule="auto" w:before="176"/>
        <w:ind w:right="0"/>
        <w:jc w:val="both"/>
      </w:pPr>
      <w:r>
        <w:rPr>
          <w:rFonts w:ascii="Times New Roman" w:hAnsi="Times New Roman" w:cs="Times New Roman" w:eastAsia="Times New Roman" w:hint="default"/>
        </w:rPr>
        <w:t>4</w:t>
      </w:r>
      <w:r>
        <w:rPr/>
        <w:t>、税务信息化发展的趋势与机遇</w:t>
      </w:r>
    </w:p>
    <w:p>
      <w:pPr>
        <w:spacing w:line="240" w:lineRule="auto" w:before="3"/>
        <w:rPr>
          <w:rFonts w:ascii="黑体" w:hAnsi="黑体" w:cs="黑体" w:eastAsia="黑体" w:hint="default"/>
          <w:sz w:val="24"/>
          <w:szCs w:val="24"/>
        </w:rPr>
      </w:pPr>
    </w:p>
    <w:p>
      <w:pPr>
        <w:pStyle w:val="BodyText"/>
        <w:spacing w:line="391" w:lineRule="auto"/>
        <w:ind w:right="146" w:firstLine="420"/>
        <w:jc w:val="both"/>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税务</w:t>
      </w:r>
      <w:r>
        <w:rPr>
          <w:rFonts w:ascii="Times New Roman" w:hAnsi="Times New Roman" w:cs="Times New Roman" w:eastAsia="Times New Roman" w:hint="default"/>
        </w:rPr>
        <w:t>”</w:t>
      </w:r>
      <w:r>
        <w:rPr/>
        <w:t>是把互联网的创新成果与税收工作深度融合，拓展信息化应用领域，推动效率提升和</w:t>
      </w:r>
      <w:r>
        <w:rPr>
          <w:w w:val="100"/>
        </w:rPr>
        <w:t> </w:t>
      </w:r>
      <w:r>
        <w:rPr>
          <w:spacing w:val="-2"/>
        </w:rPr>
        <w:t>管理变革，是实现税收现代化的必由之路。税务信息化的发展即就是通过信息化手段配合国税总局简化办</w:t>
      </w:r>
      <w:r>
        <w:rPr>
          <w:spacing w:val="-43"/>
        </w:rPr>
        <w:t> </w:t>
      </w:r>
      <w:r>
        <w:rPr>
          <w:spacing w:val="-43"/>
        </w:rPr>
      </w:r>
      <w:r>
        <w:rPr>
          <w:spacing w:val="-2"/>
        </w:rPr>
        <w:t>税、强化服务的</w:t>
      </w:r>
      <w:r>
        <w:rPr>
          <w:rFonts w:ascii="Times New Roman" w:hAnsi="Times New Roman" w:cs="Times New Roman" w:eastAsia="Times New Roman" w:hint="default"/>
          <w:spacing w:val="-2"/>
        </w:rPr>
        <w:t>“</w:t>
      </w:r>
      <w:r>
        <w:rPr>
          <w:spacing w:val="-2"/>
        </w:rPr>
        <w:t>放管服</w:t>
      </w:r>
      <w:r>
        <w:rPr>
          <w:rFonts w:ascii="Times New Roman" w:hAnsi="Times New Roman" w:cs="Times New Roman" w:eastAsia="Times New Roman" w:hint="default"/>
          <w:spacing w:val="-2"/>
        </w:rPr>
        <w:t>”</w:t>
      </w:r>
      <w:r>
        <w:rPr>
          <w:spacing w:val="-2"/>
        </w:rPr>
        <w:t>要求，通过网上办税、互联网税务等为纳税户提供更好的服务，为税务部门工作</w:t>
      </w:r>
      <w:r>
        <w:rPr>
          <w:spacing w:val="-17"/>
        </w:rPr>
        <w:t> </w:t>
      </w:r>
      <w:r>
        <w:rPr>
          <w:spacing w:val="-17"/>
        </w:rPr>
      </w:r>
      <w:r>
        <w:rPr/>
        <w:t>提供便利从而达到更高的效率。</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税务</w:t>
      </w:r>
      <w:r>
        <w:rPr>
          <w:rFonts w:ascii="Times New Roman" w:hAnsi="Times New Roman" w:cs="Times New Roman" w:eastAsia="Times New Roman" w:hint="default"/>
        </w:rPr>
        <w:t>”</w:t>
      </w:r>
      <w:r>
        <w:rPr/>
        <w:t>已是大势所趋，纳税户将可以通过互联网享有标准的套餐</w:t>
      </w:r>
      <w:r>
        <w:rPr>
          <w:spacing w:val="-8"/>
        </w:rPr>
        <w:t> </w:t>
      </w:r>
      <w:r>
        <w:rPr>
          <w:spacing w:val="-8"/>
        </w:rPr>
      </w:r>
      <w:r>
        <w:rPr/>
        <w:t>式税务服务，包括适合不同企业情况的开票能力服务、自动财税报表联动网上报送服务等。</w:t>
      </w:r>
    </w:p>
    <w:p>
      <w:pPr>
        <w:pStyle w:val="BodyText"/>
        <w:spacing w:line="408" w:lineRule="auto" w:before="159"/>
        <w:ind w:right="146" w:firstLine="420"/>
        <w:jc w:val="both"/>
      </w:pPr>
      <w:r>
        <w:rPr>
          <w:spacing w:val="-2"/>
        </w:rPr>
        <w:t>公司拥有多年的税务信息化产品研发技术，能支持在线变更等需求，符合税务互联网化的趋势，产品</w:t>
      </w:r>
      <w:r>
        <w:rPr>
          <w:w w:val="100"/>
        </w:rPr>
        <w:t> </w:t>
      </w:r>
      <w:r>
        <w:rPr>
          <w:spacing w:val="-2"/>
        </w:rPr>
        <w:t>具有更强的竞争力。并且公司经过多年的互联网技术储备，云票平台对接税控盘、税控服务器、云票打印</w:t>
      </w:r>
      <w:r>
        <w:rPr>
          <w:spacing w:val="-47"/>
        </w:rPr>
        <w:t> </w:t>
      </w:r>
      <w:r>
        <w:rPr>
          <w:spacing w:val="-47"/>
        </w:rPr>
      </w:r>
      <w:r>
        <w:rPr>
          <w:spacing w:val="-2"/>
        </w:rPr>
        <w:t>机、税控盒子等税控专用设备，可以为不同情况的企业提供适合的开票能力服务、在线抄报等网上办税服</w:t>
      </w:r>
      <w:r>
        <w:rPr>
          <w:spacing w:val="-44"/>
        </w:rPr>
        <w:t> </w:t>
      </w:r>
      <w:r>
        <w:rPr>
          <w:spacing w:val="-44"/>
        </w:rPr>
      </w:r>
      <w:r>
        <w:rPr>
          <w:spacing w:val="-2"/>
        </w:rPr>
        <w:t>务。伴随着国税地税征管体制改革，将省级和省级以下国税地税机构合并，我们所能参与的税务信息化市</w:t>
      </w:r>
      <w:r>
        <w:rPr>
          <w:spacing w:val="-43"/>
        </w:rPr>
        <w:t> </w:t>
      </w:r>
      <w:r>
        <w:rPr>
          <w:spacing w:val="-43"/>
        </w:rPr>
      </w:r>
      <w:r>
        <w:rPr/>
        <w:t>场将进一步扩大。</w:t>
      </w:r>
    </w:p>
    <w:p>
      <w:pPr>
        <w:pStyle w:val="Heading3"/>
        <w:spacing w:line="240" w:lineRule="auto" w:before="179"/>
        <w:ind w:right="0"/>
        <w:jc w:val="both"/>
      </w:pPr>
      <w:r>
        <w:rPr>
          <w:rFonts w:ascii="Times New Roman" w:hAnsi="Times New Roman" w:cs="Times New Roman" w:eastAsia="Times New Roman" w:hint="default"/>
        </w:rPr>
        <w:t>5</w:t>
      </w:r>
      <w:r>
        <w:rPr/>
        <w:t>、新型智慧城市建设发展的趋势与机遇</w:t>
      </w:r>
    </w:p>
    <w:p>
      <w:pPr>
        <w:spacing w:line="240" w:lineRule="auto" w:before="1"/>
        <w:rPr>
          <w:rFonts w:ascii="黑体" w:hAnsi="黑体" w:cs="黑体" w:eastAsia="黑体" w:hint="default"/>
          <w:sz w:val="24"/>
          <w:szCs w:val="24"/>
        </w:rPr>
      </w:pPr>
    </w:p>
    <w:p>
      <w:pPr>
        <w:pStyle w:val="BodyText"/>
        <w:spacing w:line="400" w:lineRule="auto"/>
        <w:ind w:right="146" w:firstLine="420"/>
        <w:jc w:val="both"/>
      </w:pPr>
      <w:r>
        <w:rPr>
          <w:spacing w:val="-1"/>
        </w:rPr>
        <w:t>中国共产党第十九次全国代表大会报告提出的</w:t>
      </w:r>
      <w:r>
        <w:rPr>
          <w:rFonts w:ascii="Times New Roman" w:hAnsi="Times New Roman" w:cs="Times New Roman" w:eastAsia="Times New Roman" w:hint="default"/>
          <w:spacing w:val="-1"/>
        </w:rPr>
        <w:t>“</w:t>
      </w:r>
      <w:r>
        <w:rPr>
          <w:spacing w:val="-1"/>
        </w:rPr>
        <w:t>数字中国</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智慧社会</w:t>
      </w:r>
      <w:r>
        <w:rPr>
          <w:rFonts w:ascii="Times New Roman" w:hAnsi="Times New Roman" w:cs="Times New Roman" w:eastAsia="Times New Roman" w:hint="default"/>
          <w:spacing w:val="-1"/>
        </w:rPr>
        <w:t>”</w:t>
      </w:r>
      <w:r>
        <w:rPr>
          <w:spacing w:val="-1"/>
        </w:rPr>
        <w:t>是新型智慧城市发展历程中具</w:t>
      </w:r>
      <w:r>
        <w:rPr>
          <w:w w:val="100"/>
        </w:rPr>
        <w:t> </w:t>
      </w:r>
      <w:r>
        <w:rPr>
          <w:spacing w:val="-2"/>
        </w:rPr>
        <w:t>有里程碑意义的概念，为新型智慧城市的建设发展指明了方向。新型智慧城市是数字中国的核心内容，是</w:t>
      </w:r>
      <w:r>
        <w:rPr>
          <w:spacing w:val="-43"/>
        </w:rPr>
        <w:t> </w:t>
      </w:r>
      <w:r>
        <w:rPr>
          <w:spacing w:val="-43"/>
        </w:rPr>
      </w:r>
      <w:r>
        <w:rPr>
          <w:spacing w:val="-2"/>
        </w:rPr>
        <w:t>社会治理的重要手段，是构建未来智慧社会的基石。当前，我国正处于全面建成小康社会的关键阶段，产</w:t>
      </w:r>
      <w:r>
        <w:rPr>
          <w:spacing w:val="-44"/>
        </w:rPr>
        <w:t> </w:t>
      </w:r>
      <w:r>
        <w:rPr>
          <w:spacing w:val="-44"/>
        </w:rPr>
      </w:r>
      <w:r>
        <w:rPr>
          <w:spacing w:val="-2"/>
        </w:rPr>
        <w:t>业落后、人口老龄化、资源枯竭、环境污染等挑战依然严峻，智慧城市、智慧社会的建设发展仍面临着巨</w:t>
      </w:r>
      <w:r>
        <w:rPr>
          <w:spacing w:val="-43"/>
        </w:rPr>
        <w:t> </w:t>
      </w:r>
      <w:r>
        <w:rPr>
          <w:spacing w:val="-43"/>
        </w:rPr>
      </w:r>
      <w:r>
        <w:rPr/>
        <w:t>大挑战。</w:t>
      </w:r>
      <w:r>
        <w:rPr>
          <w:rFonts w:ascii="Times New Roman" w:hAnsi="Times New Roman" w:cs="Times New Roman" w:eastAsia="Times New Roman" w:hint="default"/>
        </w:rPr>
        <w:t>2013 </w:t>
      </w:r>
      <w:r>
        <w:rPr/>
        <w:t>年到 </w:t>
      </w:r>
      <w:r>
        <w:rPr>
          <w:rFonts w:ascii="Times New Roman" w:hAnsi="Times New Roman" w:cs="Times New Roman" w:eastAsia="Times New Roman" w:hint="default"/>
        </w:rPr>
        <w:t>2107</w:t>
      </w:r>
      <w:r>
        <w:rPr>
          <w:rFonts w:ascii="Times New Roman" w:hAnsi="Times New Roman" w:cs="Times New Roman" w:eastAsia="Times New Roman" w:hint="default"/>
          <w:spacing w:val="-30"/>
        </w:rPr>
        <w:t> </w:t>
      </w:r>
      <w:r>
        <w:rPr/>
        <w:t>年间，全国各地从省级、市级、区县级层面都颁布了关于加快发展智慧城市的政</w:t>
      </w:r>
      <w:r>
        <w:rPr>
          <w:w w:val="100"/>
        </w:rPr>
        <w:t> </w:t>
      </w:r>
      <w:r>
        <w:rPr>
          <w:spacing w:val="-2"/>
        </w:rPr>
        <w:t>府文件，东部、中部、西部地区主要城市的政策导向特别明显。中国的智慧城市在不断探索中前进，取得</w:t>
      </w:r>
      <w:r>
        <w:rPr>
          <w:spacing w:val="-43"/>
        </w:rPr>
        <w:t> </w:t>
      </w:r>
      <w:r>
        <w:rPr>
          <w:spacing w:val="-43"/>
        </w:rPr>
      </w:r>
      <w:r>
        <w:rPr>
          <w:spacing w:val="-2"/>
        </w:rPr>
        <w:t>了可喜的建设成效，但同时也应清醒的看到，我们的城市治理、社会管理工作还有很多方面亟待改进，新</w:t>
      </w:r>
    </w:p>
    <w:p>
      <w:pPr>
        <w:spacing w:after="0" w:line="400" w:lineRule="auto"/>
        <w:jc w:val="both"/>
        <w:sectPr>
          <w:footerReference w:type="default" r:id="rId21"/>
          <w:pgSz w:w="11910" w:h="16840"/>
          <w:pgMar w:footer="1132" w:header="882" w:top="1280" w:bottom="1320" w:left="980" w:right="980"/>
          <w:pgNumType w:start="47"/>
        </w:sectPr>
      </w:pPr>
    </w:p>
    <w:p>
      <w:pPr>
        <w:spacing w:line="240" w:lineRule="auto" w:before="5"/>
        <w:rPr>
          <w:rFonts w:ascii="宋体" w:hAnsi="宋体" w:cs="宋体" w:eastAsia="宋体" w:hint="default"/>
          <w:sz w:val="13"/>
          <w:szCs w:val="13"/>
        </w:rPr>
      </w:pPr>
    </w:p>
    <w:p>
      <w:pPr>
        <w:pStyle w:val="BodyText"/>
        <w:spacing w:line="496" w:lineRule="auto" w:before="36"/>
        <w:ind w:left="573" w:right="208" w:hanging="421"/>
        <w:jc w:val="left"/>
      </w:pPr>
      <w:r>
        <w:rPr/>
        <w:t>的智慧城市发展模式尚需探索和构建。</w:t>
      </w:r>
      <w:r>
        <w:rPr>
          <w:w w:val="100"/>
        </w:rPr>
        <w:t> </w:t>
      </w:r>
      <w:r>
        <w:rPr>
          <w:spacing w:val="-2"/>
          <w:w w:val="100"/>
        </w:rPr>
        <w:t>我国政府高度重视并大力推进智慧城市建设发展，先后出台了多项政策规定。《国家新型城镇化规划</w:t>
      </w:r>
    </w:p>
    <w:p>
      <w:pPr>
        <w:pStyle w:val="BodyText"/>
        <w:spacing w:line="259" w:lineRule="exact"/>
        <w:ind w:right="100"/>
        <w:jc w:val="left"/>
      </w:pPr>
      <w:r>
        <w:rPr>
          <w:spacing w:val="14"/>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4</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2020</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spacing w:val="14"/>
          <w:w w:val="100"/>
        </w:rPr>
        <w:t>年</w:t>
      </w:r>
      <w:r>
        <w:rPr>
          <w:spacing w:val="-94"/>
          <w:w w:val="100"/>
        </w:rPr>
        <w:t>）</w:t>
      </w:r>
      <w:r>
        <w:rPr>
          <w:spacing w:val="-92"/>
          <w:w w:val="100"/>
        </w:rPr>
        <w:t>》</w:t>
      </w:r>
      <w:r>
        <w:rPr>
          <w:spacing w:val="-94"/>
          <w:w w:val="100"/>
        </w:rPr>
        <w:t>、</w:t>
      </w:r>
      <w:r>
        <w:rPr>
          <w:spacing w:val="11"/>
          <w:w w:val="100"/>
        </w:rPr>
        <w:t>《关于</w:t>
      </w:r>
      <w:r>
        <w:rPr>
          <w:spacing w:val="14"/>
          <w:w w:val="100"/>
        </w:rPr>
        <w:t>促</w:t>
      </w:r>
      <w:r>
        <w:rPr>
          <w:spacing w:val="11"/>
          <w:w w:val="100"/>
        </w:rPr>
        <w:t>进智慧城</w:t>
      </w:r>
      <w:r>
        <w:rPr>
          <w:spacing w:val="14"/>
          <w:w w:val="100"/>
        </w:rPr>
        <w:t>市</w:t>
      </w:r>
      <w:r>
        <w:rPr>
          <w:spacing w:val="11"/>
          <w:w w:val="100"/>
        </w:rPr>
        <w:t>健康发展</w:t>
      </w:r>
      <w:r>
        <w:rPr>
          <w:spacing w:val="14"/>
          <w:w w:val="100"/>
        </w:rPr>
        <w:t>的</w:t>
      </w:r>
      <w:r>
        <w:rPr>
          <w:spacing w:val="11"/>
          <w:w w:val="100"/>
        </w:rPr>
        <w:t>指导意</w:t>
      </w:r>
      <w:r>
        <w:rPr>
          <w:spacing w:val="14"/>
          <w:w w:val="100"/>
        </w:rPr>
        <w:t>见</w:t>
      </w:r>
      <w:r>
        <w:rPr>
          <w:spacing w:val="-94"/>
          <w:w w:val="100"/>
        </w:rPr>
        <w:t>》、</w:t>
      </w:r>
      <w:r>
        <w:rPr>
          <w:spacing w:val="11"/>
          <w:w w:val="100"/>
        </w:rPr>
        <w:t>《</w:t>
      </w:r>
      <w:r>
        <w:rPr>
          <w:spacing w:val="14"/>
          <w:w w:val="100"/>
        </w:rPr>
        <w:t>新</w:t>
      </w:r>
      <w:r>
        <w:rPr>
          <w:spacing w:val="11"/>
          <w:w w:val="100"/>
        </w:rPr>
        <w:t>型智</w:t>
      </w:r>
      <w:r>
        <w:rPr>
          <w:spacing w:val="14"/>
          <w:w w:val="100"/>
        </w:rPr>
        <w:t>慧</w:t>
      </w:r>
      <w:r>
        <w:rPr>
          <w:spacing w:val="11"/>
          <w:w w:val="100"/>
        </w:rPr>
        <w:t>城市建设部</w:t>
      </w:r>
      <w:r>
        <w:rPr>
          <w:spacing w:val="14"/>
          <w:w w:val="100"/>
        </w:rPr>
        <w:t>际</w:t>
      </w:r>
      <w:r>
        <w:rPr>
          <w:spacing w:val="11"/>
          <w:w w:val="100"/>
        </w:rPr>
        <w:t>协调工</w:t>
      </w:r>
      <w:r>
        <w:rPr>
          <w:spacing w:val="14"/>
          <w:w w:val="100"/>
        </w:rPr>
        <w:t>作</w:t>
      </w:r>
      <w:r>
        <w:rPr>
          <w:w w:val="100"/>
        </w:rPr>
        <w:t>组</w:t>
      </w:r>
    </w:p>
    <w:p>
      <w:pPr>
        <w:pStyle w:val="BodyText"/>
        <w:spacing w:line="386" w:lineRule="auto" w:before="177"/>
        <w:ind w:right="100"/>
        <w:jc w:val="left"/>
      </w:pPr>
      <w:r>
        <w:rPr>
          <w:rFonts w:ascii="Times New Roman" w:hAnsi="Times New Roman" w:cs="Times New Roman" w:eastAsia="Times New Roman" w:hint="default"/>
        </w:rPr>
        <w:t>2016-2018 </w:t>
      </w:r>
      <w:r>
        <w:rPr/>
        <w:t>年任务分工》等文件的颁布为我国智慧城市建设的发展提供了理论指导与依据，对于智慧城市</w:t>
      </w:r>
      <w:r>
        <w:rPr>
          <w:spacing w:val="-98"/>
        </w:rPr>
        <w:t> </w:t>
      </w:r>
      <w:r>
        <w:rPr>
          <w:spacing w:val="-98"/>
        </w:rPr>
      </w:r>
      <w:r>
        <w:rPr/>
        <w:t>建设在全国范围内的开展有着重大意义。</w:t>
      </w:r>
    </w:p>
    <w:p>
      <w:pPr>
        <w:pStyle w:val="BodyText"/>
        <w:spacing w:line="408" w:lineRule="auto" w:before="163"/>
        <w:ind w:right="100" w:firstLine="420"/>
        <w:jc w:val="left"/>
      </w:pPr>
      <w:r>
        <w:rPr>
          <w:spacing w:val="-5"/>
        </w:rPr>
        <w:t>旋极信息是国内领先的智慧城市规划、建设、运营整体解决方案提供商。公司在智慧建筑、智慧园区、</w:t>
      </w:r>
      <w:r>
        <w:rPr>
          <w:w w:val="100"/>
        </w:rPr>
        <w:t> </w:t>
      </w:r>
      <w:r>
        <w:rPr>
          <w:spacing w:val="-2"/>
        </w:rPr>
        <w:t>智慧能源等领域积累了丰富的经验，在新型智慧城市建设的过程中，公司将以新型全球时空剖分网格编码</w:t>
      </w:r>
      <w:r>
        <w:rPr>
          <w:spacing w:val="-43"/>
        </w:rPr>
        <w:t> </w:t>
      </w:r>
      <w:r>
        <w:rPr>
          <w:spacing w:val="-43"/>
        </w:rPr>
      </w:r>
      <w:r>
        <w:rPr>
          <w:spacing w:val="-2"/>
        </w:rPr>
        <w:t>为基础，通过信息化、智能化手段，建立城市大数据平台，以大数据驱动的新型智慧城市建设为目标，加</w:t>
      </w:r>
      <w:r>
        <w:rPr>
          <w:spacing w:val="-43"/>
        </w:rPr>
        <w:t> </w:t>
      </w:r>
      <w:r>
        <w:rPr>
          <w:spacing w:val="-43"/>
        </w:rPr>
      </w:r>
      <w:r>
        <w:rPr/>
        <w:t>强城市精细化管理，抓住新时代新型智慧城市发展机遇。</w:t>
      </w:r>
    </w:p>
    <w:p>
      <w:pPr>
        <w:pStyle w:val="Heading3"/>
        <w:spacing w:line="240" w:lineRule="auto" w:before="179"/>
        <w:ind w:right="100"/>
        <w:jc w:val="left"/>
      </w:pPr>
      <w:r>
        <w:rPr/>
        <w:t>（二）公司面临的挑战和应对措施</w:t>
      </w:r>
    </w:p>
    <w:p>
      <w:pPr>
        <w:spacing w:line="240" w:lineRule="auto" w:before="3"/>
        <w:rPr>
          <w:rFonts w:ascii="黑体" w:hAnsi="黑体" w:cs="黑体" w:eastAsia="黑体" w:hint="default"/>
          <w:sz w:val="26"/>
          <w:szCs w:val="26"/>
        </w:rPr>
      </w:pPr>
    </w:p>
    <w:p>
      <w:pPr>
        <w:pStyle w:val="Heading3"/>
        <w:spacing w:line="240" w:lineRule="auto"/>
        <w:ind w:right="100"/>
        <w:jc w:val="left"/>
      </w:pPr>
      <w:r>
        <w:rPr>
          <w:rFonts w:ascii="Times New Roman" w:hAnsi="Times New Roman" w:cs="Times New Roman" w:eastAsia="Times New Roman" w:hint="default"/>
        </w:rPr>
        <w:t>1</w:t>
      </w:r>
      <w:r>
        <w:rPr/>
        <w:t>、市场竞争方面</w:t>
      </w:r>
    </w:p>
    <w:p>
      <w:pPr>
        <w:spacing w:line="240" w:lineRule="auto" w:before="3"/>
        <w:rPr>
          <w:rFonts w:ascii="黑体" w:hAnsi="黑体" w:cs="黑体" w:eastAsia="黑体" w:hint="default"/>
          <w:sz w:val="24"/>
          <w:szCs w:val="24"/>
        </w:rPr>
      </w:pPr>
    </w:p>
    <w:p>
      <w:pPr>
        <w:pStyle w:val="BodyText"/>
        <w:spacing w:line="408" w:lineRule="auto"/>
        <w:ind w:right="206" w:firstLine="420"/>
        <w:jc w:val="both"/>
      </w:pPr>
      <w:r>
        <w:rPr>
          <w:spacing w:val="-2"/>
        </w:rPr>
        <w:t>公司属于军民融合高科技企业，在民用行业板块，由于是完全的市场化竞争，需要在产品的质量、先</w:t>
      </w:r>
      <w:r>
        <w:rPr>
          <w:w w:val="100"/>
        </w:rPr>
        <w:t> </w:t>
      </w:r>
      <w:r>
        <w:rPr>
          <w:spacing w:val="-2"/>
        </w:rPr>
        <w:t>进性和价格等方面有差异化优势才能获得竞争优势，公司必须在创新方面必须保证有高强度的投入赢得市</w:t>
      </w:r>
      <w:r>
        <w:rPr>
          <w:spacing w:val="-43"/>
        </w:rPr>
        <w:t> </w:t>
      </w:r>
      <w:r>
        <w:rPr>
          <w:spacing w:val="-43"/>
        </w:rPr>
      </w:r>
      <w:r>
        <w:rPr>
          <w:spacing w:val="-2"/>
        </w:rPr>
        <w:t>场。在军工业务板块，涉及的军方型号产品研制需经过立项、方案论证、工程研制、设计定型与生产定型</w:t>
      </w:r>
      <w:r>
        <w:rPr>
          <w:spacing w:val="-43"/>
        </w:rPr>
        <w:t> </w:t>
      </w:r>
      <w:r>
        <w:rPr>
          <w:spacing w:val="-43"/>
        </w:rPr>
      </w:r>
      <w:r>
        <w:rPr>
          <w:spacing w:val="-2"/>
        </w:rPr>
        <w:t>等阶段，从研制到实现销售的周期较长，而且根据军方现行武器装备采购体制，只有通过军方设计定型批</w:t>
      </w:r>
      <w:r>
        <w:rPr>
          <w:spacing w:val="-43"/>
        </w:rPr>
        <w:t> </w:t>
      </w:r>
      <w:r>
        <w:rPr>
          <w:spacing w:val="-43"/>
        </w:rPr>
      </w:r>
      <w:r>
        <w:rPr>
          <w:spacing w:val="-2"/>
        </w:rPr>
        <w:t>准的产品才可实现向军方销售，门槛较高，产品和服务的投入周期较长。公司所处信息化和数字化市场竞</w:t>
      </w:r>
      <w:r>
        <w:rPr>
          <w:spacing w:val="-44"/>
        </w:rPr>
        <w:t> </w:t>
      </w:r>
      <w:r>
        <w:rPr>
          <w:spacing w:val="-44"/>
        </w:rPr>
      </w:r>
      <w:r>
        <w:rPr/>
        <w:t>争激烈，客户需求变化迭代较快，对于公司技术、产品和业务模式创新有较高的要求。</w:t>
      </w:r>
    </w:p>
    <w:p>
      <w:pPr>
        <w:pStyle w:val="BodyText"/>
        <w:spacing w:line="408" w:lineRule="auto" w:before="147"/>
        <w:ind w:right="206" w:firstLine="420"/>
        <w:jc w:val="both"/>
      </w:pPr>
      <w:r>
        <w:rPr>
          <w:spacing w:val="-2"/>
        </w:rPr>
        <w:t>公司将在产品研制过程中严格按照质量管理体系及国军标的要求进行，每个环节均由公司组织的专家</w:t>
      </w:r>
      <w:r>
        <w:rPr>
          <w:w w:val="100"/>
        </w:rPr>
        <w:t> </w:t>
      </w:r>
      <w:r>
        <w:rPr>
          <w:spacing w:val="-2"/>
        </w:rPr>
        <w:t>组对结果、文件和过程进行审核并给出评审意见，国军标评审组和军代表会对整个军品研制过程进行严格</w:t>
      </w:r>
      <w:r>
        <w:rPr>
          <w:spacing w:val="-42"/>
        </w:rPr>
        <w:t> </w:t>
      </w:r>
      <w:r>
        <w:rPr>
          <w:spacing w:val="-42"/>
        </w:rPr>
      </w:r>
      <w:r>
        <w:rPr>
          <w:spacing w:val="-2"/>
        </w:rPr>
        <w:t>检查和归零处理，确保产品研发过程和结果可控。同时，公司积极与潜在客户进行有效沟通，及时掌握需</w:t>
      </w:r>
      <w:r>
        <w:rPr>
          <w:spacing w:val="-50"/>
        </w:rPr>
        <w:t> </w:t>
      </w:r>
      <w:r>
        <w:rPr>
          <w:spacing w:val="-50"/>
        </w:rPr>
      </w:r>
      <w:r>
        <w:rPr/>
        <w:t>求变化和市场动态，确保市场渠道的畅通。公司通过上述措施，尽量降低市场销售风险。</w:t>
      </w:r>
    </w:p>
    <w:p>
      <w:pPr>
        <w:pStyle w:val="Heading3"/>
        <w:spacing w:line="240" w:lineRule="auto" w:before="176"/>
        <w:ind w:right="100"/>
        <w:jc w:val="left"/>
      </w:pPr>
      <w:r>
        <w:rPr>
          <w:rFonts w:ascii="Times New Roman" w:hAnsi="Times New Roman" w:cs="Times New Roman" w:eastAsia="Times New Roman" w:hint="default"/>
        </w:rPr>
        <w:t>2</w:t>
      </w:r>
      <w:r>
        <w:rPr/>
        <w:t>、宏观政策方面</w:t>
      </w:r>
    </w:p>
    <w:p>
      <w:pPr>
        <w:spacing w:line="240" w:lineRule="auto" w:before="3"/>
        <w:rPr>
          <w:rFonts w:ascii="黑体" w:hAnsi="黑体" w:cs="黑体" w:eastAsia="黑体" w:hint="default"/>
          <w:sz w:val="24"/>
          <w:szCs w:val="24"/>
        </w:rPr>
      </w:pPr>
    </w:p>
    <w:p>
      <w:pPr>
        <w:pStyle w:val="BodyText"/>
        <w:spacing w:line="408" w:lineRule="auto"/>
        <w:ind w:right="185" w:firstLine="420"/>
        <w:jc w:val="both"/>
      </w:pPr>
      <w:r>
        <w:rPr>
          <w:spacing w:val="-2"/>
        </w:rPr>
        <w:t>公司所处的行业属于国家重点扶持和发展的高新技术产业，国家在产业政策方面给予了积极的支持和</w:t>
      </w:r>
      <w:r>
        <w:rPr>
          <w:w w:val="100"/>
        </w:rPr>
        <w:t> </w:t>
      </w:r>
      <w:r>
        <w:rPr>
          <w:spacing w:val="-2"/>
        </w:rPr>
        <w:t>鼓励。从目前情况看，该行业发展出现不利政策性变化的可能性很小。但公司从事的嵌入式系统和测试、</w:t>
      </w:r>
      <w:r>
        <w:rPr>
          <w:spacing w:val="-21"/>
        </w:rPr>
        <w:t> </w:t>
      </w:r>
      <w:r>
        <w:rPr>
          <w:spacing w:val="-21"/>
        </w:rPr>
      </w:r>
      <w:r>
        <w:rPr>
          <w:spacing w:val="-2"/>
        </w:rPr>
        <w:t>信息安全和行业信息化等行业属于快速发展的行业，行业相关的宏观政策环境正处于不断调整和完善的过</w:t>
      </w:r>
      <w:r>
        <w:rPr>
          <w:spacing w:val="-43"/>
        </w:rPr>
        <w:t> </w:t>
      </w:r>
      <w:r>
        <w:rPr>
          <w:spacing w:val="-43"/>
        </w:rPr>
      </w:r>
      <w:r>
        <w:rPr/>
        <w:t>程中，在一定特殊时期内可能会存在宏观调控以及政策不确定性风险，从而对公司的经营带来影响。</w:t>
      </w:r>
    </w:p>
    <w:p>
      <w:pPr>
        <w:pStyle w:val="BodyText"/>
        <w:spacing w:line="240" w:lineRule="auto" w:before="145"/>
        <w:ind w:left="573" w:right="100"/>
        <w:jc w:val="left"/>
      </w:pPr>
      <w:r>
        <w:rPr/>
        <w:t>公司将依据在行业的地位和技术积累，积极贯彻落实国家各项政策法规，根据国家战略及宏观政策进</w:t>
      </w:r>
    </w:p>
    <w:p>
      <w:pPr>
        <w:spacing w:after="0" w:line="240" w:lineRule="auto"/>
        <w:jc w:val="left"/>
        <w:sectPr>
          <w:footerReference w:type="default" r:id="rId22"/>
          <w:pgSz w:w="11910" w:h="16840"/>
          <w:pgMar w:footer="1132" w:header="882" w:top="1280" w:bottom="1320" w:left="980" w:right="920"/>
          <w:pgNumType w:start="48"/>
        </w:sectPr>
      </w:pPr>
    </w:p>
    <w:p>
      <w:pPr>
        <w:spacing w:line="240" w:lineRule="auto" w:before="5"/>
        <w:rPr>
          <w:rFonts w:ascii="宋体" w:hAnsi="宋体" w:cs="宋体" w:eastAsia="宋体" w:hint="default"/>
          <w:sz w:val="13"/>
          <w:szCs w:val="13"/>
        </w:rPr>
      </w:pPr>
    </w:p>
    <w:p>
      <w:pPr>
        <w:pStyle w:val="BodyText"/>
        <w:spacing w:line="240" w:lineRule="auto" w:before="36"/>
        <w:ind w:right="11"/>
        <w:jc w:val="left"/>
      </w:pPr>
      <w:r>
        <w:rPr/>
        <w:t>行及时调整，以应对由政策变化产生的不利影响。</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、经营管理方面</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公司近两年各业务板块迅速增长，一系列的并购重组逐步完成，经营发展已初具规模，随着业务规模</w:t>
      </w:r>
      <w:r>
        <w:rPr>
          <w:w w:val="100"/>
        </w:rPr>
        <w:t> </w:t>
      </w:r>
      <w:r>
        <w:rPr>
          <w:spacing w:val="-2"/>
        </w:rPr>
        <w:t>扩大投融资项目的增加，新业务的拓展以及募投项目的实施，公司的资产规模不断扩张，管理的深度和广</w:t>
      </w:r>
      <w:r>
        <w:rPr>
          <w:spacing w:val="-43"/>
        </w:rPr>
        <w:t> </w:t>
      </w:r>
      <w:r>
        <w:rPr>
          <w:spacing w:val="-43"/>
        </w:rPr>
      </w:r>
      <w:r>
        <w:rPr>
          <w:spacing w:val="-2"/>
        </w:rPr>
        <w:t>度不断扩大，人员规模不断增高，需要公司在资源整合、市场开拓、研发和质量管理、内控制度、组织架</w:t>
      </w:r>
      <w:r>
        <w:rPr>
          <w:spacing w:val="-42"/>
        </w:rPr>
        <w:t> </w:t>
      </w:r>
      <w:r>
        <w:rPr>
          <w:spacing w:val="-42"/>
        </w:rPr>
      </w:r>
      <w:r>
        <w:rPr>
          <w:spacing w:val="-2"/>
        </w:rPr>
        <w:t>构等方面做相应的改进和调整。同时，公司对分子公司业绩实现、业务体系、组织机构、管理制度、企业</w:t>
      </w:r>
      <w:r>
        <w:rPr>
          <w:spacing w:val="-42"/>
        </w:rPr>
        <w:t> </w:t>
      </w:r>
      <w:r>
        <w:rPr>
          <w:spacing w:val="-42"/>
        </w:rPr>
      </w:r>
      <w:r>
        <w:rPr/>
        <w:t>文化等方面的管理及业务融合等方面，对经营管理层提出了更高的要求。</w:t>
      </w:r>
    </w:p>
    <w:p>
      <w:pPr>
        <w:pStyle w:val="BodyText"/>
        <w:spacing w:line="408" w:lineRule="auto" w:before="147"/>
        <w:ind w:right="146" w:firstLine="420"/>
        <w:jc w:val="both"/>
      </w:pPr>
      <w:r>
        <w:rPr>
          <w:spacing w:val="-2"/>
        </w:rPr>
        <w:t>公司将通过持续完善法人治理结构及内控制度、规范公司运作体系、修订各项管理制度、提高核心管</w:t>
      </w:r>
      <w:r>
        <w:rPr>
          <w:w w:val="100"/>
        </w:rPr>
        <w:t> </w:t>
      </w:r>
      <w:r>
        <w:rPr>
          <w:spacing w:val="-2"/>
        </w:rPr>
        <w:t>理团队的管理素质和决策能力、聘请专业的管理咨询公司和行业专家协助公司进一步完善管理体系，提升</w:t>
      </w:r>
      <w:r>
        <w:rPr>
          <w:spacing w:val="-42"/>
        </w:rPr>
        <w:t> </w:t>
      </w:r>
      <w:r>
        <w:rPr>
          <w:spacing w:val="-42"/>
        </w:rPr>
      </w:r>
      <w:r>
        <w:rPr/>
        <w:t>管理水平，降低管理风险，以满足公司业务规模快速增长以及公司长远的发展需要。</w:t>
      </w:r>
    </w:p>
    <w:p>
      <w:pPr>
        <w:pStyle w:val="Heading3"/>
        <w:spacing w:line="240" w:lineRule="auto" w:before="176"/>
        <w:ind w:right="11"/>
        <w:jc w:val="left"/>
      </w:pPr>
      <w:r>
        <w:rPr>
          <w:rFonts w:ascii="Times New Roman" w:hAnsi="Times New Roman" w:cs="Times New Roman" w:eastAsia="Times New Roman" w:hint="default"/>
        </w:rPr>
        <w:t>4</w:t>
      </w:r>
      <w:r>
        <w:rPr/>
        <w:t>、人员技术方面</w:t>
      </w:r>
    </w:p>
    <w:p>
      <w:pPr>
        <w:spacing w:line="240" w:lineRule="auto" w:before="3"/>
        <w:rPr>
          <w:rFonts w:ascii="黑体" w:hAnsi="黑体" w:cs="黑体" w:eastAsia="黑体" w:hint="default"/>
          <w:sz w:val="24"/>
          <w:szCs w:val="24"/>
        </w:rPr>
      </w:pPr>
    </w:p>
    <w:p>
      <w:pPr>
        <w:pStyle w:val="BodyText"/>
        <w:spacing w:line="408" w:lineRule="auto"/>
        <w:ind w:right="125" w:firstLine="420"/>
        <w:jc w:val="both"/>
      </w:pPr>
      <w:r>
        <w:rPr>
          <w:spacing w:val="-2"/>
        </w:rPr>
        <w:t>公司属于技术密集型企业，必须保持技术领先地位及进行持续创新。拥有一支稳定的高水平的管理及</w:t>
      </w:r>
      <w:r>
        <w:rPr>
          <w:w w:val="100"/>
        </w:rPr>
        <w:t> </w:t>
      </w:r>
      <w:r>
        <w:rPr>
          <w:spacing w:val="-2"/>
        </w:rPr>
        <w:t>核心研发队伍，以及对核心技术的全面管控将是公司生存和发展的关键，也必将对公司在生产经营管理产</w:t>
      </w:r>
      <w:r>
        <w:rPr>
          <w:spacing w:val="-43"/>
        </w:rPr>
        <w:t> </w:t>
      </w:r>
      <w:r>
        <w:rPr>
          <w:spacing w:val="-43"/>
        </w:rPr>
      </w:r>
      <w:r>
        <w:rPr>
          <w:spacing w:val="-2"/>
        </w:rPr>
        <w:t>生一定影响。在长期科研生产实践中，通过反复探索、论证、设计、实验、测试，在对嵌入式系统和软件</w:t>
      </w:r>
      <w:r>
        <w:rPr>
          <w:spacing w:val="-49"/>
        </w:rPr>
        <w:t> </w:t>
      </w:r>
      <w:r>
        <w:rPr>
          <w:spacing w:val="-49"/>
        </w:rPr>
      </w:r>
      <w:r>
        <w:rPr>
          <w:spacing w:val="-2"/>
        </w:rPr>
        <w:t>测试、高速总线、数据采集、信息安全、行业应用相关产品的设计开发领域取得重大突破，公司形成了多</w:t>
      </w:r>
      <w:r>
        <w:rPr>
          <w:spacing w:val="-43"/>
        </w:rPr>
        <w:t> </w:t>
      </w:r>
      <w:r>
        <w:rPr>
          <w:spacing w:val="-43"/>
        </w:rPr>
      </w:r>
      <w:r>
        <w:rPr>
          <w:spacing w:val="-2"/>
        </w:rPr>
        <w:t>项关键技术成果，构成了目前的核心技术体系。这些核心技术目前多处于国内领先水平，是公司核心竞争</w:t>
      </w:r>
      <w:r>
        <w:rPr>
          <w:spacing w:val="-44"/>
        </w:rPr>
        <w:t> </w:t>
      </w:r>
      <w:r>
        <w:rPr>
          <w:spacing w:val="-44"/>
        </w:rPr>
      </w:r>
      <w:r>
        <w:rPr>
          <w:spacing w:val="-2"/>
        </w:rPr>
        <w:t>力的集中体现。随着信息化行业的快速发展，人才争夺也必将日益激烈，虽然公司在技术成果保密管理、</w:t>
      </w:r>
      <w:r>
        <w:rPr>
          <w:spacing w:val="-21"/>
        </w:rPr>
        <w:t> </w:t>
      </w:r>
      <w:r>
        <w:rPr>
          <w:spacing w:val="-21"/>
        </w:rPr>
      </w:r>
      <w:r>
        <w:rPr>
          <w:spacing w:val="-2"/>
        </w:rPr>
        <w:t>员工签订保密协议等方面制定了完善的规章制度，但可能存在管理人员、核心技术人员流失以及技术泄密</w:t>
      </w:r>
      <w:r>
        <w:rPr>
          <w:spacing w:val="-43"/>
        </w:rPr>
        <w:t> </w:t>
      </w:r>
      <w:r>
        <w:rPr>
          <w:spacing w:val="-43"/>
        </w:rPr>
      </w:r>
      <w:r>
        <w:rPr/>
        <w:t>的风险。</w:t>
      </w:r>
    </w:p>
    <w:p>
      <w:pPr>
        <w:pStyle w:val="BodyText"/>
        <w:spacing w:line="408" w:lineRule="auto" w:before="145"/>
        <w:ind w:right="146" w:firstLine="420"/>
        <w:jc w:val="both"/>
      </w:pPr>
      <w:r>
        <w:rPr>
          <w:spacing w:val="-3"/>
        </w:rPr>
        <w:t>公司建立了公正、公平的绩效评估体系，不断完善科研创新激励机制，报告期内，公司推出限制性股</w:t>
      </w:r>
      <w:r>
        <w:rPr>
          <w:w w:val="100"/>
        </w:rPr>
        <w:t> </w:t>
      </w:r>
      <w:r>
        <w:rPr>
          <w:spacing w:val="-2"/>
        </w:rPr>
        <w:t>票激励计划，提高核心业务、技术、管理骨干人员对公司的归属感，同时，公司在技术成果保密管理、员</w:t>
      </w:r>
      <w:r>
        <w:rPr>
          <w:spacing w:val="-42"/>
        </w:rPr>
        <w:t> </w:t>
      </w:r>
      <w:r>
        <w:rPr>
          <w:spacing w:val="-42"/>
        </w:rPr>
      </w:r>
      <w:r>
        <w:rPr>
          <w:spacing w:val="-2"/>
        </w:rPr>
        <w:t>工签订保密协议等方面制定了完善的规章制度，最大限度的降低核心技术人员流失及技术泄密给公司生产</w:t>
      </w:r>
      <w:r>
        <w:rPr>
          <w:spacing w:val="-43"/>
        </w:rPr>
        <w:t> </w:t>
      </w:r>
      <w:r>
        <w:rPr>
          <w:spacing w:val="-43"/>
        </w:rPr>
      </w:r>
      <w:r>
        <w:rPr/>
        <w:t>经营带来的风险。</w:t>
      </w:r>
    </w:p>
    <w:p>
      <w:pPr>
        <w:pStyle w:val="Heading3"/>
        <w:spacing w:line="240" w:lineRule="auto" w:before="179"/>
        <w:ind w:right="11"/>
        <w:jc w:val="left"/>
      </w:pPr>
      <w:r>
        <w:rPr>
          <w:rFonts w:ascii="Times New Roman" w:hAnsi="Times New Roman" w:cs="Times New Roman" w:eastAsia="Times New Roman" w:hint="default"/>
        </w:rPr>
        <w:t>5</w:t>
      </w:r>
      <w:r>
        <w:rPr/>
        <w:t>、商誉减值方面</w:t>
      </w:r>
    </w:p>
    <w:p>
      <w:pPr>
        <w:spacing w:line="240" w:lineRule="auto" w:before="1"/>
        <w:rPr>
          <w:rFonts w:ascii="黑体" w:hAnsi="黑体" w:cs="黑体" w:eastAsia="黑体" w:hint="default"/>
          <w:sz w:val="24"/>
          <w:szCs w:val="24"/>
        </w:rPr>
      </w:pPr>
    </w:p>
    <w:p>
      <w:pPr>
        <w:pStyle w:val="BodyText"/>
        <w:spacing w:line="398" w:lineRule="auto"/>
        <w:ind w:right="147" w:firstLine="420"/>
        <w:jc w:val="both"/>
      </w:pPr>
      <w:r>
        <w:rPr>
          <w:spacing w:val="-4"/>
        </w:rPr>
        <w:t>截止报告期末，公司商誉金额为 </w:t>
      </w:r>
      <w:r>
        <w:rPr>
          <w:rFonts w:ascii="Times New Roman" w:hAnsi="Times New Roman" w:cs="Times New Roman" w:eastAsia="Times New Roman" w:hint="default"/>
        </w:rPr>
        <w:t>189,786.30 </w:t>
      </w:r>
      <w:r>
        <w:rPr/>
        <w:t>万</w:t>
      </w:r>
      <w:r>
        <w:rPr>
          <w:spacing w:val="-20"/>
        </w:rPr>
        <w:t> </w:t>
      </w:r>
      <w:r>
        <w:rPr>
          <w:spacing w:val="-5"/>
        </w:rPr>
        <w:t>元。如果未来宏观经济形势变化，或被并购的公司市场</w:t>
      </w:r>
      <w:r>
        <w:rPr>
          <w:w w:val="100"/>
        </w:rPr>
        <w:t> </w:t>
      </w:r>
      <w:r>
        <w:rPr>
          <w:spacing w:val="-2"/>
        </w:rPr>
        <w:t>拓展、内部管理出现问题，导致经营状况恶化，或未能完成并购时的承诺业绩，根据《企业会计准则》的</w:t>
      </w:r>
      <w:r>
        <w:rPr>
          <w:spacing w:val="-42"/>
        </w:rPr>
        <w:t> </w:t>
      </w:r>
      <w:r>
        <w:rPr>
          <w:spacing w:val="-42"/>
        </w:rPr>
      </w:r>
      <w:r>
        <w:rPr/>
        <w:t>规定，需要对商誉计提减值，将对公司未来的经营业绩造成不利影响。</w:t>
      </w:r>
    </w:p>
    <w:p>
      <w:pPr>
        <w:spacing w:after="0" w:line="39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00" w:firstLine="420"/>
        <w:jc w:val="left"/>
      </w:pPr>
      <w:r>
        <w:rPr>
          <w:spacing w:val="-2"/>
        </w:rPr>
        <w:t>对此，公司已充分意识到潜在的商誉减值风险，积极加强公司与被并购公司的企业文化融合以及与公</w:t>
      </w:r>
      <w:r>
        <w:rPr>
          <w:w w:val="100"/>
        </w:rPr>
        <w:t> </w:t>
      </w:r>
      <w:r>
        <w:rPr/>
        <w:t>司的发展的协同，以最大限度地降低商誉减值风险。</w:t>
      </w:r>
    </w:p>
    <w:p>
      <w:pPr>
        <w:pStyle w:val="Heading3"/>
        <w:spacing w:line="240" w:lineRule="auto" w:before="179"/>
        <w:ind w:right="100"/>
        <w:jc w:val="left"/>
      </w:pPr>
      <w:r>
        <w:rPr/>
        <w:t>（三）公司发展战略</w:t>
      </w:r>
    </w:p>
    <w:p>
      <w:pPr>
        <w:spacing w:line="240" w:lineRule="auto" w:before="6"/>
        <w:rPr>
          <w:rFonts w:ascii="黑体" w:hAnsi="黑体" w:cs="黑体" w:eastAsia="黑体" w:hint="default"/>
          <w:sz w:val="25"/>
          <w:szCs w:val="25"/>
        </w:rPr>
      </w:pPr>
    </w:p>
    <w:p>
      <w:pPr>
        <w:pStyle w:val="BodyText"/>
        <w:spacing w:line="403" w:lineRule="auto"/>
        <w:ind w:right="100" w:firstLine="420"/>
        <w:jc w:val="left"/>
      </w:pPr>
      <w:r>
        <w:rPr>
          <w:spacing w:val="-4"/>
          <w:w w:val="100"/>
        </w:rPr>
        <w:t>公司将以信息物理系统（</w:t>
      </w:r>
      <w:r>
        <w:rPr>
          <w:rFonts w:ascii="Times New Roman" w:hAnsi="Times New Roman" w:cs="Times New Roman" w:eastAsia="Times New Roman" w:hint="default"/>
          <w:spacing w:val="-4"/>
          <w:w w:val="100"/>
        </w:rPr>
        <w:t>CPS</w:t>
      </w:r>
      <w:r>
        <w:rPr>
          <w:spacing w:val="-4"/>
          <w:w w:val="100"/>
        </w:rPr>
        <w:t>）、时空信息网格大数据（</w:t>
      </w:r>
      <w:r>
        <w:rPr>
          <w:rFonts w:ascii="Times New Roman" w:hAnsi="Times New Roman" w:cs="Times New Roman" w:eastAsia="Times New Roman" w:hint="default"/>
          <w:spacing w:val="-4"/>
          <w:w w:val="100"/>
        </w:rPr>
        <w:t>BigData</w:t>
      </w:r>
      <w:r>
        <w:rPr>
          <w:spacing w:val="-4"/>
          <w:w w:val="100"/>
        </w:rPr>
        <w:t>）和信息安全（</w:t>
      </w:r>
      <w:r>
        <w:rPr>
          <w:rFonts w:ascii="Times New Roman" w:hAnsi="Times New Roman" w:cs="Times New Roman" w:eastAsia="Times New Roman" w:hint="default"/>
          <w:spacing w:val="-4"/>
          <w:w w:val="100"/>
        </w:rPr>
        <w:t>Security</w:t>
      </w:r>
      <w:r>
        <w:rPr>
          <w:spacing w:val="-4"/>
          <w:w w:val="100"/>
        </w:rPr>
        <w:t>）三大核心技</w:t>
      </w:r>
      <w:r>
        <w:rPr>
          <w:w w:val="100"/>
        </w:rPr>
        <w:t> </w:t>
      </w:r>
      <w:r>
        <w:rPr>
          <w:spacing w:val="-4"/>
        </w:rPr>
        <w:t>术在国防信息化、行业信息化的融合创新为目标，以旋极特色的</w:t>
      </w:r>
      <w:r>
        <w:rPr>
          <w:rFonts w:ascii="Times New Roman" w:hAnsi="Times New Roman" w:cs="Times New Roman" w:eastAsia="Times New Roman" w:hint="default"/>
          <w:spacing w:val="-4"/>
        </w:rPr>
        <w:t>“CBS+</w:t>
      </w:r>
      <w:r>
        <w:rPr>
          <w:spacing w:val="-4"/>
        </w:rPr>
        <w:t>数字服务</w:t>
      </w:r>
      <w:r>
        <w:rPr>
          <w:rFonts w:ascii="Times New Roman" w:hAnsi="Times New Roman" w:cs="Times New Roman" w:eastAsia="Times New Roman" w:hint="default"/>
          <w:spacing w:val="-4"/>
        </w:rPr>
        <w:t>”</w:t>
      </w:r>
      <w:r>
        <w:rPr>
          <w:spacing w:val="-4"/>
        </w:rPr>
        <w:t>的发展模式，形成围绕智</w:t>
      </w:r>
      <w:r>
        <w:rPr>
          <w:spacing w:val="-13"/>
        </w:rPr>
        <w:t> </w:t>
      </w:r>
      <w:r>
        <w:rPr>
          <w:spacing w:val="-13"/>
        </w:rPr>
      </w:r>
      <w:r>
        <w:rPr>
          <w:spacing w:val="-5"/>
        </w:rPr>
        <w:t>慧防务、智慧城市、数字可信服务、时空大数据应用的数字化服务产业体系，并且以采集探测、泛在连接、</w:t>
      </w:r>
      <w:r>
        <w:rPr>
          <w:spacing w:val="-8"/>
        </w:rPr>
        <w:t> </w:t>
      </w:r>
      <w:r>
        <w:rPr>
          <w:spacing w:val="-8"/>
        </w:rPr>
      </w:r>
      <w:r>
        <w:rPr>
          <w:spacing w:val="-2"/>
        </w:rPr>
        <w:t>融合呈现、分析应用、信息安全为发展重点，打造新型产业生态圈，用信息技术驱动物理世界和数字世界</w:t>
      </w:r>
      <w:r>
        <w:rPr>
          <w:spacing w:val="-47"/>
        </w:rPr>
        <w:t> </w:t>
      </w:r>
      <w:r>
        <w:rPr>
          <w:spacing w:val="-47"/>
        </w:rPr>
      </w:r>
      <w:r>
        <w:rPr>
          <w:spacing w:val="-2"/>
        </w:rPr>
        <w:t>的融合，成为军民融合数字化、智能化龙头企业。公司围绕核心技术，在军工领域规划和发展了测控、装</w:t>
      </w:r>
      <w:r>
        <w:rPr>
          <w:spacing w:val="-43"/>
        </w:rPr>
        <w:t> </w:t>
      </w:r>
      <w:r>
        <w:rPr>
          <w:spacing w:val="-43"/>
        </w:rPr>
      </w:r>
      <w:r>
        <w:rPr>
          <w:spacing w:val="-2"/>
        </w:rPr>
        <w:t>备健康管理、通信导航、国防大数据、智能平台等产品，在民用行业重点发展税务信息化和创新金融、时</w:t>
      </w:r>
      <w:r>
        <w:rPr>
          <w:spacing w:val="-43"/>
        </w:rPr>
        <w:t> </w:t>
      </w:r>
      <w:r>
        <w:rPr>
          <w:spacing w:val="-43"/>
        </w:rPr>
      </w:r>
      <w:r>
        <w:rPr>
          <w:spacing w:val="-2"/>
        </w:rPr>
        <w:t>空大数据应用以及智慧城市整体方案。公司积极推进军技民用，逐步扩大核心技术在民用市场的应用，力</w:t>
      </w:r>
      <w:r>
        <w:rPr>
          <w:spacing w:val="-42"/>
        </w:rPr>
        <w:t> </w:t>
      </w:r>
      <w:r>
        <w:rPr>
          <w:spacing w:val="-42"/>
        </w:rPr>
      </w:r>
      <w:r>
        <w:rPr/>
        <w:t>争发展成为国际知名的、自主可控的、领先的智能服务构建者。</w:t>
      </w:r>
    </w:p>
    <w:p>
      <w:pPr>
        <w:spacing w:line="240" w:lineRule="auto" w:before="11"/>
        <w:rPr>
          <w:rFonts w:ascii="宋体" w:hAnsi="宋体" w:cs="宋体" w:eastAsia="宋体" w:hint="default"/>
          <w:sz w:val="13"/>
          <w:szCs w:val="13"/>
        </w:rPr>
      </w:pPr>
    </w:p>
    <w:p>
      <w:pPr>
        <w:pStyle w:val="Heading3"/>
        <w:spacing w:line="240" w:lineRule="auto"/>
        <w:ind w:right="100"/>
        <w:jc w:val="left"/>
      </w:pPr>
      <w:r>
        <w:rPr/>
        <w:t>（四）</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年度经营计划</w:t>
      </w:r>
    </w:p>
    <w:p>
      <w:pPr>
        <w:spacing w:line="240" w:lineRule="auto" w:before="1"/>
        <w:rPr>
          <w:rFonts w:ascii="黑体" w:hAnsi="黑体" w:cs="黑体" w:eastAsia="黑体" w:hint="default"/>
          <w:sz w:val="25"/>
          <w:szCs w:val="25"/>
        </w:rPr>
      </w:pPr>
    </w:p>
    <w:p>
      <w:pPr>
        <w:pStyle w:val="Heading3"/>
        <w:spacing w:line="240" w:lineRule="auto"/>
        <w:ind w:right="100"/>
        <w:jc w:val="left"/>
      </w:pPr>
      <w:r>
        <w:rPr>
          <w:rFonts w:ascii="Times New Roman" w:hAnsi="Times New Roman" w:cs="Times New Roman" w:eastAsia="Times New Roman" w:hint="default"/>
        </w:rPr>
        <w:t>1</w:t>
      </w:r>
      <w:r>
        <w:rPr/>
        <w:t>、各业务领域高效融合，战略规划全面落地</w:t>
      </w:r>
    </w:p>
    <w:p>
      <w:pPr>
        <w:spacing w:line="240" w:lineRule="auto" w:before="4"/>
        <w:rPr>
          <w:rFonts w:ascii="黑体" w:hAnsi="黑体" w:cs="黑体" w:eastAsia="黑体" w:hint="default"/>
          <w:sz w:val="24"/>
          <w:szCs w:val="24"/>
        </w:rPr>
      </w:pPr>
    </w:p>
    <w:p>
      <w:pPr>
        <w:pStyle w:val="BodyText"/>
        <w:spacing w:line="408" w:lineRule="auto"/>
        <w:ind w:right="100" w:firstLine="420"/>
        <w:jc w:val="left"/>
      </w:pPr>
      <w:r>
        <w:rPr/>
        <w:t>在公司总体发展战略的前提下，制定产业方向的具体规划，推进各业务领域高效融合，实现各成员单</w:t>
      </w:r>
      <w:r>
        <w:rPr>
          <w:w w:val="100"/>
        </w:rPr>
        <w:t> </w:t>
      </w:r>
      <w:r>
        <w:rPr>
          <w:spacing w:val="-5"/>
        </w:rPr>
        <w:t>位优势资源互补，协同增量发展。并且形成企业文化战略、业务发展战略、人力资源战略、经营管理战略、</w:t>
      </w:r>
      <w:r>
        <w:rPr>
          <w:spacing w:val="-7"/>
        </w:rPr>
        <w:t> </w:t>
      </w:r>
      <w:r>
        <w:rPr>
          <w:spacing w:val="-7"/>
        </w:rPr>
      </w:r>
      <w:r>
        <w:rPr/>
        <w:t>投融资战略、财务管理战略等内容，使得战略规划全面落地。</w:t>
      </w:r>
    </w:p>
    <w:p>
      <w:pPr>
        <w:pStyle w:val="Heading3"/>
        <w:spacing w:line="240" w:lineRule="auto" w:before="176"/>
        <w:ind w:right="100"/>
        <w:jc w:val="left"/>
      </w:pPr>
      <w:r>
        <w:rPr>
          <w:rFonts w:ascii="Times New Roman" w:hAnsi="Times New Roman" w:cs="Times New Roman" w:eastAsia="Times New Roman" w:hint="default"/>
        </w:rPr>
        <w:t>2</w:t>
      </w:r>
      <w:r>
        <w:rPr/>
        <w:t>、调整调优组织结构，强化公司管理职能</w:t>
      </w:r>
    </w:p>
    <w:p>
      <w:pPr>
        <w:spacing w:line="240" w:lineRule="auto" w:before="3"/>
        <w:rPr>
          <w:rFonts w:ascii="黑体" w:hAnsi="黑体" w:cs="黑体" w:eastAsia="黑体" w:hint="default"/>
          <w:sz w:val="24"/>
          <w:szCs w:val="24"/>
        </w:rPr>
      </w:pPr>
    </w:p>
    <w:p>
      <w:pPr>
        <w:pStyle w:val="BodyText"/>
        <w:spacing w:line="408" w:lineRule="auto"/>
        <w:ind w:right="103" w:firstLine="420"/>
        <w:jc w:val="both"/>
      </w:pPr>
      <w:r>
        <w:rPr/>
        <w:t>公司根据内外部条件的变化，适时优化关键性职能设置，按照管理高效、节约资源、适应外部环境、</w:t>
      </w:r>
      <w:r>
        <w:rPr>
          <w:spacing w:val="-3"/>
          <w:w w:val="100"/>
        </w:rPr>
        <w:t> </w:t>
      </w:r>
      <w:r>
        <w:rPr/>
        <w:t>集权与分权相结合的原则，对各成员单位、职能部门和岗位设置进行再设计，并做出必要的调整，调优，</w:t>
      </w:r>
      <w:r>
        <w:rPr>
          <w:w w:val="100"/>
        </w:rPr>
        <w:t> </w:t>
      </w:r>
      <w:r>
        <w:rPr>
          <w:spacing w:val="-5"/>
        </w:rPr>
        <w:t>整合，增减，建设一个机构简练、人员精干、管理规范的管理组织，最大限度发挥公司管理职能核心作用。</w:t>
      </w:r>
    </w:p>
    <w:p>
      <w:pPr>
        <w:pStyle w:val="Heading3"/>
        <w:spacing w:line="240" w:lineRule="auto" w:before="176"/>
        <w:ind w:right="100"/>
        <w:jc w:val="left"/>
      </w:pPr>
      <w:r>
        <w:rPr>
          <w:rFonts w:ascii="Times New Roman" w:hAnsi="Times New Roman" w:cs="Times New Roman" w:eastAsia="Times New Roman" w:hint="default"/>
        </w:rPr>
        <w:t>3</w:t>
      </w:r>
      <w:r>
        <w:rPr/>
        <w:t>、建立完善制度机制，提高公司运行效率</w:t>
      </w:r>
    </w:p>
    <w:p>
      <w:pPr>
        <w:spacing w:line="240" w:lineRule="auto" w:before="3"/>
        <w:rPr>
          <w:rFonts w:ascii="黑体" w:hAnsi="黑体" w:cs="黑体" w:eastAsia="黑体" w:hint="default"/>
          <w:sz w:val="24"/>
          <w:szCs w:val="24"/>
        </w:rPr>
      </w:pPr>
    </w:p>
    <w:p>
      <w:pPr>
        <w:pStyle w:val="BodyText"/>
        <w:spacing w:line="408" w:lineRule="auto"/>
        <w:ind w:right="207" w:firstLine="420"/>
        <w:jc w:val="both"/>
      </w:pPr>
      <w:r>
        <w:rPr>
          <w:spacing w:val="-3"/>
        </w:rPr>
        <w:t>健全有效的制度体系，是企业规范管理、高效运作的根本保障。公司将以市场为导向，以经营业绩为</w:t>
      </w:r>
      <w:r>
        <w:rPr>
          <w:w w:val="100"/>
        </w:rPr>
        <w:t> </w:t>
      </w:r>
      <w:r>
        <w:rPr>
          <w:spacing w:val="-2"/>
        </w:rPr>
        <w:t>总目标，修订并完善内控制度，投融资制度，薪酬福利制度等内容，围绕各控股子公司整体经营情况，建</w:t>
      </w:r>
      <w:r>
        <w:rPr>
          <w:spacing w:val="-43"/>
        </w:rPr>
        <w:t> </w:t>
      </w:r>
      <w:r>
        <w:rPr>
          <w:spacing w:val="-43"/>
        </w:rPr>
      </w:r>
      <w:r>
        <w:rPr>
          <w:spacing w:val="-2"/>
        </w:rPr>
        <w:t>立健全经营业绩评价问责机制，考核机制，奖惩机制，并且积极布局未来产业，内生与外延并举，提高公</w:t>
      </w:r>
      <w:r>
        <w:rPr>
          <w:spacing w:val="-43"/>
        </w:rPr>
        <w:t> </w:t>
      </w:r>
      <w:r>
        <w:rPr>
          <w:spacing w:val="-43"/>
        </w:rPr>
      </w:r>
      <w:r>
        <w:rPr/>
        <w:t>司整体运行效率。</w:t>
      </w:r>
    </w:p>
    <w:p>
      <w:pPr>
        <w:pStyle w:val="Heading3"/>
        <w:spacing w:line="240" w:lineRule="auto" w:before="177"/>
        <w:ind w:right="100"/>
        <w:jc w:val="left"/>
      </w:pPr>
      <w:r>
        <w:rPr>
          <w:rFonts w:ascii="Times New Roman" w:hAnsi="Times New Roman" w:cs="Times New Roman" w:eastAsia="Times New Roman" w:hint="default"/>
        </w:rPr>
        <w:t>4</w:t>
      </w:r>
      <w:r>
        <w:rPr/>
        <w:t>、抓好人才队伍建设，提高人员业务能力</w:t>
      </w:r>
    </w:p>
    <w:p>
      <w:pPr>
        <w:spacing w:after="0" w:line="240" w:lineRule="auto"/>
        <w:jc w:val="left"/>
        <w:sectPr>
          <w:pgSz w:w="11910" w:h="16840"/>
          <w:pgMar w:header="882" w:footer="1132" w:top="1280" w:bottom="1320" w:left="980" w:right="920"/>
        </w:sectPr>
      </w:pPr>
    </w:p>
    <w:p>
      <w:pPr>
        <w:spacing w:line="240" w:lineRule="auto" w:before="5"/>
        <w:rPr>
          <w:rFonts w:ascii="黑体" w:hAnsi="黑体" w:cs="黑体" w:eastAsia="黑体" w:hint="default"/>
          <w:sz w:val="13"/>
          <w:szCs w:val="13"/>
        </w:rPr>
      </w:pPr>
    </w:p>
    <w:p>
      <w:pPr>
        <w:pStyle w:val="BodyText"/>
        <w:spacing w:line="400" w:lineRule="auto" w:before="36"/>
        <w:ind w:right="100" w:firstLine="420"/>
        <w:jc w:val="left"/>
      </w:pPr>
      <w:r>
        <w:rPr/>
        <w:t>人才的开发与利用永远是企业保持核心竞争力的关键。</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spacing w:val="-4"/>
        </w:rPr>
        <w:t>年，在人才队伍建设方面，公司将健全人</w:t>
      </w:r>
      <w:r>
        <w:rPr>
          <w:w w:val="100"/>
        </w:rPr>
        <w:t> </w:t>
      </w:r>
      <w:r>
        <w:rPr>
          <w:spacing w:val="-2"/>
        </w:rPr>
        <w:t>才队伍培养规划，协同各分子公司，建立一套行之有效的识才、选才、育才、用才、留才的保障措施。通</w:t>
      </w:r>
      <w:r>
        <w:rPr>
          <w:spacing w:val="-48"/>
        </w:rPr>
        <w:t> </w:t>
      </w:r>
      <w:r>
        <w:rPr>
          <w:spacing w:val="-48"/>
        </w:rPr>
      </w:r>
      <w:r>
        <w:rPr>
          <w:spacing w:val="-5"/>
        </w:rPr>
        <w:t>过岗位轮换、送学进修、重大项目历练等办法，不断提高员工的整体素质业务能力，做好人才选拔与储备，</w:t>
      </w:r>
      <w:r>
        <w:rPr>
          <w:spacing w:val="-7"/>
        </w:rPr>
        <w:t> </w:t>
      </w:r>
      <w:r>
        <w:rPr>
          <w:spacing w:val="-7"/>
        </w:rPr>
      </w:r>
      <w:r>
        <w:rPr/>
        <w:t>构建合理的人才梯队，保证公司人才的可持续发展。</w:t>
      </w:r>
    </w:p>
    <w:p>
      <w:pPr>
        <w:spacing w:line="240" w:lineRule="auto" w:before="2"/>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5</w:t>
      </w:r>
      <w:r>
        <w:rPr/>
        <w:t>、加大核心产品研发力度，提高公司整体战斗力</w:t>
      </w:r>
    </w:p>
    <w:p>
      <w:pPr>
        <w:spacing w:line="240" w:lineRule="auto" w:before="1"/>
        <w:rPr>
          <w:rFonts w:ascii="黑体" w:hAnsi="黑体" w:cs="黑体" w:eastAsia="黑体" w:hint="default"/>
          <w:sz w:val="24"/>
          <w:szCs w:val="24"/>
        </w:rPr>
      </w:pPr>
    </w:p>
    <w:p>
      <w:pPr>
        <w:pStyle w:val="BodyText"/>
        <w:spacing w:line="408" w:lineRule="auto"/>
        <w:ind w:right="208" w:firstLine="420"/>
        <w:jc w:val="both"/>
      </w:pPr>
      <w:r>
        <w:rPr>
          <w:spacing w:val="-2"/>
        </w:rPr>
        <w:t>公司以国家政策为导向，根据总体战略规划，围绕业务方向，在研发投入、产业培育上给予政策和资</w:t>
      </w:r>
      <w:r>
        <w:rPr>
          <w:w w:val="100"/>
        </w:rPr>
        <w:t> </w:t>
      </w:r>
      <w:r>
        <w:rPr>
          <w:spacing w:val="-2"/>
        </w:rPr>
        <w:t>金倾斜，研发一些明星产品，加快业务板块发展。并且通过建立研究院的方式，培育孵化出更多的符合市</w:t>
      </w:r>
      <w:r>
        <w:rPr>
          <w:spacing w:val="-47"/>
        </w:rPr>
        <w:t> </w:t>
      </w:r>
      <w:r>
        <w:rPr>
          <w:spacing w:val="-47"/>
        </w:rPr>
      </w:r>
      <w:r>
        <w:rPr/>
        <w:t>场方向的新产品新技术，以及通过重大募投项目规划，科技成果申报，挺高公司整体战斗力。</w:t>
      </w:r>
    </w:p>
    <w:p>
      <w:pPr>
        <w:spacing w:line="240" w:lineRule="auto" w:before="2"/>
        <w:rPr>
          <w:rFonts w:ascii="宋体" w:hAnsi="宋体" w:cs="宋体" w:eastAsia="宋体" w:hint="default"/>
          <w:sz w:val="25"/>
          <w:szCs w:val="25"/>
        </w:rPr>
      </w:pPr>
    </w:p>
    <w:p>
      <w:pPr>
        <w:pStyle w:val="Heading2"/>
        <w:spacing w:line="240" w:lineRule="auto" w:before="0"/>
        <w:ind w:right="100"/>
        <w:jc w:val="left"/>
      </w:pPr>
      <w:r>
        <w:rPr/>
        <w:t>十、接待调研、沟通、采访等活动登记表</w:t>
      </w:r>
    </w:p>
    <w:p>
      <w:pPr>
        <w:spacing w:line="240" w:lineRule="auto" w:before="12"/>
        <w:rPr>
          <w:rFonts w:ascii="黑体" w:hAnsi="黑体" w:cs="黑体" w:eastAsia="黑体" w:hint="default"/>
          <w:sz w:val="35"/>
          <w:szCs w:val="35"/>
        </w:rPr>
      </w:pPr>
    </w:p>
    <w:p>
      <w:pPr>
        <w:pStyle w:val="Heading3"/>
        <w:spacing w:line="240" w:lineRule="auto"/>
        <w:ind w:right="100"/>
        <w:jc w:val="left"/>
      </w:pPr>
      <w:r>
        <w:rPr>
          <w:rFonts w:ascii="Times New Roman" w:hAnsi="Times New Roman" w:cs="Times New Roman" w:eastAsia="Times New Roman" w:hint="default"/>
        </w:rPr>
        <w:t>1</w:t>
      </w:r>
      <w:r>
        <w:rPr/>
        <w:t>、报告期内接待调研、沟通、采访等活动登记表</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208"/>
        <w:gridCol w:w="2206"/>
        <w:gridCol w:w="2206"/>
        <w:gridCol w:w="3077"/>
      </w:tblGrid>
      <w:tr>
        <w:trPr>
          <w:trHeight w:val="509"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735"/>
              <w:jc w:val="right"/>
              <w:rPr>
                <w:rFonts w:ascii="宋体" w:hAnsi="宋体" w:cs="宋体" w:eastAsia="宋体" w:hint="default"/>
                <w:sz w:val="18"/>
                <w:szCs w:val="18"/>
              </w:rPr>
            </w:pPr>
            <w:r>
              <w:rPr>
                <w:rFonts w:ascii="宋体" w:hAnsi="宋体" w:cs="宋体" w:eastAsia="宋体" w:hint="default"/>
                <w:b/>
                <w:bCs/>
                <w:w w:val="95"/>
                <w:sz w:val="18"/>
                <w:szCs w:val="18"/>
              </w:rPr>
              <w:t>接待方式</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b/>
                <w:bCs/>
                <w:sz w:val="18"/>
                <w:szCs w:val="18"/>
              </w:rPr>
              <w:t>调研的基本情况索引</w:t>
            </w:r>
            <w:r>
              <w:rPr>
                <w:rFonts w:ascii="宋体" w:hAnsi="宋体" w:cs="宋体" w:eastAsia="宋体" w:hint="default"/>
                <w:sz w:val="18"/>
                <w:szCs w:val="18"/>
              </w:rPr>
            </w:r>
          </w:p>
        </w:tc>
      </w:tr>
      <w:tr>
        <w:trPr>
          <w:trHeight w:val="509"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50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509"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509"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34"/>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right="555"/>
        <w:jc w:val="center"/>
      </w:pPr>
      <w:bookmarkStart w:name="_bookmark4" w:id="5"/>
      <w:bookmarkEnd w:id="5"/>
      <w:r>
        <w:rPr/>
      </w:r>
      <w:r>
        <w:rPr/>
        <w:t>第五节</w:t>
      </w:r>
      <w:r>
        <w:rPr>
          <w:spacing w:val="-2"/>
        </w:rPr>
        <w:t> </w:t>
      </w:r>
      <w:r>
        <w:rPr/>
        <w:t>重要事项</w:t>
      </w:r>
    </w:p>
    <w:p>
      <w:pPr>
        <w:spacing w:line="240" w:lineRule="auto" w:before="0"/>
        <w:rPr>
          <w:rFonts w:ascii="黑体" w:hAnsi="黑体" w:cs="黑体" w:eastAsia="黑体" w:hint="default"/>
          <w:sz w:val="32"/>
          <w:szCs w:val="32"/>
        </w:rPr>
      </w:pPr>
    </w:p>
    <w:p>
      <w:pPr>
        <w:pStyle w:val="Heading2"/>
        <w:spacing w:line="240" w:lineRule="auto" w:before="219"/>
        <w:ind w:right="11"/>
        <w:jc w:val="left"/>
      </w:pPr>
      <w:r>
        <w:rPr/>
        <w:t>一、公司普通股利润分配及资本公积金转增股本情况</w:t>
      </w:r>
    </w:p>
    <w:p>
      <w:pPr>
        <w:spacing w:line="240" w:lineRule="auto" w:before="9"/>
        <w:rPr>
          <w:rFonts w:ascii="黑体" w:hAnsi="黑体" w:cs="黑体" w:eastAsia="黑体" w:hint="default"/>
          <w:sz w:val="37"/>
          <w:szCs w:val="37"/>
        </w:rPr>
      </w:pPr>
    </w:p>
    <w:p>
      <w:pPr>
        <w:pStyle w:val="BodyText"/>
        <w:spacing w:line="240" w:lineRule="auto"/>
        <w:ind w:left="573" w:right="11"/>
        <w:jc w:val="left"/>
      </w:pPr>
      <w:r>
        <w:rPr/>
        <w:t>报告期内普通股利润分配政策，特别是现金分红政策的制定、执行或调整情况</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w w:val="100"/>
        </w:rPr>
        <w:t>年</w:t>
      </w:r>
      <w:r>
        <w:rPr>
          <w:spacing w:val="-41"/>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rPr>
        <w:t> </w:t>
      </w:r>
      <w:r>
        <w:rPr>
          <w:w w:val="100"/>
        </w:rPr>
        <w:t>月</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spacing w:val="14"/>
        </w:rPr>
        <w:t> </w:t>
      </w:r>
      <w:r>
        <w:rPr>
          <w:w w:val="100"/>
        </w:rPr>
        <w:t>日</w:t>
      </w:r>
      <w:r>
        <w:rPr>
          <w:spacing w:val="-3"/>
          <w:w w:val="100"/>
        </w:rPr>
        <w:t>，</w:t>
      </w:r>
      <w:r>
        <w:rPr>
          <w:w w:val="100"/>
        </w:rPr>
        <w:t>公</w:t>
      </w:r>
      <w:r>
        <w:rPr>
          <w:spacing w:val="-3"/>
          <w:w w:val="100"/>
        </w:rPr>
        <w:t>司</w:t>
      </w:r>
      <w:r>
        <w:rPr>
          <w:w w:val="100"/>
        </w:rPr>
        <w:t>第三</w:t>
      </w:r>
      <w:r>
        <w:rPr>
          <w:spacing w:val="-3"/>
          <w:w w:val="100"/>
        </w:rPr>
        <w:t>届</w:t>
      </w:r>
      <w:r>
        <w:rPr>
          <w:w w:val="100"/>
        </w:rPr>
        <w:t>董</w:t>
      </w:r>
      <w:r>
        <w:rPr>
          <w:spacing w:val="-3"/>
          <w:w w:val="100"/>
        </w:rPr>
        <w:t>事</w:t>
      </w:r>
      <w:r>
        <w:rPr>
          <w:w w:val="100"/>
        </w:rPr>
        <w:t>会</w:t>
      </w:r>
      <w:r>
        <w:rPr>
          <w:spacing w:val="-3"/>
          <w:w w:val="100"/>
        </w:rPr>
        <w:t>第</w:t>
      </w:r>
      <w:r>
        <w:rPr>
          <w:w w:val="100"/>
        </w:rPr>
        <w:t>四</w:t>
      </w:r>
      <w:r>
        <w:rPr>
          <w:spacing w:val="-3"/>
          <w:w w:val="100"/>
        </w:rPr>
        <w:t>十</w:t>
      </w:r>
      <w:r>
        <w:rPr>
          <w:w w:val="100"/>
        </w:rPr>
        <w:t>次</w:t>
      </w:r>
      <w:r>
        <w:rPr>
          <w:spacing w:val="-3"/>
          <w:w w:val="100"/>
        </w:rPr>
        <w:t>会</w:t>
      </w:r>
      <w:r>
        <w:rPr>
          <w:w w:val="100"/>
        </w:rPr>
        <w:t>议通</w:t>
      </w:r>
      <w:r>
        <w:rPr>
          <w:spacing w:val="-3"/>
          <w:w w:val="100"/>
        </w:rPr>
        <w:t>过</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2"/>
        </w:rPr>
        <w:t> </w:t>
      </w:r>
      <w:r>
        <w:rPr>
          <w:w w:val="100"/>
        </w:rPr>
        <w:t>年</w:t>
      </w:r>
      <w:r>
        <w:rPr>
          <w:spacing w:val="-3"/>
          <w:w w:val="100"/>
        </w:rPr>
        <w:t>年</w:t>
      </w:r>
      <w:r>
        <w:rPr>
          <w:w w:val="100"/>
        </w:rPr>
        <w:t>度</w:t>
      </w:r>
      <w:r>
        <w:rPr>
          <w:spacing w:val="-3"/>
          <w:w w:val="100"/>
        </w:rPr>
        <w:t>利润</w:t>
      </w:r>
      <w:r>
        <w:rPr>
          <w:w w:val="100"/>
        </w:rPr>
        <w:t>分配</w:t>
      </w:r>
      <w:r>
        <w:rPr>
          <w:spacing w:val="-3"/>
          <w:w w:val="100"/>
        </w:rPr>
        <w:t>方</w:t>
      </w:r>
      <w:r>
        <w:rPr>
          <w:w w:val="100"/>
        </w:rPr>
        <w:t>案</w:t>
      </w:r>
      <w:r>
        <w:rPr>
          <w:spacing w:val="-3"/>
          <w:w w:val="100"/>
        </w:rPr>
        <w:t>的</w:t>
      </w:r>
      <w:r>
        <w:rPr>
          <w:w w:val="100"/>
        </w:rPr>
        <w:t>议</w:t>
      </w:r>
      <w:r>
        <w:rPr>
          <w:spacing w:val="-3"/>
          <w:w w:val="100"/>
        </w:rPr>
        <w:t>案</w:t>
      </w:r>
      <w:r>
        <w:rPr>
          <w:spacing w:val="-106"/>
          <w:w w:val="100"/>
        </w:rPr>
        <w:t>》</w:t>
      </w:r>
      <w:r>
        <w:rPr>
          <w:spacing w:val="-3"/>
          <w:w w:val="100"/>
        </w:rPr>
        <w:t>：</w:t>
      </w:r>
      <w:r>
        <w:rPr>
          <w:w w:val="100"/>
        </w:rPr>
        <w:t>以现</w:t>
      </w:r>
    </w:p>
    <w:p>
      <w:pPr>
        <w:pStyle w:val="BodyText"/>
        <w:spacing w:line="240" w:lineRule="auto" w:before="177"/>
        <w:ind w:right="11"/>
        <w:jc w:val="left"/>
      </w:pPr>
      <w:r>
        <w:rPr>
          <w:w w:val="100"/>
        </w:rPr>
        <w:t>有总</w:t>
      </w:r>
      <w:r>
        <w:rPr>
          <w:spacing w:val="-3"/>
          <w:w w:val="100"/>
        </w:rPr>
        <w:t>股</w:t>
      </w:r>
      <w:r>
        <w:rPr>
          <w:w w:val="100"/>
        </w:rPr>
        <w:t>本</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149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336,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95</w:t>
      </w:r>
      <w:r>
        <w:rPr>
          <w:rFonts w:ascii="Times New Roman" w:hAnsi="Times New Roman" w:cs="Times New Roman" w:eastAsia="Times New Roman" w:hint="default"/>
          <w:spacing w:val="-3"/>
        </w:rPr>
        <w:t> </w:t>
      </w:r>
      <w:r>
        <w:rPr>
          <w:spacing w:val="-3"/>
          <w:w w:val="100"/>
        </w:rPr>
        <w:t>股</w:t>
      </w:r>
      <w:r>
        <w:rPr>
          <w:w w:val="100"/>
        </w:rPr>
        <w:t>为基</w:t>
      </w:r>
      <w:r>
        <w:rPr>
          <w:spacing w:val="-3"/>
          <w:w w:val="100"/>
        </w:rPr>
        <w:t>数</w:t>
      </w:r>
      <w:r>
        <w:rPr>
          <w:spacing w:val="-27"/>
          <w:w w:val="100"/>
        </w:rPr>
        <w:t>，</w:t>
      </w:r>
      <w:r>
        <w:rPr>
          <w:w w:val="100"/>
        </w:rPr>
        <w:t>向</w:t>
      </w:r>
      <w:r>
        <w:rPr>
          <w:spacing w:val="-3"/>
          <w:w w:val="100"/>
        </w:rPr>
        <w:t>全</w:t>
      </w:r>
      <w:r>
        <w:rPr>
          <w:w w:val="100"/>
        </w:rPr>
        <w:t>体</w:t>
      </w:r>
      <w:r>
        <w:rPr>
          <w:spacing w:val="-3"/>
          <w:w w:val="100"/>
        </w:rPr>
        <w:t>股</w:t>
      </w:r>
      <w:r>
        <w:rPr>
          <w:w w:val="100"/>
        </w:rPr>
        <w:t>东每</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股派</w:t>
      </w:r>
      <w:r>
        <w:rPr>
          <w:spacing w:val="-3"/>
          <w:w w:val="100"/>
        </w:rPr>
        <w:t>发</w:t>
      </w:r>
      <w:r>
        <w:rPr>
          <w:w w:val="100"/>
        </w:rPr>
        <w:t>现</w:t>
      </w:r>
      <w:r>
        <w:rPr>
          <w:spacing w:val="-3"/>
          <w:w w:val="100"/>
        </w:rPr>
        <w:t>金</w:t>
      </w:r>
      <w:r>
        <w:rPr>
          <w:w w:val="100"/>
        </w:rPr>
        <w:t>股利</w:t>
      </w:r>
      <w:r>
        <w:rPr>
          <w:spacing w:val="-2"/>
        </w:rPr>
        <w:t> </w:t>
      </w:r>
      <w:r>
        <w:rPr>
          <w:rFonts w:ascii="Times New Roman" w:hAnsi="Times New Roman" w:cs="Times New Roman" w:eastAsia="Times New Roman" w:hint="default"/>
          <w:w w:val="100"/>
        </w:rPr>
        <w:t>0.7</w:t>
      </w:r>
      <w:r>
        <w:rPr>
          <w:rFonts w:ascii="Times New Roman" w:hAnsi="Times New Roman" w:cs="Times New Roman" w:eastAsia="Times New Roman" w:hint="default"/>
          <w:spacing w:val="-3"/>
        </w:rPr>
        <w:t> </w:t>
      </w:r>
      <w:r>
        <w:rPr>
          <w:w w:val="100"/>
        </w:rPr>
        <w:t>元</w:t>
      </w:r>
      <w:r>
        <w:rPr>
          <w:spacing w:val="-3"/>
          <w:w w:val="100"/>
        </w:rPr>
        <w:t>人</w:t>
      </w:r>
      <w:r>
        <w:rPr>
          <w:w w:val="100"/>
        </w:rPr>
        <w:t>民</w:t>
      </w:r>
      <w:r>
        <w:rPr>
          <w:spacing w:val="-27"/>
          <w:w w:val="100"/>
        </w:rPr>
        <w:t>币</w:t>
      </w:r>
      <w:r>
        <w:rPr>
          <w:w w:val="100"/>
        </w:rPr>
        <w:t>（</w:t>
      </w:r>
      <w:r>
        <w:rPr>
          <w:spacing w:val="-3"/>
          <w:w w:val="100"/>
        </w:rPr>
        <w:t>含</w:t>
      </w:r>
      <w:r>
        <w:rPr>
          <w:w w:val="100"/>
        </w:rPr>
        <w:t>税</w:t>
      </w:r>
      <w:r>
        <w:rPr>
          <w:spacing w:val="-108"/>
          <w:w w:val="100"/>
        </w:rPr>
        <w:t>）</w:t>
      </w:r>
      <w:r>
        <w:rPr>
          <w:spacing w:val="-25"/>
          <w:w w:val="100"/>
        </w:rPr>
        <w:t>，</w:t>
      </w:r>
      <w:r>
        <w:rPr>
          <w:spacing w:val="-3"/>
          <w:w w:val="100"/>
        </w:rPr>
        <w:t>共</w:t>
      </w:r>
      <w:r>
        <w:rPr>
          <w:w w:val="100"/>
        </w:rPr>
        <w:t>分</w:t>
      </w:r>
      <w:r>
        <w:rPr>
          <w:spacing w:val="-3"/>
          <w:w w:val="100"/>
        </w:rPr>
        <w:t>配</w:t>
      </w:r>
      <w:r>
        <w:rPr>
          <w:w w:val="100"/>
        </w:rPr>
        <w:t>现</w:t>
      </w:r>
      <w:r>
        <w:rPr>
          <w:spacing w:val="-3"/>
          <w:w w:val="100"/>
        </w:rPr>
        <w:t>金</w:t>
      </w:r>
      <w:r>
        <w:rPr>
          <w:w w:val="100"/>
        </w:rPr>
        <w:t>股</w:t>
      </w:r>
    </w:p>
    <w:p>
      <w:pPr>
        <w:pStyle w:val="BodyText"/>
        <w:spacing w:line="240" w:lineRule="auto" w:before="177"/>
        <w:ind w:right="11"/>
        <w:jc w:val="left"/>
      </w:pPr>
      <w:r>
        <w:rPr/>
        <w:t>利</w:t>
      </w:r>
      <w:r>
        <w:rPr>
          <w:spacing w:val="-55"/>
        </w:rPr>
        <w:t> </w:t>
      </w:r>
      <w:r>
        <w:rPr>
          <w:rFonts w:ascii="Times New Roman" w:hAnsi="Times New Roman" w:cs="Times New Roman" w:eastAsia="Times New Roman" w:hint="default"/>
        </w:rPr>
        <w:t>80,453,533.65</w:t>
      </w:r>
      <w:r>
        <w:rPr>
          <w:rFonts w:ascii="Times New Roman" w:hAnsi="Times New Roman" w:cs="Times New Roman" w:eastAsia="Times New Roman" w:hint="default"/>
          <w:spacing w:val="-3"/>
        </w:rPr>
        <w:t> </w:t>
      </w:r>
      <w:r>
        <w:rPr/>
        <w:t>元，剩余未分配利润结转以后年度。</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rPr>
        <w:t> </w:t>
      </w:r>
      <w:r>
        <w:rPr>
          <w:w w:val="100"/>
        </w:rPr>
        <w:t>日</w:t>
      </w:r>
      <w:r>
        <w:rPr>
          <w:spacing w:val="-10"/>
          <w:w w:val="100"/>
        </w:rPr>
        <w:t>，</w:t>
      </w:r>
      <w:r>
        <w:rPr>
          <w:w w:val="100"/>
        </w:rPr>
        <w:t>公司</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rPr>
        <w:t> </w:t>
      </w:r>
      <w:r>
        <w:rPr>
          <w:spacing w:val="-3"/>
          <w:w w:val="100"/>
        </w:rPr>
        <w:t>年</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并通</w:t>
      </w:r>
      <w:r>
        <w:rPr>
          <w:spacing w:val="-3"/>
          <w:w w:val="100"/>
        </w:rPr>
        <w:t>过</w:t>
      </w:r>
      <w:r>
        <w:rPr>
          <w:spacing w:val="-10"/>
          <w:w w:val="100"/>
        </w:rPr>
        <w:t>了</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年</w:t>
      </w:r>
      <w:r>
        <w:rPr>
          <w:spacing w:val="-3"/>
          <w:w w:val="100"/>
        </w:rPr>
        <w:t>度利</w:t>
      </w:r>
      <w:r>
        <w:rPr>
          <w:w w:val="100"/>
        </w:rPr>
        <w:t>润分</w:t>
      </w:r>
      <w:r>
        <w:rPr>
          <w:spacing w:val="-3"/>
          <w:w w:val="100"/>
        </w:rPr>
        <w:t>配</w:t>
      </w:r>
      <w:r>
        <w:rPr>
          <w:w w:val="100"/>
        </w:rPr>
        <w:t>方</w:t>
      </w:r>
      <w:r>
        <w:rPr>
          <w:spacing w:val="-3"/>
          <w:w w:val="100"/>
        </w:rPr>
        <w:t>案</w:t>
      </w:r>
      <w:r>
        <w:rPr>
          <w:w w:val="100"/>
        </w:rPr>
        <w:t>的</w:t>
      </w:r>
      <w:r>
        <w:rPr>
          <w:spacing w:val="-3"/>
          <w:w w:val="100"/>
        </w:rPr>
        <w:t>议</w:t>
      </w:r>
      <w:r>
        <w:rPr>
          <w:w w:val="100"/>
        </w:rPr>
        <w:t>案</w:t>
      </w:r>
      <w:r>
        <w:rPr>
          <w:spacing w:val="-108"/>
          <w:w w:val="100"/>
        </w:rPr>
        <w:t>》</w:t>
      </w:r>
      <w:r>
        <w:rPr>
          <w:spacing w:val="-8"/>
          <w:w w:val="100"/>
        </w:rPr>
        <w:t>，</w:t>
      </w:r>
      <w:r>
        <w:rPr>
          <w:w w:val="100"/>
        </w:rPr>
        <w:t>同</w:t>
      </w:r>
    </w:p>
    <w:p>
      <w:pPr>
        <w:pStyle w:val="BodyText"/>
        <w:spacing w:line="240" w:lineRule="auto" w:before="177"/>
        <w:ind w:right="11"/>
        <w:jc w:val="left"/>
      </w:pPr>
      <w:r>
        <w:rPr/>
        <w:t>意董事会提出的</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年年度利润分配方案。</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w:t>
      </w:r>
      <w:r>
        <w:rPr>
          <w:spacing w:val="-55"/>
        </w:rPr>
        <w:t> </w:t>
      </w:r>
      <w:r>
        <w:rPr>
          <w:rFonts w:ascii="Times New Roman" w:hAnsi="Times New Roman" w:cs="Times New Roman" w:eastAsia="Times New Roman" w:hint="default"/>
        </w:rPr>
        <w:t>2016 </w:t>
      </w:r>
      <w:r>
        <w:rPr/>
        <w:t>年年度利润分配方案已实施完毕。</w:t>
      </w:r>
    </w:p>
    <w:p>
      <w:pPr>
        <w:spacing w:line="240" w:lineRule="auto" w:before="2"/>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5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13"/>
              <w:jc w:val="center"/>
              <w:rPr>
                <w:rFonts w:ascii="宋体" w:hAnsi="宋体" w:cs="宋体" w:eastAsia="宋体" w:hint="default"/>
                <w:sz w:val="18"/>
                <w:szCs w:val="18"/>
              </w:rPr>
            </w:pPr>
            <w:r>
              <w:rPr>
                <w:rFonts w:ascii="宋体" w:hAnsi="宋体" w:cs="宋体" w:eastAsia="宋体" w:hint="default"/>
                <w:b/>
                <w:bCs/>
                <w:sz w:val="18"/>
                <w:szCs w:val="18"/>
              </w:rPr>
              <w:t>现金分红政策的专项说明</w:t>
            </w:r>
            <w:r>
              <w:rPr>
                <w:rFonts w:ascii="宋体" w:hAnsi="宋体" w:cs="宋体" w:eastAsia="宋体" w:hint="default"/>
                <w:sz w:val="18"/>
                <w:szCs w:val="18"/>
              </w:rPr>
            </w:r>
          </w:p>
        </w:tc>
      </w:tr>
      <w:tr>
        <w:trPr>
          <w:trHeight w:val="5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1"/>
              <w:ind w:left="12" w:right="1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5"/>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公司报告期利润分配预案及资本公积金转增股本预案与公司章程和分红管理办法等的相关规定一致</w:t>
      </w:r>
    </w:p>
    <w:p>
      <w:pPr>
        <w:spacing w:line="240" w:lineRule="auto" w:before="4"/>
        <w:rPr>
          <w:rFonts w:ascii="宋体" w:hAnsi="宋体" w:cs="宋体" w:eastAsia="宋体" w:hint="default"/>
          <w:sz w:val="22"/>
          <w:szCs w:val="22"/>
        </w:rPr>
      </w:pPr>
    </w:p>
    <w:p>
      <w:pPr>
        <w:pStyle w:val="BodyText"/>
        <w:spacing w:line="482" w:lineRule="auto"/>
        <w:ind w:left="573" w:right="1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509"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50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0.70</w:t>
            </w:r>
          </w:p>
        </w:tc>
      </w:tr>
      <w:tr>
        <w:trPr>
          <w:trHeight w:val="506"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5</w:t>
            </w:r>
          </w:p>
        </w:tc>
      </w:tr>
      <w:tr>
        <w:trPr>
          <w:trHeight w:val="50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2"/>
                <w:szCs w:val="12"/>
              </w:rPr>
            </w:pPr>
            <w:r>
              <w:rPr>
                <w:rFonts w:ascii="Times New Roman"/>
                <w:sz w:val="18"/>
              </w:rPr>
              <w:t>1,165,647,898</w:t>
            </w:r>
            <w:r>
              <w:rPr>
                <w:rFonts w:ascii="Times New Roman"/>
                <w:spacing w:val="-2"/>
                <w:sz w:val="18"/>
              </w:rPr>
              <w:t> </w:t>
            </w:r>
            <w:r>
              <w:rPr>
                <w:rFonts w:ascii="Times New Roman"/>
                <w:color w:val="FF0000"/>
                <w:position w:val="8"/>
                <w:sz w:val="12"/>
              </w:rPr>
              <w:t>2</w:t>
            </w:r>
            <w:r>
              <w:rPr>
                <w:rFonts w:ascii="Times New Roman"/>
                <w:sz w:val="12"/>
              </w:rPr>
            </w:r>
          </w:p>
        </w:tc>
      </w:tr>
      <w:tr>
        <w:trPr>
          <w:trHeight w:val="50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81,595,352.86</w:t>
            </w:r>
          </w:p>
        </w:tc>
      </w:tr>
      <w:tr>
        <w:trPr>
          <w:trHeight w:val="506"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186,138,407.95</w:t>
            </w:r>
          </w:p>
        </w:tc>
      </w:tr>
      <w:tr>
        <w:trPr>
          <w:trHeight w:val="50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18"/>
                <w:szCs w:val="18"/>
              </w:rPr>
            </w:pPr>
            <w:r>
              <w:rPr>
                <w:rFonts w:ascii="Times New Roman"/>
                <w:sz w:val="18"/>
              </w:rPr>
              <w:t>100.00%</w:t>
            </w:r>
          </w:p>
        </w:tc>
      </w:tr>
      <w:tr>
        <w:trPr>
          <w:trHeight w:val="50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b/>
                <w:bCs/>
                <w:sz w:val="18"/>
                <w:szCs w:val="18"/>
              </w:rPr>
              <w:t>本次现金分红情况</w:t>
            </w:r>
            <w:r>
              <w:rPr>
                <w:rFonts w:ascii="宋体" w:hAnsi="宋体" w:cs="宋体" w:eastAsia="宋体" w:hint="default"/>
                <w:sz w:val="18"/>
                <w:szCs w:val="18"/>
              </w:rPr>
            </w:r>
          </w:p>
        </w:tc>
      </w:tr>
      <w:tr>
        <w:trPr>
          <w:trHeight w:val="50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50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利润分配或资本公积金转增预案的详细情况说明</w:t>
            </w:r>
            <w:r>
              <w:rPr>
                <w:rFonts w:ascii="宋体" w:hAnsi="宋体" w:cs="宋体" w:eastAsia="宋体" w:hint="default"/>
                <w:sz w:val="18"/>
                <w:szCs w:val="18"/>
              </w:rPr>
            </w:r>
          </w:p>
        </w:tc>
      </w:tr>
      <w:tr>
        <w:trPr>
          <w:trHeight w:val="144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以公司扣除已回购社会公众股、扣除即将回购注销的限制性股票后现有股份总数 </w:t>
            </w:r>
            <w:r>
              <w:rPr>
                <w:rFonts w:ascii="Times New Roman" w:hAnsi="Times New Roman" w:cs="Times New Roman" w:eastAsia="Times New Roman" w:hint="default"/>
                <w:sz w:val="18"/>
                <w:szCs w:val="18"/>
              </w:rPr>
              <w:t>1,165,647,898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股为基数，向全体股东每</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股派发现金股利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，共计派发现金股利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，剩余未分配利润结转以后年度；同时进</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行资本公积金转增股本，向全体股东每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股，共计转增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582,823,949</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股，转增后公司总股本将增加至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1,748,471,847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截至本报告披露日，公司已回购社会公众股共计</w:t>
      </w:r>
      <w:r>
        <w:rPr>
          <w:spacing w:val="-48"/>
        </w:rPr>
        <w:t> </w:t>
      </w:r>
      <w:r>
        <w:rPr>
          <w:rFonts w:ascii="Times New Roman" w:hAnsi="Times New Roman" w:cs="Times New Roman" w:eastAsia="Times New Roman" w:hint="default"/>
        </w:rPr>
        <w:t>6,056,025</w:t>
      </w:r>
      <w:r>
        <w:rPr>
          <w:rFonts w:ascii="Times New Roman" w:hAnsi="Times New Roman" w:cs="Times New Roman" w:eastAsia="Times New Roman" w:hint="default"/>
          <w:spacing w:val="2"/>
        </w:rPr>
        <w:t> </w:t>
      </w:r>
      <w:r>
        <w:rPr/>
        <w:t>股；经</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年第二次临时股东大会</w:t>
      </w:r>
    </w:p>
    <w:p>
      <w:pPr>
        <w:pStyle w:val="BodyText"/>
        <w:spacing w:line="240" w:lineRule="auto" w:before="175"/>
        <w:ind w:right="100"/>
        <w:jc w:val="left"/>
      </w:pPr>
      <w:r>
        <w:rPr/>
        <w:t>审议通过，公司即将回购注销未达到解锁条件的限制性股票 </w:t>
      </w:r>
      <w:r>
        <w:rPr>
          <w:rFonts w:ascii="Times New Roman" w:hAnsi="Times New Roman" w:cs="Times New Roman" w:eastAsia="Times New Roman" w:hint="default"/>
        </w:rPr>
        <w:t>492,272</w:t>
      </w:r>
      <w:r>
        <w:rPr>
          <w:rFonts w:ascii="Times New Roman" w:hAnsi="Times New Roman" w:cs="Times New Roman" w:eastAsia="Times New Roman" w:hint="default"/>
          <w:spacing w:val="-29"/>
        </w:rPr>
        <w:t> </w:t>
      </w:r>
      <w:r>
        <w:rPr/>
        <w:t>股。根据相关规定，上述股份不具有</w:t>
      </w:r>
    </w:p>
    <w:p>
      <w:pPr>
        <w:pStyle w:val="BodyText"/>
        <w:spacing w:line="240" w:lineRule="auto" w:before="177"/>
        <w:ind w:right="0"/>
        <w:jc w:val="left"/>
      </w:pPr>
      <w:r>
        <w:rPr>
          <w:w w:val="100"/>
        </w:rPr>
        <w:t>分红</w:t>
      </w:r>
      <w:r>
        <w:rPr>
          <w:spacing w:val="-3"/>
          <w:w w:val="100"/>
        </w:rPr>
        <w:t>权</w:t>
      </w:r>
      <w:r>
        <w:rPr>
          <w:spacing w:val="-92"/>
          <w:w w:val="100"/>
        </w:rPr>
        <w:t>。</w:t>
      </w:r>
      <w:r>
        <w:rPr>
          <w:w w:val="100"/>
        </w:rPr>
        <w:t>公</w:t>
      </w:r>
      <w:r>
        <w:rPr>
          <w:spacing w:val="-3"/>
          <w:w w:val="100"/>
        </w:rPr>
        <w:t>司</w:t>
      </w:r>
      <w:r>
        <w:rPr>
          <w:w w:val="100"/>
        </w:rPr>
        <w:t>扣</w:t>
      </w:r>
      <w:r>
        <w:rPr>
          <w:spacing w:val="-3"/>
          <w:w w:val="100"/>
        </w:rPr>
        <w:t>除</w:t>
      </w:r>
      <w:r>
        <w:rPr>
          <w:w w:val="100"/>
        </w:rPr>
        <w:t>已</w:t>
      </w:r>
      <w:r>
        <w:rPr>
          <w:spacing w:val="-3"/>
          <w:w w:val="100"/>
        </w:rPr>
        <w:t>回</w:t>
      </w:r>
      <w:r>
        <w:rPr>
          <w:w w:val="100"/>
        </w:rPr>
        <w:t>购</w:t>
      </w:r>
      <w:r>
        <w:rPr>
          <w:spacing w:val="-3"/>
          <w:w w:val="100"/>
        </w:rPr>
        <w:t>社</w:t>
      </w:r>
      <w:r>
        <w:rPr>
          <w:w w:val="100"/>
        </w:rPr>
        <w:t>会公</w:t>
      </w:r>
      <w:r>
        <w:rPr>
          <w:spacing w:val="-3"/>
          <w:w w:val="100"/>
        </w:rPr>
        <w:t>众股</w:t>
      </w:r>
      <w:r>
        <w:rPr>
          <w:spacing w:val="-89"/>
          <w:w w:val="100"/>
        </w:rPr>
        <w:t>、</w:t>
      </w:r>
      <w:r>
        <w:rPr>
          <w:spacing w:val="-3"/>
          <w:w w:val="100"/>
        </w:rPr>
        <w:t>扣</w:t>
      </w:r>
      <w:r>
        <w:rPr>
          <w:w w:val="100"/>
        </w:rPr>
        <w:t>除</w:t>
      </w:r>
      <w:r>
        <w:rPr>
          <w:spacing w:val="-3"/>
          <w:w w:val="100"/>
        </w:rPr>
        <w:t>即</w:t>
      </w:r>
      <w:r>
        <w:rPr>
          <w:w w:val="100"/>
        </w:rPr>
        <w:t>将</w:t>
      </w:r>
      <w:r>
        <w:rPr>
          <w:spacing w:val="-3"/>
          <w:w w:val="100"/>
        </w:rPr>
        <w:t>回</w:t>
      </w:r>
      <w:r>
        <w:rPr>
          <w:w w:val="100"/>
        </w:rPr>
        <w:t>购</w:t>
      </w:r>
      <w:r>
        <w:rPr>
          <w:spacing w:val="-3"/>
          <w:w w:val="100"/>
        </w:rPr>
        <w:t>注</w:t>
      </w:r>
      <w:r>
        <w:rPr>
          <w:w w:val="100"/>
        </w:rPr>
        <w:t>销的</w:t>
      </w:r>
      <w:r>
        <w:rPr>
          <w:spacing w:val="-3"/>
          <w:w w:val="100"/>
        </w:rPr>
        <w:t>限</w:t>
      </w:r>
      <w:r>
        <w:rPr>
          <w:w w:val="100"/>
        </w:rPr>
        <w:t>制</w:t>
      </w:r>
      <w:r>
        <w:rPr>
          <w:spacing w:val="-3"/>
          <w:w w:val="100"/>
        </w:rPr>
        <w:t>性</w:t>
      </w:r>
      <w:r>
        <w:rPr>
          <w:w w:val="100"/>
        </w:rPr>
        <w:t>股</w:t>
      </w:r>
      <w:r>
        <w:rPr>
          <w:spacing w:val="-3"/>
          <w:w w:val="100"/>
        </w:rPr>
        <w:t>票</w:t>
      </w:r>
      <w:r>
        <w:rPr>
          <w:w w:val="100"/>
        </w:rPr>
        <w:t>后</w:t>
      </w:r>
      <w:r>
        <w:rPr>
          <w:spacing w:val="-3"/>
          <w:w w:val="100"/>
        </w:rPr>
        <w:t>现</w:t>
      </w:r>
      <w:r>
        <w:rPr>
          <w:w w:val="100"/>
        </w:rPr>
        <w:t>有</w:t>
      </w:r>
      <w:r>
        <w:rPr>
          <w:spacing w:val="-3"/>
          <w:w w:val="100"/>
        </w:rPr>
        <w:t>股</w:t>
      </w:r>
      <w:r>
        <w:rPr>
          <w:w w:val="100"/>
        </w:rPr>
        <w:t>份总</w:t>
      </w:r>
      <w:r>
        <w:rPr>
          <w:spacing w:val="-3"/>
          <w:w w:val="100"/>
        </w:rPr>
        <w:t>数</w:t>
      </w:r>
      <w:r>
        <w:rPr>
          <w:w w:val="100"/>
        </w:rPr>
        <w:t>为</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165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647,</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98</w:t>
      </w:r>
      <w:r>
        <w:rPr>
          <w:rFonts w:ascii="Times New Roman" w:hAnsi="Times New Roman" w:cs="Times New Roman" w:eastAsia="Times New Roman" w:hint="default"/>
          <w:spacing w:val="-3"/>
        </w:rPr>
        <w:t> </w:t>
      </w:r>
      <w:r>
        <w:rPr>
          <w:spacing w:val="-3"/>
          <w:w w:val="100"/>
        </w:rPr>
        <w:t>股。</w:t>
      </w:r>
      <w:r>
        <w:rPr>
          <w:w w:val="100"/>
        </w:rPr>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w w:val="100"/>
        </w:rPr>
        <w:t>公司近</w:t>
      </w:r>
      <w:r>
        <w:rPr>
          <w:spacing w:val="-12"/>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w w:val="100"/>
        </w:rPr>
        <w:t>年</w:t>
      </w:r>
      <w:r>
        <w:rPr>
          <w:spacing w:val="-3"/>
          <w:w w:val="100"/>
        </w:rPr>
        <w:t>（</w:t>
      </w:r>
      <w:r>
        <w:rPr>
          <w:w w:val="100"/>
        </w:rPr>
        <w:t>包</w:t>
      </w:r>
      <w:r>
        <w:rPr>
          <w:spacing w:val="-3"/>
          <w:w w:val="100"/>
        </w:rPr>
        <w:t>括</w:t>
      </w:r>
      <w:r>
        <w:rPr>
          <w:w w:val="100"/>
        </w:rPr>
        <w:t>本</w:t>
      </w:r>
      <w:r>
        <w:rPr>
          <w:spacing w:val="-3"/>
          <w:w w:val="100"/>
        </w:rPr>
        <w:t>报告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pStyle w:val="BodyText"/>
        <w:spacing w:line="240" w:lineRule="auto" w:before="177"/>
        <w:ind w:right="100"/>
        <w:jc w:val="left"/>
      </w:pPr>
      <w:r>
        <w:rPr>
          <w:w w:val="100"/>
        </w:rPr>
        <w:t>况</w:t>
      </w:r>
    </w:p>
    <w:p>
      <w:pPr>
        <w:spacing w:line="240" w:lineRule="auto" w:before="6"/>
        <w:rPr>
          <w:rFonts w:ascii="宋体" w:hAnsi="宋体" w:cs="宋体" w:eastAsia="宋体" w:hint="default"/>
          <w:sz w:val="22"/>
          <w:szCs w:val="22"/>
        </w:rPr>
      </w:pPr>
    </w:p>
    <w:p>
      <w:pPr>
        <w:pStyle w:val="BodyText"/>
        <w:spacing w:line="240" w:lineRule="auto"/>
        <w:ind w:left="573" w:right="100"/>
        <w:jc w:val="left"/>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12"/>
        </w:rPr>
        <w:t> </w:t>
      </w:r>
      <w:r>
        <w:rPr>
          <w:w w:val="100"/>
        </w:rPr>
        <w:t>年</w:t>
      </w:r>
      <w:r>
        <w:rPr>
          <w:spacing w:val="-4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rPr>
        <w:t> </w:t>
      </w:r>
      <w:r>
        <w:rPr>
          <w:w w:val="100"/>
        </w:rPr>
        <w:t>月</w:t>
      </w:r>
      <w:r>
        <w:rPr>
          <w:spacing w:val="-4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rPr>
        <w:t> </w:t>
      </w:r>
      <w:r>
        <w:rPr>
          <w:spacing w:val="-3"/>
          <w:w w:val="100"/>
        </w:rPr>
        <w:t>日</w:t>
      </w:r>
      <w:r>
        <w:rPr>
          <w:w w:val="100"/>
        </w:rPr>
        <w:t>公司</w:t>
      </w:r>
      <w:r>
        <w:rPr>
          <w:spacing w:val="-4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rPr>
        <w:t> </w:t>
      </w:r>
      <w:r>
        <w:rPr>
          <w:spacing w:val="-3"/>
          <w:w w:val="100"/>
        </w:rPr>
        <w:t>年</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w:t>
      </w:r>
      <w:r>
        <w:rPr>
          <w:spacing w:val="-3"/>
          <w:w w:val="100"/>
        </w:rPr>
        <w:t>审议</w:t>
      </w:r>
      <w:r>
        <w:rPr>
          <w:w w:val="100"/>
        </w:rPr>
        <w:t>通过</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spacing w:val="-3"/>
          <w:w w:val="100"/>
        </w:rPr>
        <w:t>年</w:t>
      </w:r>
      <w:r>
        <w:rPr>
          <w:w w:val="100"/>
        </w:rPr>
        <w:t>年</w:t>
      </w:r>
      <w:r>
        <w:rPr>
          <w:spacing w:val="-3"/>
          <w:w w:val="100"/>
        </w:rPr>
        <w:t>度</w:t>
      </w:r>
      <w:r>
        <w:rPr>
          <w:w w:val="100"/>
        </w:rPr>
        <w:t>利</w:t>
      </w:r>
      <w:r>
        <w:rPr>
          <w:spacing w:val="-3"/>
          <w:w w:val="100"/>
        </w:rPr>
        <w:t>润分</w:t>
      </w:r>
      <w:r>
        <w:rPr>
          <w:w w:val="100"/>
        </w:rPr>
        <w:t>配方</w:t>
      </w:r>
      <w:r>
        <w:rPr>
          <w:spacing w:val="-3"/>
          <w:w w:val="100"/>
        </w:rPr>
        <w:t>案</w:t>
      </w:r>
      <w:r>
        <w:rPr>
          <w:w w:val="100"/>
        </w:rPr>
        <w:t>的</w:t>
      </w:r>
      <w:r>
        <w:rPr>
          <w:spacing w:val="-3"/>
          <w:w w:val="100"/>
        </w:rPr>
        <w:t>议</w:t>
      </w:r>
      <w:r>
        <w:rPr>
          <w:w w:val="100"/>
        </w:rPr>
        <w:t>案</w:t>
      </w:r>
      <w:r>
        <w:rPr>
          <w:spacing w:val="-108"/>
          <w:w w:val="100"/>
        </w:rPr>
        <w:t>》</w:t>
      </w:r>
      <w:r>
        <w:rPr>
          <w:w w:val="100"/>
        </w:rPr>
        <w:t>：</w:t>
      </w:r>
      <w:r>
        <w:rPr>
          <w:spacing w:val="-3"/>
          <w:w w:val="100"/>
        </w:rPr>
        <w:t>以</w:t>
      </w:r>
      <w:r>
        <w:rPr>
          <w:w w:val="100"/>
        </w:rPr>
        <w:t>现有</w:t>
      </w:r>
    </w:p>
    <w:p>
      <w:pPr>
        <w:pStyle w:val="BodyText"/>
        <w:spacing w:line="240" w:lineRule="auto" w:before="177"/>
        <w:ind w:right="100"/>
        <w:jc w:val="left"/>
      </w:pPr>
      <w:r>
        <w:rPr>
          <w:w w:val="100"/>
        </w:rPr>
        <w:t>总股本</w:t>
      </w:r>
      <w:r>
        <w:rPr>
          <w:spacing w:val="-38"/>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83,1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5"/>
        </w:rPr>
        <w:t> </w:t>
      </w:r>
      <w:r>
        <w:rPr>
          <w:spacing w:val="-3"/>
          <w:w w:val="100"/>
        </w:rPr>
        <w:t>股</w:t>
      </w:r>
      <w:r>
        <w:rPr>
          <w:w w:val="100"/>
        </w:rPr>
        <w:t>为</w:t>
      </w:r>
      <w:r>
        <w:rPr>
          <w:spacing w:val="-3"/>
          <w:w w:val="100"/>
        </w:rPr>
        <w:t>基</w:t>
      </w:r>
      <w:r>
        <w:rPr>
          <w:w w:val="100"/>
        </w:rPr>
        <w:t>数，</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38"/>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7"/>
        </w:rPr>
        <w:t> </w:t>
      </w:r>
      <w:r>
        <w:rPr>
          <w:w w:val="100"/>
        </w:rPr>
        <w:t>股</w:t>
      </w:r>
      <w:r>
        <w:rPr>
          <w:spacing w:val="-3"/>
          <w:w w:val="100"/>
        </w:rPr>
        <w:t>派</w:t>
      </w:r>
      <w:r>
        <w:rPr>
          <w:w w:val="100"/>
        </w:rPr>
        <w:t>发现</w:t>
      </w:r>
      <w:r>
        <w:rPr>
          <w:spacing w:val="-3"/>
          <w:w w:val="100"/>
        </w:rPr>
        <w:t>金</w:t>
      </w:r>
      <w:r>
        <w:rPr>
          <w:w w:val="100"/>
        </w:rPr>
        <w:t>股利</w:t>
      </w:r>
      <w:r>
        <w:rPr>
          <w:spacing w:val="-38"/>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.42</w:t>
      </w:r>
      <w:r>
        <w:rPr>
          <w:rFonts w:ascii="Times New Roman" w:hAnsi="Times New Roman" w:cs="Times New Roman" w:eastAsia="Times New Roman" w:hint="default"/>
          <w:spacing w:val="-7"/>
        </w:rPr>
        <w:t> </w:t>
      </w:r>
      <w:r>
        <w:rPr>
          <w:w w:val="100"/>
        </w:rPr>
        <w:t>元</w:t>
      </w:r>
      <w:r>
        <w:rPr>
          <w:spacing w:val="-3"/>
          <w:w w:val="100"/>
        </w:rPr>
        <w:t>人</w:t>
      </w:r>
      <w:r>
        <w:rPr>
          <w:w w:val="100"/>
        </w:rPr>
        <w:t>民</w:t>
      </w:r>
      <w:r>
        <w:rPr>
          <w:spacing w:val="-3"/>
          <w:w w:val="100"/>
        </w:rPr>
        <w:t>币</w:t>
      </w:r>
      <w:r>
        <w:rPr>
          <w:w w:val="100"/>
        </w:rPr>
        <w:t>（含</w:t>
      </w:r>
      <w:r>
        <w:rPr>
          <w:spacing w:val="-3"/>
          <w:w w:val="100"/>
        </w:rPr>
        <w:t>税</w:t>
      </w:r>
      <w:r>
        <w:rPr>
          <w:spacing w:val="-106"/>
          <w:w w:val="100"/>
        </w:rPr>
        <w:t>）</w:t>
      </w:r>
      <w:r>
        <w:rPr>
          <w:spacing w:val="-3"/>
          <w:w w:val="100"/>
        </w:rPr>
        <w:t>，</w:t>
      </w:r>
      <w:r>
        <w:rPr>
          <w:w w:val="100"/>
        </w:rPr>
        <w:t>共</w:t>
      </w:r>
      <w:r>
        <w:rPr>
          <w:spacing w:val="-3"/>
          <w:w w:val="100"/>
        </w:rPr>
        <w:t>分</w:t>
      </w:r>
      <w:r>
        <w:rPr>
          <w:w w:val="100"/>
        </w:rPr>
        <w:t>配</w:t>
      </w:r>
      <w:r>
        <w:rPr>
          <w:spacing w:val="-3"/>
          <w:w w:val="100"/>
        </w:rPr>
        <w:t>现</w:t>
      </w:r>
      <w:r>
        <w:rPr>
          <w:w w:val="100"/>
        </w:rPr>
        <w:t>金</w:t>
      </w:r>
      <w:r>
        <w:rPr>
          <w:spacing w:val="-3"/>
          <w:w w:val="100"/>
        </w:rPr>
        <w:t>股</w:t>
      </w:r>
      <w:r>
        <w:rPr>
          <w:w w:val="100"/>
        </w:rPr>
        <w:t>利</w:t>
      </w:r>
    </w:p>
    <w:p>
      <w:pPr>
        <w:pStyle w:val="BodyText"/>
        <w:spacing w:line="240" w:lineRule="auto" w:before="178"/>
        <w:ind w:right="100"/>
        <w:jc w:val="left"/>
      </w:pPr>
      <w:r>
        <w:rPr>
          <w:rFonts w:ascii="Times New Roman" w:hAnsi="Times New Roman" w:cs="Times New Roman" w:eastAsia="Times New Roman" w:hint="default"/>
        </w:rPr>
        <w:t>20,999,290.54 </w:t>
      </w:r>
      <w:r>
        <w:rPr/>
        <w:t>元，剩余未分配利润结转以后年度；同时进行资本公积金转增股本，向全体股东每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股转</w:t>
      </w:r>
    </w:p>
    <w:p>
      <w:pPr>
        <w:pStyle w:val="BodyText"/>
        <w:spacing w:line="386" w:lineRule="auto" w:before="177"/>
        <w:ind w:right="100"/>
        <w:jc w:val="left"/>
      </w:pPr>
      <w:r>
        <w:rPr/>
        <w:t>增</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股，共计转增</w:t>
      </w:r>
      <w:r>
        <w:rPr>
          <w:spacing w:val="-40"/>
        </w:rPr>
        <w:t> </w:t>
      </w:r>
      <w:r>
        <w:rPr>
          <w:rFonts w:ascii="Times New Roman" w:hAnsi="Times New Roman" w:cs="Times New Roman" w:eastAsia="Times New Roman" w:hint="default"/>
        </w:rPr>
        <w:t>499,983,108</w:t>
      </w:r>
      <w:r>
        <w:rPr>
          <w:rFonts w:ascii="Times New Roman" w:hAnsi="Times New Roman" w:cs="Times New Roman" w:eastAsia="Times New Roman" w:hint="default"/>
          <w:spacing w:val="-9"/>
        </w:rPr>
        <w:t> </w:t>
      </w:r>
      <w:r>
        <w:rPr/>
        <w:t>股，转增后公司总股本将增加至</w:t>
      </w:r>
      <w:r>
        <w:rPr>
          <w:spacing w:val="-37"/>
        </w:rPr>
        <w:t> </w:t>
      </w:r>
      <w:r>
        <w:rPr>
          <w:rFonts w:ascii="Times New Roman" w:hAnsi="Times New Roman" w:cs="Times New Roman" w:eastAsia="Times New Roman" w:hint="default"/>
        </w:rPr>
        <w:t>999,966,216</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日，公司</w:t>
      </w:r>
      <w:r>
        <w:rPr>
          <w:w w:val="100"/>
        </w:rPr>
        <w:t> </w:t>
      </w:r>
      <w:r>
        <w:rPr/>
        <w:t>完成权益分派事项。</w:t>
      </w:r>
    </w:p>
    <w:p>
      <w:pPr>
        <w:pStyle w:val="BodyText"/>
        <w:spacing w:line="240" w:lineRule="auto" w:before="163"/>
        <w:ind w:left="573" w:right="10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w w:val="100"/>
        </w:rPr>
        <w:t>年</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0"/>
        </w:rPr>
        <w:t> </w:t>
      </w:r>
      <w:r>
        <w:rPr>
          <w:w w:val="100"/>
        </w:rPr>
        <w:t>月</w:t>
      </w:r>
      <w:r>
        <w:rPr>
          <w:spacing w:val="-55"/>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12"/>
        </w:rPr>
        <w:t> </w:t>
      </w:r>
      <w:r>
        <w:rPr>
          <w:w w:val="100"/>
        </w:rPr>
        <w:t>日</w:t>
      </w:r>
      <w:r>
        <w:rPr>
          <w:spacing w:val="-32"/>
          <w:w w:val="100"/>
        </w:rPr>
        <w:t>，</w:t>
      </w:r>
      <w:r>
        <w:rPr>
          <w:w w:val="100"/>
        </w:rPr>
        <w:t>公</w:t>
      </w:r>
      <w:r>
        <w:rPr>
          <w:spacing w:val="-3"/>
          <w:w w:val="100"/>
        </w:rPr>
        <w:t>司第</w:t>
      </w:r>
      <w:r>
        <w:rPr>
          <w:w w:val="100"/>
        </w:rPr>
        <w:t>三届</w:t>
      </w:r>
      <w:r>
        <w:rPr>
          <w:spacing w:val="-3"/>
          <w:w w:val="100"/>
        </w:rPr>
        <w:t>董</w:t>
      </w:r>
      <w:r>
        <w:rPr>
          <w:w w:val="100"/>
        </w:rPr>
        <w:t>事</w:t>
      </w:r>
      <w:r>
        <w:rPr>
          <w:spacing w:val="-3"/>
          <w:w w:val="100"/>
        </w:rPr>
        <w:t>会</w:t>
      </w:r>
      <w:r>
        <w:rPr>
          <w:w w:val="100"/>
        </w:rPr>
        <w:t>第</w:t>
      </w:r>
      <w:r>
        <w:rPr>
          <w:spacing w:val="-3"/>
          <w:w w:val="100"/>
        </w:rPr>
        <w:t>四</w:t>
      </w:r>
      <w:r>
        <w:rPr>
          <w:w w:val="100"/>
        </w:rPr>
        <w:t>十</w:t>
      </w:r>
      <w:r>
        <w:rPr>
          <w:spacing w:val="-3"/>
          <w:w w:val="100"/>
        </w:rPr>
        <w:t>次</w:t>
      </w:r>
      <w:r>
        <w:rPr>
          <w:w w:val="100"/>
        </w:rPr>
        <w:t>会</w:t>
      </w:r>
      <w:r>
        <w:rPr>
          <w:spacing w:val="-3"/>
          <w:w w:val="100"/>
        </w:rPr>
        <w:t>议</w:t>
      </w:r>
      <w:r>
        <w:rPr>
          <w:w w:val="100"/>
        </w:rPr>
        <w:t>通</w:t>
      </w:r>
      <w:r>
        <w:rPr>
          <w:spacing w:val="-29"/>
          <w:w w:val="100"/>
        </w:rPr>
        <w:t>过</w:t>
      </w:r>
      <w:r>
        <w:rPr>
          <w:spacing w:val="-2"/>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rPr>
        <w:t> </w:t>
      </w:r>
      <w:r>
        <w:rPr>
          <w:spacing w:val="-3"/>
          <w:w w:val="100"/>
        </w:rPr>
        <w:t>年</w:t>
      </w:r>
      <w:r>
        <w:rPr>
          <w:w w:val="100"/>
        </w:rPr>
        <w:t>年</w:t>
      </w:r>
      <w:r>
        <w:rPr>
          <w:spacing w:val="-3"/>
          <w:w w:val="100"/>
        </w:rPr>
        <w:t>度</w:t>
      </w:r>
      <w:r>
        <w:rPr>
          <w:w w:val="100"/>
        </w:rPr>
        <w:t>利</w:t>
      </w:r>
      <w:r>
        <w:rPr>
          <w:spacing w:val="-3"/>
          <w:w w:val="100"/>
        </w:rPr>
        <w:t>润分</w:t>
      </w:r>
      <w:r>
        <w:rPr>
          <w:w w:val="100"/>
        </w:rPr>
        <w:t>配方</w:t>
      </w:r>
      <w:r>
        <w:rPr>
          <w:spacing w:val="-3"/>
          <w:w w:val="100"/>
        </w:rPr>
        <w:t>案</w:t>
      </w:r>
      <w:r>
        <w:rPr>
          <w:w w:val="100"/>
        </w:rPr>
        <w:t>的</w:t>
      </w:r>
      <w:r>
        <w:rPr>
          <w:spacing w:val="-3"/>
          <w:w w:val="100"/>
        </w:rPr>
        <w:t>议</w:t>
      </w:r>
      <w:r>
        <w:rPr>
          <w:w w:val="100"/>
        </w:rPr>
        <w:t>案</w:t>
      </w:r>
      <w:r>
        <w:rPr>
          <w:spacing w:val="-108"/>
          <w:w w:val="100"/>
        </w:rPr>
        <w:t>》</w:t>
      </w:r>
      <w:r>
        <w:rPr>
          <w:spacing w:val="-29"/>
          <w:w w:val="100"/>
        </w:rPr>
        <w:t>：</w:t>
      </w:r>
      <w:r>
        <w:rPr>
          <w:spacing w:val="-3"/>
          <w:w w:val="100"/>
        </w:rPr>
        <w:t>以</w:t>
      </w:r>
      <w:r>
        <w:rPr>
          <w:w w:val="100"/>
        </w:rPr>
        <w:t>现有</w:t>
      </w:r>
    </w:p>
    <w:p>
      <w:pPr>
        <w:pStyle w:val="BodyText"/>
        <w:spacing w:line="240" w:lineRule="auto" w:before="177"/>
        <w:ind w:right="100"/>
        <w:jc w:val="left"/>
      </w:pPr>
      <w:r>
        <w:rPr>
          <w:w w:val="100"/>
        </w:rPr>
        <w:t>总</w:t>
      </w:r>
      <w:r>
        <w:rPr>
          <w:spacing w:val="-3"/>
          <w:w w:val="100"/>
        </w:rPr>
        <w:t>股</w:t>
      </w:r>
      <w:r>
        <w:rPr>
          <w:w w:val="100"/>
        </w:rPr>
        <w:t>本</w:t>
      </w:r>
      <w:r>
        <w:rPr>
          <w:spacing w:val="-52"/>
        </w:rPr>
        <w:t> </w:t>
      </w:r>
      <w:r>
        <w:rPr>
          <w:rFonts w:ascii="Times New Roman" w:hAnsi="Times New Roman" w:cs="Times New Roman" w:eastAsia="Times New Roman" w:hint="default"/>
          <w:w w:val="100"/>
        </w:rPr>
        <w:t>1,1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9,3</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spacing w:val="-3"/>
          <w:w w:val="100"/>
        </w:rPr>
        <w:t>股为</w:t>
      </w:r>
      <w:r>
        <w:rPr>
          <w:w w:val="100"/>
        </w:rPr>
        <w:t>基</w:t>
      </w:r>
      <w:r>
        <w:rPr>
          <w:spacing w:val="-3"/>
          <w:w w:val="100"/>
        </w:rPr>
        <w:t>数</w:t>
      </w:r>
      <w:r>
        <w:rPr>
          <w:spacing w:val="-8"/>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0"/>
        </w:rPr>
        <w:t> </w:t>
      </w:r>
      <w:r>
        <w:rPr>
          <w:spacing w:val="-3"/>
          <w:w w:val="100"/>
        </w:rPr>
        <w:t>股</w:t>
      </w:r>
      <w:r>
        <w:rPr>
          <w:w w:val="100"/>
        </w:rPr>
        <w:t>派发</w:t>
      </w:r>
      <w:r>
        <w:rPr>
          <w:spacing w:val="-3"/>
          <w:w w:val="100"/>
        </w:rPr>
        <w:t>现</w:t>
      </w:r>
      <w:r>
        <w:rPr>
          <w:w w:val="100"/>
        </w:rPr>
        <w:t>金</w:t>
      </w:r>
      <w:r>
        <w:rPr>
          <w:spacing w:val="-3"/>
          <w:w w:val="100"/>
        </w:rPr>
        <w:t>股</w:t>
      </w:r>
      <w:r>
        <w:rPr>
          <w:w w:val="100"/>
        </w:rPr>
        <w:t>利</w:t>
      </w:r>
      <w:r>
        <w:rPr>
          <w:spacing w:val="-21"/>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元</w:t>
      </w:r>
      <w:r>
        <w:rPr>
          <w:w w:val="100"/>
        </w:rPr>
        <w:t>人</w:t>
      </w:r>
      <w:r>
        <w:rPr>
          <w:spacing w:val="-3"/>
          <w:w w:val="100"/>
        </w:rPr>
        <w:t>民</w:t>
      </w:r>
      <w:r>
        <w:rPr>
          <w:spacing w:val="-8"/>
          <w:w w:val="100"/>
        </w:rPr>
        <w:t>币</w:t>
      </w:r>
      <w:r>
        <w:rPr>
          <w:spacing w:val="-3"/>
          <w:w w:val="100"/>
        </w:rPr>
        <w:t>（</w:t>
      </w:r>
      <w:r>
        <w:rPr>
          <w:w w:val="100"/>
        </w:rPr>
        <w:t>含税</w:t>
      </w:r>
      <w:r>
        <w:rPr>
          <w:spacing w:val="-108"/>
          <w:w w:val="100"/>
        </w:rPr>
        <w:t>）</w:t>
      </w:r>
      <w:r>
        <w:rPr>
          <w:spacing w:val="-8"/>
          <w:w w:val="100"/>
        </w:rPr>
        <w:t>，</w:t>
      </w:r>
      <w:r>
        <w:rPr>
          <w:spacing w:val="-3"/>
          <w:w w:val="100"/>
        </w:rPr>
        <w:t>共</w:t>
      </w:r>
      <w:r>
        <w:rPr>
          <w:w w:val="100"/>
        </w:rPr>
        <w:t>分</w:t>
      </w:r>
      <w:r>
        <w:rPr>
          <w:spacing w:val="-3"/>
          <w:w w:val="100"/>
        </w:rPr>
        <w:t>配</w:t>
      </w:r>
      <w:r>
        <w:rPr>
          <w:w w:val="100"/>
        </w:rPr>
        <w:t>现</w:t>
      </w:r>
      <w:r>
        <w:rPr>
          <w:spacing w:val="-3"/>
          <w:w w:val="100"/>
        </w:rPr>
        <w:t>金股</w:t>
      </w:r>
      <w:r>
        <w:rPr>
          <w:w w:val="100"/>
        </w:rPr>
        <w:t>利</w:t>
      </w:r>
    </w:p>
    <w:p>
      <w:pPr>
        <w:pStyle w:val="BodyText"/>
        <w:spacing w:line="240" w:lineRule="auto" w:before="177"/>
        <w:ind w:right="100"/>
        <w:jc w:val="left"/>
      </w:pPr>
      <w:r>
        <w:rPr>
          <w:rFonts w:ascii="Times New Roman" w:hAnsi="Times New Roman" w:cs="Times New Roman" w:eastAsia="Times New Roman" w:hint="default"/>
        </w:rPr>
        <w:t>80,453,533.65</w:t>
      </w:r>
      <w:r>
        <w:rPr>
          <w:rFonts w:ascii="Times New Roman" w:hAnsi="Times New Roman" w:cs="Times New Roman" w:eastAsia="Times New Roman" w:hint="default"/>
          <w:spacing w:val="-8"/>
        </w:rPr>
        <w:t> </w:t>
      </w:r>
      <w:r>
        <w:rPr>
          <w:spacing w:val="-3"/>
        </w:rPr>
        <w:t>元，剩余未分配利润结转以后年度。</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spacing w:val="-3"/>
        </w:rPr>
        <w:t>日，公司</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年年度股东大会审议并通</w:t>
      </w:r>
    </w:p>
    <w:p>
      <w:pPr>
        <w:pStyle w:val="BodyText"/>
        <w:spacing w:line="240" w:lineRule="auto" w:before="177"/>
        <w:ind w:right="100"/>
        <w:jc w:val="left"/>
        <w:rPr>
          <w:rFonts w:ascii="Times New Roman" w:hAnsi="Times New Roman" w:cs="Times New Roman" w:eastAsia="Times New Roman" w:hint="default"/>
        </w:rPr>
      </w:pPr>
      <w:r>
        <w:rPr>
          <w:w w:val="100"/>
        </w:rPr>
        <w:t>过了</w:t>
      </w:r>
      <w:r>
        <w:rPr>
          <w:spacing w:val="-2"/>
          <w:w w:val="100"/>
        </w:rPr>
        <w:t>《</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7"/>
        </w:rPr>
        <w:t> </w:t>
      </w:r>
      <w:r>
        <w:rPr>
          <w:w w:val="100"/>
        </w:rPr>
        <w:t>年</w:t>
      </w:r>
      <w:r>
        <w:rPr>
          <w:spacing w:val="-3"/>
          <w:w w:val="100"/>
        </w:rPr>
        <w:t>年</w:t>
      </w:r>
      <w:r>
        <w:rPr>
          <w:w w:val="100"/>
        </w:rPr>
        <w:t>度</w:t>
      </w:r>
      <w:r>
        <w:rPr>
          <w:spacing w:val="-3"/>
          <w:w w:val="100"/>
        </w:rPr>
        <w:t>利</w:t>
      </w:r>
      <w:r>
        <w:rPr>
          <w:w w:val="100"/>
        </w:rPr>
        <w:t>润</w:t>
      </w:r>
      <w:r>
        <w:rPr>
          <w:spacing w:val="-3"/>
          <w:w w:val="100"/>
        </w:rPr>
        <w:t>分</w:t>
      </w:r>
      <w:r>
        <w:rPr>
          <w:w w:val="100"/>
        </w:rPr>
        <w:t>配方</w:t>
      </w:r>
      <w:r>
        <w:rPr>
          <w:spacing w:val="-3"/>
          <w:w w:val="100"/>
        </w:rPr>
        <w:t>案</w:t>
      </w:r>
      <w:r>
        <w:rPr>
          <w:w w:val="100"/>
        </w:rPr>
        <w:t>的</w:t>
      </w:r>
      <w:r>
        <w:rPr>
          <w:spacing w:val="-3"/>
          <w:w w:val="100"/>
        </w:rPr>
        <w:t>议</w:t>
      </w:r>
      <w:r>
        <w:rPr>
          <w:w w:val="100"/>
        </w:rPr>
        <w:t>案</w:t>
      </w:r>
      <w:r>
        <w:rPr>
          <w:spacing w:val="-108"/>
          <w:w w:val="100"/>
        </w:rPr>
        <w:t>》</w:t>
      </w:r>
      <w:r>
        <w:rPr>
          <w:w w:val="100"/>
        </w:rPr>
        <w:t>，</w:t>
      </w:r>
      <w:r>
        <w:rPr>
          <w:spacing w:val="-3"/>
          <w:w w:val="100"/>
        </w:rPr>
        <w:t>同</w:t>
      </w:r>
      <w:r>
        <w:rPr>
          <w:w w:val="100"/>
        </w:rPr>
        <w:t>意</w:t>
      </w:r>
      <w:r>
        <w:rPr>
          <w:spacing w:val="-3"/>
          <w:w w:val="100"/>
        </w:rPr>
        <w:t>董事</w:t>
      </w:r>
      <w:r>
        <w:rPr>
          <w:w w:val="100"/>
        </w:rPr>
        <w:t>会提</w:t>
      </w:r>
      <w:r>
        <w:rPr>
          <w:spacing w:val="-3"/>
          <w:w w:val="100"/>
        </w:rPr>
        <w:t>出</w:t>
      </w:r>
      <w:r>
        <w:rPr>
          <w:w w:val="100"/>
        </w:rPr>
        <w:t>的</w:t>
      </w:r>
      <w:r>
        <w:rPr>
          <w:spacing w:val="-38"/>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7"/>
        </w:rPr>
        <w:t> </w:t>
      </w:r>
      <w:r>
        <w:rPr>
          <w:w w:val="100"/>
        </w:rPr>
        <w:t>年</w:t>
      </w:r>
      <w:r>
        <w:rPr>
          <w:spacing w:val="-3"/>
          <w:w w:val="100"/>
        </w:rPr>
        <w:t>年</w:t>
      </w:r>
      <w:r>
        <w:rPr>
          <w:w w:val="100"/>
        </w:rPr>
        <w:t>度</w:t>
      </w:r>
      <w:r>
        <w:rPr>
          <w:spacing w:val="-3"/>
          <w:w w:val="100"/>
        </w:rPr>
        <w:t>利润</w:t>
      </w:r>
      <w:r>
        <w:rPr>
          <w:w w:val="100"/>
        </w:rPr>
        <w:t>分配</w:t>
      </w:r>
      <w:r>
        <w:rPr>
          <w:spacing w:val="-3"/>
          <w:w w:val="100"/>
        </w:rPr>
        <w:t>方</w:t>
      </w:r>
      <w:r>
        <w:rPr>
          <w:w w:val="100"/>
        </w:rPr>
        <w:t>案</w:t>
      </w:r>
      <w:r>
        <w:rPr>
          <w:spacing w:val="-3"/>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7"/>
        </w:rPr>
        <w:t> </w:t>
      </w:r>
      <w:r>
        <w:rPr>
          <w:w w:val="100"/>
        </w:rPr>
        <w:t>年</w:t>
      </w:r>
      <w:r>
        <w:rPr>
          <w:spacing w:val="-3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5"/>
        </w:rPr>
        <w:t> </w:t>
      </w:r>
      <w:r>
        <w:rPr>
          <w:w w:val="100"/>
        </w:rPr>
        <w:t>月</w:t>
      </w:r>
      <w:r>
        <w:rPr>
          <w:spacing w:val="-38"/>
        </w:rPr>
        <w:t> </w:t>
      </w:r>
      <w:r>
        <w:rPr>
          <w:rFonts w:ascii="Times New Roman" w:hAnsi="Times New Roman" w:cs="Times New Roman" w:eastAsia="Times New Roman" w:hint="default"/>
          <w:w w:val="100"/>
        </w:rPr>
        <w:t>22</w:t>
      </w:r>
    </w:p>
    <w:p>
      <w:pPr>
        <w:pStyle w:val="BodyText"/>
        <w:spacing w:line="240" w:lineRule="auto" w:before="177"/>
        <w:ind w:right="100"/>
        <w:jc w:val="left"/>
      </w:pPr>
      <w:r>
        <w:rPr/>
        <w:t>日，公司</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年年度利润分配方案已实施完毕。</w:t>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12"/>
        </w:rPr>
        <w:t> </w:t>
      </w:r>
      <w:r>
        <w:rPr>
          <w:w w:val="100"/>
        </w:rPr>
        <w:t>年</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0"/>
        </w:rPr>
        <w:t> </w:t>
      </w:r>
      <w:r>
        <w:rPr>
          <w:w w:val="100"/>
        </w:rPr>
        <w:t>月</w:t>
      </w:r>
      <w:r>
        <w:rPr>
          <w:spacing w:val="-55"/>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2"/>
        </w:rPr>
        <w:t> </w:t>
      </w:r>
      <w:r>
        <w:rPr>
          <w:w w:val="100"/>
        </w:rPr>
        <w:t>日</w:t>
      </w:r>
      <w:r>
        <w:rPr>
          <w:spacing w:val="-32"/>
          <w:w w:val="100"/>
        </w:rPr>
        <w:t>，</w:t>
      </w:r>
      <w:r>
        <w:rPr>
          <w:w w:val="100"/>
        </w:rPr>
        <w:t>公</w:t>
      </w:r>
      <w:r>
        <w:rPr>
          <w:spacing w:val="-3"/>
          <w:w w:val="100"/>
        </w:rPr>
        <w:t>司第</w:t>
      </w:r>
      <w:r>
        <w:rPr>
          <w:w w:val="100"/>
        </w:rPr>
        <w:t>四届</w:t>
      </w:r>
      <w:r>
        <w:rPr>
          <w:spacing w:val="-3"/>
          <w:w w:val="100"/>
        </w:rPr>
        <w:t>董</w:t>
      </w:r>
      <w:r>
        <w:rPr>
          <w:w w:val="100"/>
        </w:rPr>
        <w:t>事</w:t>
      </w:r>
      <w:r>
        <w:rPr>
          <w:spacing w:val="-3"/>
          <w:w w:val="100"/>
        </w:rPr>
        <w:t>会</w:t>
      </w:r>
      <w:r>
        <w:rPr>
          <w:w w:val="100"/>
        </w:rPr>
        <w:t>第</w:t>
      </w:r>
      <w:r>
        <w:rPr>
          <w:spacing w:val="-3"/>
          <w:w w:val="100"/>
        </w:rPr>
        <w:t>三</w:t>
      </w:r>
      <w:r>
        <w:rPr>
          <w:w w:val="100"/>
        </w:rPr>
        <w:t>次</w:t>
      </w:r>
      <w:r>
        <w:rPr>
          <w:spacing w:val="-3"/>
          <w:w w:val="100"/>
        </w:rPr>
        <w:t>会</w:t>
      </w:r>
      <w:r>
        <w:rPr>
          <w:w w:val="100"/>
        </w:rPr>
        <w:t>议</w:t>
      </w:r>
      <w:r>
        <w:rPr>
          <w:spacing w:val="-3"/>
          <w:w w:val="100"/>
        </w:rPr>
        <w:t>审</w:t>
      </w:r>
      <w:r>
        <w:rPr>
          <w:w w:val="100"/>
        </w:rPr>
        <w:t>议通</w:t>
      </w:r>
      <w:r>
        <w:rPr>
          <w:spacing w:val="-32"/>
          <w:w w:val="100"/>
        </w:rPr>
        <w:t>过</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2"/>
        </w:rPr>
        <w:t> </w:t>
      </w:r>
      <w:r>
        <w:rPr>
          <w:w w:val="100"/>
        </w:rPr>
        <w:t>年</w:t>
      </w:r>
      <w:r>
        <w:rPr>
          <w:spacing w:val="-3"/>
          <w:w w:val="100"/>
        </w:rPr>
        <w:t>年</w:t>
      </w:r>
      <w:r>
        <w:rPr>
          <w:w w:val="100"/>
        </w:rPr>
        <w:t>度</w:t>
      </w:r>
      <w:r>
        <w:rPr>
          <w:spacing w:val="-3"/>
          <w:w w:val="100"/>
        </w:rPr>
        <w:t>利润</w:t>
      </w:r>
      <w:r>
        <w:rPr>
          <w:w w:val="100"/>
        </w:rPr>
        <w:t>分配</w:t>
      </w:r>
      <w:r>
        <w:rPr>
          <w:spacing w:val="-3"/>
          <w:w w:val="100"/>
        </w:rPr>
        <w:t>预</w:t>
      </w:r>
      <w:r>
        <w:rPr>
          <w:w w:val="100"/>
        </w:rPr>
        <w:t>案</w:t>
      </w:r>
      <w:r>
        <w:rPr>
          <w:spacing w:val="-3"/>
          <w:w w:val="100"/>
        </w:rPr>
        <w:t>的</w:t>
      </w:r>
      <w:r>
        <w:rPr>
          <w:w w:val="100"/>
        </w:rPr>
        <w:t>议</w:t>
      </w:r>
      <w:r>
        <w:rPr>
          <w:spacing w:val="-3"/>
          <w:w w:val="100"/>
        </w:rPr>
        <w:t>案</w:t>
      </w:r>
      <w:r>
        <w:rPr>
          <w:spacing w:val="-106"/>
          <w:w w:val="100"/>
        </w:rPr>
        <w:t>》</w:t>
      </w:r>
      <w:r>
        <w:rPr>
          <w:spacing w:val="-32"/>
          <w:w w:val="100"/>
        </w:rPr>
        <w:t>，</w:t>
      </w:r>
      <w:r>
        <w:rPr>
          <w:w w:val="100"/>
        </w:rPr>
        <w:t>同意</w:t>
      </w:r>
    </w:p>
    <w:p>
      <w:pPr>
        <w:spacing w:after="0" w:line="240"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0"/>
        <w:jc w:val="left"/>
      </w:pPr>
      <w:r>
        <w:rPr/>
        <w:t>以公司扣除已回购社会公众股、扣除即将回购注销的限制性股票后现有股份总数</w:t>
      </w:r>
      <w:r>
        <w:rPr>
          <w:spacing w:val="-56"/>
        </w:rPr>
        <w:t> </w:t>
      </w:r>
      <w:r>
        <w:rPr>
          <w:rFonts w:ascii="Times New Roman" w:hAnsi="Times New Roman" w:cs="Times New Roman" w:eastAsia="Times New Roman" w:hint="default"/>
        </w:rPr>
        <w:t>1,165,647,898</w:t>
      </w:r>
      <w:r>
        <w:rPr>
          <w:rFonts w:ascii="Times New Roman" w:hAnsi="Times New Roman" w:cs="Times New Roman" w:eastAsia="Times New Roman" w:hint="default"/>
          <w:spacing w:val="-15"/>
        </w:rPr>
        <w:t> </w:t>
      </w:r>
      <w:r>
        <w:rPr/>
        <w:t>股为基数，</w:t>
      </w:r>
    </w:p>
    <w:p>
      <w:pPr>
        <w:pStyle w:val="BodyText"/>
        <w:spacing w:line="240" w:lineRule="auto" w:before="177"/>
        <w:ind w:right="0"/>
        <w:jc w:val="left"/>
        <w:rPr>
          <w:rFonts w:ascii="Times New Roman" w:hAnsi="Times New Roman" w:cs="Times New Roman" w:eastAsia="Times New Roman" w:hint="default"/>
        </w:rPr>
      </w:pPr>
      <w:r>
        <w:rPr>
          <w:w w:val="100"/>
        </w:rPr>
        <w:t>向全</w:t>
      </w:r>
      <w:r>
        <w:rPr>
          <w:spacing w:val="-3"/>
          <w:w w:val="100"/>
        </w:rPr>
        <w:t>体</w:t>
      </w:r>
      <w:r>
        <w:rPr>
          <w:w w:val="100"/>
        </w:rPr>
        <w:t>股</w:t>
      </w:r>
      <w:r>
        <w:rPr>
          <w:spacing w:val="-3"/>
          <w:w w:val="100"/>
        </w:rPr>
        <w:t>东</w:t>
      </w:r>
      <w:r>
        <w:rPr>
          <w:w w:val="100"/>
        </w:rPr>
        <w:t>每</w:t>
      </w:r>
      <w:r>
        <w:rPr>
          <w:spacing w:val="-26"/>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7"/>
        </w:rPr>
        <w:t> </w:t>
      </w:r>
      <w:r>
        <w:rPr>
          <w:spacing w:val="-3"/>
          <w:w w:val="100"/>
        </w:rPr>
        <w:t>股</w:t>
      </w:r>
      <w:r>
        <w:rPr>
          <w:w w:val="100"/>
        </w:rPr>
        <w:t>派</w:t>
      </w:r>
      <w:r>
        <w:rPr>
          <w:spacing w:val="-3"/>
          <w:w w:val="100"/>
        </w:rPr>
        <w:t>发现</w:t>
      </w:r>
      <w:r>
        <w:rPr>
          <w:w w:val="100"/>
        </w:rPr>
        <w:t>金</w:t>
      </w:r>
      <w:r>
        <w:rPr>
          <w:spacing w:val="-3"/>
          <w:w w:val="100"/>
        </w:rPr>
        <w:t>股</w:t>
      </w:r>
      <w:r>
        <w:rPr>
          <w:w w:val="100"/>
        </w:rPr>
        <w:t>利</w:t>
      </w:r>
      <w:r>
        <w:rPr>
          <w:spacing w:val="-24"/>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共计</w:t>
      </w:r>
      <w:r>
        <w:rPr>
          <w:spacing w:val="-3"/>
          <w:w w:val="100"/>
        </w:rPr>
        <w:t>派</w:t>
      </w:r>
      <w:r>
        <w:rPr>
          <w:w w:val="100"/>
        </w:rPr>
        <w:t>发</w:t>
      </w:r>
      <w:r>
        <w:rPr>
          <w:spacing w:val="-3"/>
          <w:w w:val="100"/>
        </w:rPr>
        <w:t>现</w:t>
      </w:r>
      <w:r>
        <w:rPr>
          <w:w w:val="100"/>
        </w:rPr>
        <w:t>金</w:t>
      </w:r>
      <w:r>
        <w:rPr>
          <w:spacing w:val="-3"/>
          <w:w w:val="100"/>
        </w:rPr>
        <w:t>股</w:t>
      </w:r>
      <w:r>
        <w:rPr>
          <w:w w:val="100"/>
        </w:rPr>
        <w:t>利</w:t>
      </w:r>
      <w:r>
        <w:rPr>
          <w:spacing w:val="-26"/>
        </w:rPr>
        <w:t> </w:t>
      </w:r>
      <w:r>
        <w:rPr>
          <w:rFonts w:ascii="Times New Roman" w:hAnsi="Times New Roman" w:cs="Times New Roman" w:eastAsia="Times New Roman" w:hint="default"/>
          <w:w w:val="100"/>
        </w:rPr>
        <w:t>81,5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352.86</w:t>
      </w:r>
      <w:r>
        <w:rPr>
          <w:rFonts w:ascii="Times New Roman" w:hAnsi="Times New Roman" w:cs="Times New Roman" w:eastAsia="Times New Roman" w:hint="default"/>
          <w:spacing w:val="5"/>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占</w:t>
      </w:r>
      <w:r>
        <w:rPr>
          <w:spacing w:val="-2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w w:val="100"/>
        </w:rPr>
        <w:t>7</w:t>
      </w:r>
    </w:p>
    <w:p>
      <w:pPr>
        <w:pStyle w:val="BodyText"/>
        <w:spacing w:line="240" w:lineRule="auto" w:before="177"/>
        <w:ind w:right="0"/>
        <w:jc w:val="left"/>
      </w:pPr>
      <w:r>
        <w:rPr/>
        <w:t>年归属于上市公司股东净利润的</w:t>
      </w:r>
      <w:r>
        <w:rPr>
          <w:spacing w:val="-43"/>
        </w:rPr>
        <w:t> </w:t>
      </w:r>
      <w:r>
        <w:rPr>
          <w:rFonts w:ascii="Times New Roman" w:hAnsi="Times New Roman" w:cs="Times New Roman" w:eastAsia="Times New Roman" w:hint="default"/>
        </w:rPr>
        <w:t>20.96%</w:t>
      </w:r>
      <w:r>
        <w:rPr/>
        <w:t>；同时进行资本公积金转增股本，向全体股东每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spacing w:val="-3"/>
        </w:rPr>
        <w:t>股，</w:t>
      </w:r>
      <w:r>
        <w:rPr/>
      </w:r>
    </w:p>
    <w:p>
      <w:pPr>
        <w:pStyle w:val="BodyText"/>
        <w:spacing w:line="386" w:lineRule="auto" w:before="177"/>
        <w:ind w:right="167"/>
        <w:jc w:val="left"/>
      </w:pPr>
      <w:r>
        <w:rPr/>
        <w:t>共计转增</w:t>
      </w:r>
      <w:r>
        <w:rPr>
          <w:spacing w:val="-37"/>
        </w:rPr>
        <w:t> </w:t>
      </w:r>
      <w:r>
        <w:rPr>
          <w:rFonts w:ascii="Times New Roman" w:hAnsi="Times New Roman" w:cs="Times New Roman" w:eastAsia="Times New Roman" w:hint="default"/>
        </w:rPr>
        <w:t>582,823,949</w:t>
      </w:r>
      <w:r>
        <w:rPr>
          <w:rFonts w:ascii="Times New Roman" w:hAnsi="Times New Roman" w:cs="Times New Roman" w:eastAsia="Times New Roman" w:hint="default"/>
          <w:spacing w:val="-6"/>
        </w:rPr>
        <w:t> </w:t>
      </w:r>
      <w:r>
        <w:rPr/>
        <w:t>股，转增后公司总股本将增加至</w:t>
      </w:r>
      <w:r>
        <w:rPr>
          <w:spacing w:val="-37"/>
        </w:rPr>
        <w:t> </w:t>
      </w:r>
      <w:r>
        <w:rPr>
          <w:rFonts w:ascii="Times New Roman" w:hAnsi="Times New Roman" w:cs="Times New Roman" w:eastAsia="Times New Roman" w:hint="default"/>
        </w:rPr>
        <w:t>1,748,471,847</w:t>
      </w:r>
      <w:r>
        <w:rPr>
          <w:rFonts w:ascii="Times New Roman" w:hAnsi="Times New Roman" w:cs="Times New Roman" w:eastAsia="Times New Roman" w:hint="default"/>
          <w:spacing w:val="-6"/>
        </w:rPr>
        <w:t> </w:t>
      </w:r>
      <w:r>
        <w:rPr/>
        <w:t>股。本议案尚需提交股东大会审议通</w:t>
      </w:r>
      <w:r>
        <w:rPr>
          <w:w w:val="100"/>
        </w:rPr>
        <w:t> </w:t>
      </w:r>
      <w:r>
        <w:rPr/>
        <w:t>过。</w:t>
      </w:r>
    </w:p>
    <w:p>
      <w:pPr>
        <w:pStyle w:val="BodyText"/>
        <w:spacing w:line="240" w:lineRule="auto" w:before="166"/>
        <w:ind w:left="573" w:right="0"/>
        <w:jc w:val="left"/>
      </w:pPr>
      <w:r>
        <w:rPr/>
        <w:t>公司近三年（包括本报告期）普通股现金分红情况表</w:t>
      </w:r>
    </w:p>
    <w:p>
      <w:pPr>
        <w:spacing w:line="240" w:lineRule="auto" w:before="4"/>
        <w:rPr>
          <w:rFonts w:ascii="宋体" w:hAnsi="宋体" w:cs="宋体" w:eastAsia="宋体" w:hint="default"/>
          <w:sz w:val="22"/>
          <w:szCs w:val="22"/>
        </w:rPr>
      </w:pPr>
    </w:p>
    <w:p>
      <w:pPr>
        <w:pStyle w:val="BodyText"/>
        <w:spacing w:line="240" w:lineRule="auto"/>
        <w:ind w:left="0" w:right="168"/>
        <w:jc w:val="right"/>
      </w:pPr>
      <w:r>
        <w:rPr>
          <w:spacing w:val="-1"/>
        </w:rPr>
        <w:t>单位：元</w:t>
      </w:r>
    </w:p>
    <w:p>
      <w:pPr>
        <w:spacing w:line="240" w:lineRule="auto" w:before="8"/>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 w:right="20"/>
              <w:jc w:val="both"/>
              <w:rPr>
                <w:rFonts w:ascii="宋体" w:hAnsi="宋体" w:cs="宋体" w:eastAsia="宋体" w:hint="default"/>
                <w:sz w:val="18"/>
                <w:szCs w:val="18"/>
              </w:rPr>
            </w:pPr>
            <w:r>
              <w:rPr>
                <w:rFonts w:ascii="宋体" w:hAnsi="宋体" w:cs="宋体" w:eastAsia="宋体" w:hint="default"/>
                <w:b/>
                <w:bCs/>
                <w:spacing w:val="11"/>
                <w:sz w:val="18"/>
                <w:szCs w:val="18"/>
              </w:rPr>
              <w:t>分红年度合并报表</w:t>
            </w:r>
            <w:r>
              <w:rPr>
                <w:rFonts w:ascii="宋体" w:hAnsi="宋体" w:cs="宋体" w:eastAsia="宋体" w:hint="default"/>
                <w:b/>
                <w:bCs/>
                <w:w w:val="99"/>
                <w:sz w:val="18"/>
                <w:szCs w:val="18"/>
              </w:rPr>
              <w:t> </w:t>
            </w:r>
            <w:r>
              <w:rPr>
                <w:rFonts w:ascii="宋体" w:hAnsi="宋体" w:cs="宋体" w:eastAsia="宋体" w:hint="default"/>
                <w:b/>
                <w:bCs/>
                <w:spacing w:val="11"/>
                <w:sz w:val="18"/>
                <w:szCs w:val="18"/>
              </w:rPr>
              <w:t>中归属于上市公司</w:t>
            </w:r>
            <w:r>
              <w:rPr>
                <w:rFonts w:ascii="宋体" w:hAnsi="宋体" w:cs="宋体" w:eastAsia="宋体" w:hint="default"/>
                <w:b/>
                <w:bCs/>
                <w:w w:val="99"/>
                <w:sz w:val="18"/>
                <w:szCs w:val="18"/>
              </w:rPr>
              <w:t> </w:t>
            </w:r>
            <w:r>
              <w:rPr>
                <w:rFonts w:ascii="宋体" w:hAnsi="宋体" w:cs="宋体" w:eastAsia="宋体" w:hint="default"/>
                <w:b/>
                <w:bCs/>
                <w:spacing w:val="11"/>
                <w:sz w:val="18"/>
                <w:szCs w:val="18"/>
              </w:rPr>
              <w:t>普通股股东的净利</w:t>
            </w:r>
            <w:r>
              <w:rPr>
                <w:rFonts w:ascii="宋体" w:hAnsi="宋体" w:cs="宋体" w:eastAsia="宋体" w:hint="default"/>
                <w:b/>
                <w:bCs/>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 w:right="23"/>
              <w:jc w:val="both"/>
              <w:rPr>
                <w:rFonts w:ascii="宋体" w:hAnsi="宋体" w:cs="宋体" w:eastAsia="宋体" w:hint="default"/>
                <w:sz w:val="18"/>
                <w:szCs w:val="18"/>
              </w:rPr>
            </w:pPr>
            <w:r>
              <w:rPr>
                <w:rFonts w:ascii="宋体" w:hAnsi="宋体" w:cs="宋体" w:eastAsia="宋体" w:hint="default"/>
                <w:b/>
                <w:bCs/>
                <w:spacing w:val="11"/>
                <w:sz w:val="18"/>
                <w:szCs w:val="18"/>
              </w:rPr>
              <w:t>占合并报表中归属</w:t>
            </w:r>
            <w:r>
              <w:rPr>
                <w:rFonts w:ascii="宋体" w:hAnsi="宋体" w:cs="宋体" w:eastAsia="宋体" w:hint="default"/>
                <w:b/>
                <w:bCs/>
                <w:w w:val="99"/>
                <w:sz w:val="18"/>
                <w:szCs w:val="18"/>
              </w:rPr>
              <w:t> </w:t>
            </w:r>
            <w:r>
              <w:rPr>
                <w:rFonts w:ascii="宋体" w:hAnsi="宋体" w:cs="宋体" w:eastAsia="宋体" w:hint="default"/>
                <w:b/>
                <w:bCs/>
                <w:spacing w:val="11"/>
                <w:sz w:val="18"/>
                <w:szCs w:val="18"/>
              </w:rPr>
              <w:t>于上市公司普通股</w:t>
            </w:r>
            <w:r>
              <w:rPr>
                <w:rFonts w:ascii="宋体" w:hAnsi="宋体" w:cs="宋体" w:eastAsia="宋体" w:hint="default"/>
                <w:b/>
                <w:bCs/>
                <w:w w:val="99"/>
                <w:sz w:val="18"/>
                <w:szCs w:val="18"/>
              </w:rPr>
              <w:t> </w:t>
            </w:r>
            <w:r>
              <w:rPr>
                <w:rFonts w:ascii="宋体" w:hAnsi="宋体" w:cs="宋体" w:eastAsia="宋体" w:hint="default"/>
                <w:b/>
                <w:bCs/>
                <w:spacing w:val="11"/>
                <w:sz w:val="18"/>
                <w:szCs w:val="18"/>
              </w:rPr>
              <w:t>股东的净利润的比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b/>
                <w:bCs/>
                <w:spacing w:val="11"/>
                <w:sz w:val="18"/>
                <w:szCs w:val="18"/>
              </w:rPr>
              <w:t>以其他方式现金分</w:t>
            </w:r>
            <w:r>
              <w:rPr>
                <w:rFonts w:ascii="宋体" w:hAnsi="宋体" w:cs="宋体" w:eastAsia="宋体" w:hint="default"/>
                <w:b/>
                <w:bCs/>
                <w:w w:val="99"/>
                <w:sz w:val="18"/>
                <w:szCs w:val="18"/>
              </w:rPr>
              <w:t> </w:t>
            </w:r>
            <w:r>
              <w:rPr>
                <w:rFonts w:ascii="宋体" w:hAnsi="宋体" w:cs="宋体" w:eastAsia="宋体" w:hint="default"/>
                <w:b/>
                <w:bCs/>
                <w:sz w:val="18"/>
                <w:szCs w:val="18"/>
              </w:rPr>
              <w:t>红的金额</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b/>
                <w:bCs/>
                <w:spacing w:val="11"/>
                <w:sz w:val="18"/>
                <w:szCs w:val="18"/>
              </w:rPr>
              <w:t>以其他方式现金分</w:t>
            </w:r>
            <w:r>
              <w:rPr>
                <w:rFonts w:ascii="宋体" w:hAnsi="宋体" w:cs="宋体" w:eastAsia="宋体" w:hint="default"/>
                <w:b/>
                <w:bCs/>
                <w:w w:val="99"/>
                <w:sz w:val="18"/>
                <w:szCs w:val="18"/>
              </w:rPr>
              <w:t> </w:t>
            </w:r>
            <w:r>
              <w:rPr>
                <w:rFonts w:ascii="宋体" w:hAnsi="宋体" w:cs="宋体" w:eastAsia="宋体" w:hint="default"/>
                <w:b/>
                <w:bCs/>
                <w:sz w:val="18"/>
                <w:szCs w:val="18"/>
              </w:rPr>
              <w:t>红的比例</w:t>
            </w:r>
            <w:r>
              <w:rPr>
                <w:rFonts w:ascii="宋体" w:hAnsi="宋体" w:cs="宋体" w:eastAsia="宋体" w:hint="default"/>
                <w:sz w:val="18"/>
                <w:szCs w:val="18"/>
              </w:rPr>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4" w:right="20"/>
              <w:jc w:val="left"/>
              <w:rPr>
                <w:rFonts w:ascii="宋体" w:hAnsi="宋体" w:cs="宋体" w:eastAsia="宋体" w:hint="default"/>
                <w:sz w:val="18"/>
                <w:szCs w:val="18"/>
              </w:rPr>
            </w:pPr>
            <w:r>
              <w:rPr>
                <w:rFonts w:ascii="宋体" w:hAnsi="宋体" w:cs="宋体" w:eastAsia="宋体" w:hint="default"/>
                <w:b/>
                <w:bCs/>
                <w:spacing w:val="11"/>
                <w:sz w:val="18"/>
                <w:szCs w:val="18"/>
              </w:rPr>
              <w:t>现金分红金额（含</w:t>
            </w:r>
            <w:r>
              <w:rPr>
                <w:rFonts w:ascii="宋体" w:hAnsi="宋体" w:cs="宋体" w:eastAsia="宋体" w:hint="default"/>
                <w:b/>
                <w:bCs/>
                <w:w w:val="99"/>
                <w:sz w:val="18"/>
                <w:szCs w:val="18"/>
              </w:rPr>
              <w:t> </w:t>
            </w:r>
            <w:r>
              <w:rPr>
                <w:rFonts w:ascii="宋体" w:hAnsi="宋体" w:cs="宋体" w:eastAsia="宋体" w:hint="default"/>
                <w:b/>
                <w:bCs/>
                <w:sz w:val="18"/>
                <w:szCs w:val="18"/>
              </w:rPr>
              <w:t>税）</w:t>
            </w:r>
            <w:r>
              <w:rPr>
                <w:rFonts w:ascii="宋体" w:hAnsi="宋体" w:cs="宋体" w:eastAsia="宋体" w:hint="default"/>
                <w:sz w:val="18"/>
                <w:szCs w:val="18"/>
              </w:rPr>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499"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506"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81,595,352.86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389,292,168.16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80,453,533.65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377,299,004.95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20,999,290.54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103,181,045.86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2"/>
        <w:rPr>
          <w:rFonts w:ascii="宋体" w:hAnsi="宋体" w:cs="宋体" w:eastAsia="宋体" w:hint="default"/>
          <w:sz w:val="9"/>
          <w:szCs w:val="9"/>
        </w:rPr>
      </w:pPr>
    </w:p>
    <w:p>
      <w:pPr>
        <w:pStyle w:val="BodyText"/>
        <w:spacing w:line="240" w:lineRule="auto" w:before="36"/>
        <w:ind w:left="573" w:right="0"/>
        <w:jc w:val="left"/>
      </w:pPr>
      <w:r>
        <w:rPr/>
        <w:t>公司报告期内盈利且母公司可供普通股股东分配利润为正但未提出普通股现金红利分配预案</w:t>
      </w:r>
    </w:p>
    <w:p>
      <w:pPr>
        <w:spacing w:line="240" w:lineRule="auto" w:before="4"/>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2"/>
        <w:ind w:right="0"/>
        <w:jc w:val="left"/>
      </w:pPr>
      <w:r>
        <w:rPr/>
        <w:t>二、承诺事项履行情况</w:t>
      </w:r>
    </w:p>
    <w:p>
      <w:pPr>
        <w:spacing w:line="240" w:lineRule="auto" w:before="12"/>
        <w:rPr>
          <w:rFonts w:ascii="黑体" w:hAnsi="黑体" w:cs="黑体" w:eastAsia="黑体" w:hint="default"/>
          <w:sz w:val="35"/>
          <w:szCs w:val="35"/>
        </w:rPr>
      </w:pPr>
    </w:p>
    <w:p>
      <w:pPr>
        <w:pStyle w:val="Heading3"/>
        <w:spacing w:line="338" w:lineRule="auto"/>
        <w:ind w:right="0"/>
        <w:jc w:val="left"/>
      </w:pP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、公司实际控制人、股东、关联方、收购人以及公司等承诺相关方在报告期内履行完毕及截</w:t>
      </w:r>
      <w:r>
        <w:rPr>
          <w:spacing w:val="-81"/>
        </w:rPr>
        <w:t> </w:t>
      </w:r>
      <w:r>
        <w:rPr>
          <w:spacing w:val="-81"/>
        </w:rPr>
      </w:r>
      <w:r>
        <w:rPr/>
        <w:t>至报告期末尚未履行完毕的承诺事项</w:t>
      </w:r>
    </w:p>
    <w:p>
      <w:pPr>
        <w:spacing w:line="240" w:lineRule="auto" w:before="2"/>
        <w:rPr>
          <w:rFonts w:ascii="黑体" w:hAnsi="黑体" w:cs="黑体" w:eastAsia="黑体" w:hint="default"/>
          <w:sz w:val="18"/>
          <w:szCs w:val="18"/>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60"/>
        </w:sectPr>
      </w:pPr>
    </w:p>
    <w:p>
      <w:pPr>
        <w:spacing w:line="240" w:lineRule="auto" w:before="3"/>
        <w:rPr>
          <w:rFonts w:ascii="Times New Roman" w:hAnsi="Times New Roman" w:cs="Times New Roman" w:eastAsia="Times New Roman" w:hint="default"/>
          <w:sz w:val="15"/>
          <w:szCs w:val="15"/>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156"/>
        <w:gridCol w:w="2979"/>
        <w:gridCol w:w="1274"/>
        <w:gridCol w:w="3260"/>
        <w:gridCol w:w="1563"/>
        <w:gridCol w:w="1162"/>
        <w:gridCol w:w="1625"/>
      </w:tblGrid>
      <w:tr>
        <w:trPr>
          <w:trHeight w:val="509"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13" w:right="0"/>
              <w:jc w:val="left"/>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68" w:right="0"/>
              <w:jc w:val="left"/>
              <w:rPr>
                <w:rFonts w:ascii="宋体" w:hAnsi="宋体" w:cs="宋体" w:eastAsia="宋体" w:hint="default"/>
                <w:sz w:val="18"/>
                <w:szCs w:val="18"/>
              </w:rPr>
            </w:pPr>
            <w:r>
              <w:rPr>
                <w:rFonts w:ascii="宋体" w:hAnsi="宋体" w:cs="宋体" w:eastAsia="宋体" w:hint="default"/>
                <w:b/>
                <w:bCs/>
                <w:sz w:val="18"/>
                <w:szCs w:val="18"/>
              </w:rPr>
              <w:t>承诺类型</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46" w:right="0"/>
              <w:jc w:val="left"/>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818"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9"/>
              <w:jc w:val="left"/>
              <w:rPr>
                <w:rFonts w:ascii="宋体" w:hAnsi="宋体" w:cs="宋体" w:eastAsia="宋体" w:hint="default"/>
                <w:sz w:val="18"/>
                <w:szCs w:val="18"/>
              </w:rPr>
            </w:pPr>
            <w:r>
              <w:rPr>
                <w:rFonts w:ascii="宋体" w:hAnsi="宋体" w:cs="宋体" w:eastAsia="宋体" w:hint="default"/>
                <w:spacing w:val="12"/>
                <w:sz w:val="18"/>
                <w:szCs w:val="18"/>
              </w:rPr>
              <w:t>收购报告书或权益变动报 </w:t>
            </w:r>
            <w:r>
              <w:rPr>
                <w:rFonts w:ascii="宋体" w:hAnsi="宋体" w:cs="宋体" w:eastAsia="宋体" w:hint="default"/>
                <w:sz w:val="18"/>
                <w:szCs w:val="18"/>
              </w:rPr>
              <w:t>告书中所作承诺</w:t>
            </w:r>
          </w:p>
        </w:tc>
        <w:tc>
          <w:tcPr>
            <w:tcW w:w="2979"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069" w:hRule="exact"/>
        </w:trPr>
        <w:tc>
          <w:tcPr>
            <w:tcW w:w="2156" w:type="dxa"/>
            <w:vMerge w:val="restart"/>
            <w:tcBorders>
              <w:top w:val="single" w:sz="4" w:space="0" w:color="000000"/>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pacing w:val="2"/>
                <w:sz w:val="18"/>
                <w:szCs w:val="18"/>
              </w:rPr>
              <w:t>北信瑞丰基金管理有限公司、汇添富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基金管理股份有限公司、鹏华资产管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理（深圳）有限公司、新华基金管理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股份有限公司、浙江浙商证券资产管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4"/>
              <w:ind w:left="23"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、认购的发行人股票的锁定期为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月，自上市之日起起算。</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、本次股份上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市之日至股份锁定期满之日止，发股对象</w:t>
            </w:r>
            <w:r>
              <w:rPr>
                <w:rFonts w:ascii="宋体" w:hAnsi="宋体" w:cs="宋体" w:eastAsia="宋体" w:hint="default"/>
                <w:sz w:val="18"/>
                <w:szCs w:val="18"/>
              </w:rPr>
              <w:t> </w:t>
            </w:r>
            <w:r>
              <w:rPr>
                <w:rFonts w:ascii="宋体" w:hAnsi="宋体" w:cs="宋体" w:eastAsia="宋体" w:hint="default"/>
                <w:spacing w:val="-2"/>
                <w:sz w:val="18"/>
                <w:szCs w:val="18"/>
              </w:rPr>
              <w:t>在本次重组中由于旋极信息送红股、转增</w:t>
            </w:r>
            <w:r>
              <w:rPr>
                <w:rFonts w:ascii="宋体" w:hAnsi="宋体" w:cs="宋体" w:eastAsia="宋体" w:hint="default"/>
                <w:sz w:val="18"/>
                <w:szCs w:val="18"/>
              </w:rPr>
              <w:t> </w:t>
            </w:r>
            <w:r>
              <w:rPr>
                <w:rFonts w:ascii="宋体" w:hAnsi="宋体" w:cs="宋体" w:eastAsia="宋体" w:hint="default"/>
                <w:spacing w:val="-2"/>
                <w:sz w:val="18"/>
                <w:szCs w:val="18"/>
              </w:rPr>
              <w:t>股本等原因取得的旋极信息股份，亦应遵</w:t>
            </w:r>
            <w:r>
              <w:rPr>
                <w:rFonts w:ascii="宋体" w:hAnsi="宋体" w:cs="宋体" w:eastAsia="宋体" w:hint="default"/>
                <w:sz w:val="18"/>
                <w:szCs w:val="18"/>
              </w:rPr>
              <w:t> 守上述约定。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承诺的事项发生。截</w:t>
            </w:r>
            <w:r>
              <w:rPr>
                <w:rFonts w:ascii="宋体" w:hAnsi="宋体" w:cs="宋体" w:eastAsia="宋体" w:hint="default"/>
                <w:sz w:val="18"/>
                <w:szCs w:val="18"/>
              </w:rPr>
              <w:t> </w:t>
            </w:r>
            <w:r>
              <w:rPr>
                <w:rFonts w:ascii="宋体" w:hAnsi="宋体" w:cs="宋体" w:eastAsia="宋体" w:hint="default"/>
                <w:spacing w:val="-6"/>
                <w:sz w:val="18"/>
                <w:szCs w:val="18"/>
              </w:rPr>
              <w:t>止本报告披露日，承</w:t>
            </w:r>
            <w:r>
              <w:rPr>
                <w:rFonts w:ascii="宋体" w:hAnsi="宋体" w:cs="宋体" w:eastAsia="宋体" w:hint="default"/>
                <w:sz w:val="18"/>
                <w:szCs w:val="18"/>
              </w:rPr>
              <w:t> 诺人承诺期已满。</w:t>
            </w:r>
          </w:p>
        </w:tc>
      </w:tr>
      <w:tr>
        <w:trPr>
          <w:trHeight w:val="1306" w:hRule="exact"/>
        </w:trPr>
        <w:tc>
          <w:tcPr>
            <w:tcW w:w="2156" w:type="dxa"/>
            <w:vMerge/>
            <w:tcBorders>
              <w:left w:val="single" w:sz="4" w:space="0" w:color="000000"/>
              <w:bottom w:val="nil" w:sz="6" w:space="0" w:color="auto"/>
              <w:right w:val="single" w:sz="4" w:space="0" w:color="000000"/>
            </w:tcBorders>
            <w:shd w:val="clear" w:color="auto" w:fill="D2D2D2"/>
          </w:tcPr>
          <w:p>
            <w:pPr/>
          </w:p>
        </w:tc>
        <w:tc>
          <w:tcPr>
            <w:tcW w:w="2979"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18" w:right="20"/>
              <w:jc w:val="both"/>
              <w:rPr>
                <w:rFonts w:ascii="宋体" w:hAnsi="宋体" w:cs="宋体" w:eastAsia="宋体" w:hint="default"/>
                <w:sz w:val="18"/>
                <w:szCs w:val="18"/>
              </w:rPr>
            </w:pPr>
            <w:r>
              <w:rPr>
                <w:rFonts w:ascii="宋体" w:hAnsi="宋体" w:cs="宋体" w:eastAsia="宋体" w:hint="default"/>
                <w:spacing w:val="2"/>
                <w:sz w:val="18"/>
                <w:szCs w:val="18"/>
              </w:rPr>
              <w:t>北京汇达高新投资基金中心（有限合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伙）、西藏泰豪智能技术有限公司、新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疆恒通达泰股权投资合伙企业（有限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合伙）、新余京达投资管理中心（有限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合伙）</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60" w:type="dxa"/>
            <w:vMerge w:val="restart"/>
            <w:tcBorders>
              <w:top w:val="single" w:sz="4" w:space="0" w:color="000000"/>
              <w:left w:val="single" w:sz="4" w:space="0" w:color="000000"/>
              <w:right w:val="single" w:sz="4" w:space="0" w:color="000000"/>
            </w:tcBorders>
          </w:tcPr>
          <w:p>
            <w:pPr>
              <w:pStyle w:val="TableParagraph"/>
              <w:spacing w:line="307" w:lineRule="auto" w:before="101"/>
              <w:ind w:left="23"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、本企业所取得的上市公司本次发行的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股份自本次发行结束之日起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 </w:t>
            </w:r>
            <w:r>
              <w:rPr>
                <w:rFonts w:ascii="宋体" w:hAnsi="宋体" w:cs="宋体" w:eastAsia="宋体" w:hint="default"/>
                <w:spacing w:val="2"/>
                <w:sz w:val="18"/>
                <w:szCs w:val="18"/>
              </w:rPr>
              <w:t>转让。</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、本承诺函一经作出即生效并不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可撤销。如果本企业违反上述声明与承诺</w:t>
            </w:r>
            <w:r>
              <w:rPr>
                <w:rFonts w:ascii="宋体" w:hAnsi="宋体" w:cs="宋体" w:eastAsia="宋体" w:hint="default"/>
                <w:sz w:val="18"/>
                <w:szCs w:val="18"/>
              </w:rPr>
              <w:t> </w:t>
            </w:r>
            <w:r>
              <w:rPr>
                <w:rFonts w:ascii="宋体" w:hAnsi="宋体" w:cs="宋体" w:eastAsia="宋体" w:hint="default"/>
                <w:spacing w:val="-2"/>
                <w:sz w:val="18"/>
                <w:szCs w:val="18"/>
              </w:rPr>
              <w:t>并造成上市公司经济损失的，本企业将赔</w:t>
            </w:r>
            <w:r>
              <w:rPr>
                <w:rFonts w:ascii="宋体" w:hAnsi="宋体" w:cs="宋体" w:eastAsia="宋体" w:hint="default"/>
                <w:sz w:val="18"/>
                <w:szCs w:val="18"/>
              </w:rPr>
              <w:t> 偿上市公司因此受到的全部损失。</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497" w:hRule="exact"/>
        </w:trPr>
        <w:tc>
          <w:tcPr>
            <w:tcW w:w="2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979" w:type="dxa"/>
            <w:vMerge/>
            <w:tcBorders>
              <w:left w:val="single" w:sz="9"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266" w:hRule="exact"/>
        </w:trPr>
        <w:tc>
          <w:tcPr>
            <w:tcW w:w="2156" w:type="dxa"/>
            <w:vMerge w:val="restart"/>
            <w:tcBorders>
              <w:top w:val="nil" w:sz="6" w:space="0" w:color="auto"/>
              <w:left w:val="single" w:sz="4" w:space="0" w:color="000000"/>
              <w:right w:val="single" w:sz="4" w:space="0" w:color="000000"/>
            </w:tcBorders>
            <w:shd w:val="clear" w:color="auto" w:fill="D2D2D2"/>
          </w:tcPr>
          <w:p>
            <w:pPr/>
          </w:p>
        </w:tc>
        <w:tc>
          <w:tcPr>
            <w:tcW w:w="2979"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2067"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2" w:lineRule="auto"/>
              <w:ind w:left="23" w:right="14"/>
              <w:jc w:val="both"/>
              <w:rPr>
                <w:rFonts w:ascii="宋体" w:hAnsi="宋体" w:cs="宋体" w:eastAsia="宋体" w:hint="default"/>
                <w:sz w:val="18"/>
                <w:szCs w:val="18"/>
              </w:rPr>
            </w:pPr>
            <w:r>
              <w:rPr>
                <w:rFonts w:ascii="宋体" w:hAnsi="宋体" w:cs="宋体" w:eastAsia="宋体" w:hint="default"/>
                <w:spacing w:val="8"/>
                <w:sz w:val="18"/>
                <w:szCs w:val="18"/>
              </w:rPr>
              <w:t>本次重组前本人持有及控制的上市公司</w:t>
            </w:r>
            <w:r>
              <w:rPr>
                <w:rFonts w:ascii="宋体" w:hAnsi="宋体" w:cs="宋体" w:eastAsia="宋体" w:hint="default"/>
                <w:sz w:val="18"/>
                <w:szCs w:val="18"/>
              </w:rPr>
              <w:t> 的股份自本次重组完成之日起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 </w:t>
            </w:r>
            <w:r>
              <w:rPr>
                <w:rFonts w:ascii="宋体" w:hAnsi="宋体" w:cs="宋体" w:eastAsia="宋体" w:hint="default"/>
                <w:spacing w:val="-2"/>
                <w:sz w:val="18"/>
                <w:szCs w:val="18"/>
              </w:rPr>
              <w:t>不转让。若本人违反上述承诺，将承担由</w:t>
            </w:r>
            <w:r>
              <w:rPr>
                <w:rFonts w:ascii="宋体" w:hAnsi="宋体" w:cs="宋体" w:eastAsia="宋体" w:hint="default"/>
                <w:sz w:val="18"/>
                <w:szCs w:val="18"/>
              </w:rPr>
              <w:t> 此引起的一切法律责任。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承诺的事项发生。截</w:t>
            </w:r>
            <w:r>
              <w:rPr>
                <w:rFonts w:ascii="宋体" w:hAnsi="宋体" w:cs="宋体" w:eastAsia="宋体" w:hint="default"/>
                <w:sz w:val="18"/>
                <w:szCs w:val="18"/>
              </w:rPr>
              <w:t> </w:t>
            </w:r>
            <w:r>
              <w:rPr>
                <w:rFonts w:ascii="宋体" w:hAnsi="宋体" w:cs="宋体" w:eastAsia="宋体" w:hint="default"/>
                <w:spacing w:val="-6"/>
                <w:sz w:val="18"/>
                <w:szCs w:val="18"/>
              </w:rPr>
              <w:t>止本报告披露日，承</w:t>
            </w:r>
            <w:r>
              <w:rPr>
                <w:rFonts w:ascii="宋体" w:hAnsi="宋体" w:cs="宋体" w:eastAsia="宋体" w:hint="default"/>
                <w:sz w:val="18"/>
                <w:szCs w:val="18"/>
              </w:rPr>
              <w:t> 诺人承诺期已满。</w:t>
            </w:r>
          </w:p>
        </w:tc>
      </w:tr>
      <w:tr>
        <w:trPr>
          <w:trHeight w:val="1039"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20"/>
              <w:jc w:val="both"/>
              <w:rPr>
                <w:rFonts w:ascii="宋体" w:hAnsi="宋体" w:cs="宋体" w:eastAsia="宋体" w:hint="default"/>
                <w:sz w:val="18"/>
                <w:szCs w:val="18"/>
              </w:rPr>
            </w:pPr>
            <w:r>
              <w:rPr>
                <w:rFonts w:ascii="宋体" w:hAnsi="宋体" w:cs="宋体" w:eastAsia="宋体" w:hint="default"/>
                <w:spacing w:val="2"/>
                <w:sz w:val="18"/>
                <w:szCs w:val="18"/>
              </w:rPr>
              <w:t>北京汇达高新投资基金中心（有限合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伙）、西藏泰豪智能技术有限公司、新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疆恒通达泰股权投资合伙企业（有限</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绩</w:t>
            </w:r>
            <w:r>
              <w:rPr>
                <w:rFonts w:ascii="宋体" w:hAnsi="宋体" w:cs="宋体" w:eastAsia="宋体" w:hint="default"/>
                <w:spacing w:val="-62"/>
                <w:sz w:val="18"/>
                <w:szCs w:val="18"/>
              </w:rPr>
              <w:t> </w:t>
            </w:r>
            <w:r>
              <w:rPr>
                <w:rFonts w:ascii="宋体" w:hAnsi="宋体" w:cs="宋体" w:eastAsia="宋体" w:hint="default"/>
                <w:sz w:val="18"/>
                <w:szCs w:val="18"/>
              </w:rPr>
              <w:t>承</w:t>
            </w:r>
            <w:r>
              <w:rPr>
                <w:rFonts w:ascii="宋体" w:hAnsi="宋体" w:cs="宋体" w:eastAsia="宋体" w:hint="default"/>
                <w:spacing w:val="-64"/>
                <w:sz w:val="18"/>
                <w:szCs w:val="18"/>
              </w:rPr>
              <w:t> </w:t>
            </w:r>
            <w:r>
              <w:rPr>
                <w:rFonts w:ascii="宋体" w:hAnsi="宋体" w:cs="宋体" w:eastAsia="宋体" w:hint="default"/>
                <w:sz w:val="18"/>
                <w:szCs w:val="18"/>
              </w:rPr>
              <w:t>诺</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补</w:t>
            </w:r>
            <w:r>
              <w:rPr>
                <w:rFonts w:ascii="宋体" w:hAnsi="宋体" w:cs="宋体" w:eastAsia="宋体" w:hint="default"/>
                <w:sz w:val="18"/>
                <w:szCs w:val="18"/>
              </w:rPr>
              <w:t> 偿安排</w:t>
            </w:r>
          </w:p>
        </w:tc>
        <w:tc>
          <w:tcPr>
            <w:tcW w:w="326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4"/>
              <w:ind w:left="23" w:right="-29"/>
              <w:jc w:val="left"/>
              <w:rPr>
                <w:rFonts w:ascii="宋体" w:hAnsi="宋体" w:cs="宋体" w:eastAsia="宋体" w:hint="default"/>
                <w:sz w:val="18"/>
                <w:szCs w:val="18"/>
              </w:rPr>
            </w:pPr>
            <w:r>
              <w:rPr>
                <w:rFonts w:ascii="宋体" w:hAnsi="宋体" w:cs="宋体" w:eastAsia="宋体" w:hint="default"/>
                <w:sz w:val="18"/>
                <w:szCs w:val="18"/>
              </w:rPr>
              <w:t>承诺标的资产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年和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年合计、</w:t>
            </w:r>
          </w:p>
          <w:p>
            <w:pPr>
              <w:pStyle w:val="TableParagraph"/>
              <w:spacing w:line="300"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年扣除非经常性损益（按 </w:t>
            </w:r>
            <w:r>
              <w:rPr>
                <w:rFonts w:ascii="宋体" w:hAnsi="宋体" w:cs="宋体" w:eastAsia="宋体" w:hint="default"/>
                <w:spacing w:val="-2"/>
                <w:sz w:val="18"/>
                <w:szCs w:val="18"/>
              </w:rPr>
              <w:t>照扣除前后孰低计算）后归属于母公司所</w:t>
            </w:r>
          </w:p>
        </w:tc>
        <w:tc>
          <w:tcPr>
            <w:tcW w:w="15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p>
        </w:tc>
      </w:tr>
    </w:tbl>
    <w:p>
      <w:pPr>
        <w:spacing w:after="0" w:line="316" w:lineRule="auto"/>
        <w:jc w:val="both"/>
        <w:rPr>
          <w:rFonts w:ascii="宋体" w:hAnsi="宋体" w:cs="宋体" w:eastAsia="宋体" w:hint="default"/>
          <w:sz w:val="18"/>
          <w:szCs w:val="18"/>
        </w:rPr>
        <w:sectPr>
          <w:headerReference w:type="default" r:id="rId23"/>
          <w:footerReference w:type="default" r:id="rId24"/>
          <w:pgSz w:w="16840" w:h="11910" w:orient="landscape"/>
          <w:pgMar w:header="882" w:footer="1132" w:top="1100" w:bottom="1320" w:left="1300" w:right="1280"/>
          <w:pgNumType w:start="55"/>
        </w:sectPr>
      </w:pPr>
    </w:p>
    <w:p>
      <w:pPr>
        <w:spacing w:line="240" w:lineRule="auto" w:before="9"/>
        <w:rPr>
          <w:rFonts w:ascii="Times New Roman" w:hAnsi="Times New Roman" w:cs="Times New Roman" w:eastAsia="Times New Roman" w:hint="default"/>
          <w:sz w:val="14"/>
          <w:szCs w:val="14"/>
        </w:rPr>
      </w:pPr>
      <w:r>
        <w:rPr/>
        <w:pict>
          <v:group style="position:absolute;margin-left:554.229980pt;margin-top:280.369995pt;width:76.5pt;height:26.2pt;mso-position-horizontal-relative:page;mso-position-vertical-relative:page;z-index:-1197232" coordorigin="11085,5607" coordsize="1530,524">
            <v:group style="position:absolute;left:11097;top:5619;width:2;height:500" coordorigin="11097,5619" coordsize="2,500">
              <v:shape style="position:absolute;left:11097;top:5619;width:2;height:500" coordorigin="11097,5619" coordsize="0,500" path="m11097,5619l11097,6119e" filled="false" stroked="true" strokeweight="1.2pt" strokecolor="#ffffff">
                <v:path arrowok="t"/>
              </v:shape>
            </v:group>
            <v:group style="position:absolute;left:11109;top:5619;width:1506;height:500" coordorigin="11109,5619" coordsize="1506,500">
              <v:shape style="position:absolute;left:11109;top:5619;width:1506;height:500" coordorigin="11109,5619" coordsize="1506,500" path="m11109,6119l12614,6119,12614,5619,11109,5619,11109,611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156"/>
        <w:gridCol w:w="2979"/>
        <w:gridCol w:w="1286"/>
        <w:gridCol w:w="3248"/>
        <w:gridCol w:w="1563"/>
        <w:gridCol w:w="1162"/>
        <w:gridCol w:w="1625"/>
      </w:tblGrid>
      <w:tr>
        <w:trPr>
          <w:trHeight w:val="334" w:hRule="exact"/>
        </w:trPr>
        <w:tc>
          <w:tcPr>
            <w:tcW w:w="2156" w:type="dxa"/>
            <w:vMerge w:val="restart"/>
            <w:tcBorders>
              <w:top w:val="single" w:sz="10" w:space="0" w:color="000000"/>
              <w:left w:val="single" w:sz="4" w:space="0" w:color="000000"/>
              <w:right w:val="single" w:sz="4" w:space="0" w:color="000000"/>
            </w:tcBorders>
            <w:shd w:val="clear" w:color="auto" w:fill="D2D2D2"/>
          </w:tcPr>
          <w:p>
            <w:pPr/>
          </w:p>
        </w:tc>
        <w:tc>
          <w:tcPr>
            <w:tcW w:w="297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新余京达投资管理中</w:t>
            </w:r>
            <w:r>
              <w:rPr>
                <w:rFonts w:ascii="宋体" w:hAnsi="宋体" w:cs="宋体" w:eastAsia="宋体" w:hint="default"/>
                <w:spacing w:val="-24"/>
                <w:sz w:val="18"/>
                <w:szCs w:val="18"/>
              </w:rPr>
              <w:t>心</w:t>
            </w:r>
            <w:r>
              <w:rPr>
                <w:rFonts w:ascii="宋体" w:hAnsi="宋体" w:cs="宋体" w:eastAsia="宋体" w:hint="default"/>
                <w:sz w:val="18"/>
                <w:szCs w:val="18"/>
              </w:rPr>
              <w:t>（有限</w:t>
            </w:r>
          </w:p>
        </w:tc>
        <w:tc>
          <w:tcPr>
            <w:tcW w:w="1286" w:type="dxa"/>
            <w:vMerge w:val="restart"/>
            <w:tcBorders>
              <w:top w:val="single" w:sz="10" w:space="0" w:color="000000"/>
              <w:left w:val="single" w:sz="4" w:space="0" w:color="000000"/>
              <w:right w:val="single" w:sz="4" w:space="0" w:color="000000"/>
            </w:tcBorders>
          </w:tcPr>
          <w:p>
            <w:pPr/>
          </w:p>
        </w:tc>
        <w:tc>
          <w:tcPr>
            <w:tcW w:w="324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11" w:right="-13"/>
              <w:jc w:val="left"/>
              <w:rPr>
                <w:rFonts w:ascii="宋体" w:hAnsi="宋体" w:cs="宋体" w:eastAsia="宋体" w:hint="default"/>
                <w:sz w:val="18"/>
                <w:szCs w:val="18"/>
              </w:rPr>
            </w:pPr>
            <w:r>
              <w:rPr>
                <w:rFonts w:ascii="宋体" w:hAnsi="宋体" w:cs="宋体" w:eastAsia="宋体" w:hint="default"/>
                <w:spacing w:val="24"/>
                <w:sz w:val="18"/>
                <w:szCs w:val="18"/>
              </w:rPr>
              <w:t>有者的净利润分别为 </w:t>
            </w:r>
            <w:r>
              <w:rPr>
                <w:rFonts w:ascii="Times New Roman" w:hAnsi="Times New Roman" w:cs="Times New Roman" w:eastAsia="Times New Roman" w:hint="default"/>
                <w:sz w:val="18"/>
                <w:szCs w:val="18"/>
              </w:rPr>
              <w:t>27,600  </w:t>
            </w:r>
            <w:r>
              <w:rPr>
                <w:rFonts w:ascii="Times New Roman" w:hAnsi="Times New Roman" w:cs="Times New Roman" w:eastAsia="Times New Roman" w:hint="default"/>
                <w:spacing w:val="24"/>
                <w:sz w:val="18"/>
                <w:szCs w:val="18"/>
              </w:rPr>
              <w:t> </w:t>
            </w:r>
            <w:r>
              <w:rPr>
                <w:rFonts w:ascii="宋体" w:hAnsi="宋体" w:cs="宋体" w:eastAsia="宋体" w:hint="default"/>
                <w:spacing w:val="18"/>
                <w:sz w:val="18"/>
                <w:szCs w:val="18"/>
              </w:rPr>
              <w:t>万元、</w:t>
            </w:r>
            <w:r>
              <w:rPr>
                <w:rFonts w:ascii="宋体" w:hAnsi="宋体" w:cs="宋体" w:eastAsia="宋体" w:hint="default"/>
                <w:spacing w:val="-62"/>
                <w:sz w:val="18"/>
                <w:szCs w:val="18"/>
              </w:rPr>
              <w:t> </w:t>
            </w:r>
            <w:r>
              <w:rPr>
                <w:rFonts w:ascii="宋体" w:hAnsi="宋体" w:cs="宋体" w:eastAsia="宋体" w:hint="default"/>
                <w:sz w:val="18"/>
                <w:szCs w:val="18"/>
              </w:rPr>
            </w:r>
          </w:p>
        </w:tc>
        <w:tc>
          <w:tcPr>
            <w:tcW w:w="1563" w:type="dxa"/>
            <w:vMerge w:val="restart"/>
            <w:tcBorders>
              <w:top w:val="single" w:sz="10" w:space="0" w:color="000000"/>
              <w:left w:val="single" w:sz="4" w:space="0" w:color="000000"/>
              <w:right w:val="single" w:sz="4" w:space="0" w:color="000000"/>
            </w:tcBorders>
          </w:tcPr>
          <w:p>
            <w:pPr/>
          </w:p>
        </w:tc>
        <w:tc>
          <w:tcPr>
            <w:tcW w:w="1162" w:type="dxa"/>
            <w:vMerge w:val="restart"/>
            <w:tcBorders>
              <w:top w:val="single" w:sz="10" w:space="0" w:color="000000"/>
              <w:left w:val="single" w:sz="4" w:space="0" w:color="000000"/>
              <w:right w:val="single" w:sz="4" w:space="0" w:color="000000"/>
            </w:tcBorders>
          </w:tcPr>
          <w:p>
            <w:pPr/>
          </w:p>
        </w:tc>
        <w:tc>
          <w:tcPr>
            <w:tcW w:w="162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86" w:right="0"/>
              <w:jc w:val="left"/>
              <w:rPr>
                <w:rFonts w:ascii="宋体" w:hAnsi="宋体" w:cs="宋体" w:eastAsia="宋体" w:hint="default"/>
                <w:sz w:val="18"/>
                <w:szCs w:val="18"/>
              </w:rPr>
            </w:pPr>
            <w:r>
              <w:rPr>
                <w:rFonts w:ascii="宋体" w:hAnsi="宋体" w:cs="宋体" w:eastAsia="宋体" w:hint="default"/>
                <w:sz w:val="18"/>
                <w:szCs w:val="18"/>
              </w:rPr>
              <w:t>承诺的事项发生。</w:t>
            </w:r>
          </w:p>
        </w:tc>
      </w:tr>
      <w:tr>
        <w:trPr>
          <w:trHeight w:val="405"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286" w:type="dxa"/>
            <w:vMerge/>
            <w:tcBorders>
              <w:left w:val="single" w:sz="4" w:space="0" w:color="000000"/>
              <w:bottom w:val="single" w:sz="4" w:space="0" w:color="000000"/>
              <w:right w:val="single" w:sz="4" w:space="0" w:color="000000"/>
            </w:tcBorders>
          </w:tcPr>
          <w:p>
            <w:pPr/>
          </w:p>
        </w:tc>
        <w:tc>
          <w:tcPr>
            <w:tcW w:w="3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24,336</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万元。</w:t>
            </w:r>
          </w:p>
        </w:tc>
        <w:tc>
          <w:tcPr>
            <w:tcW w:w="156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413"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10" w:space="0" w:color="FFFFFF"/>
            </w:tcBorders>
          </w:tcPr>
          <w:p>
            <w:pPr/>
          </w:p>
        </w:tc>
        <w:tc>
          <w:tcPr>
            <w:tcW w:w="3248"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101"/>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、本次交易完成后，在本企业作为上市</w:t>
            </w:r>
          </w:p>
        </w:tc>
        <w:tc>
          <w:tcPr>
            <w:tcW w:w="1563"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公司股东期间，本企业及本企业控制的其</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8"/>
                <w:sz w:val="18"/>
                <w:szCs w:val="18"/>
              </w:rPr>
              <w:t>他企业将尽量避免或减少与上市公司及</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其子公司之间产生关联交易事项；对于不</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可避免发生的关联业务往来或交易，将在</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平等、自愿的基础上，按照公平、公允和</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等价有偿的原则进行，交易价格将按照市</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场公认的合理价格确定。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、在本企业作</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为上市公司股东期间，不利用股东地位及</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pacing w:val="2"/>
                <w:sz w:val="18"/>
                <w:szCs w:val="18"/>
              </w:rPr>
              <w:t>北京汇达高新投资基金中心（有限合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伙）、西藏泰豪智能技术有限公司、新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疆恒通达泰股权投资合伙企业（有限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合伙）、新余京达投资管理中心（有限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合伙）</w:t>
            </w:r>
          </w:p>
        </w:tc>
        <w:tc>
          <w:tcPr>
            <w:tcW w:w="1286"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1" w:right="-13"/>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pacing w:val="-64"/>
                <w:sz w:val="18"/>
                <w:szCs w:val="18"/>
              </w:rPr>
              <w:t> </w:t>
            </w:r>
            <w:r>
              <w:rPr>
                <w:rFonts w:ascii="宋体" w:hAnsi="宋体" w:cs="宋体" w:eastAsia="宋体" w:hint="default"/>
                <w:sz w:val="18"/>
                <w:szCs w:val="18"/>
              </w:rPr>
              <w:t>面</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314" w:lineRule="auto" w:before="10"/>
              <w:ind w:left="4" w:right="-15"/>
              <w:jc w:val="left"/>
              <w:rPr>
                <w:rFonts w:ascii="宋体" w:hAnsi="宋体" w:cs="宋体" w:eastAsia="宋体" w:hint="default"/>
                <w:sz w:val="18"/>
                <w:szCs w:val="18"/>
              </w:rPr>
            </w:pPr>
            <w:r>
              <w:rPr>
                <w:rFonts w:ascii="宋体" w:hAnsi="宋体" w:cs="宋体" w:eastAsia="宋体" w:hint="default"/>
                <w:spacing w:val="8"/>
                <w:sz w:val="18"/>
                <w:szCs w:val="18"/>
              </w:rPr>
              <w:t>影响谋求上市公司在业务合作等方面给</w:t>
            </w:r>
            <w:r>
              <w:rPr>
                <w:rFonts w:ascii="宋体" w:hAnsi="宋体" w:cs="宋体" w:eastAsia="宋体" w:hint="default"/>
                <w:sz w:val="18"/>
                <w:szCs w:val="18"/>
              </w:rPr>
              <w:t> 予优于市场第三方的权利；不利用股东地 </w:t>
            </w:r>
            <w:r>
              <w:rPr>
                <w:rFonts w:ascii="宋体" w:hAnsi="宋体" w:cs="宋体" w:eastAsia="宋体" w:hint="default"/>
                <w:spacing w:val="8"/>
                <w:sz w:val="18"/>
                <w:szCs w:val="18"/>
              </w:rPr>
              <w:t>位及影响谋求与公司达成交易的优先权</w:t>
            </w:r>
            <w:r>
              <w:rPr>
                <w:rFonts w:ascii="宋体" w:hAnsi="宋体" w:cs="宋体" w:eastAsia="宋体" w:hint="default"/>
                <w:sz w:val="18"/>
                <w:szCs w:val="18"/>
              </w:rPr>
              <w:t> 利。</w:t>
            </w:r>
            <w:r>
              <w:rPr>
                <w:rFonts w:ascii="Times New Roman" w:hAnsi="Times New Roman" w:cs="Times New Roman" w:eastAsia="Times New Roman" w:hint="default"/>
                <w:sz w:val="18"/>
                <w:szCs w:val="18"/>
              </w:rPr>
              <w:t>3</w:t>
            </w:r>
            <w:r>
              <w:rPr>
                <w:rFonts w:ascii="宋体" w:hAnsi="宋体" w:cs="宋体" w:eastAsia="宋体" w:hint="default"/>
                <w:sz w:val="18"/>
                <w:szCs w:val="18"/>
              </w:rPr>
              <w:t>、在本企业作为上市公司股东期间 </w:t>
            </w:r>
            <w:r>
              <w:rPr>
                <w:rFonts w:ascii="宋体" w:hAnsi="宋体" w:cs="宋体" w:eastAsia="宋体" w:hint="default"/>
                <w:spacing w:val="8"/>
                <w:sz w:val="18"/>
                <w:szCs w:val="18"/>
              </w:rPr>
              <w:t>本企业将严格遵守上市公司章程等规范</w:t>
            </w:r>
            <w:r>
              <w:rPr>
                <w:rFonts w:ascii="宋体" w:hAnsi="宋体" w:cs="宋体" w:eastAsia="宋体" w:hint="default"/>
                <w:sz w:val="18"/>
                <w:szCs w:val="18"/>
              </w:rPr>
              <w:t> 性文件中关于关联交易事项的回避规定，</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03" w:lineRule="exact"/>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p>
            <w:pPr>
              <w:pStyle w:val="TableParagraph"/>
              <w:spacing w:line="18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8"/>
                <w:sz w:val="18"/>
                <w:szCs w:val="18"/>
              </w:rPr>
              <w:t>所涉及的关联交易均按照规定的决策程</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序进行，并将履行合法程序、及时对关联</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交易事项进行信息披露；不利用关联交易</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转移、输送利润，损害上市公司及其他股</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东的合法权益。</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、本承诺函一经作出即</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生效并不可撤销。如果本企业违反上述声</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2"/>
                <w:sz w:val="18"/>
                <w:szCs w:val="18"/>
              </w:rPr>
              <w:t>明与承诺并造成上市公司经济损失的，本</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10" w:space="0" w:color="FFFFFF"/>
            </w:tcBorders>
          </w:tcPr>
          <w:p>
            <w:pPr/>
          </w:p>
        </w:tc>
        <w:tc>
          <w:tcPr>
            <w:tcW w:w="324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8"/>
                <w:sz w:val="18"/>
                <w:szCs w:val="18"/>
              </w:rPr>
              <w:t>企业将赔偿上市公司因此受到的全部损</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413"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10" w:space="0" w:color="FFFFFF"/>
            </w:tcBorders>
          </w:tcPr>
          <w:p>
            <w:pPr/>
          </w:p>
        </w:tc>
        <w:tc>
          <w:tcPr>
            <w:tcW w:w="3248"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563"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821"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白巍、董月芳</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1" w:right="21"/>
              <w:jc w:val="left"/>
              <w:rPr>
                <w:rFonts w:ascii="宋体" w:hAnsi="宋体" w:cs="宋体" w:eastAsia="宋体" w:hint="default"/>
                <w:sz w:val="18"/>
                <w:szCs w:val="18"/>
              </w:rPr>
            </w:pPr>
            <w:r>
              <w:rPr>
                <w:rFonts w:ascii="宋体" w:hAnsi="宋体" w:cs="宋体" w:eastAsia="宋体" w:hint="default"/>
                <w:spacing w:val="-2"/>
                <w:sz w:val="18"/>
                <w:szCs w:val="18"/>
              </w:rPr>
              <w:t>公司发行股份及支付现金购买资产，交易</w:t>
            </w:r>
            <w:r>
              <w:rPr>
                <w:rFonts w:ascii="宋体" w:hAnsi="宋体" w:cs="宋体" w:eastAsia="宋体" w:hint="default"/>
                <w:sz w:val="18"/>
                <w:szCs w:val="18"/>
              </w:rPr>
              <w:t> 对手方股份锁定承诺。</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24" w:right="22"/>
              <w:jc w:val="left"/>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p>
        </w:tc>
      </w:tr>
    </w:tbl>
    <w:p>
      <w:pPr>
        <w:spacing w:after="0" w:line="316" w:lineRule="auto"/>
        <w:jc w:val="left"/>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156"/>
        <w:gridCol w:w="2979"/>
        <w:gridCol w:w="1274"/>
        <w:gridCol w:w="3260"/>
        <w:gridCol w:w="1563"/>
        <w:gridCol w:w="1162"/>
        <w:gridCol w:w="1625"/>
      </w:tblGrid>
      <w:tr>
        <w:trPr>
          <w:trHeight w:val="739" w:hRule="exact"/>
        </w:trPr>
        <w:tc>
          <w:tcPr>
            <w:tcW w:w="2156" w:type="dxa"/>
            <w:vMerge w:val="restart"/>
            <w:tcBorders>
              <w:top w:val="single" w:sz="10" w:space="0" w:color="000000"/>
              <w:left w:val="single" w:sz="4" w:space="0" w:color="000000"/>
              <w:right w:val="single" w:sz="4" w:space="0" w:color="000000"/>
            </w:tcBorders>
            <w:shd w:val="clear" w:color="auto" w:fill="D2D2D2"/>
          </w:tcPr>
          <w:p>
            <w:pPr/>
          </w:p>
        </w:tc>
        <w:tc>
          <w:tcPr>
            <w:tcW w:w="2979"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3260" w:type="dxa"/>
            <w:tcBorders>
              <w:top w:val="single" w:sz="10" w:space="0" w:color="000000"/>
              <w:left w:val="single" w:sz="4" w:space="0" w:color="000000"/>
              <w:bottom w:val="single" w:sz="4" w:space="0" w:color="000000"/>
              <w:right w:val="single" w:sz="4" w:space="0" w:color="000000"/>
            </w:tcBorders>
          </w:tcPr>
          <w:p>
            <w:pPr/>
          </w:p>
        </w:tc>
        <w:tc>
          <w:tcPr>
            <w:tcW w:w="1563"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62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86" w:right="22" w:hanging="63"/>
              <w:jc w:val="left"/>
              <w:rPr>
                <w:rFonts w:ascii="宋体" w:hAnsi="宋体" w:cs="宋体" w:eastAsia="宋体" w:hint="default"/>
                <w:sz w:val="18"/>
                <w:szCs w:val="18"/>
              </w:rPr>
            </w:pP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2069"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白巍、董月芳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1" w:right="2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绩</w:t>
            </w:r>
            <w:r>
              <w:rPr>
                <w:rFonts w:ascii="宋体" w:hAnsi="宋体" w:cs="宋体" w:eastAsia="宋体" w:hint="default"/>
                <w:spacing w:val="-62"/>
                <w:sz w:val="18"/>
                <w:szCs w:val="18"/>
              </w:rPr>
              <w:t> </w:t>
            </w:r>
            <w:r>
              <w:rPr>
                <w:rFonts w:ascii="宋体" w:hAnsi="宋体" w:cs="宋体" w:eastAsia="宋体" w:hint="default"/>
                <w:sz w:val="18"/>
                <w:szCs w:val="18"/>
              </w:rPr>
              <w:t>承</w:t>
            </w:r>
            <w:r>
              <w:rPr>
                <w:rFonts w:ascii="宋体" w:hAnsi="宋体" w:cs="宋体" w:eastAsia="宋体" w:hint="default"/>
                <w:spacing w:val="-64"/>
                <w:sz w:val="18"/>
                <w:szCs w:val="18"/>
              </w:rPr>
              <w:t> </w:t>
            </w:r>
            <w:r>
              <w:rPr>
                <w:rFonts w:ascii="宋体" w:hAnsi="宋体" w:cs="宋体" w:eastAsia="宋体" w:hint="default"/>
                <w:sz w:val="18"/>
                <w:szCs w:val="18"/>
              </w:rPr>
              <w:t>诺</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补</w:t>
            </w:r>
            <w:r>
              <w:rPr>
                <w:rFonts w:ascii="宋体" w:hAnsi="宋体" w:cs="宋体" w:eastAsia="宋体" w:hint="default"/>
                <w:sz w:val="18"/>
                <w:szCs w:val="18"/>
              </w:rPr>
              <w:t> 偿安排</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both"/>
              <w:rPr>
                <w:rFonts w:ascii="宋体" w:hAnsi="宋体" w:cs="宋体" w:eastAsia="宋体" w:hint="default"/>
                <w:sz w:val="18"/>
                <w:szCs w:val="18"/>
              </w:rPr>
            </w:pPr>
            <w:r>
              <w:rPr>
                <w:rFonts w:ascii="宋体" w:hAnsi="宋体" w:cs="宋体" w:eastAsia="宋体" w:hint="default"/>
                <w:sz w:val="18"/>
                <w:szCs w:val="18"/>
              </w:rPr>
              <w:t>交易对方向公司承诺西安西谷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304"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年经审计的合并报表口径 </w:t>
            </w:r>
            <w:r>
              <w:rPr>
                <w:rFonts w:ascii="宋体" w:hAnsi="宋体" w:cs="宋体" w:eastAsia="宋体" w:hint="default"/>
                <w:spacing w:val="-2"/>
                <w:sz w:val="18"/>
                <w:szCs w:val="18"/>
              </w:rPr>
              <w:t>净利润（即扣除非经常性损益后归属于母</w:t>
            </w:r>
            <w:r>
              <w:rPr>
                <w:rFonts w:ascii="宋体" w:hAnsi="宋体" w:cs="宋体" w:eastAsia="宋体" w:hint="default"/>
                <w:sz w:val="18"/>
                <w:szCs w:val="18"/>
              </w:rPr>
              <w:t> </w:t>
            </w:r>
            <w:r>
              <w:rPr>
                <w:rFonts w:ascii="宋体" w:hAnsi="宋体" w:cs="宋体" w:eastAsia="宋体" w:hint="default"/>
                <w:spacing w:val="-6"/>
                <w:w w:val="99"/>
                <w:sz w:val="18"/>
                <w:szCs w:val="18"/>
              </w:rPr>
              <w:t>公司所有者的净利润）（以下简称</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承诺盈</w:t>
            </w:r>
            <w:r>
              <w:rPr>
                <w:rFonts w:ascii="宋体" w:hAnsi="宋体" w:cs="宋体" w:eastAsia="宋体" w:hint="default"/>
                <w:sz w:val="18"/>
                <w:szCs w:val="18"/>
              </w:rPr>
              <w:t> </w:t>
            </w:r>
            <w:r>
              <w:rPr>
                <w:rFonts w:ascii="宋体" w:hAnsi="宋体" w:cs="宋体" w:eastAsia="宋体" w:hint="default"/>
                <w:spacing w:val="-4"/>
                <w:sz w:val="18"/>
                <w:szCs w:val="18"/>
              </w:rPr>
              <w:t>利数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）分别不低于（含本数）</w:t>
            </w:r>
            <w:r>
              <w:rPr>
                <w:rFonts w:ascii="Times New Roman" w:hAnsi="Times New Roman" w:cs="Times New Roman" w:eastAsia="Times New Roman" w:hint="default"/>
                <w:spacing w:val="-4"/>
                <w:sz w:val="18"/>
                <w:szCs w:val="18"/>
              </w:rPr>
              <w:t>5,021.00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w:t>
            </w:r>
            <w:r>
              <w:rPr>
                <w:rFonts w:ascii="宋体" w:hAnsi="宋体" w:cs="宋体" w:eastAsia="宋体" w:hint="default"/>
                <w:spacing w:val="-8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6,879.60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8,943.48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2069"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王益民、赵尔君、杨宏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3" w:right="17"/>
              <w:jc w:val="left"/>
              <w:rPr>
                <w:rFonts w:ascii="宋体" w:hAnsi="宋体" w:cs="宋体" w:eastAsia="宋体" w:hint="default"/>
                <w:sz w:val="18"/>
                <w:szCs w:val="18"/>
              </w:rPr>
            </w:pPr>
            <w:r>
              <w:rPr>
                <w:rFonts w:ascii="宋体" w:hAnsi="宋体" w:cs="宋体" w:eastAsia="宋体" w:hint="default"/>
                <w:sz w:val="18"/>
                <w:szCs w:val="18"/>
              </w:rPr>
              <w:t>本人本次认购的股票自上市之日起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 月不转让。</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承诺的事项发生。截</w:t>
            </w:r>
            <w:r>
              <w:rPr>
                <w:rFonts w:ascii="宋体" w:hAnsi="宋体" w:cs="宋体" w:eastAsia="宋体" w:hint="default"/>
                <w:sz w:val="18"/>
                <w:szCs w:val="18"/>
              </w:rPr>
              <w:t> </w:t>
            </w:r>
            <w:r>
              <w:rPr>
                <w:rFonts w:ascii="宋体" w:hAnsi="宋体" w:cs="宋体" w:eastAsia="宋体" w:hint="default"/>
                <w:spacing w:val="-6"/>
                <w:sz w:val="18"/>
                <w:szCs w:val="18"/>
              </w:rPr>
              <w:t>止本报告披露日，承</w:t>
            </w:r>
            <w:r>
              <w:rPr>
                <w:rFonts w:ascii="宋体" w:hAnsi="宋体" w:cs="宋体" w:eastAsia="宋体" w:hint="default"/>
                <w:sz w:val="18"/>
                <w:szCs w:val="18"/>
              </w:rPr>
              <w:t> 诺人承诺期已满。</w:t>
            </w:r>
          </w:p>
        </w:tc>
      </w:tr>
      <w:tr>
        <w:trPr>
          <w:trHeight w:val="4160"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9"/>
              <w:jc w:val="left"/>
              <w:rPr>
                <w:rFonts w:ascii="宋体" w:hAnsi="宋体" w:cs="宋体" w:eastAsia="宋体" w:hint="default"/>
                <w:sz w:val="18"/>
                <w:szCs w:val="18"/>
              </w:rPr>
            </w:pPr>
            <w:r>
              <w:rPr>
                <w:rFonts w:ascii="宋体" w:hAnsi="宋体" w:cs="宋体" w:eastAsia="宋体" w:hint="default"/>
                <w:spacing w:val="12"/>
                <w:sz w:val="18"/>
                <w:szCs w:val="18"/>
              </w:rPr>
              <w:t>首次公开发行或再融资时 </w:t>
            </w:r>
            <w:r>
              <w:rPr>
                <w:rFonts w:ascii="宋体" w:hAnsi="宋体" w:cs="宋体" w:eastAsia="宋体" w:hint="default"/>
                <w:sz w:val="18"/>
                <w:szCs w:val="18"/>
              </w:rPr>
              <w:t>所作承诺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7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1" w:right="-24"/>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pacing w:val="-64"/>
                <w:sz w:val="18"/>
                <w:szCs w:val="18"/>
              </w:rPr>
              <w:t> </w:t>
            </w:r>
            <w:r>
              <w:rPr>
                <w:rFonts w:ascii="宋体" w:hAnsi="宋体" w:cs="宋体" w:eastAsia="宋体" w:hint="default"/>
                <w:sz w:val="18"/>
                <w:szCs w:val="18"/>
              </w:rPr>
              <w:t>面</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3260" w:type="dxa"/>
            <w:tcBorders>
              <w:top w:val="single" w:sz="4" w:space="0" w:color="000000"/>
              <w:left w:val="single" w:sz="10" w:space="0" w:color="FFFFFF"/>
              <w:bottom w:val="single" w:sz="4" w:space="0" w:color="000000"/>
              <w:right w:val="single" w:sz="4" w:space="0" w:color="000000"/>
            </w:tcBorders>
          </w:tcPr>
          <w:p>
            <w:pPr>
              <w:pStyle w:val="TableParagraph"/>
              <w:spacing w:line="314" w:lineRule="auto" w:before="102"/>
              <w:ind w:left="16" w:right="17"/>
              <w:jc w:val="both"/>
              <w:rPr>
                <w:rFonts w:ascii="宋体" w:hAnsi="宋体" w:cs="宋体" w:eastAsia="宋体" w:hint="default"/>
                <w:sz w:val="18"/>
                <w:szCs w:val="18"/>
              </w:rPr>
            </w:pPr>
            <w:r>
              <w:rPr>
                <w:rFonts w:ascii="宋体" w:hAnsi="宋体" w:cs="宋体" w:eastAsia="宋体" w:hint="default"/>
                <w:spacing w:val="-2"/>
                <w:sz w:val="18"/>
                <w:szCs w:val="18"/>
              </w:rPr>
              <w:t>控股股东、实际控制人陈江涛先生关于避</w:t>
            </w:r>
            <w:r>
              <w:rPr>
                <w:rFonts w:ascii="宋体" w:hAnsi="宋体" w:cs="宋体" w:eastAsia="宋体" w:hint="default"/>
                <w:sz w:val="18"/>
                <w:szCs w:val="18"/>
              </w:rPr>
              <w:t> 免同业竞争作出以下承诺：</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、本人目前</w:t>
            </w:r>
            <w:r>
              <w:rPr>
                <w:rFonts w:ascii="宋体" w:hAnsi="宋体" w:cs="宋体" w:eastAsia="宋体" w:hint="default"/>
                <w:sz w:val="18"/>
                <w:szCs w:val="18"/>
              </w:rPr>
              <w:t> </w:t>
            </w:r>
            <w:r>
              <w:rPr>
                <w:rFonts w:ascii="宋体" w:hAnsi="宋体" w:cs="宋体" w:eastAsia="宋体" w:hint="default"/>
                <w:spacing w:val="8"/>
                <w:sz w:val="18"/>
                <w:szCs w:val="18"/>
              </w:rPr>
              <w:t>并没有直接或间接地从事任何与旋极信</w:t>
            </w:r>
            <w:r>
              <w:rPr>
                <w:rFonts w:ascii="宋体" w:hAnsi="宋体" w:cs="宋体" w:eastAsia="宋体" w:hint="default"/>
                <w:sz w:val="18"/>
                <w:szCs w:val="18"/>
              </w:rPr>
              <w:t> </w:t>
            </w:r>
            <w:r>
              <w:rPr>
                <w:rFonts w:ascii="宋体" w:hAnsi="宋体" w:cs="宋体" w:eastAsia="宋体" w:hint="default"/>
                <w:spacing w:val="8"/>
                <w:sz w:val="18"/>
                <w:szCs w:val="18"/>
              </w:rPr>
              <w:t>息所从事的业务构成同业竞争的任何业</w:t>
            </w:r>
            <w:r>
              <w:rPr>
                <w:rFonts w:ascii="宋体" w:hAnsi="宋体" w:cs="宋体" w:eastAsia="宋体" w:hint="default"/>
                <w:sz w:val="18"/>
                <w:szCs w:val="18"/>
              </w:rPr>
              <w:t> 务活动；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、本人保证今后的任何时间不 </w:t>
            </w:r>
            <w:r>
              <w:rPr>
                <w:rFonts w:ascii="宋体" w:hAnsi="宋体" w:cs="宋体" w:eastAsia="宋体" w:hint="default"/>
                <w:spacing w:val="-2"/>
                <w:sz w:val="18"/>
                <w:szCs w:val="18"/>
              </w:rPr>
              <w:t>会直接或间接地以任何方式（包括但不限</w:t>
            </w:r>
            <w:r>
              <w:rPr>
                <w:rFonts w:ascii="宋体" w:hAnsi="宋体" w:cs="宋体" w:eastAsia="宋体" w:hint="default"/>
                <w:sz w:val="18"/>
                <w:szCs w:val="18"/>
              </w:rPr>
              <w:t> </w:t>
            </w:r>
            <w:r>
              <w:rPr>
                <w:rFonts w:ascii="宋体" w:hAnsi="宋体" w:cs="宋体" w:eastAsia="宋体" w:hint="default"/>
                <w:spacing w:val="-3"/>
                <w:sz w:val="18"/>
                <w:szCs w:val="18"/>
              </w:rPr>
              <w:t>于独资、合资、合作和联营）从事、参与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或进行任何与旋极信息相同或类似的业</w:t>
            </w:r>
            <w:r>
              <w:rPr>
                <w:rFonts w:ascii="宋体" w:hAnsi="宋体" w:cs="宋体" w:eastAsia="宋体" w:hint="default"/>
                <w:sz w:val="18"/>
                <w:szCs w:val="18"/>
              </w:rPr>
              <w:t> </w:t>
            </w:r>
            <w:r>
              <w:rPr>
                <w:rFonts w:ascii="宋体" w:hAnsi="宋体" w:cs="宋体" w:eastAsia="宋体" w:hint="default"/>
                <w:spacing w:val="-2"/>
                <w:sz w:val="18"/>
                <w:szCs w:val="18"/>
              </w:rPr>
              <w:t>务，以避免与旋极信息的生产经营构成可</w:t>
            </w:r>
            <w:r>
              <w:rPr>
                <w:rFonts w:ascii="宋体" w:hAnsi="宋体" w:cs="宋体" w:eastAsia="宋体" w:hint="default"/>
                <w:sz w:val="18"/>
                <w:szCs w:val="18"/>
              </w:rPr>
              <w:t> </w:t>
            </w:r>
            <w:r>
              <w:rPr>
                <w:rFonts w:ascii="宋体" w:hAnsi="宋体" w:cs="宋体" w:eastAsia="宋体" w:hint="default"/>
                <w:spacing w:val="2"/>
                <w:sz w:val="18"/>
                <w:szCs w:val="18"/>
              </w:rPr>
              <w:t>能的直接的或间接的业务竞争；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、如果</w:t>
            </w:r>
            <w:r>
              <w:rPr>
                <w:rFonts w:ascii="宋体" w:hAnsi="宋体" w:cs="宋体" w:eastAsia="宋体" w:hint="default"/>
                <w:spacing w:val="-79"/>
                <w:sz w:val="18"/>
                <w:szCs w:val="18"/>
              </w:rPr>
              <w:t> </w:t>
            </w:r>
            <w:r>
              <w:rPr>
                <w:rFonts w:ascii="宋体" w:hAnsi="宋体" w:cs="宋体" w:eastAsia="宋体" w:hint="default"/>
                <w:spacing w:val="8"/>
                <w:sz w:val="18"/>
                <w:szCs w:val="18"/>
              </w:rPr>
              <w:t>本人有同旋极信息主营业务相同或类似</w:t>
            </w:r>
            <w:r>
              <w:rPr>
                <w:rFonts w:ascii="宋体" w:hAnsi="宋体" w:cs="宋体" w:eastAsia="宋体" w:hint="default"/>
                <w:sz w:val="18"/>
                <w:szCs w:val="18"/>
              </w:rPr>
              <w:t> </w:t>
            </w:r>
            <w:r>
              <w:rPr>
                <w:rFonts w:ascii="宋体" w:hAnsi="宋体" w:cs="宋体" w:eastAsia="宋体" w:hint="default"/>
                <w:spacing w:val="-2"/>
                <w:sz w:val="18"/>
                <w:szCs w:val="18"/>
              </w:rPr>
              <w:t>的业务机会，应立即通知旋极信息，并尽</w:t>
            </w:r>
            <w:r>
              <w:rPr>
                <w:rFonts w:ascii="宋体" w:hAnsi="宋体" w:cs="宋体" w:eastAsia="宋体" w:hint="default"/>
                <w:sz w:val="18"/>
                <w:szCs w:val="18"/>
              </w:rPr>
              <w:t> </w:t>
            </w:r>
            <w:r>
              <w:rPr>
                <w:rFonts w:ascii="宋体" w:hAnsi="宋体" w:cs="宋体" w:eastAsia="宋体" w:hint="default"/>
                <w:spacing w:val="-2"/>
                <w:sz w:val="18"/>
                <w:szCs w:val="18"/>
              </w:rPr>
              <w:t>其最大努力，按旋极信息可接受的合理条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bl>
    <w:p>
      <w:pPr>
        <w:spacing w:after="0" w:line="316" w:lineRule="auto"/>
        <w:jc w:val="both"/>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r>
        <w:rPr/>
        <w:pict>
          <v:shape style="position:absolute;margin-left:303.368011pt;margin-top:324.070007pt;width:87.45pt;height:85.8pt;mso-position-horizontal-relative:page;mso-position-vertical-relative:page;z-index:-1197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0"/>
                    <w:ind w:left="0" w:right="0" w:firstLine="0"/>
                    <w:jc w:val="left"/>
                    <w:rPr>
                      <w:rFonts w:ascii="宋体" w:hAnsi="宋体" w:cs="宋体" w:eastAsia="宋体" w:hint="default"/>
                      <w:sz w:val="18"/>
                      <w:szCs w:val="18"/>
                    </w:rPr>
                  </w:pPr>
                  <w:r>
                    <w:rPr>
                      <w:rFonts w:ascii="宋体" w:hAnsi="宋体" w:cs="宋体" w:eastAsia="宋体" w:hint="default"/>
                      <w:sz w:val="18"/>
                      <w:szCs w:val="18"/>
                    </w:rPr>
                    <w:t>叶明、</w:t>
                  </w:r>
                </w:p>
              </w:txbxContent>
            </v:textbox>
            <w10:wrap type="none"/>
          </v:shape>
        </w:pict>
      </w:r>
      <w:r>
        <w:rPr/>
        <w:pict>
          <v:shape style="position:absolute;margin-left:294.368011pt;margin-top:434.712006pt;width:96.45pt;height:85.85pt;mso-position-horizontal-relative:page;mso-position-vertical-relative:page;z-index:-1197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line="316" w:lineRule="auto" w:before="0"/>
                    <w:ind w:left="0" w:right="1206" w:firstLine="0"/>
                    <w:jc w:val="left"/>
                    <w:rPr>
                      <w:rFonts w:ascii="宋体" w:hAnsi="宋体" w:cs="宋体" w:eastAsia="宋体" w:hint="default"/>
                      <w:sz w:val="18"/>
                      <w:szCs w:val="18"/>
                    </w:rPr>
                  </w:pPr>
                  <w:r>
                    <w:rPr>
                      <w:rFonts w:ascii="宋体" w:hAnsi="宋体" w:cs="宋体" w:eastAsia="宋体" w:hint="default"/>
                      <w:sz w:val="18"/>
                      <w:szCs w:val="18"/>
                    </w:rPr>
                    <w:t>李鹏英、 吴为国、</w:t>
                  </w:r>
                </w:p>
                <w:p>
                  <w:pPr>
                    <w:spacing w:line="240" w:lineRule="auto" w:before="0"/>
                    <w:rPr>
                      <w:rFonts w:ascii="Times New Roman" w:hAnsi="Times New Roman" w:cs="Times New Roman" w:eastAsia="Times New Roman"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何沛霖、</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6"/>
        <w:gridCol w:w="2979"/>
        <w:gridCol w:w="1274"/>
        <w:gridCol w:w="3260"/>
        <w:gridCol w:w="1563"/>
        <w:gridCol w:w="1162"/>
        <w:gridCol w:w="1625"/>
      </w:tblGrid>
      <w:tr>
        <w:trPr>
          <w:trHeight w:val="1051" w:hRule="exact"/>
        </w:trPr>
        <w:tc>
          <w:tcPr>
            <w:tcW w:w="2156" w:type="dxa"/>
            <w:vMerge w:val="restart"/>
            <w:tcBorders>
              <w:top w:val="single" w:sz="10" w:space="0" w:color="000000"/>
              <w:left w:val="single" w:sz="4" w:space="0" w:color="000000"/>
              <w:right w:val="single" w:sz="4" w:space="0" w:color="000000"/>
            </w:tcBorders>
            <w:shd w:val="clear" w:color="auto" w:fill="D2D2D2"/>
          </w:tcPr>
          <w:p>
            <w:pPr/>
          </w:p>
        </w:tc>
        <w:tc>
          <w:tcPr>
            <w:tcW w:w="2979"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326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3" w:right="21"/>
              <w:jc w:val="both"/>
              <w:rPr>
                <w:rFonts w:ascii="宋体" w:hAnsi="宋体" w:cs="宋体" w:eastAsia="宋体" w:hint="default"/>
                <w:sz w:val="18"/>
                <w:szCs w:val="18"/>
              </w:rPr>
            </w:pPr>
            <w:r>
              <w:rPr>
                <w:rFonts w:ascii="宋体" w:hAnsi="宋体" w:cs="宋体" w:eastAsia="宋体" w:hint="default"/>
                <w:spacing w:val="-2"/>
                <w:sz w:val="18"/>
                <w:szCs w:val="18"/>
              </w:rPr>
              <w:t>款与条件向旋极信息提供上述机会。无论</w:t>
            </w:r>
            <w:r>
              <w:rPr>
                <w:rFonts w:ascii="宋体" w:hAnsi="宋体" w:cs="宋体" w:eastAsia="宋体" w:hint="default"/>
                <w:sz w:val="18"/>
                <w:szCs w:val="18"/>
              </w:rPr>
              <w:t> </w:t>
            </w:r>
            <w:r>
              <w:rPr>
                <w:rFonts w:ascii="宋体" w:hAnsi="宋体" w:cs="宋体" w:eastAsia="宋体" w:hint="default"/>
                <w:spacing w:val="-2"/>
                <w:sz w:val="18"/>
                <w:szCs w:val="18"/>
              </w:rPr>
              <w:t>旋极信息是否放弃该业务机会，本人均不</w:t>
            </w:r>
            <w:r>
              <w:rPr>
                <w:rFonts w:ascii="宋体" w:hAnsi="宋体" w:cs="宋体" w:eastAsia="宋体" w:hint="default"/>
                <w:sz w:val="18"/>
                <w:szCs w:val="18"/>
              </w:rPr>
              <w:t> 会自行从事、发展、经营该等业务。</w:t>
            </w:r>
          </w:p>
        </w:tc>
        <w:tc>
          <w:tcPr>
            <w:tcW w:w="1563"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625" w:type="dxa"/>
            <w:tcBorders>
              <w:top w:val="single" w:sz="10" w:space="0" w:color="000000"/>
              <w:left w:val="single" w:sz="4" w:space="0" w:color="000000"/>
              <w:bottom w:val="single" w:sz="4" w:space="0" w:color="000000"/>
              <w:right w:val="single" w:sz="4" w:space="0" w:color="000000"/>
            </w:tcBorders>
          </w:tcPr>
          <w:p>
            <w:pPr/>
          </w:p>
        </w:tc>
      </w:tr>
      <w:tr>
        <w:trPr>
          <w:trHeight w:val="1445"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01"/>
              <w:ind w:left="24" w:right="-38"/>
              <w:jc w:val="both"/>
              <w:rPr>
                <w:rFonts w:ascii="宋体" w:hAnsi="宋体" w:cs="宋体" w:eastAsia="宋体" w:hint="default"/>
                <w:sz w:val="18"/>
                <w:szCs w:val="18"/>
              </w:rPr>
            </w:pPr>
            <w:r>
              <w:rPr>
                <w:rFonts w:ascii="宋体" w:hAnsi="宋体" w:cs="宋体" w:eastAsia="宋体" w:hint="default"/>
                <w:spacing w:val="2"/>
                <w:sz w:val="18"/>
                <w:szCs w:val="18"/>
              </w:rPr>
              <w:t>蔡厚富、陈海涛、陈江涛、储珺、盖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峰、黄海涛、金春保、李居庸、李强、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刘明、马海涛、阮亚占、王晓炜、吴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匀、熊焰、杨水华、岳庆敏、周铂</w:t>
            </w:r>
          </w:p>
        </w:tc>
        <w:tc>
          <w:tcPr>
            <w:tcW w:w="1274" w:type="dxa"/>
            <w:tcBorders>
              <w:top w:val="single" w:sz="4" w:space="0" w:color="000000"/>
              <w:left w:val="single" w:sz="9" w:space="0" w:color="FFFFFF"/>
              <w:bottom w:val="single" w:sz="4" w:space="0" w:color="000000"/>
              <w:right w:val="single" w:sz="10" w:space="0" w:color="FFFFFF"/>
            </w:tcBorders>
          </w:tcPr>
          <w:p>
            <w:pPr>
              <w:pStyle w:val="TableParagraph"/>
              <w:spacing w:line="316" w:lineRule="auto" w:before="101"/>
              <w:ind w:left="15" w:right="-24"/>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pacing w:val="-64"/>
                <w:sz w:val="18"/>
                <w:szCs w:val="18"/>
              </w:rPr>
              <w:t> </w:t>
            </w:r>
            <w:r>
              <w:rPr>
                <w:rFonts w:ascii="宋体" w:hAnsi="宋体" w:cs="宋体" w:eastAsia="宋体" w:hint="default"/>
                <w:sz w:val="18"/>
                <w:szCs w:val="18"/>
              </w:rPr>
              <w:t>面</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2" w:lineRule="exact"/>
              <w:ind w:left="15" w:right="-3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1pt;height:15.6pt;mso-position-horizontal-relative:char;mso-position-vertical-relative:line" coordorigin="0,0" coordsize="1220,312">
                  <v:group style="position:absolute;left:0;top:0;width:1220;height:312" coordorigin="0,0" coordsize="1220,312">
                    <v:shape style="position:absolute;left:0;top:0;width:1220;height:312" coordorigin="0,0" coordsize="1220,312" path="m0,312l1219,312,121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tc>
        <w:tc>
          <w:tcPr>
            <w:tcW w:w="326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16" w:right="21"/>
              <w:jc w:val="both"/>
              <w:rPr>
                <w:rFonts w:ascii="宋体" w:hAnsi="宋体" w:cs="宋体" w:eastAsia="宋体" w:hint="default"/>
                <w:sz w:val="18"/>
                <w:szCs w:val="18"/>
              </w:rPr>
            </w:pPr>
            <w:r>
              <w:rPr>
                <w:rFonts w:ascii="宋体" w:hAnsi="宋体" w:cs="宋体" w:eastAsia="宋体" w:hint="default"/>
                <w:spacing w:val="-2"/>
                <w:sz w:val="18"/>
                <w:szCs w:val="18"/>
              </w:rPr>
              <w:t>关于避免同业竞争的承诺：本人不自营或</w:t>
            </w:r>
            <w:r>
              <w:rPr>
                <w:rFonts w:ascii="宋体" w:hAnsi="宋体" w:cs="宋体" w:eastAsia="宋体" w:hint="default"/>
                <w:sz w:val="18"/>
                <w:szCs w:val="18"/>
              </w:rPr>
              <w:t> </w:t>
            </w:r>
            <w:r>
              <w:rPr>
                <w:rFonts w:ascii="宋体" w:hAnsi="宋体" w:cs="宋体" w:eastAsia="宋体" w:hint="default"/>
                <w:spacing w:val="8"/>
                <w:sz w:val="18"/>
                <w:szCs w:val="18"/>
              </w:rPr>
              <w:t>者为他人经营与本公司同类的业务或者</w:t>
            </w:r>
            <w:r>
              <w:rPr>
                <w:rFonts w:ascii="宋体" w:hAnsi="宋体" w:cs="宋体" w:eastAsia="宋体" w:hint="default"/>
                <w:sz w:val="18"/>
                <w:szCs w:val="18"/>
              </w:rPr>
              <w:t> 从事损害本公司利益的活动。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2693"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17"/>
              <w:jc w:val="both"/>
              <w:rPr>
                <w:rFonts w:ascii="宋体" w:hAnsi="宋体" w:cs="宋体" w:eastAsia="宋体" w:hint="default"/>
                <w:sz w:val="18"/>
                <w:szCs w:val="18"/>
              </w:rPr>
            </w:pPr>
            <w:r>
              <w:rPr>
                <w:rFonts w:ascii="宋体" w:hAnsi="宋体" w:cs="宋体" w:eastAsia="宋体" w:hint="default"/>
                <w:sz w:val="18"/>
                <w:szCs w:val="18"/>
              </w:rPr>
              <w:t>针对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年以前公司部分员工未在公司 </w:t>
            </w:r>
            <w:r>
              <w:rPr>
                <w:rFonts w:ascii="宋体" w:hAnsi="宋体" w:cs="宋体" w:eastAsia="宋体" w:hint="default"/>
                <w:spacing w:val="-2"/>
                <w:sz w:val="18"/>
                <w:szCs w:val="18"/>
              </w:rPr>
              <w:t>缴纳社保的情形，公司控股股东、实际控</w:t>
            </w:r>
            <w:r>
              <w:rPr>
                <w:rFonts w:ascii="宋体" w:hAnsi="宋体" w:cs="宋体" w:eastAsia="宋体" w:hint="default"/>
                <w:sz w:val="18"/>
                <w:szCs w:val="18"/>
              </w:rPr>
              <w:t> </w:t>
            </w:r>
            <w:r>
              <w:rPr>
                <w:rFonts w:ascii="宋体" w:hAnsi="宋体" w:cs="宋体" w:eastAsia="宋体" w:hint="default"/>
                <w:spacing w:val="-3"/>
                <w:sz w:val="18"/>
                <w:szCs w:val="18"/>
              </w:rPr>
              <w:t>制人陈江涛先生出具《承诺函》，承诺如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果根据有权部门的要求或决定，需要为员</w:t>
            </w:r>
            <w:r>
              <w:rPr>
                <w:rFonts w:ascii="宋体" w:hAnsi="宋体" w:cs="宋体" w:eastAsia="宋体" w:hint="default"/>
                <w:sz w:val="18"/>
                <w:szCs w:val="18"/>
              </w:rPr>
              <w:t> </w:t>
            </w:r>
            <w:r>
              <w:rPr>
                <w:rFonts w:ascii="宋体" w:hAnsi="宋体" w:cs="宋体" w:eastAsia="宋体" w:hint="default"/>
                <w:spacing w:val="8"/>
                <w:sz w:val="18"/>
                <w:szCs w:val="18"/>
              </w:rPr>
              <w:t>工补缴本承诺函签署之日前应缴未缴的</w:t>
            </w:r>
            <w:r>
              <w:rPr>
                <w:rFonts w:ascii="宋体" w:hAnsi="宋体" w:cs="宋体" w:eastAsia="宋体" w:hint="default"/>
                <w:sz w:val="18"/>
                <w:szCs w:val="18"/>
              </w:rPr>
              <w:t> </w:t>
            </w:r>
            <w:r>
              <w:rPr>
                <w:rFonts w:ascii="宋体" w:hAnsi="宋体" w:cs="宋体" w:eastAsia="宋体" w:hint="default"/>
                <w:spacing w:val="-2"/>
                <w:sz w:val="18"/>
                <w:szCs w:val="18"/>
              </w:rPr>
              <w:t>社会保险金或住房公积金，或因未足额缴</w:t>
            </w:r>
            <w:r>
              <w:rPr>
                <w:rFonts w:ascii="宋体" w:hAnsi="宋体" w:cs="宋体" w:eastAsia="宋体" w:hint="default"/>
                <w:sz w:val="18"/>
                <w:szCs w:val="18"/>
              </w:rPr>
              <w:t> </w:t>
            </w:r>
            <w:r>
              <w:rPr>
                <w:rFonts w:ascii="宋体" w:hAnsi="宋体" w:cs="宋体" w:eastAsia="宋体" w:hint="default"/>
                <w:spacing w:val="-2"/>
                <w:sz w:val="18"/>
                <w:szCs w:val="18"/>
              </w:rPr>
              <w:t>纳需承担任何罚款或损失，将足额补偿公</w:t>
            </w:r>
            <w:r>
              <w:rPr>
                <w:rFonts w:ascii="宋体" w:hAnsi="宋体" w:cs="宋体" w:eastAsia="宋体" w:hint="default"/>
                <w:sz w:val="18"/>
                <w:szCs w:val="18"/>
              </w:rPr>
              <w:t> 司因此发生的支出或所受损失。</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23"/>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3939"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24" w:right="20"/>
              <w:jc w:val="left"/>
              <w:rPr>
                <w:rFonts w:ascii="宋体" w:hAnsi="宋体" w:cs="宋体" w:eastAsia="宋体" w:hint="default"/>
                <w:sz w:val="18"/>
                <w:szCs w:val="18"/>
              </w:rPr>
            </w:pPr>
            <w:r>
              <w:rPr>
                <w:rFonts w:ascii="宋体" w:hAnsi="宋体" w:cs="宋体" w:eastAsia="宋体" w:hint="default"/>
                <w:spacing w:val="2"/>
                <w:sz w:val="18"/>
                <w:szCs w:val="18"/>
              </w:rPr>
              <w:t>黄海涛、蔡厚富、李强、张晶、邓钊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锋、雷恩、洪美晶、赵盼军、万波、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吴海亮、蔡超、赖里仁、胡捷、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周恩军、谭泽炜、赵庭荣、田国光、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叶丽娟、刘爱斌、胡鹏、肖宇、陈安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辉、付景志、蓝海文、王晓倩、陈为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群、杨奇、付江、冯晓旺、刘海蛟、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王谞、邢婷、潘世杰、王朝辉、王晓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炜、齐英瑞、宋捷、纪德波、</w:t>
            </w:r>
            <w:r>
              <w:rPr>
                <w:rFonts w:ascii="宋体" w:hAnsi="宋体" w:cs="宋体" w:eastAsia="宋体" w:hint="default"/>
                <w:sz w:val="18"/>
                <w:szCs w:val="18"/>
              </w:rPr>
              <w:t> </w:t>
            </w:r>
            <w:r>
              <w:rPr>
                <w:rFonts w:ascii="宋体" w:hAnsi="宋体" w:cs="宋体" w:eastAsia="宋体" w:hint="default"/>
                <w:spacing w:val="-3"/>
                <w:sz w:val="18"/>
                <w:szCs w:val="18"/>
              </w:rPr>
              <w:t>黄丁全、王丹、王鹏、周珊、</w:t>
            </w:r>
            <w:r>
              <w:rPr>
                <w:rFonts w:ascii="宋体" w:hAnsi="宋体" w:cs="宋体" w:eastAsia="宋体" w:hint="default"/>
                <w:sz w:val="18"/>
                <w:szCs w:val="18"/>
              </w:rPr>
              <w:t> </w:t>
            </w:r>
            <w:r>
              <w:rPr>
                <w:rFonts w:ascii="宋体" w:hAnsi="宋体" w:cs="宋体" w:eastAsia="宋体" w:hint="default"/>
                <w:spacing w:val="2"/>
                <w:sz w:val="18"/>
                <w:szCs w:val="18"/>
              </w:rPr>
              <w:t>陶剑萍、于民、王涛涛、闵蓓尔、唐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兰霞、雷宇、李焕、陶剑锋、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63.25pt;height:85.8pt;mso-position-horizontal-relative:char;mso-position-vertical-relative:line" coordorigin="0,0" coordsize="1265,1716">
                  <v:group style="position:absolute;left:0;top:0;width:1265;height:1716" coordorigin="0,0" coordsize="1265,1716">
                    <v:shape style="position:absolute;left:0;top:0;width:1265;height:1716" coordorigin="0,0" coordsize="1265,1716" path="m0,1716l1265,1716,1265,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17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63.25pt;height:85.85pt;mso-position-horizontal-relative:char;mso-position-vertical-relative:line" coordorigin="0,0" coordsize="1265,1717">
                  <v:group style="position:absolute;left:0;top:0;width:1265;height:1717" coordorigin="0,0" coordsize="1265,1717">
                    <v:shape style="position:absolute;left:0;top:0;width:1265;height:1717" coordorigin="0,0" coordsize="1265,1717" path="m0,1716l1265,1716,1265,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7"/>
              <w:jc w:val="both"/>
              <w:rPr>
                <w:rFonts w:ascii="宋体" w:hAnsi="宋体" w:cs="宋体" w:eastAsia="宋体" w:hint="default"/>
                <w:sz w:val="18"/>
                <w:szCs w:val="18"/>
              </w:rPr>
            </w:pPr>
            <w:r>
              <w:rPr>
                <w:rFonts w:ascii="宋体" w:hAnsi="宋体" w:cs="宋体" w:eastAsia="宋体" w:hint="default"/>
                <w:sz w:val="18"/>
                <w:szCs w:val="18"/>
              </w:rPr>
              <w:t>首次授予的限制性股票自授予日起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 </w:t>
            </w:r>
            <w:r>
              <w:rPr>
                <w:rFonts w:ascii="宋体" w:hAnsi="宋体" w:cs="宋体" w:eastAsia="宋体" w:hint="default"/>
                <w:spacing w:val="-3"/>
                <w:sz w:val="18"/>
                <w:szCs w:val="18"/>
              </w:rPr>
              <w:t>月后，满足解锁条件的，激励对象可以分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三期解锁。具体解锁安排如下表所示：自</w:t>
            </w:r>
            <w:r>
              <w:rPr>
                <w:rFonts w:ascii="宋体" w:hAnsi="宋体" w:cs="宋体" w:eastAsia="宋体" w:hint="default"/>
                <w:sz w:val="18"/>
                <w:szCs w:val="18"/>
              </w:rPr>
              <w:t> 授予日起满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个月后的首个交易日至授</w:t>
            </w:r>
          </w:p>
          <w:p>
            <w:pPr>
              <w:pStyle w:val="TableParagraph"/>
              <w:spacing w:line="304" w:lineRule="auto" w:before="3"/>
              <w:ind w:left="23" w:right="17"/>
              <w:jc w:val="both"/>
              <w:rPr>
                <w:rFonts w:ascii="宋体" w:hAnsi="宋体" w:cs="宋体" w:eastAsia="宋体" w:hint="default"/>
                <w:sz w:val="18"/>
                <w:szCs w:val="18"/>
              </w:rPr>
            </w:pPr>
            <w:r>
              <w:rPr>
                <w:rFonts w:ascii="宋体" w:hAnsi="宋体" w:cs="宋体" w:eastAsia="宋体" w:hint="default"/>
                <w:sz w:val="18"/>
                <w:szCs w:val="18"/>
              </w:rPr>
              <w:t>予日起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个月内的最后一个交易日止， 满足解锁条件的可解锁</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；自授予日起</w:t>
            </w:r>
            <w:r>
              <w:rPr>
                <w:rFonts w:ascii="宋体" w:hAnsi="宋体" w:cs="宋体" w:eastAsia="宋体" w:hint="default"/>
                <w:sz w:val="18"/>
                <w:szCs w:val="18"/>
              </w:rPr>
              <w:t> 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个月后的首个交易日至授予日起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个月内的最后一个交易日止，满足解锁条</w:t>
            </w:r>
            <w:r>
              <w:rPr>
                <w:rFonts w:ascii="宋体" w:hAnsi="宋体" w:cs="宋体" w:eastAsia="宋体" w:hint="default"/>
                <w:sz w:val="18"/>
                <w:szCs w:val="18"/>
              </w:rPr>
              <w:t> 件的可解锁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；自授予日起满</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 后的首个交易日至授予日起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个月内的 </w:t>
            </w:r>
            <w:r>
              <w:rPr>
                <w:rFonts w:ascii="宋体" w:hAnsi="宋体" w:cs="宋体" w:eastAsia="宋体" w:hint="default"/>
                <w:spacing w:val="-2"/>
                <w:sz w:val="18"/>
                <w:szCs w:val="18"/>
              </w:rPr>
              <w:t>最后一个交易日止，满足解锁条件的可解</w:t>
            </w:r>
            <w:r>
              <w:rPr>
                <w:rFonts w:ascii="宋体" w:hAnsi="宋体" w:cs="宋体" w:eastAsia="宋体" w:hint="default"/>
                <w:sz w:val="18"/>
                <w:szCs w:val="18"/>
              </w:rPr>
              <w:t> 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29" w:hanging="53"/>
              <w:jc w:val="center"/>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承诺的事项发生。承</w:t>
            </w:r>
            <w:r>
              <w:rPr>
                <w:rFonts w:ascii="宋体" w:hAnsi="宋体" w:cs="宋体" w:eastAsia="宋体" w:hint="default"/>
                <w:sz w:val="18"/>
                <w:szCs w:val="18"/>
              </w:rPr>
              <w:t> 诺人王晓倩、胡捷、 石明浩承诺事项已 </w:t>
            </w:r>
            <w:r>
              <w:rPr>
                <w:rFonts w:ascii="宋体" w:hAnsi="宋体" w:cs="宋体" w:eastAsia="宋体" w:hint="default"/>
                <w:spacing w:val="-6"/>
                <w:sz w:val="18"/>
                <w:szCs w:val="18"/>
              </w:rPr>
              <w:t>豁免。截止本报告披</w:t>
            </w:r>
            <w:r>
              <w:rPr>
                <w:rFonts w:ascii="宋体" w:hAnsi="宋体" w:cs="宋体" w:eastAsia="宋体" w:hint="default"/>
                <w:sz w:val="18"/>
                <w:szCs w:val="18"/>
              </w:rPr>
              <w:t> </w:t>
            </w:r>
            <w:r>
              <w:rPr>
                <w:rFonts w:ascii="宋体" w:hAnsi="宋体" w:cs="宋体" w:eastAsia="宋体" w:hint="default"/>
                <w:spacing w:val="-6"/>
                <w:sz w:val="18"/>
                <w:szCs w:val="18"/>
              </w:rPr>
              <w:t>露日，承诺人承诺期</w:t>
            </w:r>
            <w:r>
              <w:rPr>
                <w:rFonts w:ascii="宋体" w:hAnsi="宋体" w:cs="宋体" w:eastAsia="宋体" w:hint="default"/>
                <w:sz w:val="18"/>
                <w:szCs w:val="18"/>
              </w:rPr>
              <w:t> 已满。</w:t>
            </w:r>
          </w:p>
        </w:tc>
      </w:tr>
    </w:tbl>
    <w:p>
      <w:pPr>
        <w:spacing w:after="0" w:line="316" w:lineRule="auto"/>
        <w:jc w:val="center"/>
        <w:rPr>
          <w:rFonts w:ascii="宋体" w:hAnsi="宋体" w:cs="宋体" w:eastAsia="宋体"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r>
        <w:rPr/>
        <w:pict>
          <v:shape style="position:absolute;margin-left:294.368011pt;margin-top:65.310005pt;width:96.45pt;height:160.6pt;mso-position-horizontal-relative:page;mso-position-vertical-relative:page;z-index:-1197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黎莉妮、</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156"/>
        <w:gridCol w:w="2979"/>
        <w:gridCol w:w="1274"/>
        <w:gridCol w:w="3260"/>
        <w:gridCol w:w="1563"/>
        <w:gridCol w:w="1162"/>
        <w:gridCol w:w="1625"/>
      </w:tblGrid>
      <w:tr>
        <w:trPr>
          <w:trHeight w:val="329" w:hRule="exact"/>
        </w:trPr>
        <w:tc>
          <w:tcPr>
            <w:tcW w:w="2156" w:type="dxa"/>
            <w:vMerge w:val="restart"/>
            <w:tcBorders>
              <w:top w:val="single" w:sz="10" w:space="0" w:color="000000"/>
              <w:left w:val="single" w:sz="4" w:space="0" w:color="000000"/>
              <w:right w:val="single" w:sz="4" w:space="0" w:color="000000"/>
            </w:tcBorders>
            <w:shd w:val="clear" w:color="auto" w:fill="D2D2D2"/>
          </w:tcPr>
          <w:p>
            <w:pPr/>
          </w:p>
        </w:tc>
        <w:tc>
          <w:tcPr>
            <w:tcW w:w="297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2"/>
                <w:sz w:val="18"/>
                <w:szCs w:val="18"/>
              </w:rPr>
              <w:t>宋玉平、赵琴、周扬剑、石明浩、石</w:t>
            </w:r>
            <w:r>
              <w:rPr>
                <w:rFonts w:ascii="宋体" w:hAnsi="宋体" w:cs="宋体" w:eastAsia="宋体" w:hint="default"/>
                <w:sz w:val="18"/>
                <w:szCs w:val="18"/>
              </w:rPr>
            </w:r>
          </w:p>
        </w:tc>
        <w:tc>
          <w:tcPr>
            <w:tcW w:w="1274" w:type="dxa"/>
            <w:vMerge w:val="restart"/>
            <w:tcBorders>
              <w:top w:val="single" w:sz="10" w:space="0" w:color="000000"/>
              <w:left w:val="single" w:sz="4" w:space="0" w:color="000000"/>
              <w:right w:val="single" w:sz="4" w:space="0" w:color="000000"/>
            </w:tcBorders>
          </w:tcPr>
          <w:p>
            <w:pPr>
              <w:pStyle w:val="TableParagraph"/>
              <w:spacing w:line="321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pict>
                <v:group style="width:63.25pt;height:160.6pt;mso-position-horizontal-relative:char;mso-position-vertical-relative:line" coordorigin="0,0" coordsize="1265,3212">
                  <v:group style="position:absolute;left:0;top:0;width:1265;height:3212" coordorigin="0,0" coordsize="1265,3212">
                    <v:shape style="position:absolute;left:0;top:0;width:1265;height:3212" coordorigin="0,0" coordsize="1265,3212" path="m0,3212l1265,3212,1265,0,0,0,0,3212xe" filled="true" fillcolor="#ffffff" stroked="false">
                      <v:path arrowok="t"/>
                      <v:fill type="solid"/>
                    </v:shape>
                  </v:group>
                </v:group>
              </w:pict>
            </w:r>
            <w:r>
              <w:rPr>
                <w:rFonts w:ascii="Times New Roman" w:hAnsi="Times New Roman" w:cs="Times New Roman" w:eastAsia="Times New Roman" w:hint="default"/>
                <w:position w:val="-63"/>
                <w:sz w:val="20"/>
                <w:szCs w:val="20"/>
              </w:rPr>
            </w:r>
          </w:p>
        </w:tc>
        <w:tc>
          <w:tcPr>
            <w:tcW w:w="3260" w:type="dxa"/>
            <w:vMerge w:val="restart"/>
            <w:tcBorders>
              <w:top w:val="single" w:sz="10" w:space="0" w:color="000000"/>
              <w:left w:val="single" w:sz="4" w:space="0" w:color="000000"/>
              <w:right w:val="single" w:sz="4" w:space="0" w:color="000000"/>
            </w:tcBorders>
          </w:tcPr>
          <w:p>
            <w:pPr/>
          </w:p>
        </w:tc>
        <w:tc>
          <w:tcPr>
            <w:tcW w:w="1563" w:type="dxa"/>
            <w:vMerge w:val="restart"/>
            <w:tcBorders>
              <w:top w:val="single" w:sz="10" w:space="0" w:color="000000"/>
              <w:left w:val="single" w:sz="4" w:space="0" w:color="000000"/>
              <w:right w:val="single" w:sz="4" w:space="0" w:color="000000"/>
            </w:tcBorders>
          </w:tcPr>
          <w:p>
            <w:pPr/>
          </w:p>
        </w:tc>
        <w:tc>
          <w:tcPr>
            <w:tcW w:w="1162" w:type="dxa"/>
            <w:vMerge w:val="restart"/>
            <w:tcBorders>
              <w:top w:val="single" w:sz="10" w:space="0" w:color="000000"/>
              <w:left w:val="single" w:sz="4" w:space="0" w:color="000000"/>
              <w:right w:val="single" w:sz="4" w:space="0" w:color="000000"/>
            </w:tcBorders>
          </w:tcPr>
          <w:p>
            <w:pPr/>
          </w:p>
        </w:tc>
        <w:tc>
          <w:tcPr>
            <w:tcW w:w="1625" w:type="dxa"/>
            <w:vMerge w:val="restart"/>
            <w:tcBorders>
              <w:top w:val="single" w:sz="10" w:space="0" w:color="000000"/>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磊、王丽娜、马翔、蔡轶珺、</w:t>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杨朝周、李楼樱、谢志刚、彭时涛、</w:t>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张祖艳、宋钱骞、沈芳、苗佳旺、吝</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媛、唐锦、李茜、张琨、岳庆敏、郭</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浩、夏林、韩宏、彭季、余建平、林</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建良、任鲁豫、朱凌昊、屠燕、任建</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国、周铂、董文丽、杨水华、陈茵、</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陈宇飞、范建军、肖洋、王子振、张</w:t>
            </w:r>
            <w:r>
              <w:rPr>
                <w:rFonts w:ascii="宋体" w:hAnsi="宋体" w:cs="宋体" w:eastAsia="宋体" w:hint="default"/>
                <w:sz w:val="18"/>
                <w:szCs w:val="18"/>
              </w:rPr>
            </w:r>
          </w:p>
        </w:tc>
        <w:tc>
          <w:tcPr>
            <w:tcW w:w="1274"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410" w:hRule="exact"/>
        </w:trPr>
        <w:tc>
          <w:tcPr>
            <w:tcW w:w="2156" w:type="dxa"/>
            <w:vMerge/>
            <w:tcBorders>
              <w:left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辉龙</w:t>
            </w:r>
          </w:p>
        </w:tc>
        <w:tc>
          <w:tcPr>
            <w:tcW w:w="1274"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005"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20"/>
              <w:jc w:val="left"/>
              <w:rPr>
                <w:rFonts w:ascii="宋体" w:hAnsi="宋体" w:cs="宋体" w:eastAsia="宋体" w:hint="default"/>
                <w:sz w:val="18"/>
                <w:szCs w:val="18"/>
              </w:rPr>
            </w:pPr>
            <w:r>
              <w:rPr>
                <w:rFonts w:ascii="宋体" w:hAnsi="宋体" w:cs="宋体" w:eastAsia="宋体" w:hint="default"/>
                <w:spacing w:val="2"/>
                <w:sz w:val="18"/>
                <w:szCs w:val="18"/>
              </w:rPr>
              <w:t>黄海涛、李长、陈茵、陈为群、佟翠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7"/>
              <w:jc w:val="both"/>
              <w:rPr>
                <w:rFonts w:ascii="宋体" w:hAnsi="宋体" w:cs="宋体" w:eastAsia="宋体" w:hint="default"/>
                <w:sz w:val="18"/>
                <w:szCs w:val="18"/>
              </w:rPr>
            </w:pPr>
            <w:r>
              <w:rPr>
                <w:rFonts w:ascii="宋体" w:hAnsi="宋体" w:cs="宋体" w:eastAsia="宋体" w:hint="default"/>
                <w:sz w:val="18"/>
                <w:szCs w:val="18"/>
              </w:rPr>
              <w:t>预留授予的限制性股票自授予日起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 </w:t>
            </w:r>
            <w:r>
              <w:rPr>
                <w:rFonts w:ascii="宋体" w:hAnsi="宋体" w:cs="宋体" w:eastAsia="宋体" w:hint="default"/>
                <w:spacing w:val="-3"/>
                <w:sz w:val="18"/>
                <w:szCs w:val="18"/>
              </w:rPr>
              <w:t>月后，满足解锁条件的，激励对象可以分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两期解锁。具体解锁安排如下所示：自授</w:t>
            </w:r>
            <w:r>
              <w:rPr>
                <w:rFonts w:ascii="宋体" w:hAnsi="宋体" w:cs="宋体" w:eastAsia="宋体" w:hint="default"/>
                <w:sz w:val="18"/>
                <w:szCs w:val="18"/>
              </w:rPr>
              <w:t> 予日起满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个月后的首个交易日至授予</w:t>
            </w:r>
          </w:p>
          <w:p>
            <w:pPr>
              <w:pStyle w:val="TableParagraph"/>
              <w:spacing w:line="300" w:lineRule="auto" w:before="3"/>
              <w:ind w:left="23" w:right="17"/>
              <w:jc w:val="both"/>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个月内的最后一个交易日止，满 足解锁条件的可解锁</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自授予日起满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个月后的首个交易日至授予日起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w:t>
            </w:r>
            <w:r>
              <w:rPr>
                <w:rFonts w:ascii="宋体" w:hAnsi="宋体" w:cs="宋体" w:eastAsia="宋体" w:hint="default"/>
                <w:spacing w:val="4"/>
                <w:sz w:val="18"/>
                <w:szCs w:val="18"/>
              </w:rPr>
              <w:t>月内的最后一个交易日止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满足解锁条件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的可解锁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24"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承诺的事项发生。承</w:t>
            </w:r>
            <w:r>
              <w:rPr>
                <w:rFonts w:ascii="宋体" w:hAnsi="宋体" w:cs="宋体" w:eastAsia="宋体" w:hint="default"/>
                <w:sz w:val="18"/>
                <w:szCs w:val="18"/>
              </w:rPr>
              <w:t> 诺人佟翠翠承诺事 </w:t>
            </w:r>
            <w:r>
              <w:rPr>
                <w:rFonts w:ascii="宋体" w:hAnsi="宋体" w:cs="宋体" w:eastAsia="宋体" w:hint="default"/>
                <w:spacing w:val="-6"/>
                <w:sz w:val="18"/>
                <w:szCs w:val="18"/>
              </w:rPr>
              <w:t>项已豁免。截止本报</w:t>
            </w:r>
            <w:r>
              <w:rPr>
                <w:rFonts w:ascii="宋体" w:hAnsi="宋体" w:cs="宋体" w:eastAsia="宋体" w:hint="default"/>
                <w:sz w:val="18"/>
                <w:szCs w:val="18"/>
              </w:rPr>
              <w:t> </w:t>
            </w:r>
            <w:r>
              <w:rPr>
                <w:rFonts w:ascii="宋体" w:hAnsi="宋体" w:cs="宋体" w:eastAsia="宋体" w:hint="default"/>
                <w:spacing w:val="-6"/>
                <w:sz w:val="18"/>
                <w:szCs w:val="18"/>
              </w:rPr>
              <w:t>告披露日，承诺人承</w:t>
            </w:r>
            <w:r>
              <w:rPr>
                <w:rFonts w:ascii="宋体" w:hAnsi="宋体" w:cs="宋体" w:eastAsia="宋体" w:hint="default"/>
                <w:sz w:val="18"/>
                <w:szCs w:val="18"/>
              </w:rPr>
              <w:t> 诺期已满。</w:t>
            </w:r>
          </w:p>
        </w:tc>
      </w:tr>
      <w:tr>
        <w:trPr>
          <w:trHeight w:val="408" w:hRule="exact"/>
        </w:trPr>
        <w:tc>
          <w:tcPr>
            <w:tcW w:w="21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公司大股东、实际控制人陈江涛先生已针</w:t>
            </w:r>
          </w:p>
        </w:tc>
        <w:tc>
          <w:tcPr>
            <w:tcW w:w="1563"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56" w:type="dxa"/>
            <w:tcBorders>
              <w:top w:val="nil" w:sz="6" w:space="0" w:color="auto"/>
              <w:left w:val="single" w:sz="4" w:space="0" w:color="000000"/>
              <w:bottom w:val="nil" w:sz="6" w:space="0" w:color="auto"/>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对朗科科技诉本公司侵权案件向本公司</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2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12"/>
                <w:sz w:val="18"/>
                <w:szCs w:val="18"/>
              </w:rPr>
              <w:t>其他对公司中小股东所作 </w:t>
            </w:r>
            <w:r>
              <w:rPr>
                <w:rFonts w:ascii="宋体" w:hAnsi="宋体" w:cs="宋体" w:eastAsia="宋体" w:hint="default"/>
                <w:sz w:val="18"/>
                <w:szCs w:val="18"/>
              </w:rPr>
              <w:t>承诺</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8"/>
              <w:jc w:val="both"/>
              <w:rPr>
                <w:rFonts w:ascii="宋体" w:hAnsi="宋体" w:cs="宋体" w:eastAsia="宋体" w:hint="default"/>
                <w:sz w:val="18"/>
                <w:szCs w:val="18"/>
              </w:rPr>
            </w:pPr>
            <w:r>
              <w:rPr>
                <w:rFonts w:ascii="宋体" w:hAnsi="宋体" w:cs="宋体" w:eastAsia="宋体" w:hint="default"/>
                <w:spacing w:val="3"/>
                <w:sz w:val="18"/>
                <w:szCs w:val="18"/>
              </w:rPr>
              <w:t>做出书面承诺：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如果公司因本次侵权案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件最终败诉，并因此需要支付任何侵权赔</w:t>
            </w:r>
            <w:r>
              <w:rPr>
                <w:rFonts w:ascii="宋体" w:hAnsi="宋体" w:cs="宋体" w:eastAsia="宋体" w:hint="default"/>
                <w:sz w:val="18"/>
                <w:szCs w:val="18"/>
              </w:rPr>
              <w:t> </w:t>
            </w:r>
            <w:r>
              <w:rPr>
                <w:rFonts w:ascii="宋体" w:hAnsi="宋体" w:cs="宋体" w:eastAsia="宋体" w:hint="default"/>
                <w:spacing w:val="-3"/>
                <w:sz w:val="18"/>
                <w:szCs w:val="18"/>
              </w:rPr>
              <w:t>偿金、相关诉讼费用，或因本次诉讼导致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公司的生产、经营遭受损失，公司实际控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制人陈江涛先生将承担公司因本次诉讼</w:t>
            </w:r>
          </w:p>
        </w:tc>
        <w:tc>
          <w:tcPr>
            <w:tcW w:w="15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393" w:right="36" w:hanging="360"/>
              <w:jc w:val="left"/>
              <w:rPr>
                <w:rFonts w:ascii="宋体" w:hAnsi="宋体" w:cs="宋体" w:eastAsia="宋体" w:hint="default"/>
                <w:sz w:val="18"/>
                <w:szCs w:val="18"/>
              </w:rPr>
            </w:pPr>
            <w:r>
              <w:rPr>
                <w:rFonts w:ascii="宋体" w:hAnsi="宋体" w:cs="宋体" w:eastAsia="宋体" w:hint="default"/>
                <w:sz w:val="18"/>
                <w:szCs w:val="18"/>
              </w:rPr>
              <w:t>承诺日至本案 结束</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312" w:hRule="exact"/>
        </w:trPr>
        <w:tc>
          <w:tcPr>
            <w:tcW w:w="2156" w:type="dxa"/>
            <w:tcBorders>
              <w:top w:val="nil" w:sz="6" w:space="0" w:color="auto"/>
              <w:left w:val="single" w:sz="4" w:space="0" w:color="000000"/>
              <w:bottom w:val="nil" w:sz="6" w:space="0" w:color="auto"/>
              <w:right w:val="single" w:sz="4" w:space="0" w:color="000000"/>
            </w:tcBorders>
            <w:shd w:val="clear" w:color="auto" w:fill="D2D2D2"/>
          </w:tcPr>
          <w:p>
            <w:pPr/>
          </w:p>
        </w:tc>
        <w:tc>
          <w:tcPr>
            <w:tcW w:w="297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产生的侵权赔偿金、案件费用及生产、经</w:t>
            </w:r>
          </w:p>
        </w:tc>
        <w:tc>
          <w:tcPr>
            <w:tcW w:w="156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413" w:hRule="exact"/>
        </w:trPr>
        <w:tc>
          <w:tcPr>
            <w:tcW w:w="21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97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营损失。</w:t>
            </w:r>
          </w:p>
        </w:tc>
        <w:tc>
          <w:tcPr>
            <w:tcW w:w="1563"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156"/>
        <w:gridCol w:w="2979"/>
        <w:gridCol w:w="1274"/>
        <w:gridCol w:w="3260"/>
        <w:gridCol w:w="1563"/>
        <w:gridCol w:w="1162"/>
        <w:gridCol w:w="1625"/>
      </w:tblGrid>
      <w:tr>
        <w:trPr>
          <w:trHeight w:val="2081" w:hRule="exact"/>
        </w:trPr>
        <w:tc>
          <w:tcPr>
            <w:tcW w:w="2156" w:type="dxa"/>
            <w:vMerge w:val="restart"/>
            <w:tcBorders>
              <w:top w:val="single" w:sz="10" w:space="0" w:color="000000"/>
              <w:left w:val="single" w:sz="4" w:space="0" w:color="000000"/>
              <w:right w:val="single" w:sz="4" w:space="0" w:color="000000"/>
            </w:tcBorders>
            <w:shd w:val="clear" w:color="auto" w:fill="D2D2D2"/>
          </w:tcPr>
          <w:p>
            <w:pPr/>
          </w:p>
        </w:tc>
        <w:tc>
          <w:tcPr>
            <w:tcW w:w="29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2" w:lineRule="auto"/>
              <w:ind w:left="23" w:right="19"/>
              <w:jc w:val="both"/>
              <w:rPr>
                <w:rFonts w:ascii="宋体" w:hAnsi="宋体" w:cs="宋体" w:eastAsia="宋体" w:hint="default"/>
                <w:sz w:val="18"/>
                <w:szCs w:val="18"/>
              </w:rPr>
            </w:pP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年限制性股票激励计划的 </w:t>
            </w:r>
            <w:r>
              <w:rPr>
                <w:rFonts w:ascii="宋体" w:hAnsi="宋体" w:cs="宋体" w:eastAsia="宋体" w:hint="default"/>
                <w:spacing w:val="-2"/>
                <w:sz w:val="18"/>
                <w:szCs w:val="18"/>
              </w:rPr>
              <w:t>承诺：公司不为激励对象依据股权激励计</w:t>
            </w:r>
            <w:r>
              <w:rPr>
                <w:rFonts w:ascii="宋体" w:hAnsi="宋体" w:cs="宋体" w:eastAsia="宋体" w:hint="default"/>
                <w:sz w:val="18"/>
                <w:szCs w:val="18"/>
              </w:rPr>
              <w:t> </w:t>
            </w:r>
            <w:r>
              <w:rPr>
                <w:rFonts w:ascii="宋体" w:hAnsi="宋体" w:cs="宋体" w:eastAsia="宋体" w:hint="default"/>
                <w:spacing w:val="8"/>
                <w:sz w:val="18"/>
                <w:szCs w:val="18"/>
              </w:rPr>
              <w:t>划获取有关权益提供贷款以及其他形式</w:t>
            </w:r>
            <w:r>
              <w:rPr>
                <w:rFonts w:ascii="宋体" w:hAnsi="宋体" w:cs="宋体" w:eastAsia="宋体" w:hint="default"/>
                <w:sz w:val="18"/>
                <w:szCs w:val="18"/>
              </w:rPr>
              <w:t> 的财务资助，包括为其贷款提供担保。</w:t>
            </w:r>
          </w:p>
        </w:tc>
        <w:tc>
          <w:tcPr>
            <w:tcW w:w="15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三个月</w:t>
            </w:r>
          </w:p>
        </w:tc>
        <w:tc>
          <w:tcPr>
            <w:tcW w:w="162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09"/>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承诺的事项发生。截</w:t>
            </w:r>
            <w:r>
              <w:rPr>
                <w:rFonts w:ascii="宋体" w:hAnsi="宋体" w:cs="宋体" w:eastAsia="宋体" w:hint="default"/>
                <w:sz w:val="18"/>
                <w:szCs w:val="18"/>
              </w:rPr>
              <w:t> </w:t>
            </w:r>
            <w:r>
              <w:rPr>
                <w:rFonts w:ascii="宋体" w:hAnsi="宋体" w:cs="宋体" w:eastAsia="宋体" w:hint="default"/>
                <w:spacing w:val="-6"/>
                <w:sz w:val="18"/>
                <w:szCs w:val="18"/>
              </w:rPr>
              <w:t>止本报告披露日，承</w:t>
            </w:r>
            <w:r>
              <w:rPr>
                <w:rFonts w:ascii="宋体" w:hAnsi="宋体" w:cs="宋体" w:eastAsia="宋体" w:hint="default"/>
                <w:sz w:val="18"/>
                <w:szCs w:val="18"/>
              </w:rPr>
              <w:t> 诺人承诺期已满。</w:t>
            </w:r>
          </w:p>
        </w:tc>
      </w:tr>
      <w:tr>
        <w:trPr>
          <w:trHeight w:val="1445"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白巍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4"/>
                <w:sz w:val="18"/>
                <w:szCs w:val="18"/>
              </w:rPr>
              <w:t>日起十二个月内（即至</w:t>
            </w:r>
          </w:p>
          <w:p>
            <w:pPr>
              <w:pStyle w:val="TableParagraph"/>
              <w:spacing w:line="309" w:lineRule="auto" w:before="6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日）不减持本人持有的公 </w:t>
            </w:r>
            <w:r>
              <w:rPr>
                <w:rFonts w:ascii="宋体" w:hAnsi="宋体" w:cs="宋体" w:eastAsia="宋体" w:hint="default"/>
                <w:spacing w:val="-3"/>
                <w:sz w:val="18"/>
                <w:szCs w:val="18"/>
              </w:rPr>
              <w:t>司股票。若违反上述承诺，减持股份所得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全部归公司所有。</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1443" w:hRule="exact"/>
        </w:trPr>
        <w:tc>
          <w:tcPr>
            <w:tcW w:w="2156" w:type="dxa"/>
            <w:vMerge/>
            <w:tcBorders>
              <w:left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陈江涛、刘明、蔡厚富、黄海涛、谢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军伟、赵庭荣、周翔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4"/>
                <w:sz w:val="18"/>
                <w:szCs w:val="18"/>
              </w:rPr>
              <w:t>日起十二个月内（即至</w:t>
            </w:r>
          </w:p>
          <w:p>
            <w:pPr>
              <w:pStyle w:val="TableParagraph"/>
              <w:spacing w:line="309" w:lineRule="auto" w:before="6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日）不减持本人持有的公 </w:t>
            </w:r>
            <w:r>
              <w:rPr>
                <w:rFonts w:ascii="宋体" w:hAnsi="宋体" w:cs="宋体" w:eastAsia="宋体" w:hint="default"/>
                <w:spacing w:val="-3"/>
                <w:sz w:val="18"/>
                <w:szCs w:val="18"/>
              </w:rPr>
              <w:t>司股票。若违反上述承诺，减持股份所得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全部归公司所有。</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承诺的事项发生。</w:t>
            </w:r>
          </w:p>
        </w:tc>
      </w:tr>
      <w:tr>
        <w:trPr>
          <w:trHeight w:val="2069"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4"/>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年第一期员工持股计划实际认购份</w:t>
            </w:r>
            <w:r>
              <w:rPr>
                <w:rFonts w:ascii="宋体" w:hAnsi="宋体" w:cs="宋体" w:eastAsia="宋体" w:hint="default"/>
                <w:sz w:val="18"/>
                <w:szCs w:val="18"/>
              </w:rPr>
              <w:t> </w:t>
            </w:r>
            <w:r>
              <w:rPr>
                <w:rFonts w:ascii="宋体" w:hAnsi="宋体" w:cs="宋体" w:eastAsia="宋体" w:hint="default"/>
                <w:spacing w:val="8"/>
                <w:sz w:val="18"/>
                <w:szCs w:val="18"/>
              </w:rPr>
              <w:t>额与计划认购份额之间的差额部分公司</w:t>
            </w:r>
            <w:r>
              <w:rPr>
                <w:rFonts w:ascii="宋体" w:hAnsi="宋体" w:cs="宋体" w:eastAsia="宋体" w:hint="default"/>
                <w:sz w:val="18"/>
                <w:szCs w:val="18"/>
              </w:rPr>
              <w:t> </w:t>
            </w:r>
            <w:r>
              <w:rPr>
                <w:rFonts w:ascii="宋体" w:hAnsi="宋体" w:cs="宋体" w:eastAsia="宋体" w:hint="default"/>
                <w:spacing w:val="-3"/>
                <w:sz w:val="18"/>
                <w:szCs w:val="18"/>
              </w:rPr>
              <w:t>控股股东、董事长、总经理陈江涛先生承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诺出资认购，其并对旋极信息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号集合资 </w:t>
            </w:r>
            <w:r>
              <w:rPr>
                <w:rFonts w:ascii="宋体" w:hAnsi="宋体" w:cs="宋体" w:eastAsia="宋体" w:hint="default"/>
                <w:spacing w:val="8"/>
                <w:sz w:val="18"/>
                <w:szCs w:val="18"/>
              </w:rPr>
              <w:t>产管理计划优先级份额的本金及预期收</w:t>
            </w:r>
            <w:r>
              <w:rPr>
                <w:rFonts w:ascii="宋体" w:hAnsi="宋体" w:cs="宋体" w:eastAsia="宋体" w:hint="default"/>
                <w:sz w:val="18"/>
                <w:szCs w:val="18"/>
              </w:rPr>
              <w:t> 益提供连带担保责任。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二十四个月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22"/>
              <w:jc w:val="both"/>
              <w:rPr>
                <w:rFonts w:ascii="宋体" w:hAnsi="宋体" w:cs="宋体" w:eastAsia="宋体" w:hint="default"/>
                <w:sz w:val="18"/>
                <w:szCs w:val="18"/>
              </w:rPr>
            </w:pPr>
            <w:r>
              <w:rPr>
                <w:rFonts w:ascii="宋体" w:hAnsi="宋体" w:cs="宋体" w:eastAsia="宋体" w:hint="default"/>
                <w:spacing w:val="-6"/>
                <w:sz w:val="18"/>
                <w:szCs w:val="18"/>
              </w:rPr>
              <w:t>报告期内，承诺人均</w:t>
            </w:r>
            <w:r>
              <w:rPr>
                <w:rFonts w:ascii="宋体" w:hAnsi="宋体" w:cs="宋体" w:eastAsia="宋体" w:hint="default"/>
                <w:sz w:val="18"/>
                <w:szCs w:val="18"/>
              </w:rPr>
              <w:t> </w:t>
            </w:r>
            <w:r>
              <w:rPr>
                <w:rFonts w:ascii="宋体" w:hAnsi="宋体" w:cs="宋体" w:eastAsia="宋体" w:hint="default"/>
                <w:spacing w:val="-6"/>
                <w:sz w:val="18"/>
                <w:szCs w:val="18"/>
              </w:rPr>
              <w:t>严格履行承诺，截至</w:t>
            </w:r>
            <w:r>
              <w:rPr>
                <w:rFonts w:ascii="宋体" w:hAnsi="宋体" w:cs="宋体" w:eastAsia="宋体" w:hint="default"/>
                <w:sz w:val="18"/>
                <w:szCs w:val="18"/>
              </w:rPr>
              <w:t> </w:t>
            </w:r>
            <w:r>
              <w:rPr>
                <w:rFonts w:ascii="宋体" w:hAnsi="宋体" w:cs="宋体" w:eastAsia="宋体" w:hint="default"/>
                <w:spacing w:val="-6"/>
                <w:sz w:val="18"/>
                <w:szCs w:val="18"/>
              </w:rPr>
              <w:t>本报告期末，无违反</w:t>
            </w:r>
            <w:r>
              <w:rPr>
                <w:rFonts w:ascii="宋体" w:hAnsi="宋体" w:cs="宋体" w:eastAsia="宋体" w:hint="default"/>
                <w:sz w:val="18"/>
                <w:szCs w:val="18"/>
              </w:rPr>
              <w:t> </w:t>
            </w:r>
            <w:r>
              <w:rPr>
                <w:rFonts w:ascii="宋体" w:hAnsi="宋体" w:cs="宋体" w:eastAsia="宋体" w:hint="default"/>
                <w:spacing w:val="-6"/>
                <w:sz w:val="18"/>
                <w:szCs w:val="18"/>
              </w:rPr>
              <w:t>承诺的事项发生。截</w:t>
            </w:r>
            <w:r>
              <w:rPr>
                <w:rFonts w:ascii="宋体" w:hAnsi="宋体" w:cs="宋体" w:eastAsia="宋体" w:hint="default"/>
                <w:sz w:val="18"/>
                <w:szCs w:val="18"/>
              </w:rPr>
              <w:t> </w:t>
            </w:r>
            <w:r>
              <w:rPr>
                <w:rFonts w:ascii="宋体" w:hAnsi="宋体" w:cs="宋体" w:eastAsia="宋体" w:hint="default"/>
                <w:spacing w:val="-6"/>
                <w:sz w:val="18"/>
                <w:szCs w:val="18"/>
              </w:rPr>
              <w:t>止本报告披露日，承</w:t>
            </w:r>
            <w:r>
              <w:rPr>
                <w:rFonts w:ascii="宋体" w:hAnsi="宋体" w:cs="宋体" w:eastAsia="宋体" w:hint="default"/>
                <w:sz w:val="18"/>
                <w:szCs w:val="18"/>
              </w:rPr>
              <w:t> 诺人承诺期已满。</w:t>
            </w:r>
          </w:p>
        </w:tc>
      </w:tr>
      <w:tr>
        <w:trPr>
          <w:trHeight w:val="509"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97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82" w:footer="1132" w:top="1100" w:bottom="1320" w:left="1300" w:right="1280"/>
        </w:sectPr>
      </w:pPr>
    </w:p>
    <w:p>
      <w:pPr>
        <w:spacing w:line="240" w:lineRule="auto" w:before="10"/>
        <w:rPr>
          <w:rFonts w:ascii="Times New Roman" w:hAnsi="Times New Roman" w:cs="Times New Roman" w:eastAsia="Times New Roman" w:hint="default"/>
          <w:sz w:val="13"/>
          <w:szCs w:val="13"/>
        </w:rPr>
      </w:pPr>
    </w:p>
    <w:p>
      <w:pPr>
        <w:pStyle w:val="Heading3"/>
        <w:spacing w:line="338" w:lineRule="auto" w:before="26"/>
        <w:ind w:right="136"/>
        <w:jc w:val="left"/>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w:t>
      </w:r>
      <w:r>
        <w:rPr/>
        <w:t> 盈利预测及其原因做出说明</w:t>
      </w:r>
    </w:p>
    <w:p>
      <w:pPr>
        <w:spacing w:line="240" w:lineRule="auto" w:before="1"/>
        <w:rPr>
          <w:rFonts w:ascii="黑体" w:hAnsi="黑体" w:cs="黑体" w:eastAsia="黑体" w:hint="default"/>
          <w:sz w:val="18"/>
          <w:szCs w:val="18"/>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81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42" w:right="49" w:hanging="92"/>
              <w:jc w:val="left"/>
              <w:rPr>
                <w:rFonts w:ascii="宋体" w:hAnsi="宋体" w:cs="宋体" w:eastAsia="宋体" w:hint="default"/>
                <w:sz w:val="18"/>
                <w:szCs w:val="18"/>
              </w:rPr>
            </w:pPr>
            <w:r>
              <w:rPr>
                <w:rFonts w:ascii="宋体" w:hAnsi="宋体" w:cs="宋体" w:eastAsia="宋体" w:hint="default"/>
                <w:b/>
                <w:bCs/>
                <w:sz w:val="18"/>
                <w:szCs w:val="18"/>
              </w:rPr>
              <w:t>盈利预测资产</w:t>
            </w:r>
            <w:r>
              <w:rPr>
                <w:rFonts w:ascii="宋体" w:hAnsi="宋体" w:cs="宋体" w:eastAsia="宋体" w:hint="default"/>
                <w:b/>
                <w:bCs/>
                <w:w w:val="99"/>
                <w:sz w:val="18"/>
                <w:szCs w:val="18"/>
              </w:rPr>
              <w:t> </w:t>
            </w:r>
            <w:r>
              <w:rPr>
                <w:rFonts w:ascii="宋体" w:hAnsi="宋体" w:cs="宋体" w:eastAsia="宋体" w:hint="default"/>
                <w:b/>
                <w:bCs/>
                <w:sz w:val="18"/>
                <w:szCs w:val="18"/>
              </w:rPr>
              <w:t>或项目名称</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预测起始时间</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预测终止时间</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当期预测业绩</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当期实际业绩</w:t>
            </w:r>
            <w:r>
              <w:rPr>
                <w:rFonts w:ascii="宋体" w:hAnsi="宋体" w:cs="宋体" w:eastAsia="宋体" w:hint="default"/>
                <w:sz w:val="18"/>
                <w:szCs w:val="18"/>
              </w:rPr>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50" w:right="48"/>
              <w:jc w:val="left"/>
              <w:rPr>
                <w:rFonts w:ascii="宋体" w:hAnsi="宋体" w:cs="宋体" w:eastAsia="宋体" w:hint="default"/>
                <w:sz w:val="18"/>
                <w:szCs w:val="18"/>
              </w:rPr>
            </w:pPr>
            <w:r>
              <w:rPr>
                <w:rFonts w:ascii="宋体" w:hAnsi="宋体" w:cs="宋体" w:eastAsia="宋体" w:hint="default"/>
                <w:b/>
                <w:bCs/>
                <w:sz w:val="18"/>
                <w:szCs w:val="18"/>
              </w:rPr>
              <w:t>未达预测的原</w:t>
            </w:r>
            <w:r>
              <w:rPr>
                <w:rFonts w:ascii="宋体" w:hAnsi="宋体" w:cs="宋体" w:eastAsia="宋体" w:hint="default"/>
                <w:b/>
                <w:bCs/>
                <w:w w:val="99"/>
                <w:sz w:val="18"/>
                <w:szCs w:val="18"/>
              </w:rPr>
              <w:t> </w:t>
            </w:r>
            <w:r>
              <w:rPr>
                <w:rFonts w:ascii="宋体" w:hAnsi="宋体" w:cs="宋体" w:eastAsia="宋体" w:hint="default"/>
                <w:b/>
                <w:bCs/>
                <w:sz w:val="18"/>
                <w:szCs w:val="18"/>
              </w:rPr>
              <w:t>因（如适用）</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504" w:right="49" w:hanging="452"/>
              <w:jc w:val="left"/>
              <w:rPr>
                <w:rFonts w:ascii="宋体" w:hAnsi="宋体" w:cs="宋体" w:eastAsia="宋体" w:hint="default"/>
                <w:sz w:val="18"/>
                <w:szCs w:val="18"/>
              </w:rPr>
            </w:pPr>
            <w:r>
              <w:rPr>
                <w:rFonts w:ascii="宋体" w:hAnsi="宋体" w:cs="宋体" w:eastAsia="宋体" w:hint="default"/>
                <w:b/>
                <w:bCs/>
                <w:sz w:val="18"/>
                <w:szCs w:val="18"/>
              </w:rPr>
              <w:t>原预测披露日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503" w:right="51" w:hanging="454"/>
              <w:jc w:val="left"/>
              <w:rPr>
                <w:rFonts w:ascii="宋体" w:hAnsi="宋体" w:cs="宋体" w:eastAsia="宋体" w:hint="default"/>
                <w:sz w:val="18"/>
                <w:szCs w:val="18"/>
              </w:rPr>
            </w:pPr>
            <w:r>
              <w:rPr>
                <w:rFonts w:ascii="宋体" w:hAnsi="宋体" w:cs="宋体" w:eastAsia="宋体" w:hint="default"/>
                <w:b/>
                <w:bCs/>
                <w:sz w:val="18"/>
                <w:szCs w:val="18"/>
              </w:rPr>
              <w:t>原预测披露索</w:t>
            </w:r>
            <w:r>
              <w:rPr>
                <w:rFonts w:ascii="宋体" w:hAnsi="宋体" w:cs="宋体" w:eastAsia="宋体" w:hint="default"/>
                <w:b/>
                <w:bCs/>
                <w:w w:val="99"/>
                <w:sz w:val="18"/>
                <w:szCs w:val="18"/>
              </w:rPr>
              <w:t> </w:t>
            </w:r>
            <w:r>
              <w:rPr>
                <w:rFonts w:ascii="宋体" w:hAnsi="宋体" w:cs="宋体" w:eastAsia="宋体" w:hint="default"/>
                <w:b/>
                <w:bCs/>
                <w:sz w:val="18"/>
                <w:szCs w:val="18"/>
              </w:rPr>
              <w:t>引</w:t>
            </w:r>
            <w:r>
              <w:rPr>
                <w:rFonts w:ascii="宋体" w:hAnsi="宋体" w:cs="宋体" w:eastAsia="宋体" w:hint="default"/>
                <w:sz w:val="18"/>
                <w:szCs w:val="18"/>
              </w:rPr>
            </w:r>
          </w:p>
        </w:tc>
      </w:tr>
      <w:tr>
        <w:trPr>
          <w:trHeight w:val="113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西安西谷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8,943.48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9,100.17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23" w:right="-37"/>
              <w:jc w:val="left"/>
              <w:rPr>
                <w:rFonts w:ascii="Times New Roman" w:hAnsi="Times New Roman" w:cs="Times New Roman" w:eastAsia="Times New Roman"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http://www.cni nfo.com.cn</w:t>
            </w:r>
          </w:p>
        </w:tc>
      </w:tr>
      <w:tr>
        <w:trPr>
          <w:trHeight w:val="113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泰豪智能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23" w:right="-37"/>
              <w:jc w:val="left"/>
              <w:rPr>
                <w:rFonts w:ascii="Times New Roman" w:hAnsi="Times New Roman" w:cs="Times New Roman" w:eastAsia="Times New Roman"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http://www.cni nfo.com.cn</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公司股东、交易对手方对公司或相关资产年度经营业绩作出的承诺情况</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2"/>
        <w:ind w:right="11"/>
        <w:jc w:val="left"/>
      </w:pPr>
      <w:r>
        <w:rPr/>
        <w:t>三、控股股东及其关联方对上市公司的非经营性占用资金情况</w:t>
      </w:r>
    </w:p>
    <w:p>
      <w:pPr>
        <w:spacing w:line="240" w:lineRule="auto" w:before="12"/>
        <w:rPr>
          <w:rFonts w:ascii="黑体" w:hAnsi="黑体" w:cs="黑体" w:eastAsia="黑体" w:hint="default"/>
          <w:sz w:val="37"/>
          <w:szCs w:val="37"/>
        </w:rPr>
      </w:pPr>
    </w:p>
    <w:p>
      <w:pPr>
        <w:pStyle w:val="BodyText"/>
        <w:spacing w:line="468" w:lineRule="auto"/>
        <w:ind w:left="573" w:right="18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公司报告期不存在控股股东及其关联方对上市公司的非经营性占用资金。</w:t>
      </w:r>
    </w:p>
    <w:p>
      <w:pPr>
        <w:spacing w:line="240" w:lineRule="auto" w:before="2"/>
        <w:rPr>
          <w:rFonts w:ascii="宋体" w:hAnsi="宋体" w:cs="宋体" w:eastAsia="宋体" w:hint="default"/>
          <w:sz w:val="21"/>
          <w:szCs w:val="21"/>
        </w:rPr>
      </w:pPr>
    </w:p>
    <w:p>
      <w:pPr>
        <w:pStyle w:val="Heading2"/>
        <w:spacing w:line="240" w:lineRule="auto" w:before="0"/>
        <w:ind w:right="11"/>
        <w:jc w:val="left"/>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p>
    <w:p>
      <w:pPr>
        <w:spacing w:line="240" w:lineRule="auto" w:before="3"/>
        <w:rPr>
          <w:rFonts w:ascii="黑体" w:hAnsi="黑体" w:cs="黑体" w:eastAsia="黑体" w:hint="default"/>
          <w:sz w:val="36"/>
          <w:szCs w:val="36"/>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386" w:lineRule="auto" w:before="173"/>
        <w:ind w:right="11"/>
        <w:jc w:val="left"/>
      </w:pPr>
      <w:r>
        <w:rPr>
          <w:spacing w:val="-2"/>
        </w:rPr>
        <w:t>五、董事会、监事会、独立董事（如有）对会计师事务所本报告期</w:t>
      </w:r>
      <w:r>
        <w:rPr>
          <w:rFonts w:ascii="Times New Roman" w:hAnsi="Times New Roman" w:cs="Times New Roman" w:eastAsia="Times New Roman" w:hint="default"/>
          <w:spacing w:val="-2"/>
        </w:rPr>
        <w:t>“</w:t>
      </w:r>
      <w:r>
        <w:rPr>
          <w:spacing w:val="-2"/>
        </w:rPr>
        <w:t>非标准审计</w:t>
      </w:r>
      <w:r>
        <w:rPr>
          <w:spacing w:val="-81"/>
        </w:rPr>
        <w:t> </w:t>
      </w:r>
      <w:r>
        <w:rPr>
          <w:spacing w:val="-81"/>
        </w:rPr>
      </w:r>
      <w:r>
        <w:rPr/>
        <w:t>报告</w:t>
      </w:r>
      <w:r>
        <w:rPr>
          <w:rFonts w:ascii="Times New Roman" w:hAnsi="Times New Roman" w:cs="Times New Roman" w:eastAsia="Times New Roman" w:hint="default"/>
        </w:rPr>
        <w:t>”</w:t>
      </w:r>
      <w:r>
        <w:rPr/>
        <w:t>的说明</w:t>
      </w:r>
    </w:p>
    <w:p>
      <w:pPr>
        <w:spacing w:line="240" w:lineRule="auto" w:before="10"/>
        <w:rPr>
          <w:rFonts w:ascii="黑体" w:hAnsi="黑体" w:cs="黑体" w:eastAsia="黑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0"/>
        <w:ind w:right="11"/>
        <w:jc w:val="left"/>
      </w:pPr>
      <w:r>
        <w:rPr/>
        <w:t>六、董事会关于报告期会计政策、会计估计变更或重大会计差错更正的说明</w:t>
      </w:r>
    </w:p>
    <w:p>
      <w:pPr>
        <w:spacing w:line="240" w:lineRule="auto" w:before="12"/>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25"/>
          <w:footerReference w:type="default" r:id="rId26"/>
          <w:pgSz w:w="11910" w:h="16840"/>
          <w:pgMar w:header="882" w:footer="1132" w:top="1280" w:bottom="1320" w:left="980" w:right="980"/>
          <w:pgNumType w:start="61"/>
        </w:sectPr>
      </w:pPr>
    </w:p>
    <w:p>
      <w:pPr>
        <w:spacing w:line="240" w:lineRule="auto" w:before="9"/>
        <w:rPr>
          <w:rFonts w:ascii="宋体" w:hAnsi="宋体" w:cs="宋体" w:eastAsia="宋体" w:hint="default"/>
          <w:sz w:val="16"/>
          <w:szCs w:val="16"/>
        </w:rPr>
      </w:pPr>
    </w:p>
    <w:p>
      <w:pPr>
        <w:pStyle w:val="Heading2"/>
        <w:spacing w:line="240" w:lineRule="auto"/>
        <w:ind w:right="11"/>
        <w:jc w:val="left"/>
      </w:pPr>
      <w:r>
        <w:rPr/>
        <w:t>七、与上年度财务报告相比，合并报表范围发生变化的情况说明</w:t>
      </w:r>
    </w:p>
    <w:p>
      <w:pPr>
        <w:spacing w:line="240" w:lineRule="auto" w:before="11"/>
        <w:rPr>
          <w:rFonts w:ascii="黑体" w:hAnsi="黑体" w:cs="黑体" w:eastAsia="黑体" w:hint="default"/>
          <w:sz w:val="37"/>
          <w:szCs w:val="37"/>
        </w:rPr>
      </w:pPr>
    </w:p>
    <w:p>
      <w:pPr>
        <w:pStyle w:val="BodyText"/>
        <w:spacing w:line="47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本期新设子公司西安华睿云创信息技术有限公司、北京伏羲众合投资管理有限公司，合并范围增加；</w:t>
      </w:r>
    </w:p>
    <w:p>
      <w:pPr>
        <w:pStyle w:val="BodyText"/>
        <w:spacing w:line="408" w:lineRule="auto"/>
        <w:ind w:right="11"/>
        <w:jc w:val="left"/>
        <w:rPr>
          <w:rFonts w:ascii="MS Gothic" w:hAnsi="MS Gothic" w:cs="MS Gothic" w:eastAsia="MS Gothic" w:hint="default"/>
        </w:rPr>
      </w:pPr>
      <w:r>
        <w:rPr>
          <w:spacing w:val="-2"/>
        </w:rPr>
        <w:t>转让沈阳旋飞航空技术有限公司部分股权，转让北京泰豪太阳能科技有限公司全部股权，清算子公司河北</w:t>
      </w:r>
      <w:r>
        <w:rPr>
          <w:spacing w:val="-43"/>
        </w:rPr>
        <w:t> </w:t>
      </w:r>
      <w:r>
        <w:rPr>
          <w:spacing w:val="-43"/>
        </w:rPr>
      </w:r>
      <w:r>
        <w:rPr/>
        <w:t>泰豪慧城科技有限公司，合并范围减少</w:t>
      </w:r>
      <w:r>
        <w:rPr>
          <w:rFonts w:ascii="MS Gothic" w:hAnsi="MS Gothic" w:cs="MS Gothic" w:eastAsia="MS Gothic" w:hint="default"/>
        </w:rPr>
        <w:t>｡</w:t>
      </w:r>
    </w:p>
    <w:p>
      <w:pPr>
        <w:spacing w:line="240" w:lineRule="auto" w:before="3"/>
        <w:rPr>
          <w:rFonts w:ascii="MS Gothic" w:hAnsi="MS Gothic" w:cs="MS Gothic" w:eastAsia="MS Gothic" w:hint="default"/>
          <w:sz w:val="25"/>
          <w:szCs w:val="25"/>
        </w:rPr>
      </w:pPr>
    </w:p>
    <w:p>
      <w:pPr>
        <w:pStyle w:val="Heading2"/>
        <w:spacing w:line="240" w:lineRule="auto" w:before="0"/>
        <w:ind w:right="11"/>
        <w:jc w:val="left"/>
      </w:pPr>
      <w:r>
        <w:rPr/>
        <w:t>八、聘任、解聘会计师事务所情况</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t>现聘任的会计事务所</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50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0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200</w:t>
            </w:r>
          </w:p>
        </w:tc>
      </w:tr>
      <w:tr>
        <w:trPr>
          <w:trHeight w:val="506"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w:t>
            </w:r>
          </w:p>
        </w:tc>
      </w:tr>
      <w:tr>
        <w:trPr>
          <w:trHeight w:val="50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r>
        <w:trPr>
          <w:trHeight w:val="50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是否改聘会计师事务所</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240" w:lineRule="auto" w:before="90"/>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3"/>
        <w:ind w:right="11"/>
        <w:jc w:val="left"/>
      </w:pPr>
      <w:r>
        <w:rPr/>
        <w:t>九、年度报告披露后面临暂停上市和终止上市情况</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2"/>
        <w:ind w:right="11"/>
        <w:jc w:val="left"/>
      </w:pPr>
      <w:r>
        <w:rPr/>
        <w:t>十、破产重整相关事项</w:t>
      </w:r>
    </w:p>
    <w:p>
      <w:pPr>
        <w:spacing w:line="240" w:lineRule="auto" w:before="11"/>
        <w:rPr>
          <w:rFonts w:ascii="黑体" w:hAnsi="黑体" w:cs="黑体" w:eastAsia="黑体" w:hint="default"/>
          <w:sz w:val="37"/>
          <w:szCs w:val="37"/>
        </w:rPr>
      </w:pPr>
    </w:p>
    <w:p>
      <w:pPr>
        <w:pStyle w:val="BodyText"/>
        <w:spacing w:line="468"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line="240" w:lineRule="auto" w:before="2"/>
        <w:rPr>
          <w:rFonts w:ascii="宋体" w:hAnsi="宋体" w:cs="宋体" w:eastAsia="宋体" w:hint="default"/>
          <w:sz w:val="21"/>
          <w:szCs w:val="21"/>
        </w:rPr>
      </w:pPr>
    </w:p>
    <w:p>
      <w:pPr>
        <w:pStyle w:val="Heading2"/>
        <w:spacing w:line="240" w:lineRule="auto" w:before="0"/>
        <w:ind w:right="11"/>
        <w:jc w:val="left"/>
      </w:pPr>
      <w:r>
        <w:rPr/>
        <w:t>十一、重大诉讼、仲裁事项</w:t>
      </w:r>
    </w:p>
    <w:p>
      <w:pPr>
        <w:spacing w:after="0" w:line="240" w:lineRule="auto"/>
        <w:jc w:val="left"/>
        <w:sectPr>
          <w:pgSz w:w="11910" w:h="16840"/>
          <w:pgMar w:header="882" w:footer="1132" w:top="1280" w:bottom="1320" w:left="980" w:right="980"/>
        </w:sectPr>
      </w:pPr>
    </w:p>
    <w:p>
      <w:pPr>
        <w:pStyle w:val="BodyText"/>
        <w:spacing w:line="240" w:lineRule="auto" w:before="11"/>
        <w:ind w:left="9163"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p>
      <w:pPr>
        <w:spacing w:line="240" w:lineRule="auto" w:before="1"/>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8"/>
        <w:ind w:left="560" w:right="8264"/>
        <w:jc w:val="left"/>
      </w:pPr>
      <w:r>
        <w:rPr/>
        <w:pict>
          <v:shape style="position:absolute;margin-left:569.380005pt;margin-top:69.653687pt;width:62.55pt;height:163.85pt;mso-position-horizontal-relative:page;mso-position-vertical-relative:paragraph;z-index:-1196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710"/>
        <w:gridCol w:w="991"/>
        <w:gridCol w:w="992"/>
        <w:gridCol w:w="994"/>
        <w:gridCol w:w="2410"/>
        <w:gridCol w:w="1135"/>
        <w:gridCol w:w="1558"/>
        <w:gridCol w:w="1229"/>
      </w:tblGrid>
      <w:tr>
        <w:trPr>
          <w:trHeight w:val="816" w:hRule="exact"/>
        </w:trPr>
        <w:tc>
          <w:tcPr>
            <w:tcW w:w="4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 w:right="-49"/>
              <w:jc w:val="left"/>
              <w:rPr>
                <w:rFonts w:ascii="宋体" w:hAnsi="宋体" w:cs="宋体" w:eastAsia="宋体" w:hint="default"/>
                <w:sz w:val="18"/>
                <w:szCs w:val="18"/>
              </w:rPr>
            </w:pPr>
            <w:r>
              <w:rPr>
                <w:rFonts w:ascii="宋体" w:hAnsi="宋体" w:cs="宋体" w:eastAsia="宋体" w:hint="default"/>
                <w:spacing w:val="54"/>
                <w:sz w:val="18"/>
                <w:szCs w:val="18"/>
              </w:rPr>
              <w:t>涉案金额</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是否形成预 </w:t>
            </w:r>
            <w:r>
              <w:rPr>
                <w:rFonts w:ascii="宋体" w:hAnsi="宋体" w:cs="宋体" w:eastAsia="宋体" w:hint="default"/>
                <w:sz w:val="18"/>
                <w:szCs w:val="18"/>
              </w:rPr>
              <w:t>计负债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2"/>
              <w:jc w:val="left"/>
              <w:rPr>
                <w:rFonts w:ascii="宋体" w:hAnsi="宋体" w:cs="宋体" w:eastAsia="宋体" w:hint="default"/>
                <w:sz w:val="18"/>
                <w:szCs w:val="18"/>
              </w:rPr>
            </w:pPr>
            <w:r>
              <w:rPr>
                <w:rFonts w:ascii="宋体" w:hAnsi="宋体" w:cs="宋体" w:eastAsia="宋体" w:hint="default"/>
                <w:spacing w:val="12"/>
                <w:sz w:val="18"/>
                <w:szCs w:val="18"/>
              </w:rPr>
              <w:t>诉讼</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2"/>
                <w:sz w:val="18"/>
                <w:szCs w:val="18"/>
              </w:rPr>
              <w:t>仲裁</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1" w:right="24"/>
              <w:jc w:val="left"/>
              <w:rPr>
                <w:rFonts w:ascii="宋体" w:hAnsi="宋体" w:cs="宋体" w:eastAsia="宋体" w:hint="default"/>
                <w:sz w:val="18"/>
                <w:szCs w:val="18"/>
              </w:rPr>
            </w:pPr>
            <w:r>
              <w:rPr>
                <w:rFonts w:ascii="宋体" w:hAnsi="宋体" w:cs="宋体" w:eastAsia="宋体" w:hint="default"/>
                <w:spacing w:val="7"/>
                <w:sz w:val="18"/>
                <w:szCs w:val="18"/>
              </w:rPr>
              <w:t>诉讼</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仲裁</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判</w:t>
            </w:r>
            <w:r>
              <w:rPr>
                <w:rFonts w:ascii="宋体" w:hAnsi="宋体" w:cs="宋体" w:eastAsia="宋体" w:hint="default"/>
                <w:spacing w:val="-86"/>
                <w:sz w:val="18"/>
                <w:szCs w:val="18"/>
              </w:rPr>
              <w:t> </w:t>
            </w:r>
            <w:r>
              <w:rPr>
                <w:rFonts w:ascii="宋体" w:hAnsi="宋体" w:cs="宋体" w:eastAsia="宋体" w:hint="default"/>
                <w:sz w:val="18"/>
                <w:szCs w:val="18"/>
              </w:rPr>
              <w:t>决执行情况</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67"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6"/>
              <w:ind w:left="23"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日，朗科科技向广西壮族自治区南宁市中级 </w:t>
            </w:r>
            <w:r>
              <w:rPr>
                <w:rFonts w:ascii="宋体" w:hAnsi="宋体" w:cs="宋体" w:eastAsia="宋体" w:hint="default"/>
                <w:spacing w:val="-2"/>
                <w:sz w:val="18"/>
                <w:szCs w:val="18"/>
              </w:rPr>
              <w:t>人民法院递交《民事起诉状》，起诉本公司、中国农业银行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股份有限公司、中国农业银行股份有限公司北海工业园支行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侵犯朗科科技发明专利权（专利名称为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用于数据处理系统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w w:val="99"/>
                <w:sz w:val="18"/>
                <w:szCs w:val="18"/>
              </w:rPr>
              <w:t>的快闪电子式外存储方法及其装置</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，专利号：</w:t>
            </w:r>
            <w:r>
              <w:rPr>
                <w:rFonts w:ascii="Times New Roman" w:hAnsi="Times New Roman" w:cs="Times New Roman" w:eastAsia="Times New Roman" w:hint="default"/>
                <w:spacing w:val="-8"/>
                <w:w w:val="99"/>
                <w:sz w:val="18"/>
                <w:szCs w:val="18"/>
              </w:rPr>
              <w:t>99117225.6</w:t>
            </w:r>
            <w:r>
              <w:rPr>
                <w:rFonts w:ascii="宋体" w:hAnsi="宋体" w:cs="宋体" w:eastAsia="宋体" w:hint="default"/>
                <w:spacing w:val="-8"/>
                <w:w w:val="99"/>
                <w:sz w:val="18"/>
                <w:szCs w:val="18"/>
              </w:rPr>
              <w:t>）。</w:t>
            </w:r>
            <w:r>
              <w:rPr>
                <w:rFonts w:ascii="宋体" w:hAnsi="宋体" w:cs="宋体" w:eastAsia="宋体" w:hint="default"/>
                <w:spacing w:val="-68"/>
                <w:w w:val="99"/>
                <w:sz w:val="18"/>
                <w:szCs w:val="18"/>
              </w:rPr>
              <w:t> </w:t>
            </w:r>
            <w:r>
              <w:rPr>
                <w:rFonts w:ascii="宋体" w:hAnsi="宋体" w:cs="宋体" w:eastAsia="宋体" w:hint="default"/>
                <w:sz w:val="18"/>
                <w:szCs w:val="18"/>
              </w:rPr>
              <w:t>南宁市中级人民法院于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日受理了该案。</w:t>
            </w:r>
            <w:r>
              <w:rPr>
                <w:rFonts w:ascii="Times New Roman" w:hAnsi="Times New Roman" w:cs="Times New Roman" w:eastAsia="Times New Roman" w:hint="default"/>
                <w:spacing w:val="-4"/>
                <w:sz w:val="18"/>
                <w:szCs w:val="18"/>
              </w:rPr>
              <w:t>2015</w:t>
            </w:r>
          </w:p>
          <w:p>
            <w:pPr>
              <w:pStyle w:val="TableParagraph"/>
              <w:spacing w:line="304" w:lineRule="auto" w:before="7"/>
              <w:ind w:left="23" w:right="-3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日，公司收到广西省南宁市中级人民法院对本案 作出的一审判决，如下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、被告旋极信息、被告农业银行、 </w:t>
            </w:r>
            <w:r>
              <w:rPr>
                <w:rFonts w:ascii="宋体" w:hAnsi="宋体" w:cs="宋体" w:eastAsia="宋体" w:hint="default"/>
                <w:spacing w:val="5"/>
                <w:sz w:val="18"/>
                <w:szCs w:val="18"/>
              </w:rPr>
              <w:t>农业银行北海支行立即停止侵害原告深圳市朗科科技股份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有限公司第 </w:t>
            </w:r>
            <w:r>
              <w:rPr>
                <w:rFonts w:ascii="Times New Roman" w:hAnsi="Times New Roman" w:cs="Times New Roman" w:eastAsia="Times New Roman" w:hint="default"/>
                <w:sz w:val="18"/>
                <w:szCs w:val="18"/>
              </w:rPr>
              <w:t>ZL99117225.6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号发明专利权的行为，即被告旋 极信息立即停止使用原告朗科科技第 </w:t>
            </w:r>
            <w:r>
              <w:rPr>
                <w:rFonts w:ascii="Times New Roman" w:hAnsi="Times New Roman" w:cs="Times New Roman" w:eastAsia="Times New Roman" w:hint="default"/>
                <w:sz w:val="18"/>
                <w:szCs w:val="18"/>
              </w:rPr>
              <w:t>ZL99117225.6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号发明 专</w:t>
            </w:r>
            <w:r>
              <w:rPr>
                <w:rFonts w:ascii="宋体" w:hAnsi="宋体" w:cs="宋体" w:eastAsia="宋体" w:hint="default"/>
                <w:spacing w:val="-67"/>
                <w:sz w:val="18"/>
                <w:szCs w:val="18"/>
              </w:rPr>
              <w:t> </w:t>
            </w:r>
            <w:r>
              <w:rPr>
                <w:rFonts w:ascii="宋体" w:hAnsi="宋体" w:cs="宋体" w:eastAsia="宋体" w:hint="default"/>
                <w:sz w:val="18"/>
                <w:szCs w:val="18"/>
              </w:rPr>
              <w:t>利</w:t>
            </w:r>
            <w:r>
              <w:rPr>
                <w:rFonts w:ascii="宋体" w:hAnsi="宋体" w:cs="宋体" w:eastAsia="宋体" w:hint="default"/>
                <w:spacing w:val="-67"/>
                <w:sz w:val="18"/>
                <w:szCs w:val="18"/>
              </w:rPr>
              <w:t> </w:t>
            </w:r>
            <w:r>
              <w:rPr>
                <w:rFonts w:ascii="宋体" w:hAnsi="宋体" w:cs="宋体" w:eastAsia="宋体" w:hint="default"/>
                <w:sz w:val="18"/>
                <w:szCs w:val="18"/>
              </w:rPr>
              <w:t>方</w:t>
            </w:r>
            <w:r>
              <w:rPr>
                <w:rFonts w:ascii="宋体" w:hAnsi="宋体" w:cs="宋体" w:eastAsia="宋体" w:hint="default"/>
                <w:spacing w:val="-67"/>
                <w:sz w:val="18"/>
                <w:szCs w:val="18"/>
              </w:rPr>
              <w:t> </w:t>
            </w:r>
            <w:r>
              <w:rPr>
                <w:rFonts w:ascii="宋体" w:hAnsi="宋体" w:cs="宋体" w:eastAsia="宋体" w:hint="default"/>
                <w:spacing w:val="10"/>
                <w:sz w:val="18"/>
                <w:szCs w:val="18"/>
              </w:rPr>
              <w:t>法，</w:t>
            </w:r>
            <w:r>
              <w:rPr>
                <w:rFonts w:ascii="宋体" w:hAnsi="宋体" w:cs="宋体" w:eastAsia="宋体" w:hint="default"/>
                <w:spacing w:val="-67"/>
                <w:sz w:val="18"/>
                <w:szCs w:val="18"/>
              </w:rPr>
              <w:t> </w:t>
            </w:r>
            <w:r>
              <w:rPr>
                <w:rFonts w:ascii="宋体" w:hAnsi="宋体" w:cs="宋体" w:eastAsia="宋体" w:hint="default"/>
                <w:sz w:val="18"/>
                <w:szCs w:val="18"/>
              </w:rPr>
              <w:t>并</w:t>
            </w:r>
            <w:r>
              <w:rPr>
                <w:rFonts w:ascii="宋体" w:hAnsi="宋体" w:cs="宋体" w:eastAsia="宋体" w:hint="default"/>
                <w:spacing w:val="-67"/>
                <w:sz w:val="18"/>
                <w:szCs w:val="18"/>
              </w:rPr>
              <w:t> </w:t>
            </w:r>
            <w:r>
              <w:rPr>
                <w:rFonts w:ascii="宋体" w:hAnsi="宋体" w:cs="宋体" w:eastAsia="宋体" w:hint="default"/>
                <w:spacing w:val="10"/>
                <w:sz w:val="18"/>
                <w:szCs w:val="18"/>
              </w:rPr>
              <w:t>立即</w:t>
            </w:r>
            <w:r>
              <w:rPr>
                <w:rFonts w:ascii="宋体" w:hAnsi="宋体" w:cs="宋体" w:eastAsia="宋体" w:hint="default"/>
                <w:spacing w:val="-67"/>
                <w:sz w:val="18"/>
                <w:szCs w:val="18"/>
              </w:rPr>
              <w:t> </w:t>
            </w:r>
            <w:r>
              <w:rPr>
                <w:rFonts w:ascii="宋体" w:hAnsi="宋体" w:cs="宋体" w:eastAsia="宋体" w:hint="default"/>
                <w:sz w:val="18"/>
                <w:szCs w:val="18"/>
              </w:rPr>
              <w:t>停</w:t>
            </w:r>
            <w:r>
              <w:rPr>
                <w:rFonts w:ascii="宋体" w:hAnsi="宋体" w:cs="宋体" w:eastAsia="宋体" w:hint="default"/>
                <w:spacing w:val="-67"/>
                <w:sz w:val="18"/>
                <w:szCs w:val="18"/>
              </w:rPr>
              <w:t> </w:t>
            </w:r>
            <w:r>
              <w:rPr>
                <w:rFonts w:ascii="宋体" w:hAnsi="宋体" w:cs="宋体" w:eastAsia="宋体" w:hint="default"/>
                <w:sz w:val="18"/>
                <w:szCs w:val="18"/>
              </w:rPr>
              <w:t>止</w:t>
            </w:r>
            <w:r>
              <w:rPr>
                <w:rFonts w:ascii="宋体" w:hAnsi="宋体" w:cs="宋体" w:eastAsia="宋体" w:hint="default"/>
                <w:spacing w:val="-67"/>
                <w:sz w:val="18"/>
                <w:szCs w:val="18"/>
              </w:rPr>
              <w:t> </w:t>
            </w:r>
            <w:r>
              <w:rPr>
                <w:rFonts w:ascii="宋体" w:hAnsi="宋体" w:cs="宋体" w:eastAsia="宋体" w:hint="default"/>
                <w:spacing w:val="14"/>
                <w:sz w:val="18"/>
                <w:szCs w:val="18"/>
              </w:rPr>
              <w:t>制造、</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7"/>
                <w:sz w:val="18"/>
                <w:szCs w:val="18"/>
              </w:rPr>
              <w:t> </w:t>
            </w:r>
            <w:r>
              <w:rPr>
                <w:rFonts w:ascii="宋体" w:hAnsi="宋体" w:cs="宋体" w:eastAsia="宋体" w:hint="default"/>
                <w:sz w:val="18"/>
                <w:szCs w:val="18"/>
              </w:rPr>
              <w:t>售</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许</w:t>
            </w:r>
            <w:r>
              <w:rPr>
                <w:rFonts w:ascii="宋体" w:hAnsi="宋体" w:cs="宋体" w:eastAsia="宋体" w:hint="default"/>
                <w:spacing w:val="-67"/>
                <w:sz w:val="18"/>
                <w:szCs w:val="18"/>
              </w:rPr>
              <w:t> </w:t>
            </w:r>
            <w:r>
              <w:rPr>
                <w:rFonts w:ascii="宋体" w:hAnsi="宋体" w:cs="宋体" w:eastAsia="宋体" w:hint="default"/>
                <w:sz w:val="18"/>
                <w:szCs w:val="18"/>
              </w:rPr>
              <w:t>诺</w:t>
            </w:r>
            <w:r>
              <w:rPr>
                <w:rFonts w:ascii="宋体" w:hAnsi="宋体" w:cs="宋体" w:eastAsia="宋体" w:hint="default"/>
                <w:spacing w:val="-67"/>
                <w:sz w:val="18"/>
                <w:szCs w:val="18"/>
              </w:rPr>
              <w:t> </w:t>
            </w:r>
            <w:r>
              <w:rPr>
                <w:rFonts w:ascii="宋体" w:hAnsi="宋体" w:cs="宋体" w:eastAsia="宋体" w:hint="default"/>
                <w:spacing w:val="10"/>
                <w:sz w:val="18"/>
                <w:szCs w:val="18"/>
              </w:rPr>
              <w:t>销售</w:t>
            </w:r>
            <w:r>
              <w:rPr>
                <w:rFonts w:ascii="宋体" w:hAnsi="宋体" w:cs="宋体" w:eastAsia="宋体" w:hint="default"/>
                <w:spacing w:val="-67"/>
                <w:sz w:val="18"/>
                <w:szCs w:val="18"/>
              </w:rPr>
              <w:t> </w:t>
            </w:r>
            <w:r>
              <w:rPr>
                <w:rFonts w:ascii="宋体" w:hAnsi="宋体" w:cs="宋体" w:eastAsia="宋体" w:hint="default"/>
                <w:sz w:val="18"/>
                <w:szCs w:val="18"/>
              </w:rPr>
              <w:t>侵</w:t>
            </w:r>
            <w:r>
              <w:rPr>
                <w:rFonts w:ascii="宋体" w:hAnsi="宋体" w:cs="宋体" w:eastAsia="宋体" w:hint="default"/>
                <w:spacing w:val="-67"/>
                <w:sz w:val="18"/>
                <w:szCs w:val="18"/>
              </w:rPr>
              <w:t> </w:t>
            </w:r>
            <w:r>
              <w:rPr>
                <w:rFonts w:ascii="宋体" w:hAnsi="宋体" w:cs="宋体" w:eastAsia="宋体" w:hint="default"/>
                <w:sz w:val="18"/>
                <w:szCs w:val="18"/>
              </w:rPr>
              <w:t>权</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Times New Roman" w:hAnsi="Times New Roman" w:cs="Times New Roman" w:eastAsia="Times New Roman" w:hint="default"/>
                <w:sz w:val="18"/>
                <w:szCs w:val="18"/>
              </w:rPr>
              <w:t>ComyiKEY220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产品，被告农业银行、农业银行北海支行立 即停止使用侵权的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ComyiKEY220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产品；</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、被告旋极信息赔</w:t>
            </w:r>
            <w:r>
              <w:rPr>
                <w:rFonts w:ascii="宋体" w:hAnsi="宋体" w:cs="宋体" w:eastAsia="宋体" w:hint="default"/>
                <w:sz w:val="18"/>
                <w:szCs w:val="18"/>
              </w:rPr>
              <w:t> 偿原告深圳朗科科技经济损失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、驳回朗科科技</w:t>
            </w:r>
          </w:p>
          <w:p>
            <w:pPr>
              <w:pStyle w:val="TableParagraph"/>
              <w:spacing w:line="240" w:lineRule="auto" w:before="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其他诉讼请求</w:t>
            </w:r>
            <w:r>
              <w:rPr>
                <w:rFonts w:ascii="宋体" w:hAnsi="宋体" w:cs="宋体" w:eastAsia="宋体" w:hint="default"/>
                <w:spacing w:val="-75"/>
                <w:sz w:val="18"/>
                <w:szCs w:val="18"/>
              </w:rPr>
              <w:t>。</w:t>
            </w:r>
            <w:r>
              <w:rPr>
                <w:rFonts w:ascii="宋体" w:hAnsi="宋体" w:cs="宋体" w:eastAsia="宋体" w:hint="default"/>
                <w:sz w:val="18"/>
                <w:szCs w:val="18"/>
              </w:rPr>
              <w:t>案件受理费</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307"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日，公司依法向广西省南宁市中级人民法院 </w:t>
            </w:r>
            <w:r>
              <w:rPr>
                <w:rFonts w:ascii="宋体" w:hAnsi="宋体" w:cs="宋体" w:eastAsia="宋体" w:hint="default"/>
                <w:spacing w:val="-2"/>
                <w:sz w:val="18"/>
                <w:szCs w:val="18"/>
              </w:rPr>
              <w:t>提交上诉材料，南宁市中级人民法院已接收公司上述上诉材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7"/>
                <w:sz w:val="18"/>
                <w:szCs w:val="18"/>
              </w:rPr>
              <w:t>料。</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月，公司收到广西壮族自治区高级人民法院对 </w:t>
            </w:r>
            <w:r>
              <w:rPr>
                <w:rFonts w:ascii="宋体" w:hAnsi="宋体" w:cs="宋体" w:eastAsia="宋体" w:hint="default"/>
                <w:spacing w:val="-1"/>
                <w:sz w:val="18"/>
                <w:szCs w:val="18"/>
              </w:rPr>
              <w:t>公司上诉的判决，判决如下：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、撤销南宁市中级人民法院</w:t>
            </w:r>
          </w:p>
          <w:p>
            <w:pPr>
              <w:pStyle w:val="TableParagraph"/>
              <w:spacing w:line="300" w:lineRule="auto" w:before="7"/>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）南市民三初字第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号民事裁决；</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、将本案发回</w:t>
            </w:r>
            <w:r>
              <w:rPr>
                <w:rFonts w:ascii="宋体" w:hAnsi="宋体" w:cs="宋体" w:eastAsia="宋体" w:hint="default"/>
                <w:spacing w:val="-88"/>
                <w:sz w:val="18"/>
                <w:szCs w:val="18"/>
              </w:rPr>
              <w:t> </w:t>
            </w:r>
            <w:r>
              <w:rPr>
                <w:rFonts w:ascii="宋体" w:hAnsi="宋体" w:cs="宋体" w:eastAsia="宋体" w:hint="default"/>
                <w:sz w:val="18"/>
                <w:szCs w:val="18"/>
              </w:rPr>
              <w:t>南宁市中级人民法院重审。</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right="-51"/>
              <w:jc w:val="left"/>
              <w:rPr>
                <w:rFonts w:ascii="宋体" w:hAnsi="宋体" w:cs="宋体" w:eastAsia="宋体" w:hint="default"/>
                <w:sz w:val="20"/>
                <w:szCs w:val="20"/>
              </w:rPr>
            </w:pPr>
            <w:r>
              <w:rPr>
                <w:rFonts w:ascii="宋体" w:hAnsi="宋体" w:cs="宋体" w:eastAsia="宋体" w:hint="default"/>
                <w:position w:val="-65"/>
                <w:sz w:val="20"/>
                <w:szCs w:val="20"/>
              </w:rPr>
              <w:pict>
                <v:group style="width:49.1pt;height:163.85pt;mso-position-horizontal-relative:char;mso-position-vertical-relative:line" coordorigin="0,0" coordsize="982,3277">
                  <v:group style="position:absolute;left:0;top:0;width:982;height:3277" coordorigin="0,0" coordsize="982,3277">
                    <v:shape style="position:absolute;left:0;top:0;width:982;height:3277" coordorigin="0,0" coordsize="982,3277" path="m0,3276l982,3276,982,0,0,0,0,3276xe" filled="true" fillcolor="#ffffff" stroked="false">
                      <v:path arrowok="t"/>
                      <v:fill type="solid"/>
                    </v:shape>
                  </v:group>
                </v:group>
              </w:pict>
            </w:r>
            <w:r>
              <w:rPr>
                <w:rFonts w:ascii="宋体" w:hAnsi="宋体" w:cs="宋体" w:eastAsia="宋体" w:hint="default"/>
                <w:position w:val="-65"/>
                <w:sz w:val="20"/>
                <w:szCs w:val="20"/>
              </w:rPr>
            </w:r>
          </w:p>
          <w:p>
            <w:pPr>
              <w:pStyle w:val="TableParagraph"/>
              <w:spacing w:line="240" w:lineRule="auto" w:before="149"/>
              <w:ind w:left="21" w:right="0"/>
              <w:jc w:val="left"/>
              <w:rPr>
                <w:rFonts w:ascii="Times New Roman" w:hAnsi="Times New Roman" w:cs="Times New Roman" w:eastAsia="Times New Roman" w:hint="default"/>
                <w:sz w:val="18"/>
                <w:szCs w:val="18"/>
              </w:rPr>
            </w:pPr>
            <w:r>
              <w:rPr>
                <w:rFonts w:ascii="Times New Roman"/>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23" w:right="11"/>
              <w:jc w:val="left"/>
              <w:rPr>
                <w:rFonts w:ascii="宋体" w:hAnsi="宋体" w:cs="宋体" w:eastAsia="宋体" w:hint="default"/>
                <w:sz w:val="18"/>
                <w:szCs w:val="18"/>
              </w:rPr>
            </w:pPr>
            <w:r>
              <w:rPr>
                <w:rFonts w:ascii="宋体" w:hAnsi="宋体" w:cs="宋体" w:eastAsia="宋体" w:hint="default"/>
                <w:spacing w:val="9"/>
                <w:sz w:val="18"/>
                <w:szCs w:val="18"/>
              </w:rPr>
              <w:t>本案上诉审 </w:t>
            </w:r>
            <w:r>
              <w:rPr>
                <w:rFonts w:ascii="宋体" w:hAnsi="宋体" w:cs="宋体" w:eastAsia="宋体" w:hint="default"/>
                <w:sz w:val="18"/>
                <w:szCs w:val="18"/>
              </w:rPr>
              <w:t>理已结束。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广西壮族自治区高级人民法院</w:t>
            </w:r>
          </w:p>
          <w:p>
            <w:pPr>
              <w:pStyle w:val="TableParagraph"/>
              <w:spacing w:line="240" w:lineRule="auto" w:before="76"/>
              <w:ind w:left="2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）桂民三终字第 </w:t>
            </w:r>
            <w:r>
              <w:rPr>
                <w:rFonts w:ascii="Times New Roman" w:hAnsi="Times New Roman" w:cs="Times New Roman" w:eastAsia="Times New Roman" w:hint="default"/>
                <w:sz w:val="18"/>
                <w:szCs w:val="18"/>
              </w:rPr>
              <w:t>76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p>
            <w:pPr>
              <w:pStyle w:val="TableParagraph"/>
              <w:spacing w:line="300" w:lineRule="auto" w:before="63"/>
              <w:ind w:left="21" w:right="22"/>
              <w:jc w:val="both"/>
              <w:rPr>
                <w:rFonts w:ascii="宋体" w:hAnsi="宋体" w:cs="宋体" w:eastAsia="宋体" w:hint="default"/>
                <w:sz w:val="18"/>
                <w:szCs w:val="18"/>
              </w:rPr>
            </w:pPr>
            <w:r>
              <w:rPr>
                <w:rFonts w:ascii="宋体" w:hAnsi="宋体" w:cs="宋体" w:eastAsia="宋体" w:hint="default"/>
                <w:spacing w:val="-13"/>
                <w:sz w:val="18"/>
                <w:szCs w:val="18"/>
              </w:rPr>
              <w:t>《民事裁定书》，判决如下：</w:t>
            </w:r>
            <w:r>
              <w:rPr>
                <w:rFonts w:ascii="Times New Roman" w:hAnsi="Times New Roman" w:cs="Times New Roman" w:eastAsia="Times New Roman" w:hint="default"/>
                <w:spacing w:val="-13"/>
                <w:sz w:val="18"/>
                <w:szCs w:val="18"/>
              </w:rPr>
              <w:t>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撤</w:t>
            </w:r>
            <w:r>
              <w:rPr>
                <w:rFonts w:ascii="宋体" w:hAnsi="宋体" w:cs="宋体" w:eastAsia="宋体" w:hint="default"/>
                <w:spacing w:val="-52"/>
                <w:sz w:val="18"/>
                <w:szCs w:val="18"/>
              </w:rPr>
              <w:t> </w:t>
            </w:r>
            <w:r>
              <w:rPr>
                <w:rFonts w:ascii="宋体" w:hAnsi="宋体" w:cs="宋体" w:eastAsia="宋体" w:hint="default"/>
                <w:sz w:val="18"/>
                <w:szCs w:val="18"/>
              </w:rPr>
              <w:t>销</w:t>
            </w:r>
            <w:r>
              <w:rPr>
                <w:rFonts w:ascii="宋体" w:hAnsi="宋体" w:cs="宋体" w:eastAsia="宋体" w:hint="default"/>
                <w:spacing w:val="-52"/>
                <w:sz w:val="18"/>
                <w:szCs w:val="18"/>
              </w:rPr>
              <w:t> </w:t>
            </w: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宁</w:t>
            </w:r>
            <w:r>
              <w:rPr>
                <w:rFonts w:ascii="宋体" w:hAnsi="宋体" w:cs="宋体" w:eastAsia="宋体" w:hint="default"/>
                <w:spacing w:val="-52"/>
                <w:sz w:val="18"/>
                <w:szCs w:val="18"/>
              </w:rPr>
              <w:t> </w:t>
            </w:r>
            <w:r>
              <w:rPr>
                <w:rFonts w:ascii="宋体" w:hAnsi="宋体" w:cs="宋体" w:eastAsia="宋体" w:hint="default"/>
                <w:sz w:val="18"/>
                <w:szCs w:val="18"/>
              </w:rPr>
              <w:t>市</w:t>
            </w:r>
            <w:r>
              <w:rPr>
                <w:rFonts w:ascii="宋体" w:hAnsi="宋体" w:cs="宋体" w:eastAsia="宋体" w:hint="default"/>
                <w:spacing w:val="-52"/>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宋体" w:hAnsi="宋体" w:cs="宋体" w:eastAsia="宋体" w:hint="default"/>
                <w:sz w:val="18"/>
                <w:szCs w:val="18"/>
              </w:rPr>
              <w:t>级</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5"/>
                <w:sz w:val="18"/>
                <w:szCs w:val="18"/>
              </w:rPr>
              <w:t> </w:t>
            </w:r>
            <w:r>
              <w:rPr>
                <w:rFonts w:ascii="宋体" w:hAnsi="宋体" w:cs="宋体" w:eastAsia="宋体" w:hint="default"/>
                <w:sz w:val="18"/>
                <w:szCs w:val="18"/>
              </w:rPr>
              <w:t>民</w:t>
            </w:r>
            <w:r>
              <w:rPr>
                <w:rFonts w:ascii="宋体" w:hAnsi="宋体" w:cs="宋体" w:eastAsia="宋体" w:hint="default"/>
                <w:spacing w:val="-52"/>
                <w:sz w:val="18"/>
                <w:szCs w:val="18"/>
              </w:rPr>
              <w:t> </w:t>
            </w:r>
            <w:r>
              <w:rPr>
                <w:rFonts w:ascii="宋体" w:hAnsi="宋体" w:cs="宋体" w:eastAsia="宋体" w:hint="default"/>
                <w:sz w:val="18"/>
                <w:szCs w:val="18"/>
              </w:rPr>
              <w:t>法</w:t>
            </w:r>
            <w:r>
              <w:rPr>
                <w:rFonts w:ascii="宋体" w:hAnsi="宋体" w:cs="宋体" w:eastAsia="宋体" w:hint="default"/>
                <w:spacing w:val="-52"/>
                <w:sz w:val="18"/>
                <w:szCs w:val="18"/>
              </w:rPr>
              <w:t> </w:t>
            </w:r>
            <w:r>
              <w:rPr>
                <w:rFonts w:ascii="宋体" w:hAnsi="宋体" w:cs="宋体" w:eastAsia="宋体" w:hint="default"/>
                <w:sz w:val="18"/>
                <w:szCs w:val="18"/>
              </w:rPr>
              <w:t>院</w:t>
            </w:r>
          </w:p>
          <w:p>
            <w:pPr>
              <w:pStyle w:val="TableParagraph"/>
              <w:spacing w:line="309" w:lineRule="auto" w:before="32"/>
              <w:ind w:left="21" w:right="2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）南市民三初字第</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号民事裁决；</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、将本案发回南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宁市中级人民法院重审。本次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诉讼对于公司的生产经营及利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润暂无重大影响。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right="-51"/>
              <w:jc w:val="left"/>
              <w:rPr>
                <w:rFonts w:ascii="宋体" w:hAnsi="宋体" w:cs="宋体" w:eastAsia="宋体" w:hint="default"/>
                <w:sz w:val="20"/>
                <w:szCs w:val="20"/>
              </w:rPr>
            </w:pPr>
            <w:r>
              <w:rPr>
                <w:rFonts w:ascii="宋体" w:hAnsi="宋体" w:cs="宋体" w:eastAsia="宋体" w:hint="default"/>
                <w:position w:val="-65"/>
                <w:sz w:val="20"/>
                <w:szCs w:val="20"/>
              </w:rPr>
              <w:pict>
                <v:group style="width:56.3pt;height:163.85pt;mso-position-horizontal-relative:char;mso-position-vertical-relative:line" coordorigin="0,0" coordsize="1126,3277">
                  <v:group style="position:absolute;left:0;top:0;width:1126;height:3277" coordorigin="0,0" coordsize="1126,3277">
                    <v:shape style="position:absolute;left:0;top:0;width:1126;height:3277" coordorigin="0,0" coordsize="1126,3277" path="m0,3276l1126,3276,1126,0,0,0,0,3276xe" filled="true" fillcolor="#ffffff" stroked="false">
                      <v:path arrowok="t"/>
                      <v:fill type="solid"/>
                    </v:shape>
                  </v:group>
                </v:group>
              </w:pict>
            </w:r>
            <w:r>
              <w:rPr>
                <w:rFonts w:ascii="宋体" w:hAnsi="宋体" w:cs="宋体" w:eastAsia="宋体" w:hint="default"/>
                <w:position w:val="-65"/>
                <w:sz w:val="20"/>
                <w:szCs w:val="20"/>
              </w:rPr>
            </w:r>
          </w:p>
          <w:p>
            <w:pPr>
              <w:pStyle w:val="TableParagraph"/>
              <w:spacing w:line="240" w:lineRule="auto" w:before="149"/>
              <w:ind w:left="21" w:right="0"/>
              <w:jc w:val="left"/>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Times New Roman" w:hAnsi="Times New Roman" w:cs="Times New Roman" w:eastAsia="Times New Roman" w:hint="default"/>
                <w:sz w:val="18"/>
                <w:szCs w:val="18"/>
              </w:rPr>
            </w:pPr>
            <w:r>
              <w:rPr>
                <w:rFonts w:ascii="Times New Roman"/>
                <w:sz w:val="18"/>
              </w:rPr>
              <w:t>2016-103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74"/>
        <w:ind w:left="0" w:right="155"/>
        <w:jc w:val="right"/>
        <w:rPr>
          <w:rFonts w:ascii="Times New Roman" w:hAnsi="Times New Roman" w:cs="Times New Roman" w:eastAsia="Times New Roman" w:hint="default"/>
        </w:rPr>
      </w:pPr>
      <w:r>
        <w:rPr/>
        <w:pict>
          <v:shape style="position:absolute;margin-left:210.139999pt;margin-top:-200.353271pt;width:145.25pt;height:163.85pt;mso-position-horizontal-relative:page;mso-position-vertical-relative:paragraph;z-index:-1196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元由被告旋极信息负担。</w:t>
                  </w:r>
                </w:p>
              </w:txbxContent>
            </v:textbox>
            <w10:wrap type="none"/>
          </v:shape>
        </w:pict>
      </w:r>
      <w:r>
        <w:rPr/>
        <w:pict>
          <v:group style="position:absolute;margin-left:306.290009pt;margin-top:-200.353271pt;width:49.1pt;height:163.85pt;mso-position-horizontal-relative:page;mso-position-vertical-relative:paragraph;z-index:-1196920" coordorigin="6126,-4007" coordsize="982,3277">
            <v:shape style="position:absolute;left:6126;top:-4007;width:982;height:3277" coordorigin="6126,-4007" coordsize="982,3277" path="m6126,-731l7107,-731,7107,-4007,6126,-4007,6126,-731xe" filled="true" fillcolor="#ffffff" stroked="false">
              <v:path arrowok="t"/>
              <v:fill type="solid"/>
            </v:shape>
            <w10:wrap type="none"/>
          </v:group>
        </w:pict>
      </w:r>
      <w:r>
        <w:rPr>
          <w:rFonts w:ascii="Times New Roman"/>
        </w:rPr>
        <w:t>63</w:t>
      </w:r>
    </w:p>
    <w:p>
      <w:pPr>
        <w:spacing w:after="0" w:line="240" w:lineRule="auto"/>
        <w:jc w:val="right"/>
        <w:rPr>
          <w:rFonts w:ascii="Times New Roman" w:hAnsi="Times New Roman" w:cs="Times New Roman" w:eastAsia="Times New Roman" w:hint="default"/>
        </w:rPr>
        <w:sectPr>
          <w:headerReference w:type="default" r:id="rId27"/>
          <w:footerReference w:type="default" r:id="rId28"/>
          <w:pgSz w:w="16840" w:h="11910" w:orient="landscape"/>
          <w:pgMar w:header="0" w:footer="0" w:top="800" w:bottom="280" w:left="1300" w:right="1280"/>
        </w:sectPr>
      </w:pPr>
    </w:p>
    <w:p>
      <w:pPr>
        <w:spacing w:line="240" w:lineRule="auto" w:before="2"/>
        <w:rPr>
          <w:rFonts w:ascii="Times New Roman" w:hAnsi="Times New Roman" w:cs="Times New Roman" w:eastAsia="Times New Roman" w:hint="default"/>
          <w:sz w:val="19"/>
          <w:szCs w:val="19"/>
        </w:rPr>
      </w:pPr>
    </w:p>
    <w:p>
      <w:pPr>
        <w:pStyle w:val="Heading2"/>
        <w:spacing w:line="240" w:lineRule="auto"/>
        <w:ind w:right="4743"/>
        <w:jc w:val="left"/>
      </w:pPr>
      <w:r>
        <w:rPr/>
        <w:t>十二、处罚及整改情况</w:t>
      </w:r>
    </w:p>
    <w:p>
      <w:pPr>
        <w:spacing w:line="240" w:lineRule="auto" w:before="9"/>
        <w:rPr>
          <w:rFonts w:ascii="黑体" w:hAnsi="黑体" w:cs="黑体" w:eastAsia="黑体" w:hint="default"/>
          <w:sz w:val="37"/>
          <w:szCs w:val="37"/>
        </w:rPr>
      </w:pPr>
    </w:p>
    <w:p>
      <w:pPr>
        <w:pStyle w:val="BodyText"/>
        <w:spacing w:line="470" w:lineRule="auto"/>
        <w:ind w:left="573" w:right="47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公司报告期不存在处罚及整改情况。</w:t>
      </w:r>
    </w:p>
    <w:p>
      <w:pPr>
        <w:spacing w:line="240" w:lineRule="auto" w:before="13"/>
        <w:rPr>
          <w:rFonts w:ascii="宋体" w:hAnsi="宋体" w:cs="宋体" w:eastAsia="宋体" w:hint="default"/>
          <w:sz w:val="20"/>
          <w:szCs w:val="20"/>
        </w:rPr>
      </w:pPr>
    </w:p>
    <w:p>
      <w:pPr>
        <w:pStyle w:val="Heading2"/>
        <w:spacing w:line="240" w:lineRule="auto" w:before="0"/>
        <w:ind w:right="325"/>
        <w:jc w:val="left"/>
      </w:pPr>
      <w:r>
        <w:rPr/>
        <w:t>十三、公司及其控股股东、实际控制人的诚信状况</w:t>
      </w:r>
    </w:p>
    <w:p>
      <w:pPr>
        <w:spacing w:line="240" w:lineRule="auto" w:before="12"/>
        <w:rPr>
          <w:rFonts w:ascii="黑体" w:hAnsi="黑体" w:cs="黑体" w:eastAsia="黑体" w:hint="default"/>
          <w:sz w:val="37"/>
          <w:szCs w:val="37"/>
        </w:rPr>
      </w:pPr>
    </w:p>
    <w:p>
      <w:pPr>
        <w:pStyle w:val="BodyText"/>
        <w:spacing w:line="468" w:lineRule="auto"/>
        <w:ind w:left="573" w:right="3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报告期内，公司及其控股股东、实际控制人不存在未履行法院生效判决、所负数额较大的债务到期未</w:t>
      </w:r>
    </w:p>
    <w:p>
      <w:pPr>
        <w:pStyle w:val="BodyText"/>
        <w:spacing w:line="269" w:lineRule="exact"/>
        <w:ind w:right="4743"/>
        <w:jc w:val="left"/>
      </w:pPr>
      <w:r>
        <w:rPr/>
        <w:t>清偿等情况。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0"/>
        <w:ind w:right="325"/>
        <w:jc w:val="left"/>
      </w:pPr>
      <w:r>
        <w:rPr/>
        <w:t>十四、公司股权激励计划、员工持股计划或其他员工激励措施的实施情况</w:t>
      </w:r>
    </w:p>
    <w:p>
      <w:pPr>
        <w:spacing w:line="240" w:lineRule="auto" w:before="11"/>
        <w:rPr>
          <w:rFonts w:ascii="黑体" w:hAnsi="黑体" w:cs="黑体" w:eastAsia="黑体" w:hint="default"/>
          <w:sz w:val="37"/>
          <w:szCs w:val="37"/>
        </w:rPr>
      </w:pPr>
    </w:p>
    <w:p>
      <w:pPr>
        <w:pStyle w:val="BodyText"/>
        <w:spacing w:line="240" w:lineRule="auto"/>
        <w:ind w:left="573" w:right="47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3"/>
          <w:szCs w:val="23"/>
        </w:rPr>
      </w:pPr>
    </w:p>
    <w:p>
      <w:pPr>
        <w:pStyle w:val="Heading3"/>
        <w:spacing w:line="240" w:lineRule="auto"/>
        <w:ind w:right="4743"/>
        <w:jc w:val="left"/>
      </w:pPr>
      <w:r>
        <w:rPr/>
        <w:t>（一）</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年股权激励计划</w:t>
      </w:r>
    </w:p>
    <w:p>
      <w:pPr>
        <w:spacing w:line="240" w:lineRule="auto" w:before="11"/>
        <w:rPr>
          <w:rFonts w:ascii="黑体" w:hAnsi="黑体" w:cs="黑体" w:eastAsia="黑体" w:hint="default"/>
          <w:sz w:val="24"/>
          <w:szCs w:val="24"/>
        </w:rPr>
      </w:pPr>
    </w:p>
    <w:p>
      <w:pPr>
        <w:pStyle w:val="Heading3"/>
        <w:spacing w:line="240" w:lineRule="auto"/>
        <w:ind w:right="4743"/>
        <w:jc w:val="left"/>
      </w:pPr>
      <w:r>
        <w:rPr>
          <w:rFonts w:ascii="Times New Roman" w:hAnsi="Times New Roman" w:cs="Times New Roman" w:eastAsia="Times New Roman" w:hint="default"/>
        </w:rPr>
        <w:t>1</w:t>
      </w:r>
      <w:r>
        <w:rPr/>
        <w:t>、激励计划简述</w:t>
      </w:r>
    </w:p>
    <w:p>
      <w:pPr>
        <w:spacing w:line="240" w:lineRule="auto" w:before="3"/>
        <w:rPr>
          <w:rFonts w:ascii="黑体" w:hAnsi="黑体" w:cs="黑体" w:eastAsia="黑体" w:hint="default"/>
          <w:sz w:val="24"/>
          <w:szCs w:val="24"/>
        </w:rPr>
      </w:pPr>
    </w:p>
    <w:p>
      <w:pPr>
        <w:pStyle w:val="BodyText"/>
        <w:spacing w:line="240" w:lineRule="auto"/>
        <w:ind w:left="573" w:right="325"/>
        <w:jc w:val="left"/>
      </w:pPr>
      <w:r>
        <w:rPr/>
        <w:t>（</w:t>
      </w:r>
      <w:r>
        <w:rPr>
          <w:rFonts w:ascii="Times New Roman" w:hAnsi="Times New Roman" w:cs="Times New Roman" w:eastAsia="Times New Roman" w:hint="default"/>
        </w:rPr>
        <w:t>1</w:t>
      </w:r>
      <w:r>
        <w:rPr/>
        <w:t>）本次激励计划拟授予给激励对象的激励工具为限制性股票；</w:t>
      </w:r>
    </w:p>
    <w:p>
      <w:pPr>
        <w:spacing w:line="240" w:lineRule="auto" w:before="1"/>
        <w:rPr>
          <w:rFonts w:ascii="宋体" w:hAnsi="宋体" w:cs="宋体" w:eastAsia="宋体" w:hint="default"/>
          <w:sz w:val="21"/>
          <w:szCs w:val="21"/>
        </w:rPr>
      </w:pPr>
    </w:p>
    <w:p>
      <w:pPr>
        <w:pStyle w:val="BodyText"/>
        <w:spacing w:line="240" w:lineRule="auto"/>
        <w:ind w:left="573" w:right="325"/>
        <w:jc w:val="left"/>
      </w:pPr>
      <w:r>
        <w:rPr/>
        <w:t>（</w:t>
      </w:r>
      <w:r>
        <w:rPr>
          <w:rFonts w:ascii="Times New Roman" w:hAnsi="Times New Roman" w:cs="Times New Roman" w:eastAsia="Times New Roman" w:hint="default"/>
        </w:rPr>
        <w:t>2</w:t>
      </w:r>
      <w:r>
        <w:rPr/>
        <w:t>）本次激励计划所涉标的股票来源为公司定向增发的股票；</w:t>
      </w:r>
    </w:p>
    <w:p>
      <w:pPr>
        <w:spacing w:line="240" w:lineRule="auto" w:before="3"/>
        <w:rPr>
          <w:rFonts w:ascii="宋体" w:hAnsi="宋体" w:cs="宋体" w:eastAsia="宋体" w:hint="default"/>
          <w:sz w:val="21"/>
          <w:szCs w:val="21"/>
        </w:rPr>
      </w:pPr>
    </w:p>
    <w:p>
      <w:pPr>
        <w:pStyle w:val="BodyText"/>
        <w:spacing w:line="386" w:lineRule="auto"/>
        <w:ind w:right="325" w:firstLine="420"/>
        <w:jc w:val="left"/>
      </w:pPr>
      <w:r>
        <w:rPr/>
        <w:t>（</w:t>
      </w:r>
      <w:r>
        <w:rPr>
          <w:rFonts w:ascii="Times New Roman" w:hAnsi="Times New Roman" w:cs="Times New Roman" w:eastAsia="Times New Roman" w:hint="default"/>
        </w:rPr>
        <w:t>3</w:t>
      </w:r>
      <w:r>
        <w:rPr/>
        <w:t>）激励计划涉及的激励对象（初始）共计 </w:t>
      </w:r>
      <w:r>
        <w:rPr>
          <w:rFonts w:ascii="Times New Roman" w:hAnsi="Times New Roman" w:cs="Times New Roman" w:eastAsia="Times New Roman" w:hint="default"/>
        </w:rPr>
        <w:t>101</w:t>
      </w:r>
      <w:r>
        <w:rPr>
          <w:rFonts w:ascii="Times New Roman" w:hAnsi="Times New Roman" w:cs="Times New Roman" w:eastAsia="Times New Roman" w:hint="default"/>
          <w:spacing w:val="21"/>
        </w:rPr>
        <w:t> </w:t>
      </w:r>
      <w:r>
        <w:rPr/>
        <w:t>人，包括公司部分董事、高级管理人员，中层管理</w:t>
      </w:r>
      <w:r>
        <w:rPr>
          <w:w w:val="100"/>
        </w:rPr>
        <w:t> </w:t>
      </w:r>
      <w:r>
        <w:rPr/>
        <w:t>人员及核心业务、技术、管理骨干人员；</w:t>
      </w:r>
    </w:p>
    <w:p>
      <w:pPr>
        <w:pStyle w:val="BodyText"/>
        <w:spacing w:line="240" w:lineRule="auto" w:before="166"/>
        <w:ind w:left="573" w:right="325"/>
        <w:jc w:val="left"/>
      </w:pPr>
      <w:r>
        <w:rPr/>
        <w:t>（</w:t>
      </w:r>
      <w:r>
        <w:rPr>
          <w:rFonts w:ascii="Times New Roman" w:hAnsi="Times New Roman" w:cs="Times New Roman" w:eastAsia="Times New Roman" w:hint="default"/>
        </w:rPr>
        <w:t>4</w:t>
      </w:r>
      <w:r>
        <w:rPr/>
        <w:t>）授予价格：授予限制性股票的授予价格为每股</w:t>
      </w:r>
      <w:r>
        <w:rPr>
          <w:spacing w:val="-61"/>
        </w:rPr>
        <w:t> </w:t>
      </w:r>
      <w:r>
        <w:rPr>
          <w:rFonts w:ascii="Times New Roman" w:hAnsi="Times New Roman" w:cs="Times New Roman" w:eastAsia="Times New Roman" w:hint="default"/>
        </w:rPr>
        <w:t>17.28</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股；</w:t>
      </w:r>
    </w:p>
    <w:p>
      <w:pPr>
        <w:spacing w:line="240" w:lineRule="auto" w:before="1"/>
        <w:rPr>
          <w:rFonts w:ascii="宋体" w:hAnsi="宋体" w:cs="宋体" w:eastAsia="宋体" w:hint="default"/>
          <w:sz w:val="21"/>
          <w:szCs w:val="21"/>
        </w:rPr>
      </w:pPr>
    </w:p>
    <w:p>
      <w:pPr>
        <w:pStyle w:val="BodyText"/>
        <w:spacing w:line="470" w:lineRule="auto"/>
        <w:ind w:left="657" w:right="4743" w:hanging="84"/>
        <w:jc w:val="left"/>
      </w:pPr>
      <w:r>
        <w:rPr/>
        <w:t>（</w:t>
      </w:r>
      <w:r>
        <w:rPr>
          <w:rFonts w:ascii="Times New Roman" w:hAnsi="Times New Roman" w:cs="Times New Roman" w:eastAsia="Times New Roman" w:hint="default"/>
        </w:rPr>
        <w:t>5</w:t>
      </w:r>
      <w:r>
        <w:rPr/>
        <w:t>）公司层面解锁业绩条件：</w:t>
      </w:r>
      <w:r>
        <w:rPr>
          <w:w w:val="100"/>
        </w:rPr>
        <w:t> </w:t>
      </w:r>
      <w:r>
        <w:rPr>
          <w:spacing w:val="-2"/>
        </w:rPr>
        <w:t>限制性股票各年度绩效考核目标如下表所示：</w:t>
      </w:r>
    </w:p>
    <w:p>
      <w:pPr>
        <w:spacing w:line="240" w:lineRule="auto" w:before="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964"/>
        <w:gridCol w:w="4885"/>
      </w:tblGrid>
      <w:tr>
        <w:trPr>
          <w:trHeight w:val="516" w:hRule="exact"/>
        </w:trPr>
        <w:tc>
          <w:tcPr>
            <w:tcW w:w="4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48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955" w:hRule="exact"/>
        </w:trPr>
        <w:tc>
          <w:tcPr>
            <w:tcW w:w="49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3"/>
              <w:ind w:left="4" w:right="0"/>
              <w:jc w:val="left"/>
              <w:rPr>
                <w:rFonts w:ascii="宋体" w:hAnsi="宋体" w:cs="宋体" w:eastAsia="宋体" w:hint="default"/>
                <w:sz w:val="18"/>
                <w:szCs w:val="18"/>
              </w:rPr>
            </w:pPr>
            <w:r>
              <w:rPr>
                <w:rFonts w:ascii="宋体" w:hAnsi="宋体" w:cs="宋体" w:eastAsia="宋体" w:hint="default"/>
                <w:sz w:val="18"/>
                <w:szCs w:val="18"/>
              </w:rPr>
              <w:t>首次授予限制性股票的第一个解锁期</w:t>
            </w:r>
          </w:p>
        </w:tc>
        <w:tc>
          <w:tcPr>
            <w:tcW w:w="48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年加权平均净资产收益率不低于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7.50%</w:t>
            </w:r>
          </w:p>
          <w:p>
            <w:pPr>
              <w:pStyle w:val="TableParagraph"/>
              <w:spacing w:line="240" w:lineRule="auto" w:before="15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6,362.04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939" w:hRule="exact"/>
        </w:trPr>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4" w:right="6"/>
              <w:jc w:val="left"/>
              <w:rPr>
                <w:rFonts w:ascii="宋体" w:hAnsi="宋体" w:cs="宋体" w:eastAsia="宋体" w:hint="default"/>
                <w:sz w:val="18"/>
                <w:szCs w:val="18"/>
              </w:rPr>
            </w:pPr>
            <w:r>
              <w:rPr>
                <w:rFonts w:ascii="宋体" w:hAnsi="宋体" w:cs="宋体" w:eastAsia="宋体" w:hint="default"/>
                <w:spacing w:val="2"/>
                <w:sz w:val="18"/>
                <w:szCs w:val="18"/>
              </w:rPr>
              <w:t>首次授予限制性股票的第二个解锁期和预留限制性股票的第一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个解锁期</w:t>
            </w:r>
          </w:p>
        </w:tc>
        <w:tc>
          <w:tcPr>
            <w:tcW w:w="4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年加权平均净资产收益率不低于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7.50%</w:t>
            </w:r>
          </w:p>
          <w:p>
            <w:pPr>
              <w:pStyle w:val="TableParagraph"/>
              <w:spacing w:line="240" w:lineRule="auto" w:before="15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footerReference w:type="default" r:id="rId29"/>
          <w:pgSz w:w="11910" w:h="16840"/>
          <w:pgMar w:footer="1132" w:header="0" w:top="1280" w:bottom="1320" w:left="980" w:right="800"/>
          <w:pgNumType w:start="64"/>
        </w:sectPr>
      </w:pP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964"/>
        <w:gridCol w:w="4885"/>
      </w:tblGrid>
      <w:tr>
        <w:trPr>
          <w:trHeight w:val="161" w:hRule="exact"/>
        </w:trPr>
        <w:tc>
          <w:tcPr>
            <w:tcW w:w="4964" w:type="dxa"/>
            <w:tcBorders>
              <w:top w:val="single" w:sz="6" w:space="0" w:color="000000"/>
              <w:left w:val="nil" w:sz="6" w:space="0" w:color="auto"/>
              <w:bottom w:val="single" w:sz="6" w:space="0" w:color="000000"/>
              <w:right w:val="nil" w:sz="6" w:space="0" w:color="auto"/>
            </w:tcBorders>
          </w:tcPr>
          <w:p>
            <w:pPr/>
          </w:p>
        </w:tc>
        <w:tc>
          <w:tcPr>
            <w:tcW w:w="4885" w:type="dxa"/>
            <w:tcBorders>
              <w:top w:val="single" w:sz="6" w:space="0" w:color="000000"/>
              <w:left w:val="nil" w:sz="6" w:space="0" w:color="auto"/>
              <w:bottom w:val="single" w:sz="6" w:space="0" w:color="000000"/>
              <w:right w:val="nil" w:sz="6" w:space="0" w:color="auto"/>
            </w:tcBorders>
          </w:tcPr>
          <w:p>
            <w:pPr/>
          </w:p>
        </w:tc>
      </w:tr>
      <w:tr>
        <w:trPr>
          <w:trHeight w:val="939" w:hRule="exact"/>
        </w:trPr>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4" w:right="6"/>
              <w:jc w:val="left"/>
              <w:rPr>
                <w:rFonts w:ascii="宋体" w:hAnsi="宋体" w:cs="宋体" w:eastAsia="宋体" w:hint="default"/>
                <w:sz w:val="18"/>
                <w:szCs w:val="18"/>
              </w:rPr>
            </w:pPr>
            <w:r>
              <w:rPr>
                <w:rFonts w:ascii="宋体" w:hAnsi="宋体" w:cs="宋体" w:eastAsia="宋体" w:hint="default"/>
                <w:spacing w:val="2"/>
                <w:sz w:val="18"/>
                <w:szCs w:val="18"/>
              </w:rPr>
              <w:t>首次授予限制性股票的第三个解锁期和预留限制性股票的第二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个解锁期</w:t>
            </w:r>
          </w:p>
        </w:tc>
        <w:tc>
          <w:tcPr>
            <w:tcW w:w="4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年加权平均净资产收益率不低于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8.00%</w:t>
            </w:r>
          </w:p>
          <w:p>
            <w:pPr>
              <w:pStyle w:val="TableParagraph"/>
              <w:spacing w:line="240" w:lineRule="auto" w:before="15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年净利润不低于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12,096.83 </w:t>
            </w:r>
            <w:r>
              <w:rPr>
                <w:rFonts w:ascii="宋体" w:hAnsi="宋体" w:cs="宋体" w:eastAsia="宋体" w:hint="default"/>
                <w:sz w:val="18"/>
                <w:szCs w:val="18"/>
              </w:rPr>
              <w:t>万元</w:t>
            </w:r>
          </w:p>
        </w:tc>
      </w:tr>
    </w:tbl>
    <w:p>
      <w:pPr>
        <w:spacing w:line="240" w:lineRule="auto" w:before="12"/>
        <w:rPr>
          <w:rFonts w:ascii="宋体" w:hAnsi="宋体" w:cs="宋体" w:eastAsia="宋体" w:hint="default"/>
          <w:sz w:val="12"/>
          <w:szCs w:val="12"/>
        </w:rPr>
      </w:pPr>
    </w:p>
    <w:p>
      <w:pPr>
        <w:pStyle w:val="Heading3"/>
        <w:spacing w:line="240" w:lineRule="auto" w:before="26"/>
        <w:ind w:left="112" w:right="0"/>
        <w:jc w:val="both"/>
      </w:pPr>
      <w:r>
        <w:rPr>
          <w:rFonts w:ascii="Times New Roman" w:hAnsi="Times New Roman" w:cs="Times New Roman" w:eastAsia="Times New Roman" w:hint="default"/>
        </w:rPr>
        <w:t>2</w:t>
      </w:r>
      <w:r>
        <w:rPr/>
        <w:t>、股权激励计划已履行的决策程序和批准情况</w:t>
      </w:r>
    </w:p>
    <w:p>
      <w:pPr>
        <w:spacing w:line="240" w:lineRule="auto" w:before="3"/>
        <w:rPr>
          <w:rFonts w:ascii="黑体" w:hAnsi="黑体" w:cs="黑体" w:eastAsia="黑体" w:hint="default"/>
          <w:sz w:val="24"/>
          <w:szCs w:val="24"/>
        </w:rPr>
      </w:pPr>
    </w:p>
    <w:p>
      <w:pPr>
        <w:pStyle w:val="BodyText"/>
        <w:spacing w:line="386" w:lineRule="auto"/>
        <w:ind w:left="112" w:right="326"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4 </w:t>
      </w:r>
      <w:r>
        <w:rPr/>
        <w:t>月</w:t>
      </w:r>
      <w:r>
        <w:rPr>
          <w:spacing w:val="-38"/>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日，公司召开了第二届董事会第二十六次会议和第二届监事会第十六次会议，审</w:t>
      </w:r>
      <w:r>
        <w:rPr>
          <w:w w:val="100"/>
        </w:rPr>
        <w:t> </w:t>
      </w:r>
      <w:r>
        <w:rPr>
          <w:spacing w:val="-3"/>
          <w:w w:val="100"/>
        </w:rPr>
        <w:t>议并通过了《关于公司</w:t>
      </w:r>
      <w:r>
        <w:rPr>
          <w:rFonts w:ascii="Times New Roman" w:hAnsi="Times New Roman" w:cs="Times New Roman" w:eastAsia="Times New Roman" w:hint="default"/>
          <w:spacing w:val="-3"/>
          <w:w w:val="100"/>
        </w:rPr>
        <w:t>&lt;</w:t>
      </w:r>
      <w:r>
        <w:rPr>
          <w:spacing w:val="-3"/>
          <w:w w:val="100"/>
        </w:rPr>
        <w:t>限制性股票激励计划</w:t>
      </w:r>
      <w:r>
        <w:rPr>
          <w:rFonts w:ascii="Times New Roman" w:hAnsi="Times New Roman" w:cs="Times New Roman" w:eastAsia="Times New Roman" w:hint="default"/>
          <w:spacing w:val="-3"/>
          <w:w w:val="100"/>
        </w:rPr>
        <w:t>(</w:t>
      </w:r>
      <w:r>
        <w:rPr>
          <w:spacing w:val="-3"/>
          <w:w w:val="100"/>
        </w:rPr>
        <w:t>草案</w:t>
      </w:r>
      <w:r>
        <w:rPr>
          <w:rFonts w:ascii="Times New Roman" w:hAnsi="Times New Roman" w:cs="Times New Roman" w:eastAsia="Times New Roman" w:hint="default"/>
          <w:spacing w:val="-3"/>
          <w:w w:val="100"/>
        </w:rPr>
        <w:t>)&gt;</w:t>
      </w:r>
      <w:r>
        <w:rPr>
          <w:spacing w:val="-3"/>
          <w:w w:val="100"/>
        </w:rPr>
        <w:t>及摘要的议案》以下简称</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2014</w:t>
      </w:r>
      <w:r>
        <w:rPr>
          <w:rFonts w:ascii="Times New Roman" w:hAnsi="Times New Roman" w:cs="Times New Roman" w:eastAsia="Times New Roman" w:hint="default"/>
          <w:spacing w:val="-5"/>
          <w:w w:val="100"/>
        </w:rPr>
        <w:t> </w:t>
      </w:r>
      <w:r>
        <w:rPr>
          <w:spacing w:val="-16"/>
          <w:w w:val="100"/>
        </w:rPr>
        <w:t>年激励计划》</w:t>
      </w:r>
      <w:r>
        <w:rPr>
          <w:rFonts w:ascii="Times New Roman" w:hAnsi="Times New Roman" w:cs="Times New Roman" w:eastAsia="Times New Roman" w:hint="default"/>
          <w:spacing w:val="-16"/>
          <w:w w:val="100"/>
        </w:rPr>
        <w:t>”</w:t>
      </w:r>
      <w:r>
        <w:rPr>
          <w:spacing w:val="-16"/>
          <w:w w:val="100"/>
        </w:rPr>
        <w:t>），公</w:t>
      </w:r>
      <w:r>
        <w:rPr>
          <w:spacing w:val="-101"/>
          <w:w w:val="100"/>
        </w:rPr>
        <w:t> </w:t>
      </w:r>
      <w:r>
        <w:rPr>
          <w:spacing w:val="-101"/>
          <w:w w:val="100"/>
        </w:rPr>
      </w:r>
      <w:r>
        <w:rPr>
          <w:spacing w:val="-6"/>
          <w:w w:val="100"/>
        </w:rPr>
        <w:t>司独立董事对此发表了独立意见，律师出具了相应报告。其后公司向中国证券监督管理委员会</w:t>
      </w:r>
      <w:r>
        <w:rPr>
          <w:rFonts w:ascii="Times New Roman" w:hAnsi="Times New Roman" w:cs="Times New Roman" w:eastAsia="Times New Roman" w:hint="default"/>
          <w:spacing w:val="-6"/>
          <w:w w:val="100"/>
        </w:rPr>
        <w:t>(</w:t>
      </w:r>
      <w:r>
        <w:rPr>
          <w:spacing w:val="-6"/>
          <w:w w:val="100"/>
        </w:rPr>
        <w:t>以下简称</w:t>
      </w:r>
      <w:r>
        <w:rPr>
          <w:rFonts w:ascii="Times New Roman" w:hAnsi="Times New Roman" w:cs="Times New Roman" w:eastAsia="Times New Roman" w:hint="default"/>
          <w:spacing w:val="-6"/>
          <w:w w:val="100"/>
        </w:rPr>
        <w:t>“</w:t>
      </w:r>
      <w:r>
        <w:rPr>
          <w:spacing w:val="-6"/>
          <w:w w:val="100"/>
        </w:rPr>
        <w:t>证</w:t>
      </w:r>
      <w:r>
        <w:rPr>
          <w:spacing w:val="-70"/>
          <w:w w:val="100"/>
        </w:rPr>
        <w:t> </w:t>
      </w:r>
      <w:r>
        <w:rPr/>
        <w:t>监会</w:t>
      </w:r>
      <w:r>
        <w:rPr>
          <w:rFonts w:ascii="Times New Roman" w:hAnsi="Times New Roman" w:cs="Times New Roman" w:eastAsia="Times New Roman" w:hint="default"/>
        </w:rPr>
        <w:t>”)</w:t>
      </w:r>
      <w:r>
        <w:rPr/>
        <w:t>上报了申请备案材料。</w:t>
      </w:r>
    </w:p>
    <w:p>
      <w:pPr>
        <w:pStyle w:val="BodyText"/>
        <w:spacing w:line="386" w:lineRule="auto" w:before="136"/>
        <w:ind w:left="112" w:right="326"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日，公司获悉证监会已对公司报送的股权激励计划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确认无异议并进行了备</w:t>
      </w:r>
      <w:r>
        <w:rPr>
          <w:w w:val="100"/>
        </w:rPr>
        <w:t> </w:t>
      </w:r>
      <w:r>
        <w:rPr/>
        <w:t>案，根据《上市公司股权激励管理办法》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的有关规定，公司可以发出股东大会召开通知，审议并实</w:t>
      </w:r>
      <w:r>
        <w:rPr>
          <w:spacing w:val="-60"/>
        </w:rPr>
        <w:t> </w:t>
      </w:r>
      <w:r>
        <w:rPr>
          <w:spacing w:val="-60"/>
        </w:rPr>
      </w:r>
      <w:r>
        <w:rPr/>
        <w:t>施该股权激励计划。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37"/>
        </w:rPr>
        <w:t> </w:t>
      </w:r>
      <w:r>
        <w:rPr>
          <w:rFonts w:ascii="Times New Roman" w:hAnsi="Times New Roman" w:cs="Times New Roman" w:eastAsia="Times New Roman" w:hint="default"/>
          <w:spacing w:val="-4"/>
        </w:rPr>
        <w:t>11 </w:t>
      </w:r>
      <w:r>
        <w:rPr/>
        <w:t>日，公司收到控股股东、实际控制人陈江涛先生《关于提请增加公司</w:t>
      </w:r>
    </w:p>
    <w:p>
      <w:pPr>
        <w:pStyle w:val="BodyText"/>
        <w:spacing w:line="398" w:lineRule="auto" w:before="35"/>
        <w:ind w:left="112" w:right="326"/>
        <w:jc w:val="both"/>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9"/>
          <w:w w:val="100"/>
        </w:rPr>
        <w:t> </w:t>
      </w:r>
      <w:r>
        <w:rPr>
          <w:spacing w:val="-6"/>
          <w:w w:val="100"/>
        </w:rPr>
        <w:t>年第二次临时股东大会相关提案内容的函》，其提议将</w:t>
      </w:r>
      <w:r>
        <w:rPr>
          <w:rFonts w:ascii="Times New Roman" w:hAnsi="Times New Roman" w:cs="Times New Roman" w:eastAsia="Times New Roman" w:hint="default"/>
          <w:spacing w:val="-6"/>
          <w:w w:val="100"/>
        </w:rPr>
        <w:t>:</w:t>
      </w:r>
      <w:r>
        <w:rPr>
          <w:rFonts w:ascii="Times New Roman" w:hAnsi="Times New Roman" w:cs="Times New Roman" w:eastAsia="Times New Roman" w:hint="default"/>
          <w:spacing w:val="35"/>
          <w:w w:val="100"/>
        </w:rPr>
        <w:t> </w:t>
      </w:r>
      <w:r>
        <w:rPr>
          <w:spacing w:val="-3"/>
          <w:w w:val="100"/>
        </w:rPr>
        <w:t>关于公司《限制性股票激励计划</w:t>
      </w:r>
      <w:r>
        <w:rPr>
          <w:rFonts w:ascii="Times New Roman" w:hAnsi="Times New Roman" w:cs="Times New Roman" w:eastAsia="Times New Roman" w:hint="default"/>
          <w:spacing w:val="-3"/>
          <w:w w:val="100"/>
        </w:rPr>
        <w:t>(</w:t>
      </w:r>
      <w:r>
        <w:rPr>
          <w:spacing w:val="-3"/>
          <w:w w:val="100"/>
        </w:rPr>
        <w:t>草案</w:t>
      </w:r>
      <w:r>
        <w:rPr>
          <w:rFonts w:ascii="Times New Roman" w:hAnsi="Times New Roman" w:cs="Times New Roman" w:eastAsia="Times New Roman" w:hint="default"/>
          <w:spacing w:val="-3"/>
          <w:w w:val="100"/>
        </w:rPr>
        <w:t>)</w:t>
      </w:r>
      <w:r>
        <w:rPr>
          <w:spacing w:val="-3"/>
          <w:w w:val="100"/>
        </w:rPr>
        <w:t>》及摘</w:t>
      </w:r>
      <w:r>
        <w:rPr>
          <w:spacing w:val="-103"/>
          <w:w w:val="100"/>
        </w:rPr>
        <w:t> </w:t>
      </w:r>
      <w:r>
        <w:rPr>
          <w:spacing w:val="-103"/>
          <w:w w:val="100"/>
        </w:rPr>
      </w:r>
      <w:r>
        <w:rPr>
          <w:spacing w:val="-2"/>
        </w:rPr>
        <w:t>要的议案、关于公司《限制性股票激励计划实施考核管理办法》的议案、关于提请股东大会授权董事会办</w:t>
      </w:r>
      <w:r>
        <w:rPr>
          <w:spacing w:val="-44"/>
        </w:rPr>
        <w:t> </w:t>
      </w:r>
      <w:r>
        <w:rPr>
          <w:spacing w:val="-44"/>
        </w:rPr>
      </w:r>
      <w:r>
        <w:rPr/>
        <w:t>理公司限制性股票激励计划相关事宜的议案提交公司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年第二次临时股东大会审议。公司董事会同意</w:t>
      </w:r>
    </w:p>
    <w:p>
      <w:pPr>
        <w:pStyle w:val="BodyText"/>
        <w:spacing w:line="240" w:lineRule="auto" w:before="24"/>
        <w:ind w:left="112" w:right="0"/>
        <w:jc w:val="both"/>
      </w:pPr>
      <w:r>
        <w:rPr/>
        <w:t>将上述临时提案提交公司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年第二次临时股东大会审议。</w:t>
      </w:r>
    </w:p>
    <w:p>
      <w:pPr>
        <w:spacing w:line="240" w:lineRule="auto" w:before="1"/>
        <w:rPr>
          <w:rFonts w:ascii="宋体" w:hAnsi="宋体" w:cs="宋体" w:eastAsia="宋体" w:hint="default"/>
          <w:sz w:val="21"/>
          <w:szCs w:val="21"/>
        </w:rPr>
      </w:pPr>
    </w:p>
    <w:p>
      <w:pPr>
        <w:pStyle w:val="BodyText"/>
        <w:spacing w:line="386" w:lineRule="auto"/>
        <w:ind w:left="112" w:right="326" w:firstLine="42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3"/>
        </w:rPr>
        <w:t>日，公司召开</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spacing w:val="-3"/>
        </w:rPr>
        <w:t>年第二次临时股东大会，审议通过了《关于公司</w:t>
      </w:r>
      <w:r>
        <w:rPr>
          <w:rFonts w:ascii="Times New Roman" w:hAnsi="Times New Roman" w:cs="Times New Roman" w:eastAsia="Times New Roman" w:hint="default"/>
          <w:spacing w:val="-3"/>
        </w:rPr>
        <w:t>&lt;</w:t>
      </w:r>
      <w:r>
        <w:rPr>
          <w:spacing w:val="-3"/>
        </w:rPr>
        <w:t>限制性股票</w:t>
      </w:r>
      <w:r>
        <w:rPr>
          <w:w w:val="100"/>
        </w:rPr>
        <w:t> </w:t>
      </w:r>
      <w:r>
        <w:rPr>
          <w:spacing w:val="-8"/>
          <w:w w:val="100"/>
        </w:rPr>
        <w:t>激励计划</w:t>
      </w:r>
      <w:r>
        <w:rPr>
          <w:rFonts w:ascii="Times New Roman" w:hAnsi="Times New Roman" w:cs="Times New Roman" w:eastAsia="Times New Roman" w:hint="default"/>
          <w:spacing w:val="-8"/>
          <w:w w:val="100"/>
        </w:rPr>
        <w:t>(</w:t>
      </w:r>
      <w:r>
        <w:rPr>
          <w:spacing w:val="-8"/>
          <w:w w:val="100"/>
        </w:rPr>
        <w:t>草案</w:t>
      </w:r>
      <w:r>
        <w:rPr>
          <w:rFonts w:ascii="Times New Roman" w:hAnsi="Times New Roman" w:cs="Times New Roman" w:eastAsia="Times New Roman" w:hint="default"/>
          <w:spacing w:val="-8"/>
          <w:w w:val="100"/>
        </w:rPr>
        <w:t>)&gt;</w:t>
      </w:r>
      <w:r>
        <w:rPr>
          <w:spacing w:val="-8"/>
          <w:w w:val="100"/>
        </w:rPr>
        <w:t>及摘要的议案》、《关于公司</w:t>
      </w:r>
      <w:r>
        <w:rPr>
          <w:rFonts w:ascii="Times New Roman" w:hAnsi="Times New Roman" w:cs="Times New Roman" w:eastAsia="Times New Roman" w:hint="default"/>
          <w:spacing w:val="-8"/>
          <w:w w:val="100"/>
        </w:rPr>
        <w:t>&lt;</w:t>
      </w:r>
      <w:r>
        <w:rPr>
          <w:spacing w:val="-8"/>
          <w:w w:val="100"/>
        </w:rPr>
        <w:t>限制性股票激励计划实施考核管理办法</w:t>
      </w:r>
      <w:r>
        <w:rPr>
          <w:rFonts w:ascii="Times New Roman" w:hAnsi="Times New Roman" w:cs="Times New Roman" w:eastAsia="Times New Roman" w:hint="default"/>
          <w:spacing w:val="-8"/>
          <w:w w:val="100"/>
        </w:rPr>
        <w:t>&gt;</w:t>
      </w:r>
      <w:r>
        <w:rPr>
          <w:spacing w:val="-8"/>
          <w:w w:val="100"/>
        </w:rPr>
        <w:t>的议案》、关于提请</w:t>
      </w:r>
      <w:r>
        <w:rPr>
          <w:spacing w:val="-80"/>
          <w:w w:val="100"/>
        </w:rPr>
        <w:t> </w:t>
      </w:r>
      <w:r>
        <w:rPr>
          <w:spacing w:val="-80"/>
          <w:w w:val="100"/>
        </w:rPr>
      </w:r>
      <w:r>
        <w:rPr/>
        <w:t>股东大会授权董事会办理公司限制性股票激励计划相关事宜的议案。</w:t>
      </w:r>
    </w:p>
    <w:p>
      <w:pPr>
        <w:pStyle w:val="BodyText"/>
        <w:spacing w:line="400" w:lineRule="auto" w:before="166"/>
        <w:ind w:left="112" w:right="326" w:firstLine="420"/>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37"/>
        </w:rPr>
        <w:t> </w:t>
      </w:r>
      <w:r>
        <w:rPr>
          <w:rFonts w:ascii="Times New Roman" w:hAnsi="Times New Roman" w:cs="Times New Roman" w:eastAsia="Times New Roman" w:hint="default"/>
        </w:rPr>
        <w:t>18 </w:t>
      </w:r>
      <w:r>
        <w:rPr>
          <w:spacing w:val="-3"/>
        </w:rPr>
        <w:t>日，公司召开第二届董事会第三十次会议，审议通过了《关于调整限制性股票激</w:t>
      </w:r>
      <w:r>
        <w:rPr>
          <w:w w:val="100"/>
        </w:rPr>
        <w:t> </w:t>
      </w:r>
      <w:r>
        <w:rPr>
          <w:spacing w:val="-6"/>
          <w:w w:val="100"/>
        </w:rPr>
        <w:t>励计划的议案》及《关于向激励对象授予限制性股票的议案》，</w:t>
      </w:r>
      <w:r>
        <w:rPr>
          <w:w w:val="100"/>
        </w:rPr>
        <w:t> </w:t>
      </w:r>
      <w:r>
        <w:rPr>
          <w:spacing w:val="-2"/>
          <w:w w:val="100"/>
        </w:rPr>
        <w:t>并于当日召开了第二届监事会第十八次会</w:t>
      </w:r>
      <w:r>
        <w:rPr>
          <w:spacing w:val="-91"/>
          <w:w w:val="100"/>
        </w:rPr>
        <w:t> </w:t>
      </w:r>
      <w:r>
        <w:rPr>
          <w:spacing w:val="-91"/>
          <w:w w:val="100"/>
        </w:rPr>
      </w:r>
      <w:r>
        <w:rPr>
          <w:spacing w:val="-2"/>
        </w:rPr>
        <w:t>议，对公司授予的激励对象名单进行了核实。公司独立董事对此发表了独立意见，认为激励对象主体资格</w:t>
      </w:r>
      <w:r>
        <w:rPr>
          <w:spacing w:val="-43"/>
        </w:rPr>
        <w:t> </w:t>
      </w:r>
      <w:r>
        <w:rPr>
          <w:spacing w:val="-43"/>
        </w:rPr>
      </w:r>
      <w:r>
        <w:rPr/>
        <w:t>合法有效，确定的授予日及授予事项符合相关规定。</w:t>
      </w:r>
    </w:p>
    <w:p>
      <w:pPr>
        <w:pStyle w:val="BodyText"/>
        <w:spacing w:line="393" w:lineRule="auto" w:before="153"/>
        <w:ind w:left="112" w:right="326" w:firstLine="42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日，公司召开第三届董事会第四次会议审议通过了《关于向激励对象授予预留部</w:t>
      </w:r>
      <w:r>
        <w:rPr>
          <w:w w:val="100"/>
        </w:rPr>
        <w:t> </w:t>
      </w:r>
      <w:r>
        <w:rPr>
          <w:spacing w:val="-2"/>
          <w:w w:val="100"/>
        </w:rPr>
        <w:t>分限制性股票的议案》，并于当日召开第三届监事会第四次会议，审议通过了《关于核实公司预留部分限</w:t>
      </w:r>
      <w:r>
        <w:rPr>
          <w:spacing w:val="-94"/>
          <w:w w:val="100"/>
        </w:rPr>
        <w:t> </w:t>
      </w:r>
      <w:r>
        <w:rPr>
          <w:spacing w:val="-94"/>
          <w:w w:val="100"/>
        </w:rPr>
      </w:r>
      <w:r>
        <w:rPr>
          <w:spacing w:val="-8"/>
          <w:w w:val="100"/>
        </w:rPr>
        <w:t>制性股票激励对象名单的议案》。根据公司</w:t>
      </w:r>
      <w:r>
        <w:rPr>
          <w:spacing w:val="-46"/>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3"/>
          <w:w w:val="100"/>
        </w:rPr>
        <w:t> </w:t>
      </w:r>
      <w:r>
        <w:rPr>
          <w:spacing w:val="-3"/>
          <w:w w:val="100"/>
        </w:rPr>
        <w:t>年第二次临时股东大会审议通过的《</w:t>
      </w:r>
      <w:r>
        <w:rPr>
          <w:rFonts w:ascii="Times New Roman" w:hAnsi="Times New Roman" w:cs="Times New Roman" w:eastAsia="Times New Roman" w:hint="default"/>
          <w:spacing w:val="-3"/>
          <w:w w:val="100"/>
        </w:rPr>
        <w:t>2014 </w:t>
      </w:r>
      <w:r>
        <w:rPr>
          <w:spacing w:val="-5"/>
          <w:w w:val="100"/>
        </w:rPr>
        <w:t>年激励计划》及</w:t>
      </w:r>
      <w:r>
        <w:rPr>
          <w:spacing w:val="-102"/>
          <w:w w:val="100"/>
        </w:rPr>
        <w:t> </w:t>
      </w:r>
      <w:r>
        <w:rPr>
          <w:spacing w:val="-102"/>
          <w:w w:val="100"/>
        </w:rPr>
      </w:r>
      <w:r>
        <w:rPr/>
        <w:t>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年第二次临时股东大会的授权，董事会认为激励计划规定的关于预留部分限制性股票的各项授</w:t>
      </w:r>
    </w:p>
    <w:p>
      <w:pPr>
        <w:pStyle w:val="BodyText"/>
        <w:spacing w:line="240" w:lineRule="auto" w:before="28"/>
        <w:ind w:left="112" w:right="0"/>
        <w:jc w:val="both"/>
      </w:pPr>
      <w:r>
        <w:rPr/>
        <w:t>予条件已经满足</w:t>
      </w:r>
      <w:r>
        <w:rPr>
          <w:rFonts w:ascii="Times New Roman" w:hAnsi="Times New Roman" w:cs="Times New Roman" w:eastAsia="Times New Roman" w:hint="default"/>
        </w:rPr>
        <w:t>,</w:t>
      </w:r>
      <w:r>
        <w:rPr/>
        <w:t>确定</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日作为公司预留部分限制性股票的授予日，向全体</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名激励对象授予</w:t>
      </w:r>
    </w:p>
    <w:p>
      <w:pPr>
        <w:pStyle w:val="BodyText"/>
        <w:spacing w:line="240" w:lineRule="auto" w:before="177"/>
        <w:ind w:left="112" w:right="0"/>
        <w:jc w:val="both"/>
      </w:pPr>
      <w:r>
        <w:rPr/>
        <w:t>全部 </w:t>
      </w:r>
      <w:r>
        <w:rPr>
          <w:rFonts w:ascii="Times New Roman" w:hAnsi="Times New Roman" w:cs="Times New Roman" w:eastAsia="Times New Roman" w:hint="default"/>
        </w:rPr>
        <w:t>55.8</w:t>
      </w:r>
      <w:r>
        <w:rPr>
          <w:rFonts w:ascii="Times New Roman" w:hAnsi="Times New Roman" w:cs="Times New Roman" w:eastAsia="Times New Roman" w:hint="default"/>
          <w:spacing w:val="-11"/>
        </w:rPr>
        <w:t> </w:t>
      </w:r>
      <w:r>
        <w:rPr>
          <w:spacing w:val="-3"/>
        </w:rPr>
        <w:t>万股预留部分限制性股票，预留部分限制性股票的授予价格依据激励计划规定按照董事会决议公</w:t>
      </w:r>
    </w:p>
    <w:p>
      <w:pPr>
        <w:pStyle w:val="BodyText"/>
        <w:spacing w:line="240" w:lineRule="auto" w:before="177"/>
        <w:ind w:left="112" w:right="0"/>
        <w:jc w:val="both"/>
      </w:pPr>
      <w:r>
        <w:rPr/>
        <w:t>告日前</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个交易日公司股票交易均价的</w:t>
      </w:r>
      <w:r>
        <w:rPr>
          <w:spacing w:val="-22"/>
        </w:rPr>
        <w:t> </w:t>
      </w:r>
      <w:r>
        <w:rPr>
          <w:rFonts w:ascii="Times New Roman" w:hAnsi="Times New Roman" w:cs="Times New Roman" w:eastAsia="Times New Roman" w:hint="default"/>
        </w:rPr>
        <w:t>50%</w:t>
      </w:r>
      <w:r>
        <w:rPr/>
        <w:t>确定，即</w:t>
      </w:r>
      <w:r>
        <w:rPr>
          <w:spacing w:val="-37"/>
        </w:rPr>
        <w:t> </w:t>
      </w:r>
      <w:r>
        <w:rPr>
          <w:rFonts w:ascii="Times New Roman" w:hAnsi="Times New Roman" w:cs="Times New Roman" w:eastAsia="Times New Roman" w:hint="default"/>
        </w:rPr>
        <w:t>37.12</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股。公司独立董事对此发表了独立意见，</w:t>
      </w:r>
    </w:p>
    <w:p>
      <w:pPr>
        <w:spacing w:after="0" w:line="240" w:lineRule="auto"/>
        <w:jc w:val="both"/>
        <w:sectPr>
          <w:headerReference w:type="default" r:id="rId30"/>
          <w:pgSz w:w="11910" w:h="16840"/>
          <w:pgMar w:header="882" w:footer="1132" w:top="1100" w:bottom="1320" w:left="1020" w:right="800"/>
        </w:sectPr>
      </w:pPr>
    </w:p>
    <w:p>
      <w:pPr>
        <w:spacing w:line="240" w:lineRule="auto" w:before="5"/>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2"/>
          <w:szCs w:val="12"/>
        </w:rPr>
      </w:pPr>
    </w:p>
    <w:p>
      <w:pPr>
        <w:pStyle w:val="BodyText"/>
        <w:spacing w:line="240" w:lineRule="auto" w:before="36"/>
        <w:ind w:right="11"/>
        <w:jc w:val="left"/>
      </w:pPr>
      <w:r>
        <w:rPr/>
        <w:t>认为公司确定的授予日符合相关规定，激励对象主体资格合法、有效。</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、限制性股票激励计划调整</w:t>
      </w:r>
    </w:p>
    <w:p>
      <w:pPr>
        <w:spacing w:line="240" w:lineRule="auto" w:before="1"/>
        <w:rPr>
          <w:rFonts w:ascii="黑体" w:hAnsi="黑体" w:cs="黑体" w:eastAsia="黑体" w:hint="default"/>
          <w:sz w:val="24"/>
          <w:szCs w:val="24"/>
        </w:rPr>
      </w:pPr>
    </w:p>
    <w:p>
      <w:pPr>
        <w:pStyle w:val="Heading4"/>
        <w:spacing w:line="240" w:lineRule="auto"/>
        <w:ind w:right="11"/>
        <w:jc w:val="left"/>
        <w:rPr>
          <w:b w:val="0"/>
          <w:bCs w:val="0"/>
        </w:rPr>
      </w:pPr>
      <w:r>
        <w:rPr/>
        <w:t>（</w:t>
      </w:r>
      <w:r>
        <w:rPr>
          <w:rFonts w:ascii="Times New Roman" w:hAnsi="Times New Roman" w:cs="Times New Roman" w:eastAsia="Times New Roman" w:hint="default"/>
        </w:rPr>
        <w:t>1</w:t>
      </w:r>
      <w:r>
        <w:rPr/>
        <w:t>）授予价格调整</w:t>
      </w:r>
      <w:r>
        <w:rPr>
          <w:b w:val="0"/>
          <w:bCs w:val="0"/>
        </w:rPr>
      </w:r>
    </w:p>
    <w:p>
      <w:pPr>
        <w:spacing w:line="240" w:lineRule="auto" w:before="9"/>
        <w:rPr>
          <w:rFonts w:ascii="宋体" w:hAnsi="宋体" w:cs="宋体" w:eastAsia="宋体" w:hint="default"/>
          <w:b/>
          <w:bCs/>
          <w:sz w:val="22"/>
          <w:szCs w:val="22"/>
        </w:rPr>
      </w:pPr>
    </w:p>
    <w:p>
      <w:pPr>
        <w:pStyle w:val="BodyText"/>
        <w:spacing w:line="398" w:lineRule="auto"/>
        <w:ind w:right="147" w:firstLine="420"/>
        <w:jc w:val="both"/>
      </w:pPr>
      <w:r>
        <w:rPr>
          <w:spacing w:val="-1"/>
          <w:w w:val="100"/>
        </w:rPr>
        <w:t>根据公司《</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49"/>
          <w:w w:val="100"/>
        </w:rPr>
        <w:t> </w:t>
      </w:r>
      <w:r>
        <w:rPr>
          <w:spacing w:val="-5"/>
          <w:w w:val="100"/>
        </w:rPr>
        <w:t>年激励计划》，在激励计划公告当日至激励对象完成限制性股票登记期间，若公司发</w:t>
      </w:r>
      <w:r>
        <w:rPr>
          <w:w w:val="100"/>
        </w:rPr>
        <w:t> </w:t>
      </w:r>
      <w:r>
        <w:rPr>
          <w:spacing w:val="-2"/>
        </w:rPr>
        <w:t>生资本公积转增股本、派发股票红利、股份拆细或缩股、配股、派息等事宜，限制性股票的授予价格将做</w:t>
      </w:r>
      <w:r>
        <w:rPr>
          <w:spacing w:val="-43"/>
        </w:rPr>
        <w:t> </w:t>
      </w:r>
      <w:r>
        <w:rPr>
          <w:spacing w:val="-43"/>
        </w:rPr>
      </w:r>
      <w:r>
        <w:rPr/>
        <w:t>相应的调整。</w:t>
      </w:r>
    </w:p>
    <w:p>
      <w:pPr>
        <w:pStyle w:val="BodyText"/>
        <w:spacing w:line="240" w:lineRule="auto" w:before="156"/>
        <w:ind w:left="573" w:right="11"/>
        <w:jc w:val="left"/>
      </w:pPr>
      <w:r>
        <w:rPr/>
        <w:t>根据公司</w:t>
      </w:r>
      <w:r>
        <w:rPr>
          <w:spacing w:val="-3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日召开的</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年年度股东大会审议通过的《</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年年度利润分配方案的议</w:t>
      </w:r>
    </w:p>
    <w:p>
      <w:pPr>
        <w:pStyle w:val="BodyText"/>
        <w:spacing w:line="240" w:lineRule="auto" w:before="177"/>
        <w:ind w:right="11"/>
        <w:jc w:val="left"/>
      </w:pPr>
      <w:r>
        <w:rPr>
          <w:w w:val="100"/>
        </w:rPr>
        <w:t>案</w:t>
      </w:r>
      <w:r>
        <w:rPr>
          <w:spacing w:val="-106"/>
          <w:w w:val="100"/>
        </w:rPr>
        <w:t>》</w:t>
      </w:r>
      <w:r>
        <w:rPr>
          <w:spacing w:val="-3"/>
          <w:w w:val="100"/>
        </w:rPr>
        <w:t>：</w:t>
      </w:r>
      <w:r>
        <w:rPr>
          <w:w w:val="100"/>
        </w:rPr>
        <w:t>确</w:t>
      </w:r>
      <w:r>
        <w:rPr>
          <w:spacing w:val="-3"/>
          <w:w w:val="100"/>
        </w:rPr>
        <w:t>定</w:t>
      </w:r>
      <w:r>
        <w:rPr>
          <w:w w:val="100"/>
        </w:rPr>
        <w:t>以</w:t>
      </w:r>
      <w:r>
        <w:rPr>
          <w:spacing w:val="-3"/>
          <w:w w:val="100"/>
        </w:rPr>
        <w:t>公</w:t>
      </w:r>
      <w:r>
        <w:rPr>
          <w:w w:val="100"/>
        </w:rPr>
        <w:t>司</w:t>
      </w:r>
      <w:r>
        <w:rPr>
          <w:spacing w:val="-3"/>
          <w:w w:val="100"/>
        </w:rPr>
        <w:t>总</w:t>
      </w:r>
      <w:r>
        <w:rPr>
          <w:w w:val="100"/>
        </w:rPr>
        <w:t>股本</w:t>
      </w:r>
      <w:r>
        <w:rPr>
          <w:spacing w:val="-38"/>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12,000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7"/>
        </w:rPr>
        <w:t> </w:t>
      </w:r>
      <w:r>
        <w:rPr>
          <w:w w:val="100"/>
        </w:rPr>
        <w:t>股</w:t>
      </w:r>
      <w:r>
        <w:rPr>
          <w:spacing w:val="-3"/>
          <w:w w:val="100"/>
        </w:rPr>
        <w:t>为</w:t>
      </w:r>
      <w:r>
        <w:rPr>
          <w:w w:val="100"/>
        </w:rPr>
        <w:t>基数</w:t>
      </w:r>
      <w:r>
        <w:rPr>
          <w:spacing w:val="-3"/>
          <w:w w:val="100"/>
        </w:rPr>
        <w:t>，向</w:t>
      </w:r>
      <w:r>
        <w:rPr>
          <w:w w:val="100"/>
        </w:rPr>
        <w:t>全体</w:t>
      </w:r>
      <w:r>
        <w:rPr>
          <w:spacing w:val="-3"/>
          <w:w w:val="100"/>
        </w:rPr>
        <w:t>股东</w:t>
      </w:r>
      <w:r>
        <w:rPr>
          <w:w w:val="100"/>
        </w:rPr>
        <w:t>每</w:t>
      </w:r>
      <w:r>
        <w:rPr>
          <w:spacing w:val="-36"/>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spacing w:val="-3"/>
          <w:w w:val="100"/>
        </w:rPr>
        <w:t>股</w:t>
      </w:r>
      <w:r>
        <w:rPr>
          <w:w w:val="100"/>
        </w:rPr>
        <w:t>派</w:t>
      </w:r>
      <w:r>
        <w:rPr>
          <w:spacing w:val="-36"/>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7"/>
        </w:rPr>
        <w:t> </w:t>
      </w:r>
      <w:r>
        <w:rPr>
          <w:spacing w:val="-3"/>
          <w:w w:val="100"/>
        </w:rPr>
        <w:t>元</w:t>
      </w:r>
      <w:r>
        <w:rPr>
          <w:w w:val="100"/>
        </w:rPr>
        <w:t>人民</w:t>
      </w:r>
      <w:r>
        <w:rPr>
          <w:spacing w:val="-3"/>
          <w:w w:val="100"/>
        </w:rPr>
        <w:t>币</w:t>
      </w:r>
      <w:r>
        <w:rPr>
          <w:w w:val="100"/>
        </w:rPr>
        <w:t>现</w:t>
      </w:r>
      <w:r>
        <w:rPr>
          <w:spacing w:val="-3"/>
          <w:w w:val="100"/>
        </w:rPr>
        <w:t>金</w:t>
      </w:r>
      <w:r>
        <w:rPr>
          <w:w w:val="100"/>
        </w:rPr>
        <w:t>（</w:t>
      </w:r>
      <w:r>
        <w:rPr>
          <w:spacing w:val="-3"/>
          <w:w w:val="100"/>
        </w:rPr>
        <w:t>含</w:t>
      </w:r>
      <w:r>
        <w:rPr>
          <w:w w:val="100"/>
        </w:rPr>
        <w:t>税</w:t>
      </w:r>
      <w:r>
        <w:rPr>
          <w:spacing w:val="-108"/>
          <w:w w:val="100"/>
        </w:rPr>
        <w:t>）</w:t>
      </w:r>
      <w:r>
        <w:rPr>
          <w:w w:val="100"/>
        </w:rPr>
        <w:t>，</w:t>
      </w:r>
      <w:r>
        <w:rPr>
          <w:spacing w:val="-3"/>
          <w:w w:val="100"/>
        </w:rPr>
        <w:t>同时</w:t>
      </w:r>
      <w:r>
        <w:rPr>
          <w:w w:val="100"/>
        </w:rPr>
        <w:t>以</w:t>
      </w:r>
    </w:p>
    <w:p>
      <w:pPr>
        <w:pStyle w:val="BodyText"/>
        <w:spacing w:line="240" w:lineRule="auto" w:before="177"/>
        <w:ind w:right="11"/>
        <w:jc w:val="left"/>
      </w:pPr>
      <w:r>
        <w:rPr>
          <w:spacing w:val="-4"/>
        </w:rPr>
        <w:t>资本公积金转增股本，向全体股东每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6"/>
        </w:rPr>
        <w:t>股，共计转增</w:t>
      </w:r>
      <w:r>
        <w:rPr>
          <w:spacing w:val="-47"/>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5"/>
        </w:rPr>
        <w:t> </w:t>
      </w:r>
      <w:r>
        <w:rPr>
          <w:spacing w:val="-4"/>
        </w:rPr>
        <w:t>股，转增后公司总股本增加至</w:t>
      </w:r>
    </w:p>
    <w:p>
      <w:pPr>
        <w:pStyle w:val="BodyText"/>
        <w:spacing w:line="240" w:lineRule="auto" w:before="177"/>
        <w:ind w:right="11"/>
        <w:jc w:val="left"/>
      </w:pP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spacing w:val="-3"/>
        </w:rPr>
        <w:t>股。本次权益分派已于</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3"/>
        </w:rPr>
        <w:t>日实施完成，由于总股本发生变动，首次授予的限制性</w:t>
      </w:r>
    </w:p>
    <w:p>
      <w:pPr>
        <w:pStyle w:val="BodyText"/>
        <w:spacing w:line="240" w:lineRule="auto" w:before="177"/>
        <w:ind w:right="11"/>
        <w:jc w:val="left"/>
      </w:pPr>
      <w:r>
        <w:rPr/>
        <w:t>股票的授予价格调整为</w:t>
      </w:r>
      <w:r>
        <w:rPr>
          <w:spacing w:val="-55"/>
        </w:rPr>
        <w:t> </w:t>
      </w:r>
      <w:r>
        <w:rPr>
          <w:rFonts w:ascii="Times New Roman" w:hAnsi="Times New Roman" w:cs="Times New Roman" w:eastAsia="Times New Roman" w:hint="default"/>
        </w:rPr>
        <w:t>8.615</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22"/>
          <w:szCs w:val="22"/>
        </w:rPr>
      </w:pPr>
    </w:p>
    <w:p>
      <w:pPr>
        <w:spacing w:line="484" w:lineRule="auto" w:before="0"/>
        <w:ind w:left="573" w:right="11"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）授予对象及数量调整</w:t>
      </w:r>
      <w:r>
        <w:rPr>
          <w:rFonts w:ascii="宋体" w:hAnsi="宋体" w:cs="宋体" w:eastAsia="宋体" w:hint="default"/>
          <w:b/>
          <w:bCs/>
          <w:w w:val="100"/>
          <w:sz w:val="21"/>
          <w:szCs w:val="21"/>
        </w:rPr>
        <w:t> </w:t>
      </w:r>
      <w:r>
        <w:rPr>
          <w:rFonts w:ascii="宋体" w:hAnsi="宋体" w:cs="宋体" w:eastAsia="宋体" w:hint="default"/>
          <w:spacing w:val="-2"/>
          <w:sz w:val="21"/>
          <w:szCs w:val="21"/>
        </w:rPr>
        <w:t>鉴于公司部分激励对象因自身原因放弃认购部分股份，公司调整限制性股票激励计划激励对象和限制</w:t>
      </w:r>
    </w:p>
    <w:p>
      <w:pPr>
        <w:pStyle w:val="BodyText"/>
        <w:spacing w:line="270" w:lineRule="exact"/>
        <w:ind w:right="11"/>
        <w:jc w:val="left"/>
      </w:pPr>
      <w:r>
        <w:rPr>
          <w:spacing w:val="-3"/>
        </w:rPr>
        <w:t>性股票数量，激励对象由</w:t>
      </w:r>
      <w:r>
        <w:rPr>
          <w:spacing w:val="-45"/>
        </w:rPr>
        <w:t> </w:t>
      </w:r>
      <w:r>
        <w:rPr>
          <w:rFonts w:ascii="Times New Roman" w:hAnsi="Times New Roman" w:cs="Times New Roman" w:eastAsia="Times New Roman" w:hint="default"/>
        </w:rPr>
        <w:t>101</w:t>
      </w:r>
      <w:r>
        <w:rPr>
          <w:rFonts w:ascii="Times New Roman" w:hAnsi="Times New Roman" w:cs="Times New Roman" w:eastAsia="Times New Roman" w:hint="default"/>
          <w:spacing w:val="-4"/>
        </w:rPr>
        <w:t> </w:t>
      </w:r>
      <w:r>
        <w:rPr/>
        <w:t>名调整为</w:t>
      </w:r>
      <w:r>
        <w:rPr>
          <w:spacing w:val="-45"/>
        </w:rPr>
        <w:t> </w:t>
      </w:r>
      <w:r>
        <w:rPr>
          <w:rFonts w:ascii="Times New Roman" w:hAnsi="Times New Roman" w:cs="Times New Roman" w:eastAsia="Times New Roman" w:hint="default"/>
        </w:rPr>
        <w:t>95</w:t>
      </w:r>
      <w:r>
        <w:rPr>
          <w:rFonts w:ascii="Times New Roman" w:hAnsi="Times New Roman" w:cs="Times New Roman" w:eastAsia="Times New Roman" w:hint="default"/>
          <w:spacing w:val="-4"/>
        </w:rPr>
        <w:t> </w:t>
      </w:r>
      <w:r>
        <w:rPr>
          <w:spacing w:val="-3"/>
        </w:rPr>
        <w:t>名，将限制性股票总量由</w:t>
      </w:r>
      <w:r>
        <w:rPr>
          <w:spacing w:val="-42"/>
        </w:rPr>
        <w:t> </w:t>
      </w:r>
      <w:r>
        <w:rPr>
          <w:rFonts w:ascii="Times New Roman" w:hAnsi="Times New Roman" w:cs="Times New Roman" w:eastAsia="Times New Roman" w:hint="default"/>
          <w:spacing w:val="-3"/>
        </w:rPr>
        <w:t>289.50</w:t>
      </w:r>
      <w:r>
        <w:rPr>
          <w:spacing w:val="-3"/>
        </w:rPr>
        <w:t>（含</w:t>
      </w:r>
      <w:r>
        <w:rPr>
          <w:spacing w:val="-42"/>
        </w:rPr>
        <w:t> </w:t>
      </w:r>
      <w:r>
        <w:rPr>
          <w:rFonts w:ascii="Times New Roman" w:hAnsi="Times New Roman" w:cs="Times New Roman" w:eastAsia="Times New Roman" w:hint="default"/>
        </w:rPr>
        <w:t>28.95</w:t>
      </w:r>
      <w:r>
        <w:rPr>
          <w:rFonts w:ascii="Times New Roman" w:hAnsi="Times New Roman" w:cs="Times New Roman" w:eastAsia="Times New Roman" w:hint="default"/>
          <w:spacing w:val="-4"/>
        </w:rPr>
        <w:t> </w:t>
      </w:r>
      <w:r>
        <w:rPr>
          <w:spacing w:val="-3"/>
        </w:rPr>
        <w:t>万股预留股份）万股</w:t>
      </w:r>
    </w:p>
    <w:p>
      <w:pPr>
        <w:pStyle w:val="BodyText"/>
        <w:spacing w:line="240" w:lineRule="auto" w:before="177"/>
        <w:ind w:right="11"/>
        <w:jc w:val="left"/>
      </w:pPr>
      <w:r>
        <w:rPr/>
        <w:t>调整为</w:t>
      </w:r>
      <w:r>
        <w:rPr>
          <w:spacing w:val="-52"/>
        </w:rPr>
        <w:t> </w:t>
      </w:r>
      <w:r>
        <w:rPr>
          <w:rFonts w:ascii="Times New Roman" w:hAnsi="Times New Roman" w:cs="Times New Roman" w:eastAsia="Times New Roman" w:hint="default"/>
        </w:rPr>
        <w:t>279</w:t>
      </w:r>
      <w:r>
        <w:rPr/>
        <w:t>（含</w:t>
      </w:r>
      <w:r>
        <w:rPr>
          <w:spacing w:val="-55"/>
        </w:rPr>
        <w:t> </w:t>
      </w:r>
      <w:r>
        <w:rPr>
          <w:rFonts w:ascii="Times New Roman" w:hAnsi="Times New Roman" w:cs="Times New Roman" w:eastAsia="Times New Roman" w:hint="default"/>
        </w:rPr>
        <w:t>27.90</w:t>
      </w:r>
      <w:r>
        <w:rPr>
          <w:rFonts w:ascii="Times New Roman" w:hAnsi="Times New Roman" w:cs="Times New Roman" w:eastAsia="Times New Roman" w:hint="default"/>
          <w:spacing w:val="-12"/>
        </w:rPr>
        <w:t> </w:t>
      </w:r>
      <w:r>
        <w:rPr/>
        <w:t>万股预留股份）万股。</w:t>
      </w:r>
    </w:p>
    <w:p>
      <w:pPr>
        <w:spacing w:line="240" w:lineRule="auto" w:before="1"/>
        <w:rPr>
          <w:rFonts w:ascii="宋体" w:hAnsi="宋体" w:cs="宋体" w:eastAsia="宋体" w:hint="default"/>
          <w:sz w:val="21"/>
          <w:szCs w:val="21"/>
        </w:rPr>
      </w:pPr>
    </w:p>
    <w:p>
      <w:pPr>
        <w:pStyle w:val="BodyText"/>
        <w:spacing w:line="398" w:lineRule="auto"/>
        <w:ind w:right="147" w:firstLine="420"/>
        <w:jc w:val="both"/>
      </w:pPr>
      <w:r>
        <w:rPr>
          <w:spacing w:val="-1"/>
          <w:w w:val="100"/>
        </w:rPr>
        <w:t>根据公司《</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49"/>
          <w:w w:val="100"/>
        </w:rPr>
        <w:t> </w:t>
      </w:r>
      <w:r>
        <w:rPr>
          <w:spacing w:val="-5"/>
          <w:w w:val="100"/>
        </w:rPr>
        <w:t>年激励计划》，在本激励计划公告当日至激励对象完成限制性股票登记期间，若公司</w:t>
      </w:r>
      <w:r>
        <w:rPr>
          <w:w w:val="100"/>
        </w:rPr>
        <w:t> </w:t>
      </w:r>
      <w:r>
        <w:rPr>
          <w:spacing w:val="-2"/>
        </w:rPr>
        <w:t>发生资本公积转增股本、派发股票红利、股份拆细或缩股、配股、派息等事宜，限制性股票的授予数量将</w:t>
      </w:r>
      <w:r>
        <w:rPr>
          <w:spacing w:val="-43"/>
        </w:rPr>
        <w:t> </w:t>
      </w:r>
      <w:r>
        <w:rPr>
          <w:spacing w:val="-43"/>
        </w:rPr>
      </w:r>
      <w:r>
        <w:rPr/>
        <w:t>做相应的调整。</w:t>
      </w:r>
    </w:p>
    <w:p>
      <w:pPr>
        <w:pStyle w:val="BodyText"/>
        <w:spacing w:line="240" w:lineRule="auto" w:before="155"/>
        <w:ind w:left="573" w:right="11"/>
        <w:jc w:val="left"/>
      </w:pPr>
      <w:r>
        <w:rPr/>
        <w:t>根据公司</w:t>
      </w:r>
      <w:r>
        <w:rPr>
          <w:spacing w:val="-3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日召开的</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年年度股东大会审议通过的《</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年年度利润分配方案的议</w:t>
      </w:r>
    </w:p>
    <w:p>
      <w:pPr>
        <w:pStyle w:val="BodyText"/>
        <w:spacing w:line="240" w:lineRule="auto" w:before="178"/>
        <w:ind w:right="11"/>
        <w:jc w:val="left"/>
      </w:pPr>
      <w:r>
        <w:rPr>
          <w:w w:val="100"/>
        </w:rPr>
        <w:t>案</w:t>
      </w:r>
      <w:r>
        <w:rPr>
          <w:spacing w:val="-106"/>
          <w:w w:val="100"/>
        </w:rPr>
        <w:t>》</w:t>
      </w:r>
      <w:r>
        <w:rPr>
          <w:spacing w:val="-3"/>
          <w:w w:val="100"/>
        </w:rPr>
        <w:t>：</w:t>
      </w:r>
      <w:r>
        <w:rPr>
          <w:w w:val="100"/>
        </w:rPr>
        <w:t>确</w:t>
      </w:r>
      <w:r>
        <w:rPr>
          <w:spacing w:val="-3"/>
          <w:w w:val="100"/>
        </w:rPr>
        <w:t>定</w:t>
      </w:r>
      <w:r>
        <w:rPr>
          <w:w w:val="100"/>
        </w:rPr>
        <w:t>以</w:t>
      </w:r>
      <w:r>
        <w:rPr>
          <w:spacing w:val="-3"/>
          <w:w w:val="100"/>
        </w:rPr>
        <w:t>公</w:t>
      </w:r>
      <w:r>
        <w:rPr>
          <w:w w:val="100"/>
        </w:rPr>
        <w:t>司</w:t>
      </w:r>
      <w:r>
        <w:rPr>
          <w:spacing w:val="-3"/>
          <w:w w:val="100"/>
        </w:rPr>
        <w:t>总</w:t>
      </w:r>
      <w:r>
        <w:rPr>
          <w:w w:val="100"/>
        </w:rPr>
        <w:t>股本</w:t>
      </w:r>
      <w:r>
        <w:rPr>
          <w:spacing w:val="-38"/>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12,000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7"/>
        </w:rPr>
        <w:t> </w:t>
      </w:r>
      <w:r>
        <w:rPr>
          <w:w w:val="100"/>
        </w:rPr>
        <w:t>股</w:t>
      </w:r>
      <w:r>
        <w:rPr>
          <w:spacing w:val="-3"/>
          <w:w w:val="100"/>
        </w:rPr>
        <w:t>为</w:t>
      </w:r>
      <w:r>
        <w:rPr>
          <w:w w:val="100"/>
        </w:rPr>
        <w:t>基数</w:t>
      </w:r>
      <w:r>
        <w:rPr>
          <w:spacing w:val="-3"/>
          <w:w w:val="100"/>
        </w:rPr>
        <w:t>，向</w:t>
      </w:r>
      <w:r>
        <w:rPr>
          <w:w w:val="100"/>
        </w:rPr>
        <w:t>全体</w:t>
      </w:r>
      <w:r>
        <w:rPr>
          <w:spacing w:val="-3"/>
          <w:w w:val="100"/>
        </w:rPr>
        <w:t>股东</w:t>
      </w:r>
      <w:r>
        <w:rPr>
          <w:w w:val="100"/>
        </w:rPr>
        <w:t>每</w:t>
      </w:r>
      <w:r>
        <w:rPr>
          <w:spacing w:val="-36"/>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spacing w:val="-3"/>
          <w:w w:val="100"/>
        </w:rPr>
        <w:t>股</w:t>
      </w:r>
      <w:r>
        <w:rPr>
          <w:w w:val="100"/>
        </w:rPr>
        <w:t>派</w:t>
      </w:r>
      <w:r>
        <w:rPr>
          <w:spacing w:val="-36"/>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7"/>
        </w:rPr>
        <w:t> </w:t>
      </w:r>
      <w:r>
        <w:rPr>
          <w:spacing w:val="-3"/>
          <w:w w:val="100"/>
        </w:rPr>
        <w:t>元</w:t>
      </w:r>
      <w:r>
        <w:rPr>
          <w:w w:val="100"/>
        </w:rPr>
        <w:t>人民</w:t>
      </w:r>
      <w:r>
        <w:rPr>
          <w:spacing w:val="-3"/>
          <w:w w:val="100"/>
        </w:rPr>
        <w:t>币</w:t>
      </w:r>
      <w:r>
        <w:rPr>
          <w:w w:val="100"/>
        </w:rPr>
        <w:t>现</w:t>
      </w:r>
      <w:r>
        <w:rPr>
          <w:spacing w:val="-3"/>
          <w:w w:val="100"/>
        </w:rPr>
        <w:t>金</w:t>
      </w:r>
      <w:r>
        <w:rPr>
          <w:w w:val="100"/>
        </w:rPr>
        <w:t>（</w:t>
      </w:r>
      <w:r>
        <w:rPr>
          <w:spacing w:val="-3"/>
          <w:w w:val="100"/>
        </w:rPr>
        <w:t>含</w:t>
      </w:r>
      <w:r>
        <w:rPr>
          <w:w w:val="100"/>
        </w:rPr>
        <w:t>税</w:t>
      </w:r>
      <w:r>
        <w:rPr>
          <w:spacing w:val="-108"/>
          <w:w w:val="100"/>
        </w:rPr>
        <w:t>）</w:t>
      </w:r>
      <w:r>
        <w:rPr>
          <w:w w:val="100"/>
        </w:rPr>
        <w:t>，</w:t>
      </w:r>
      <w:r>
        <w:rPr>
          <w:spacing w:val="-3"/>
          <w:w w:val="100"/>
        </w:rPr>
        <w:t>同时</w:t>
      </w:r>
      <w:r>
        <w:rPr>
          <w:w w:val="100"/>
        </w:rPr>
        <w:t>以</w:t>
      </w:r>
    </w:p>
    <w:p>
      <w:pPr>
        <w:pStyle w:val="BodyText"/>
        <w:spacing w:line="240" w:lineRule="auto" w:before="177"/>
        <w:ind w:right="11"/>
        <w:jc w:val="left"/>
      </w:pPr>
      <w:r>
        <w:rPr>
          <w:spacing w:val="-4"/>
        </w:rPr>
        <w:t>资本公积金转增股本，向全体股东每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6"/>
        </w:rPr>
        <w:t>股，共计转增</w:t>
      </w:r>
      <w:r>
        <w:rPr>
          <w:spacing w:val="-47"/>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5"/>
        </w:rPr>
        <w:t> </w:t>
      </w:r>
      <w:r>
        <w:rPr>
          <w:spacing w:val="-4"/>
        </w:rPr>
        <w:t>股，转增后公司总股本增加至</w:t>
      </w:r>
    </w:p>
    <w:p>
      <w:pPr>
        <w:pStyle w:val="BodyText"/>
        <w:spacing w:line="240" w:lineRule="auto" w:before="177"/>
        <w:ind w:right="11"/>
        <w:jc w:val="left"/>
      </w:pP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spacing w:val="-3"/>
        </w:rPr>
        <w:t>股。本次权益分派已于</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3"/>
        </w:rPr>
        <w:t>日实施完成，由于总股本发生变动，首次授予的限制性</w:t>
      </w:r>
    </w:p>
    <w:p>
      <w:pPr>
        <w:pStyle w:val="BodyText"/>
        <w:spacing w:line="240" w:lineRule="auto" w:before="177"/>
        <w:ind w:right="11"/>
        <w:jc w:val="left"/>
      </w:pPr>
      <w:r>
        <w:rPr>
          <w:w w:val="100"/>
        </w:rPr>
        <w:t>股票</w:t>
      </w:r>
      <w:r>
        <w:rPr>
          <w:spacing w:val="-3"/>
          <w:w w:val="100"/>
        </w:rPr>
        <w:t>的</w:t>
      </w:r>
      <w:r>
        <w:rPr>
          <w:w w:val="100"/>
        </w:rPr>
        <w:t>授</w:t>
      </w:r>
      <w:r>
        <w:rPr>
          <w:spacing w:val="-3"/>
          <w:w w:val="100"/>
        </w:rPr>
        <w:t>予</w:t>
      </w:r>
      <w:r>
        <w:rPr>
          <w:w w:val="100"/>
        </w:rPr>
        <w:t>数</w:t>
      </w:r>
      <w:r>
        <w:rPr>
          <w:spacing w:val="-3"/>
          <w:w w:val="100"/>
        </w:rPr>
        <w:t>量</w:t>
      </w:r>
      <w:r>
        <w:rPr>
          <w:w w:val="100"/>
        </w:rPr>
        <w:t>调</w:t>
      </w:r>
      <w:r>
        <w:rPr>
          <w:spacing w:val="-3"/>
          <w:w w:val="100"/>
        </w:rPr>
        <w:t>整</w:t>
      </w:r>
      <w:r>
        <w:rPr>
          <w:w w:val="100"/>
        </w:rPr>
        <w:t>为</w:t>
      </w:r>
      <w:r>
        <w:rPr>
          <w:spacing w:val="-53"/>
        </w:rPr>
        <w:t> </w:t>
      </w:r>
      <w:r>
        <w:rPr>
          <w:rFonts w:ascii="Times New Roman" w:hAnsi="Times New Roman" w:cs="Times New Roman" w:eastAsia="Times New Roman" w:hint="default"/>
          <w:spacing w:val="-3"/>
          <w:w w:val="100"/>
        </w:rPr>
        <w:t>55</w:t>
      </w:r>
      <w:r>
        <w:rPr>
          <w:rFonts w:ascii="Times New Roman" w:hAnsi="Times New Roman" w:cs="Times New Roman" w:eastAsia="Times New Roman" w:hint="default"/>
          <w:w w:val="100"/>
        </w:rPr>
        <w:t>8</w:t>
      </w:r>
      <w:r>
        <w:rPr>
          <w:rFonts w:ascii="Times New Roman" w:hAnsi="Times New Roman" w:cs="Times New Roman" w:eastAsia="Times New Roman" w:hint="default"/>
          <w:spacing w:val="-10"/>
        </w:rPr>
        <w:t> </w:t>
      </w:r>
      <w:r>
        <w:rPr>
          <w:spacing w:val="-3"/>
          <w:w w:val="100"/>
        </w:rPr>
        <w:t>万</w:t>
      </w:r>
      <w:r>
        <w:rPr>
          <w:w w:val="100"/>
        </w:rPr>
        <w:t>股</w:t>
      </w:r>
      <w:r>
        <w:rPr>
          <w:spacing w:val="-3"/>
          <w:w w:val="100"/>
        </w:rPr>
        <w:t>（</w:t>
      </w:r>
      <w:r>
        <w:rPr>
          <w:w w:val="100"/>
        </w:rPr>
        <w:t>含</w:t>
      </w:r>
      <w:r>
        <w:rPr>
          <w:spacing w:val="-52"/>
        </w:rPr>
        <w:t> </w:t>
      </w:r>
      <w:r>
        <w:rPr>
          <w:rFonts w:ascii="Times New Roman" w:hAnsi="Times New Roman" w:cs="Times New Roman" w:eastAsia="Times New Roman" w:hint="default"/>
          <w:w w:val="100"/>
        </w:rPr>
        <w:t>55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80</w:t>
      </w:r>
      <w:r>
        <w:rPr>
          <w:rFonts w:ascii="Times New Roman" w:hAnsi="Times New Roman" w:cs="Times New Roman" w:eastAsia="Times New Roman" w:hint="default"/>
          <w:spacing w:val="-12"/>
        </w:rPr>
        <w:t> </w:t>
      </w:r>
      <w:r>
        <w:rPr>
          <w:w w:val="100"/>
        </w:rPr>
        <w:t>万</w:t>
      </w:r>
      <w:r>
        <w:rPr>
          <w:spacing w:val="-3"/>
          <w:w w:val="100"/>
        </w:rPr>
        <w:t>股</w:t>
      </w:r>
      <w:r>
        <w:rPr>
          <w:w w:val="100"/>
        </w:rPr>
        <w:t>预</w:t>
      </w:r>
      <w:r>
        <w:rPr>
          <w:spacing w:val="-3"/>
          <w:w w:val="100"/>
        </w:rPr>
        <w:t>留</w:t>
      </w:r>
      <w:r>
        <w:rPr>
          <w:w w:val="100"/>
        </w:rPr>
        <w:t>股份</w:t>
      </w:r>
      <w:r>
        <w:rPr>
          <w:spacing w:val="-108"/>
          <w:w w:val="100"/>
        </w:rPr>
        <w:t>）</w:t>
      </w:r>
      <w:r>
        <w:rPr>
          <w:w w:val="100"/>
        </w:rPr>
        <w:t>。</w:t>
      </w:r>
    </w:p>
    <w:p>
      <w:pPr>
        <w:spacing w:line="240" w:lineRule="auto" w:before="12"/>
        <w:rPr>
          <w:rFonts w:ascii="宋体" w:hAnsi="宋体" w:cs="宋体" w:eastAsia="宋体" w:hint="default"/>
          <w:sz w:val="22"/>
          <w:szCs w:val="22"/>
        </w:rPr>
      </w:pPr>
    </w:p>
    <w:p>
      <w:pPr>
        <w:pStyle w:val="Heading4"/>
        <w:spacing w:line="240" w:lineRule="auto"/>
        <w:ind w:right="11"/>
        <w:jc w:val="left"/>
        <w:rPr>
          <w:b w:val="0"/>
          <w:bCs w:val="0"/>
        </w:rPr>
      </w:pPr>
      <w:r>
        <w:rPr>
          <w:rFonts w:ascii="Times New Roman" w:hAnsi="Times New Roman" w:cs="Times New Roman" w:eastAsia="Times New Roman" w:hint="default"/>
        </w:rPr>
        <w:t>4</w:t>
      </w:r>
      <w:r>
        <w:rPr/>
        <w:t>、激励计划的授予</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left="573" w:right="11"/>
        <w:jc w:val="left"/>
      </w:pPr>
      <w:r>
        <w:rPr/>
        <w:t>（</w:t>
      </w:r>
      <w:r>
        <w:rPr>
          <w:rFonts w:ascii="Times New Roman" w:hAnsi="Times New Roman" w:cs="Times New Roman" w:eastAsia="Times New Roman" w:hint="default"/>
        </w:rPr>
        <w:t>1</w:t>
      </w:r>
      <w:r>
        <w:rPr/>
        <w:t>）公司首次股份授予日为</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日；首次授予股份的上市日期为：</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3"/>
        </w:rPr>
        <w:t>日。</w:t>
      </w:r>
      <w:r>
        <w:rPr/>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t>公司预留股份授予日为</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日；预留授予股份的上市日期为：</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spacing w:val="-3"/>
        </w:rPr>
        <w:t>日。</w:t>
      </w:r>
      <w:r>
        <w:rPr/>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spacing w:val="-3"/>
        </w:rPr>
        <w:t>（</w:t>
      </w:r>
      <w:r>
        <w:rPr>
          <w:rFonts w:ascii="Times New Roman" w:hAnsi="Times New Roman" w:cs="Times New Roman" w:eastAsia="Times New Roman" w:hint="default"/>
          <w:spacing w:val="-3"/>
        </w:rPr>
        <w:t>2</w:t>
      </w:r>
      <w:r>
        <w:rPr>
          <w:spacing w:val="-3"/>
        </w:rPr>
        <w:t>）首次授予的激励对象共</w:t>
      </w:r>
      <w:r>
        <w:rPr>
          <w:spacing w:val="-36"/>
        </w:rPr>
        <w:t> </w:t>
      </w:r>
      <w:r>
        <w:rPr>
          <w:rFonts w:ascii="Times New Roman" w:hAnsi="Times New Roman" w:cs="Times New Roman" w:eastAsia="Times New Roman" w:hint="default"/>
        </w:rPr>
        <w:t>95</w:t>
      </w:r>
      <w:r>
        <w:rPr>
          <w:rFonts w:ascii="Times New Roman" w:hAnsi="Times New Roman" w:cs="Times New Roman" w:eastAsia="Times New Roman" w:hint="default"/>
          <w:spacing w:val="3"/>
        </w:rPr>
        <w:t> </w:t>
      </w:r>
      <w:r>
        <w:rPr>
          <w:spacing w:val="-3"/>
        </w:rPr>
        <w:t>人、授予的限制性股票数量</w:t>
      </w:r>
      <w:r>
        <w:rPr>
          <w:spacing w:val="-37"/>
        </w:rPr>
        <w:t> </w:t>
      </w:r>
      <w:r>
        <w:rPr>
          <w:rFonts w:ascii="Times New Roman" w:hAnsi="Times New Roman" w:cs="Times New Roman" w:eastAsia="Times New Roman" w:hint="default"/>
        </w:rPr>
        <w:t>502.20 </w:t>
      </w:r>
      <w:r>
        <w:rPr>
          <w:spacing w:val="-3"/>
        </w:rPr>
        <w:t>万股，占本激励计划草案摘要公告</w:t>
      </w:r>
    </w:p>
    <w:p>
      <w:pPr>
        <w:spacing w:after="0" w:line="240" w:lineRule="auto"/>
        <w:jc w:val="left"/>
        <w:sectPr>
          <w:pgSz w:w="11910" w:h="16840"/>
          <w:pgMar w:header="882" w:footer="1132" w:top="110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right="88"/>
        <w:jc w:val="left"/>
      </w:pPr>
      <w:r>
        <w:rPr/>
        <w:t>日公司股本总额</w:t>
      </w:r>
      <w:r>
        <w:rPr>
          <w:spacing w:val="-54"/>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13"/>
        </w:rPr>
        <w:t> </w:t>
      </w:r>
      <w:r>
        <w:rPr/>
        <w:t>万股的</w:t>
      </w:r>
      <w:r>
        <w:rPr>
          <w:spacing w:val="-54"/>
        </w:rPr>
        <w:t> </w:t>
      </w:r>
      <w:r>
        <w:rPr>
          <w:rFonts w:ascii="Times New Roman" w:hAnsi="Times New Roman" w:cs="Times New Roman" w:eastAsia="Times New Roman" w:hint="default"/>
        </w:rPr>
        <w:t>2.24%</w:t>
      </w:r>
      <w:r>
        <w:rPr/>
        <w:t>，具体情况如下：</w:t>
      </w:r>
    </w:p>
    <w:p>
      <w:pPr>
        <w:spacing w:line="240" w:lineRule="auto" w:before="9"/>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1064"/>
        <w:gridCol w:w="2883"/>
        <w:gridCol w:w="1601"/>
        <w:gridCol w:w="1822"/>
        <w:gridCol w:w="2513"/>
      </w:tblGrid>
      <w:tr>
        <w:trPr>
          <w:trHeight w:val="840" w:hRule="exact"/>
        </w:trPr>
        <w:tc>
          <w:tcPr>
            <w:tcW w:w="1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left="346"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8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left="6"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6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463" w:right="68" w:hanging="3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获授限制性股票数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544" w:right="87" w:hanging="454"/>
              <w:jc w:val="left"/>
              <w:rPr>
                <w:rFonts w:ascii="宋体" w:hAnsi="宋体" w:cs="宋体" w:eastAsia="宋体" w:hint="default"/>
                <w:sz w:val="18"/>
                <w:szCs w:val="18"/>
              </w:rPr>
            </w:pPr>
            <w:r>
              <w:rPr>
                <w:rFonts w:ascii="宋体" w:hAnsi="宋体" w:cs="宋体" w:eastAsia="宋体" w:hint="default"/>
                <w:b/>
                <w:bCs/>
                <w:sz w:val="18"/>
                <w:szCs w:val="18"/>
              </w:rPr>
              <w:t>占授予限制性股票总</w:t>
            </w:r>
            <w:r>
              <w:rPr>
                <w:rFonts w:ascii="宋体" w:hAnsi="宋体" w:cs="宋体" w:eastAsia="宋体" w:hint="default"/>
                <w:b/>
                <w:bCs/>
                <w:w w:val="99"/>
                <w:sz w:val="18"/>
                <w:szCs w:val="18"/>
              </w:rPr>
              <w:t> </w:t>
            </w:r>
            <w:r>
              <w:rPr>
                <w:rFonts w:ascii="宋体" w:hAnsi="宋体" w:cs="宋体" w:eastAsia="宋体" w:hint="default"/>
                <w:b/>
                <w:bCs/>
                <w:sz w:val="18"/>
                <w:szCs w:val="18"/>
              </w:rPr>
              <w:t>量的比例</w:t>
            </w:r>
            <w:r>
              <w:rPr>
                <w:rFonts w:ascii="宋体" w:hAnsi="宋体" w:cs="宋体" w:eastAsia="宋体" w:hint="default"/>
                <w:sz w:val="18"/>
                <w:szCs w:val="18"/>
              </w:rPr>
            </w:r>
          </w:p>
        </w:tc>
        <w:tc>
          <w:tcPr>
            <w:tcW w:w="251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708" w:right="73" w:hanging="635"/>
              <w:jc w:val="left"/>
              <w:rPr>
                <w:rFonts w:ascii="宋体" w:hAnsi="宋体" w:cs="宋体" w:eastAsia="宋体" w:hint="default"/>
                <w:sz w:val="18"/>
                <w:szCs w:val="18"/>
              </w:rPr>
            </w:pPr>
            <w:r>
              <w:rPr>
                <w:rFonts w:ascii="宋体" w:hAnsi="宋体" w:cs="宋体" w:eastAsia="宋体" w:hint="default"/>
                <w:b/>
                <w:bCs/>
                <w:sz w:val="18"/>
                <w:szCs w:val="18"/>
              </w:rPr>
              <w:t>限制性股票占草案公布时公司</w:t>
            </w:r>
            <w:r>
              <w:rPr>
                <w:rFonts w:ascii="宋体" w:hAnsi="宋体" w:cs="宋体" w:eastAsia="宋体" w:hint="default"/>
                <w:b/>
                <w:bCs/>
                <w:w w:val="99"/>
                <w:sz w:val="18"/>
                <w:szCs w:val="18"/>
              </w:rPr>
              <w:t> </w:t>
            </w:r>
            <w:r>
              <w:rPr>
                <w:rFonts w:ascii="宋体" w:hAnsi="宋体" w:cs="宋体" w:eastAsia="宋体" w:hint="default"/>
                <w:b/>
                <w:bCs/>
                <w:sz w:val="18"/>
                <w:szCs w:val="18"/>
              </w:rPr>
              <w:t>总股本的比例</w:t>
            </w:r>
            <w:r>
              <w:rPr>
                <w:rFonts w:ascii="宋体" w:hAnsi="宋体" w:cs="宋体" w:eastAsia="宋体" w:hint="default"/>
                <w:sz w:val="18"/>
                <w:szCs w:val="18"/>
              </w:rPr>
            </w:r>
          </w:p>
        </w:tc>
      </w:tr>
      <w:tr>
        <w:trPr>
          <w:trHeight w:val="533"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51.00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9.14%</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0.23%</w:t>
            </w:r>
          </w:p>
        </w:tc>
      </w:tr>
      <w:tr>
        <w:trPr>
          <w:trHeight w:val="533"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36.50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6.54%</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0.16%</w:t>
            </w:r>
          </w:p>
        </w:tc>
      </w:tr>
      <w:tr>
        <w:trPr>
          <w:trHeight w:val="845"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4" w:right="0"/>
              <w:jc w:val="left"/>
              <w:rPr>
                <w:rFonts w:ascii="宋体" w:hAnsi="宋体" w:cs="宋体" w:eastAsia="宋体" w:hint="default"/>
                <w:sz w:val="18"/>
                <w:szCs w:val="18"/>
              </w:rPr>
            </w:pPr>
            <w:r>
              <w:rPr>
                <w:rFonts w:ascii="宋体" w:hAnsi="宋体" w:cs="宋体" w:eastAsia="宋体" w:hint="default"/>
                <w:spacing w:val="-10"/>
                <w:sz w:val="18"/>
                <w:szCs w:val="18"/>
              </w:rPr>
              <w:t>中层管理人员、核心业务、技术、管理骨干人员（共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人）</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414.70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
              <w:jc w:val="right"/>
              <w:rPr>
                <w:rFonts w:ascii="Times New Roman" w:hAnsi="Times New Roman" w:cs="Times New Roman" w:eastAsia="Times New Roman" w:hint="default"/>
                <w:sz w:val="18"/>
                <w:szCs w:val="18"/>
              </w:rPr>
            </w:pPr>
            <w:r>
              <w:rPr>
                <w:rFonts w:ascii="Times New Roman"/>
                <w:sz w:val="18"/>
              </w:rPr>
              <w:t>74.32%</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1.85%</w:t>
            </w:r>
          </w:p>
        </w:tc>
      </w:tr>
      <w:tr>
        <w:trPr>
          <w:trHeight w:val="533"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left"/>
              <w:rPr>
                <w:rFonts w:ascii="宋体" w:hAnsi="宋体" w:cs="宋体" w:eastAsia="宋体" w:hint="default"/>
                <w:sz w:val="18"/>
                <w:szCs w:val="18"/>
              </w:rPr>
            </w:pPr>
            <w:r>
              <w:rPr>
                <w:rFonts w:ascii="宋体" w:hAnsi="宋体" w:cs="宋体" w:eastAsia="宋体" w:hint="default"/>
                <w:sz w:val="18"/>
                <w:szCs w:val="18"/>
              </w:rPr>
              <w:t>预留股份</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55.80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4"/>
              <w:jc w:val="right"/>
              <w:rPr>
                <w:rFonts w:ascii="Times New Roman" w:hAnsi="Times New Roman" w:cs="Times New Roman" w:eastAsia="Times New Roman" w:hint="default"/>
                <w:sz w:val="18"/>
                <w:szCs w:val="18"/>
              </w:rPr>
            </w:pPr>
            <w:r>
              <w:rPr>
                <w:rFonts w:ascii="Times New Roman"/>
                <w:sz w:val="18"/>
              </w:rPr>
              <w:t>10.00%</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0.25%</w:t>
            </w:r>
          </w:p>
        </w:tc>
      </w:tr>
      <w:tr>
        <w:trPr>
          <w:trHeight w:val="533"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558.00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2.49%</w:t>
            </w:r>
          </w:p>
        </w:tc>
      </w:tr>
    </w:tbl>
    <w:p>
      <w:pPr>
        <w:spacing w:line="240" w:lineRule="auto" w:before="11"/>
        <w:rPr>
          <w:rFonts w:ascii="宋体" w:hAnsi="宋体" w:cs="宋体" w:eastAsia="宋体" w:hint="default"/>
          <w:sz w:val="9"/>
          <w:szCs w:val="9"/>
        </w:rPr>
      </w:pPr>
    </w:p>
    <w:p>
      <w:pPr>
        <w:pStyle w:val="BodyText"/>
        <w:spacing w:line="386" w:lineRule="auto" w:before="36"/>
        <w:ind w:right="88" w:firstLine="420"/>
        <w:jc w:val="left"/>
      </w:pPr>
      <w:r>
        <w:rPr/>
        <w:t>预留授予的激励对象共</w:t>
      </w:r>
      <w:r>
        <w:rPr>
          <w:spacing w:val="-3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人、授予的限制性股票数量为</w:t>
      </w:r>
      <w:r>
        <w:rPr>
          <w:spacing w:val="-32"/>
        </w:rPr>
        <w:t> </w:t>
      </w:r>
      <w:r>
        <w:rPr>
          <w:rFonts w:ascii="Times New Roman" w:hAnsi="Times New Roman" w:cs="Times New Roman" w:eastAsia="Times New Roman" w:hint="default"/>
        </w:rPr>
        <w:t>55.80</w:t>
      </w:r>
      <w:r>
        <w:rPr>
          <w:rFonts w:ascii="Times New Roman" w:hAnsi="Times New Roman" w:cs="Times New Roman" w:eastAsia="Times New Roman" w:hint="default"/>
          <w:spacing w:val="-4"/>
        </w:rPr>
        <w:t> </w:t>
      </w:r>
      <w:r>
        <w:rPr/>
        <w:t>万股，占总股本的</w:t>
      </w:r>
      <w:r>
        <w:rPr>
          <w:spacing w:val="-32"/>
        </w:rPr>
        <w:t> </w:t>
      </w:r>
      <w:r>
        <w:rPr>
          <w:rFonts w:ascii="Times New Roman" w:hAnsi="Times New Roman" w:cs="Times New Roman" w:eastAsia="Times New Roman" w:hint="default"/>
        </w:rPr>
        <w:t>0.24%</w:t>
      </w:r>
      <w:r>
        <w:rPr/>
        <w:t>，具体情况如</w:t>
      </w:r>
      <w:r>
        <w:rPr>
          <w:w w:val="100"/>
        </w:rPr>
        <w:t> </w:t>
      </w:r>
      <w:r>
        <w:rPr/>
        <w:t>下：</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16"/>
        <w:gridCol w:w="1988"/>
        <w:gridCol w:w="1985"/>
        <w:gridCol w:w="1982"/>
        <w:gridCol w:w="1561"/>
        <w:gridCol w:w="1049"/>
      </w:tblGrid>
      <w:tr>
        <w:trPr>
          <w:trHeight w:val="932" w:hRule="exact"/>
        </w:trPr>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left="5"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352" w:right="80" w:hanging="272"/>
              <w:jc w:val="left"/>
              <w:rPr>
                <w:rFonts w:ascii="宋体" w:hAnsi="宋体" w:cs="宋体" w:eastAsia="宋体" w:hint="default"/>
                <w:sz w:val="18"/>
                <w:szCs w:val="18"/>
              </w:rPr>
            </w:pPr>
            <w:r>
              <w:rPr>
                <w:rFonts w:ascii="宋体" w:hAnsi="宋体" w:cs="宋体" w:eastAsia="宋体" w:hint="default"/>
                <w:b/>
                <w:bCs/>
                <w:sz w:val="18"/>
                <w:szCs w:val="18"/>
              </w:rPr>
              <w:t>授予预留部分限制性股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票数量（万股）</w:t>
            </w:r>
            <w:r>
              <w:rPr>
                <w:rFonts w:ascii="宋体" w:hAnsi="宋体" w:cs="宋体" w:eastAsia="宋体" w:hint="default"/>
                <w:sz w:val="18"/>
                <w:szCs w:val="18"/>
              </w:rPr>
            </w:r>
          </w:p>
        </w:tc>
        <w:tc>
          <w:tcPr>
            <w:tcW w:w="19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350" w:right="80" w:hanging="272"/>
              <w:jc w:val="left"/>
              <w:rPr>
                <w:rFonts w:ascii="宋体" w:hAnsi="宋体" w:cs="宋体" w:eastAsia="宋体" w:hint="default"/>
                <w:sz w:val="18"/>
                <w:szCs w:val="18"/>
              </w:rPr>
            </w:pPr>
            <w:r>
              <w:rPr>
                <w:rFonts w:ascii="宋体" w:hAnsi="宋体" w:cs="宋体" w:eastAsia="宋体" w:hint="default"/>
                <w:b/>
                <w:bCs/>
                <w:sz w:val="18"/>
                <w:szCs w:val="18"/>
              </w:rPr>
              <w:t>占授予预留部分限制性</w:t>
            </w:r>
            <w:r>
              <w:rPr>
                <w:rFonts w:ascii="宋体" w:hAnsi="宋体" w:cs="宋体" w:eastAsia="宋体" w:hint="default"/>
                <w:b/>
                <w:bCs/>
                <w:w w:val="99"/>
                <w:sz w:val="18"/>
                <w:szCs w:val="18"/>
              </w:rPr>
              <w:t> </w:t>
            </w:r>
            <w:r>
              <w:rPr>
                <w:rFonts w:ascii="宋体" w:hAnsi="宋体" w:cs="宋体" w:eastAsia="宋体" w:hint="default"/>
                <w:b/>
                <w:bCs/>
                <w:sz w:val="18"/>
                <w:szCs w:val="18"/>
              </w:rPr>
              <w:t>股票总数的比例</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412" w:lineRule="auto" w:before="106"/>
              <w:ind w:left="324" w:right="47" w:hanging="272"/>
              <w:jc w:val="left"/>
              <w:rPr>
                <w:rFonts w:ascii="宋体" w:hAnsi="宋体" w:cs="宋体" w:eastAsia="宋体" w:hint="default"/>
                <w:sz w:val="18"/>
                <w:szCs w:val="18"/>
              </w:rPr>
            </w:pPr>
            <w:r>
              <w:rPr>
                <w:rFonts w:ascii="宋体" w:hAnsi="宋体" w:cs="宋体" w:eastAsia="宋体" w:hint="default"/>
                <w:b/>
                <w:bCs/>
                <w:sz w:val="18"/>
                <w:szCs w:val="18"/>
              </w:rPr>
              <w:t>占授予限制性股票</w:t>
            </w:r>
            <w:r>
              <w:rPr>
                <w:rFonts w:ascii="宋体" w:hAnsi="宋体" w:cs="宋体" w:eastAsia="宋体" w:hint="default"/>
                <w:b/>
                <w:bCs/>
                <w:w w:val="99"/>
                <w:sz w:val="18"/>
                <w:szCs w:val="18"/>
              </w:rPr>
              <w:t> </w:t>
            </w:r>
            <w:r>
              <w:rPr>
                <w:rFonts w:ascii="宋体" w:hAnsi="宋体" w:cs="宋体" w:eastAsia="宋体" w:hint="default"/>
                <w:b/>
                <w:bCs/>
                <w:sz w:val="18"/>
                <w:szCs w:val="18"/>
              </w:rPr>
              <w:t>总数的比例</w:t>
            </w:r>
            <w:r>
              <w:rPr>
                <w:rFonts w:ascii="宋体" w:hAnsi="宋体" w:cs="宋体" w:eastAsia="宋体" w:hint="default"/>
                <w:sz w:val="18"/>
                <w:szCs w:val="18"/>
              </w:rPr>
            </w:r>
          </w:p>
        </w:tc>
        <w:tc>
          <w:tcPr>
            <w:tcW w:w="10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06"/>
              <w:ind w:left="158" w:right="63" w:hanging="92"/>
              <w:jc w:val="left"/>
              <w:rPr>
                <w:rFonts w:ascii="宋体" w:hAnsi="宋体" w:cs="宋体" w:eastAsia="宋体" w:hint="default"/>
                <w:sz w:val="18"/>
                <w:szCs w:val="18"/>
              </w:rPr>
            </w:pPr>
            <w:r>
              <w:rPr>
                <w:rFonts w:ascii="宋体" w:hAnsi="宋体" w:cs="宋体" w:eastAsia="宋体" w:hint="default"/>
                <w:b/>
                <w:bCs/>
                <w:sz w:val="18"/>
                <w:szCs w:val="18"/>
              </w:rPr>
              <w:t>占公司总股</w:t>
            </w:r>
            <w:r>
              <w:rPr>
                <w:rFonts w:ascii="宋体" w:hAnsi="宋体" w:cs="宋体" w:eastAsia="宋体" w:hint="default"/>
                <w:b/>
                <w:bCs/>
                <w:w w:val="99"/>
                <w:sz w:val="18"/>
                <w:szCs w:val="18"/>
              </w:rPr>
              <w:t> </w:t>
            </w:r>
            <w:r>
              <w:rPr>
                <w:rFonts w:ascii="宋体" w:hAnsi="宋体" w:cs="宋体" w:eastAsia="宋体" w:hint="default"/>
                <w:b/>
                <w:bCs/>
                <w:sz w:val="18"/>
                <w:szCs w:val="18"/>
              </w:rPr>
              <w:t>本的比例</w:t>
            </w:r>
            <w:r>
              <w:rPr>
                <w:rFonts w:ascii="宋体" w:hAnsi="宋体" w:cs="宋体" w:eastAsia="宋体" w:hint="default"/>
                <w:sz w:val="18"/>
                <w:szCs w:val="18"/>
              </w:rPr>
            </w:r>
          </w:p>
        </w:tc>
      </w:tr>
      <w:tr>
        <w:trPr>
          <w:trHeight w:val="534"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21.80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39.07%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3.91%</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z w:val="18"/>
              </w:rPr>
              <w:t>0.10%</w:t>
            </w:r>
          </w:p>
        </w:tc>
      </w:tr>
      <w:tr>
        <w:trPr>
          <w:trHeight w:val="845" w:hRule="exact"/>
        </w:trPr>
        <w:tc>
          <w:tcPr>
            <w:tcW w:w="340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4" w:right="0"/>
              <w:jc w:val="left"/>
              <w:rPr>
                <w:rFonts w:ascii="宋体" w:hAnsi="宋体" w:cs="宋体" w:eastAsia="宋体" w:hint="default"/>
                <w:sz w:val="18"/>
                <w:szCs w:val="18"/>
              </w:rPr>
            </w:pPr>
            <w:r>
              <w:rPr>
                <w:rFonts w:ascii="宋体" w:hAnsi="宋体" w:cs="宋体" w:eastAsia="宋体" w:hint="default"/>
                <w:spacing w:val="-11"/>
                <w:sz w:val="18"/>
                <w:szCs w:val="18"/>
              </w:rPr>
              <w:t>中层管理人员、核心业务、管理骨干人员（共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34.00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60.93%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6.09%</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0.14%</w:t>
            </w:r>
          </w:p>
        </w:tc>
      </w:tr>
      <w:tr>
        <w:trPr>
          <w:trHeight w:val="533" w:hRule="exact"/>
        </w:trPr>
        <w:tc>
          <w:tcPr>
            <w:tcW w:w="34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55.80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
              <w:jc w:val="right"/>
              <w:rPr>
                <w:rFonts w:ascii="Times New Roman" w:hAnsi="Times New Roman" w:cs="Times New Roman" w:eastAsia="Times New Roman" w:hint="default"/>
                <w:sz w:val="18"/>
                <w:szCs w:val="18"/>
              </w:rPr>
            </w:pPr>
            <w:r>
              <w:rPr>
                <w:rFonts w:ascii="Times New Roman"/>
                <w:sz w:val="18"/>
              </w:rPr>
              <w:t>10.00%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0.24%</w:t>
            </w:r>
          </w:p>
        </w:tc>
      </w:tr>
    </w:tbl>
    <w:p>
      <w:pPr>
        <w:spacing w:line="240" w:lineRule="auto" w:before="11"/>
        <w:rPr>
          <w:rFonts w:ascii="宋体" w:hAnsi="宋体" w:cs="宋体" w:eastAsia="宋体" w:hint="default"/>
          <w:sz w:val="9"/>
          <w:szCs w:val="9"/>
        </w:rPr>
      </w:pPr>
    </w:p>
    <w:p>
      <w:pPr>
        <w:pStyle w:val="BodyText"/>
        <w:spacing w:line="240" w:lineRule="auto" w:before="36"/>
        <w:ind w:left="573" w:right="88"/>
        <w:jc w:val="left"/>
      </w:pPr>
      <w:r>
        <w:rPr/>
        <w:t>（</w:t>
      </w:r>
      <w:r>
        <w:rPr>
          <w:rFonts w:ascii="Times New Roman" w:hAnsi="Times New Roman" w:cs="Times New Roman" w:eastAsia="Times New Roman" w:hint="default"/>
        </w:rPr>
        <w:t>3</w:t>
      </w:r>
      <w:r>
        <w:rPr/>
        <w:t>）授予价格：首次授予限制性股票的授予价格为</w:t>
      </w:r>
      <w:r>
        <w:rPr>
          <w:spacing w:val="-52"/>
        </w:rPr>
        <w:t> </w:t>
      </w:r>
      <w:r>
        <w:rPr>
          <w:rFonts w:ascii="Times New Roman" w:hAnsi="Times New Roman" w:cs="Times New Roman" w:eastAsia="Times New Roman" w:hint="default"/>
        </w:rPr>
        <w:t>8.615</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r>
        <w:rPr>
          <w:spacing w:val="-26"/>
        </w:rPr>
        <w:t> </w:t>
      </w:r>
      <w:r>
        <w:rPr/>
        <w:t>预留授予限制性股票的授予价格为</w:t>
      </w:r>
    </w:p>
    <w:p>
      <w:pPr>
        <w:pStyle w:val="BodyText"/>
        <w:spacing w:line="240" w:lineRule="auto" w:before="177"/>
        <w:ind w:right="0"/>
        <w:jc w:val="both"/>
      </w:pPr>
      <w:r>
        <w:rPr>
          <w:rFonts w:ascii="Times New Roman" w:hAnsi="Times New Roman" w:cs="Times New Roman" w:eastAsia="Times New Roman" w:hint="default"/>
        </w:rPr>
        <w:t>37.12</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t>股。</w:t>
      </w:r>
    </w:p>
    <w:p>
      <w:pPr>
        <w:spacing w:line="240" w:lineRule="auto" w:before="1"/>
        <w:rPr>
          <w:rFonts w:ascii="宋体" w:hAnsi="宋体" w:cs="宋体" w:eastAsia="宋体" w:hint="default"/>
          <w:sz w:val="21"/>
          <w:szCs w:val="21"/>
        </w:rPr>
      </w:pPr>
    </w:p>
    <w:p>
      <w:pPr>
        <w:pStyle w:val="BodyText"/>
        <w:spacing w:line="240" w:lineRule="auto"/>
        <w:ind w:left="573" w:right="88"/>
        <w:jc w:val="left"/>
      </w:pPr>
      <w:r>
        <w:rPr>
          <w:rFonts w:ascii="Times New Roman" w:hAnsi="Times New Roman" w:cs="Times New Roman" w:eastAsia="Times New Roman" w:hint="default"/>
        </w:rPr>
        <w:t>5</w:t>
      </w:r>
      <w:r>
        <w:rPr/>
        <w:t>、股权激励计划解锁及回购注销</w:t>
      </w:r>
    </w:p>
    <w:p>
      <w:pPr>
        <w:spacing w:line="240" w:lineRule="auto" w:before="4"/>
        <w:rPr>
          <w:rFonts w:ascii="宋体" w:hAnsi="宋体" w:cs="宋体" w:eastAsia="宋体" w:hint="default"/>
          <w:sz w:val="21"/>
          <w:szCs w:val="21"/>
        </w:rPr>
      </w:pPr>
    </w:p>
    <w:p>
      <w:pPr>
        <w:pStyle w:val="BodyText"/>
        <w:spacing w:line="240" w:lineRule="auto"/>
        <w:ind w:left="573" w:right="88"/>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日，公司召开第三届董事会第八次会议和第三届监事会第五次会议，审议通过了</w:t>
      </w:r>
    </w:p>
    <w:p>
      <w:pPr>
        <w:pStyle w:val="BodyText"/>
        <w:spacing w:line="398" w:lineRule="auto" w:before="177"/>
        <w:ind w:right="466"/>
        <w:jc w:val="both"/>
      </w:pPr>
      <w:r>
        <w:rPr>
          <w:spacing w:val="-2"/>
        </w:rPr>
        <w:t>《关于限制性股票激励计划首次授予的限制性股票第一次解锁期可解锁的议案》及《关于回购注销不符合</w:t>
      </w:r>
      <w:r>
        <w:rPr>
          <w:spacing w:val="-44"/>
        </w:rPr>
        <w:t> </w:t>
      </w:r>
      <w:r>
        <w:rPr>
          <w:spacing w:val="-44"/>
        </w:rPr>
      </w:r>
      <w:r>
        <w:rPr>
          <w:spacing w:val="-4"/>
          <w:w w:val="100"/>
        </w:rPr>
        <w:t>解锁条件的激励对象已获授但尚未解锁的限制性股票的议案》，同意公司按照《</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33"/>
          <w:w w:val="100"/>
        </w:rPr>
        <w:t> </w:t>
      </w:r>
      <w:r>
        <w:rPr>
          <w:spacing w:val="-2"/>
          <w:w w:val="100"/>
        </w:rPr>
        <w:t>年激励计划》的相关</w:t>
      </w:r>
      <w:r>
        <w:rPr>
          <w:w w:val="100"/>
        </w:rPr>
        <w:t> </w:t>
      </w:r>
      <w:r>
        <w:rPr/>
        <w:t>规定办理限制性股票第一期解锁事宜。本次可解锁激励对象</w:t>
      </w:r>
      <w:r>
        <w:rPr>
          <w:spacing w:val="-56"/>
        </w:rPr>
        <w:t> </w:t>
      </w:r>
      <w:r>
        <w:rPr>
          <w:rFonts w:ascii="Times New Roman" w:hAnsi="Times New Roman" w:cs="Times New Roman" w:eastAsia="Times New Roman" w:hint="default"/>
        </w:rPr>
        <w:t>86</w:t>
      </w:r>
      <w:r>
        <w:rPr>
          <w:rFonts w:ascii="Times New Roman" w:hAnsi="Times New Roman" w:cs="Times New Roman" w:eastAsia="Times New Roman" w:hint="default"/>
          <w:spacing w:val="-15"/>
        </w:rPr>
        <w:t> </w:t>
      </w:r>
      <w:r>
        <w:rPr/>
        <w:t>人，解锁股份共计</w:t>
      </w:r>
      <w:r>
        <w:rPr>
          <w:spacing w:val="-57"/>
        </w:rPr>
        <w:t> </w:t>
      </w:r>
      <w:r>
        <w:rPr>
          <w:rFonts w:ascii="Times New Roman" w:hAnsi="Times New Roman" w:cs="Times New Roman" w:eastAsia="Times New Roman" w:hint="default"/>
        </w:rPr>
        <w:t>2,571,493</w:t>
      </w:r>
      <w:r>
        <w:rPr>
          <w:rFonts w:ascii="Times New Roman" w:hAnsi="Times New Roman" w:cs="Times New Roman" w:eastAsia="Times New Roman" w:hint="default"/>
          <w:spacing w:val="-12"/>
        </w:rPr>
        <w:t> </w:t>
      </w:r>
      <w:r>
        <w:rPr/>
        <w:t>股，回购注销</w:t>
      </w:r>
    </w:p>
    <w:p>
      <w:pPr>
        <w:pStyle w:val="BodyText"/>
        <w:spacing w:line="240" w:lineRule="auto" w:before="24"/>
        <w:ind w:right="0"/>
        <w:jc w:val="both"/>
      </w:pPr>
      <w:r>
        <w:rPr/>
        <w:t>不符合解锁条件的股份</w:t>
      </w:r>
      <w:r>
        <w:rPr>
          <w:spacing w:val="-58"/>
        </w:rPr>
        <w:t> </w:t>
      </w:r>
      <w:r>
        <w:rPr>
          <w:rFonts w:ascii="Times New Roman" w:hAnsi="Times New Roman" w:cs="Times New Roman" w:eastAsia="Times New Roman" w:hint="default"/>
        </w:rPr>
        <w:t>452,150</w:t>
      </w:r>
      <w:r>
        <w:rPr>
          <w:rFonts w:ascii="Times New Roman" w:hAnsi="Times New Roman" w:cs="Times New Roman" w:eastAsia="Times New Roman" w:hint="default"/>
          <w:spacing w:val="-14"/>
        </w:rPr>
        <w:t> </w:t>
      </w:r>
      <w:r>
        <w:rPr/>
        <w:t>股。公司独立董事对此发表了独立意见，律师出具了法律意见书。</w:t>
      </w:r>
    </w:p>
    <w:p>
      <w:pPr>
        <w:spacing w:line="240" w:lineRule="auto" w:before="3"/>
        <w:rPr>
          <w:rFonts w:ascii="宋体" w:hAnsi="宋体" w:cs="宋体" w:eastAsia="宋体" w:hint="default"/>
          <w:sz w:val="21"/>
          <w:szCs w:val="21"/>
        </w:rPr>
      </w:pPr>
    </w:p>
    <w:p>
      <w:pPr>
        <w:pStyle w:val="BodyText"/>
        <w:spacing w:line="398" w:lineRule="auto"/>
        <w:ind w:right="363"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3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日，公司召开第三届董事会第十二次会议和第三届监事会第八次会议，审议通</w:t>
      </w:r>
      <w:r>
        <w:rPr>
          <w:w w:val="100"/>
        </w:rPr>
        <w:t> </w:t>
      </w:r>
      <w:r>
        <w:rPr>
          <w:spacing w:val="-2"/>
          <w:w w:val="100"/>
        </w:rPr>
        <w:t>过了《关于回购注销不符合解锁条件的激励对象已获授但尚未解锁的限制性股票的议案》，同意回购注销</w:t>
      </w:r>
      <w:r>
        <w:rPr>
          <w:spacing w:val="-94"/>
          <w:w w:val="100"/>
        </w:rPr>
        <w:t> </w:t>
      </w:r>
      <w:r>
        <w:rPr>
          <w:spacing w:val="-94"/>
          <w:w w:val="100"/>
        </w:rPr>
      </w:r>
      <w:r>
        <w:rPr>
          <w:spacing w:val="-2"/>
          <w:w w:val="100"/>
        </w:rPr>
        <w:t>不符合解锁条件的</w:t>
      </w:r>
      <w:r>
        <w:rPr>
          <w:w w:val="100"/>
        </w:rPr>
        <w:t> </w:t>
      </w:r>
      <w:r>
        <w:rPr>
          <w:rFonts w:ascii="Times New Roman" w:hAnsi="Times New Roman" w:cs="Times New Roman" w:eastAsia="Times New Roman" w:hint="default"/>
          <w:spacing w:val="-1"/>
          <w:w w:val="100"/>
        </w:rPr>
        <w:t>46,544</w:t>
      </w:r>
      <w:r>
        <w:rPr>
          <w:rFonts w:ascii="Times New Roman" w:hAnsi="Times New Roman" w:cs="Times New Roman" w:eastAsia="Times New Roman" w:hint="default"/>
          <w:spacing w:val="-27"/>
          <w:w w:val="100"/>
        </w:rPr>
        <w:t> </w:t>
      </w:r>
      <w:r>
        <w:rPr>
          <w:spacing w:val="-7"/>
          <w:w w:val="100"/>
        </w:rPr>
        <w:t>股预留限制性股票。公司独立董事对此发表了独立意见，律师出具了法律意见书。</w:t>
      </w:r>
    </w:p>
    <w:p>
      <w:pPr>
        <w:spacing w:after="0" w:line="398" w:lineRule="auto"/>
        <w:jc w:val="both"/>
        <w:sectPr>
          <w:headerReference w:type="default" r:id="rId31"/>
          <w:pgSz w:w="11910" w:h="16840"/>
          <w:pgMar w:header="882" w:footer="1132" w:top="1280" w:bottom="1320" w:left="980" w:right="660"/>
        </w:sectPr>
      </w:pPr>
    </w:p>
    <w:p>
      <w:pPr>
        <w:spacing w:line="240" w:lineRule="auto" w:before="5"/>
        <w:rPr>
          <w:rFonts w:ascii="宋体" w:hAnsi="宋体" w:cs="宋体" w:eastAsia="宋体" w:hint="default"/>
          <w:sz w:val="13"/>
          <w:szCs w:val="13"/>
        </w:rPr>
      </w:pPr>
    </w:p>
    <w:p>
      <w:pPr>
        <w:pStyle w:val="BodyText"/>
        <w:spacing w:line="386" w:lineRule="auto" w:before="36"/>
        <w:ind w:right="146" w:firstLine="42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5 </w:t>
      </w:r>
      <w:r>
        <w:rPr/>
        <w:t>月</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3"/>
        </w:rPr>
        <w:t>日，公司召开第三届董事会第二十四会议和第三届监事会第十二次会议，审议通</w:t>
      </w:r>
      <w:r>
        <w:rPr>
          <w:w w:val="100"/>
        </w:rPr>
        <w:t> </w:t>
      </w:r>
      <w:r>
        <w:rPr>
          <w:spacing w:val="-4"/>
          <w:w w:val="100"/>
        </w:rPr>
        <w:t>过了《关于限制性股票激励计划预留限制性股票第一期解锁条件成就的议案》，同意公司按照《</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42"/>
          <w:w w:val="100"/>
        </w:rPr>
        <w:t> </w:t>
      </w:r>
      <w:r>
        <w:rPr>
          <w:spacing w:val="-3"/>
          <w:w w:val="100"/>
        </w:rPr>
        <w:t>年激</w:t>
      </w:r>
      <w:r>
        <w:rPr>
          <w:spacing w:val="-101"/>
          <w:w w:val="100"/>
        </w:rPr>
        <w:t> </w:t>
      </w:r>
      <w:r>
        <w:rPr>
          <w:spacing w:val="4"/>
        </w:rPr>
        <w:t>励计划》的相关规定办理预留限制性股票第一期解锁事宜。本次可解锁激励对象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spacing w:val="3"/>
        </w:rPr>
        <w:t>人，解锁股份共计</w:t>
      </w:r>
    </w:p>
    <w:p>
      <w:pPr>
        <w:pStyle w:val="BodyText"/>
        <w:spacing w:line="240" w:lineRule="auto" w:before="35"/>
        <w:ind w:right="0"/>
        <w:jc w:val="both"/>
      </w:pPr>
      <w:r>
        <w:rPr>
          <w:rFonts w:ascii="Times New Roman" w:hAnsi="Times New Roman" w:cs="Times New Roman" w:eastAsia="Times New Roman" w:hint="default"/>
          <w:spacing w:val="-1"/>
        </w:rPr>
        <w:t>1,094,706</w:t>
      </w:r>
      <w:r>
        <w:rPr>
          <w:rFonts w:ascii="Times New Roman" w:hAnsi="Times New Roman" w:cs="Times New Roman" w:eastAsia="Times New Roman" w:hint="default"/>
        </w:rPr>
        <w:t>  </w:t>
      </w:r>
      <w:r>
        <w:rPr>
          <w:spacing w:val="-2"/>
        </w:rPr>
        <w:t>股。公司独立董事对此发表了独立意见，律师出具了法律意见书。</w:t>
      </w:r>
    </w:p>
    <w:p>
      <w:pPr>
        <w:spacing w:line="240" w:lineRule="auto" w:before="3"/>
        <w:rPr>
          <w:rFonts w:ascii="宋体" w:hAnsi="宋体" w:cs="宋体" w:eastAsia="宋体" w:hint="default"/>
          <w:sz w:val="21"/>
          <w:szCs w:val="21"/>
        </w:rPr>
      </w:pPr>
    </w:p>
    <w:p>
      <w:pPr>
        <w:pStyle w:val="BodyText"/>
        <w:spacing w:line="393" w:lineRule="auto"/>
        <w:ind w:right="146" w:firstLine="420"/>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8 </w:t>
      </w:r>
      <w:r>
        <w:rPr/>
        <w:t>月</w:t>
      </w:r>
      <w:r>
        <w:rPr>
          <w:spacing w:val="-3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3"/>
        </w:rPr>
        <w:t>日，公司召开第三届董事会第二十八次会议和第三届监事会第十四次会议，审议</w:t>
      </w:r>
      <w:r>
        <w:rPr>
          <w:w w:val="100"/>
        </w:rPr>
        <w:t> </w:t>
      </w:r>
      <w:r>
        <w:rPr>
          <w:spacing w:val="-2"/>
        </w:rPr>
        <w:t>通过了《关于限制性股票激励计划首次授予的限制性股票第二次解锁期可解锁的议案》及《关于回购注销</w:t>
      </w:r>
      <w:r>
        <w:rPr>
          <w:spacing w:val="-42"/>
        </w:rPr>
        <w:t> </w:t>
      </w:r>
      <w:r>
        <w:rPr>
          <w:spacing w:val="-42"/>
        </w:rPr>
      </w:r>
      <w:r>
        <w:rPr>
          <w:spacing w:val="-4"/>
          <w:w w:val="100"/>
        </w:rPr>
        <w:t>不符合解锁条件的激励对象已获授但尚未解锁的限制性股票的议案》，同意公司按照《</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36"/>
          <w:w w:val="100"/>
        </w:rPr>
        <w:t> </w:t>
      </w:r>
      <w:r>
        <w:rPr>
          <w:spacing w:val="-2"/>
          <w:w w:val="100"/>
        </w:rPr>
        <w:t>年激励计划》</w:t>
      </w:r>
      <w:r>
        <w:rPr>
          <w:spacing w:val="-103"/>
          <w:w w:val="100"/>
        </w:rPr>
        <w:t> </w:t>
      </w:r>
      <w:r>
        <w:rPr>
          <w:spacing w:val="-103"/>
          <w:w w:val="100"/>
        </w:rPr>
      </w:r>
      <w:r>
        <w:rPr/>
        <w:t>的相关规定办理限制性股票第二期解锁事宜。本次可解锁激励对象</w:t>
      </w:r>
      <w:r>
        <w:rPr>
          <w:spacing w:val="-56"/>
        </w:rPr>
        <w:t> </w:t>
      </w:r>
      <w:r>
        <w:rPr>
          <w:rFonts w:ascii="Times New Roman" w:hAnsi="Times New Roman" w:cs="Times New Roman" w:eastAsia="Times New Roman" w:hint="default"/>
        </w:rPr>
        <w:t>88</w:t>
      </w:r>
      <w:r>
        <w:rPr>
          <w:rFonts w:ascii="Times New Roman" w:hAnsi="Times New Roman" w:cs="Times New Roman" w:eastAsia="Times New Roman" w:hint="default"/>
          <w:spacing w:val="-13"/>
        </w:rPr>
        <w:t> </w:t>
      </w:r>
      <w:r>
        <w:rPr/>
        <w:t>人，解锁股份共计</w:t>
      </w:r>
      <w:r>
        <w:rPr>
          <w:spacing w:val="-56"/>
        </w:rPr>
        <w:t> </w:t>
      </w:r>
      <w:r>
        <w:rPr>
          <w:rFonts w:ascii="Times New Roman" w:hAnsi="Times New Roman" w:cs="Times New Roman" w:eastAsia="Times New Roman" w:hint="default"/>
        </w:rPr>
        <w:t>5,227,448</w:t>
      </w:r>
      <w:r>
        <w:rPr>
          <w:rFonts w:ascii="Times New Roman" w:hAnsi="Times New Roman" w:cs="Times New Roman" w:eastAsia="Times New Roman" w:hint="default"/>
          <w:spacing w:val="-15"/>
        </w:rPr>
        <w:t> </w:t>
      </w:r>
      <w:r>
        <w:rPr/>
        <w:t>股，回</w:t>
      </w:r>
    </w:p>
    <w:p>
      <w:pPr>
        <w:pStyle w:val="BodyText"/>
        <w:spacing w:line="240" w:lineRule="auto" w:before="28"/>
        <w:ind w:right="0"/>
        <w:jc w:val="both"/>
      </w:pPr>
      <w:r>
        <w:rPr/>
        <w:t>购注销不符合解锁条件的股份</w:t>
      </w:r>
      <w:r>
        <w:rPr>
          <w:spacing w:val="-56"/>
        </w:rPr>
        <w:t> </w:t>
      </w:r>
      <w:r>
        <w:rPr>
          <w:rFonts w:ascii="Times New Roman" w:hAnsi="Times New Roman" w:cs="Times New Roman" w:eastAsia="Times New Roman" w:hint="default"/>
        </w:rPr>
        <w:t>884,959</w:t>
      </w:r>
      <w:r>
        <w:rPr>
          <w:rFonts w:ascii="Times New Roman" w:hAnsi="Times New Roman" w:cs="Times New Roman" w:eastAsia="Times New Roman" w:hint="default"/>
          <w:spacing w:val="-15"/>
        </w:rPr>
        <w:t> </w:t>
      </w:r>
      <w:r>
        <w:rPr/>
        <w:t>股。公司独立董事对此发表了独立意见，律师出具了法律意见书。</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日，公司召开第三届董事会第四十四会议和第三届监事会第二十一次会议，审议</w:t>
      </w:r>
    </w:p>
    <w:p>
      <w:pPr>
        <w:pStyle w:val="BodyText"/>
        <w:spacing w:line="240" w:lineRule="auto" w:before="177"/>
        <w:ind w:right="0"/>
        <w:jc w:val="both"/>
      </w:pPr>
      <w:r>
        <w:rPr>
          <w:spacing w:val="2"/>
          <w:w w:val="100"/>
        </w:rPr>
        <w:t>通过</w:t>
      </w:r>
      <w:r>
        <w:rPr>
          <w:w w:val="100"/>
        </w:rPr>
        <w:t>了</w:t>
      </w:r>
      <w:r>
        <w:rPr>
          <w:spacing w:val="2"/>
          <w:w w:val="100"/>
        </w:rPr>
        <w:t>《</w:t>
      </w:r>
      <w:r>
        <w:rPr>
          <w:w w:val="100"/>
        </w:rPr>
        <w:t>关于</w:t>
      </w:r>
      <w:r>
        <w:rPr>
          <w:spacing w:val="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2"/>
          <w:w w:val="100"/>
        </w:rPr>
        <w:t>年</w:t>
      </w:r>
      <w:r>
        <w:rPr>
          <w:w w:val="100"/>
        </w:rPr>
        <w:t>限</w:t>
      </w:r>
      <w:r>
        <w:rPr>
          <w:spacing w:val="2"/>
          <w:w w:val="100"/>
        </w:rPr>
        <w:t>制性</w:t>
      </w:r>
      <w:r>
        <w:rPr>
          <w:w w:val="100"/>
        </w:rPr>
        <w:t>股</w:t>
      </w:r>
      <w:r>
        <w:rPr>
          <w:spacing w:val="2"/>
          <w:w w:val="100"/>
        </w:rPr>
        <w:t>票</w:t>
      </w:r>
      <w:r>
        <w:rPr>
          <w:w w:val="100"/>
        </w:rPr>
        <w:t>激</w:t>
      </w:r>
      <w:r>
        <w:rPr>
          <w:spacing w:val="2"/>
          <w:w w:val="100"/>
        </w:rPr>
        <w:t>励</w:t>
      </w:r>
      <w:r>
        <w:rPr>
          <w:w w:val="100"/>
        </w:rPr>
        <w:t>计</w:t>
      </w:r>
      <w:r>
        <w:rPr>
          <w:spacing w:val="2"/>
          <w:w w:val="100"/>
        </w:rPr>
        <w:t>划</w:t>
      </w:r>
      <w:r>
        <w:rPr>
          <w:w w:val="100"/>
        </w:rPr>
        <w:t>预</w:t>
      </w:r>
      <w:r>
        <w:rPr>
          <w:spacing w:val="2"/>
          <w:w w:val="100"/>
        </w:rPr>
        <w:t>留</w:t>
      </w:r>
      <w:r>
        <w:rPr>
          <w:w w:val="100"/>
        </w:rPr>
        <w:t>限</w:t>
      </w:r>
      <w:r>
        <w:rPr>
          <w:spacing w:val="2"/>
          <w:w w:val="100"/>
        </w:rPr>
        <w:t>制性</w:t>
      </w:r>
      <w:r>
        <w:rPr>
          <w:w w:val="100"/>
        </w:rPr>
        <w:t>股</w:t>
      </w:r>
      <w:r>
        <w:rPr>
          <w:spacing w:val="2"/>
          <w:w w:val="100"/>
        </w:rPr>
        <w:t>票</w:t>
      </w:r>
      <w:r>
        <w:rPr>
          <w:w w:val="100"/>
        </w:rPr>
        <w:t>第</w:t>
      </w:r>
      <w:r>
        <w:rPr>
          <w:spacing w:val="2"/>
          <w:w w:val="100"/>
        </w:rPr>
        <w:t>二</w:t>
      </w:r>
      <w:r>
        <w:rPr>
          <w:w w:val="100"/>
        </w:rPr>
        <w:t>期</w:t>
      </w:r>
      <w:r>
        <w:rPr>
          <w:spacing w:val="2"/>
          <w:w w:val="100"/>
        </w:rPr>
        <w:t>解</w:t>
      </w:r>
      <w:r>
        <w:rPr>
          <w:w w:val="100"/>
        </w:rPr>
        <w:t>锁</w:t>
      </w:r>
      <w:r>
        <w:rPr>
          <w:spacing w:val="2"/>
          <w:w w:val="100"/>
        </w:rPr>
        <w:t>条</w:t>
      </w:r>
      <w:r>
        <w:rPr>
          <w:w w:val="100"/>
        </w:rPr>
        <w:t>件</w:t>
      </w:r>
      <w:r>
        <w:rPr>
          <w:spacing w:val="2"/>
          <w:w w:val="100"/>
        </w:rPr>
        <w:t>成就</w:t>
      </w:r>
      <w:r>
        <w:rPr>
          <w:w w:val="100"/>
        </w:rPr>
        <w:t>的</w:t>
      </w:r>
      <w:r>
        <w:rPr>
          <w:spacing w:val="2"/>
          <w:w w:val="100"/>
        </w:rPr>
        <w:t>议</w:t>
      </w:r>
      <w:r>
        <w:rPr>
          <w:w w:val="100"/>
        </w:rPr>
        <w:t>案</w:t>
      </w:r>
      <w:r>
        <w:rPr>
          <w:spacing w:val="-104"/>
          <w:w w:val="100"/>
        </w:rPr>
        <w:t>》</w:t>
      </w:r>
      <w:r>
        <w:rPr>
          <w:w w:val="100"/>
        </w:rPr>
        <w:t>，</w:t>
      </w:r>
      <w:r>
        <w:rPr>
          <w:spacing w:val="2"/>
          <w:w w:val="100"/>
        </w:rPr>
        <w:t>同</w:t>
      </w:r>
      <w:r>
        <w:rPr>
          <w:w w:val="100"/>
        </w:rPr>
        <w:t>意</w:t>
      </w:r>
      <w:r>
        <w:rPr>
          <w:spacing w:val="2"/>
          <w:w w:val="100"/>
        </w:rPr>
        <w:t>公</w:t>
      </w:r>
      <w:r>
        <w:rPr>
          <w:w w:val="100"/>
        </w:rPr>
        <w:t>司</w:t>
      </w:r>
      <w:r>
        <w:rPr>
          <w:spacing w:val="6"/>
          <w:w w:val="100"/>
        </w:rPr>
        <w:t>按</w:t>
      </w:r>
      <w:r>
        <w:rPr>
          <w:w w:val="100"/>
        </w:rPr>
        <w:t>照</w:t>
      </w:r>
    </w:p>
    <w:p>
      <w:pPr>
        <w:pStyle w:val="BodyText"/>
        <w:spacing w:line="386" w:lineRule="auto" w:before="177"/>
        <w:ind w:right="11"/>
        <w:jc w:val="left"/>
      </w:pP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3"/>
        </w:rPr>
        <w:t>年激励计划》的相关规定办理预留限制性股票第二期解锁事宜。本次可解锁激励对象</w:t>
      </w:r>
      <w:r>
        <w:rPr>
          <w:spacing w:val="-2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5"/>
        </w:rPr>
        <w:t>人，解锁股</w:t>
      </w:r>
      <w:r>
        <w:rPr>
          <w:spacing w:val="-95"/>
        </w:rPr>
        <w:t> </w:t>
      </w:r>
      <w:r>
        <w:rPr>
          <w:spacing w:val="-95"/>
        </w:rPr>
      </w:r>
      <w:r>
        <w:rPr/>
        <w:t>份共计</w:t>
      </w:r>
      <w:r>
        <w:rPr>
          <w:spacing w:val="-53"/>
        </w:rPr>
        <w:t> </w:t>
      </w:r>
      <w:r>
        <w:rPr>
          <w:rFonts w:ascii="Times New Roman" w:hAnsi="Times New Roman" w:cs="Times New Roman" w:eastAsia="Times New Roman" w:hint="default"/>
        </w:rPr>
        <w:t>1,094,710</w:t>
      </w:r>
      <w:r>
        <w:rPr>
          <w:rFonts w:ascii="Times New Roman" w:hAnsi="Times New Roman" w:cs="Times New Roman" w:eastAsia="Times New Roman" w:hint="default"/>
          <w:spacing w:val="-13"/>
        </w:rPr>
        <w:t> </w:t>
      </w:r>
      <w:r>
        <w:rPr/>
        <w:t>股。公司独立董事对此发表了独立意见，律师出具了法律意见书。</w:t>
      </w:r>
    </w:p>
    <w:p>
      <w:pPr>
        <w:pStyle w:val="BodyText"/>
        <w:spacing w:line="240" w:lineRule="auto" w:before="136"/>
        <w:ind w:left="573" w:right="11"/>
        <w:jc w:val="left"/>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3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3"/>
        </w:rPr>
        <w:t>日，公司召开第三届董事会第四十九次会议和第三届监事会第二十三次会议，审</w:t>
      </w:r>
    </w:p>
    <w:p>
      <w:pPr>
        <w:pStyle w:val="BodyText"/>
        <w:spacing w:line="386" w:lineRule="auto" w:before="177"/>
        <w:ind w:right="146"/>
        <w:jc w:val="both"/>
        <w:rPr>
          <w:rFonts w:ascii="Times New Roman" w:hAnsi="Times New Roman" w:cs="Times New Roman" w:eastAsia="Times New Roman" w:hint="default"/>
        </w:rPr>
      </w:pPr>
      <w:r>
        <w:rPr/>
        <w:t>议通过了《关于 </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年限制性股票激励计划首次授予限制性股票第三次解锁期可解锁的议案》及《关于</w:t>
      </w:r>
      <w:r>
        <w:rPr>
          <w:w w:val="100"/>
        </w:rPr>
        <w:t> </w:t>
      </w:r>
      <w:r>
        <w:rPr>
          <w:spacing w:val="-4"/>
          <w:w w:val="100"/>
        </w:rPr>
        <w:t>回购注销不符合解锁条件的激励对象已获授但尚未解锁的限制性股票的议案》，同意公司按照《</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42"/>
          <w:w w:val="100"/>
        </w:rPr>
        <w:t> </w:t>
      </w:r>
      <w:r>
        <w:rPr>
          <w:spacing w:val="-3"/>
          <w:w w:val="100"/>
        </w:rPr>
        <w:t>年激</w:t>
      </w:r>
      <w:r>
        <w:rPr>
          <w:spacing w:val="-101"/>
          <w:w w:val="100"/>
        </w:rPr>
        <w:t> </w:t>
      </w:r>
      <w:r>
        <w:rPr>
          <w:spacing w:val="-5"/>
        </w:rPr>
        <w:t>励计划》的相关规定办理限制性股票第三期解锁事宜。本次可解锁激励对象 </w:t>
      </w:r>
      <w:r>
        <w:rPr>
          <w:rFonts w:ascii="Times New Roman" w:hAnsi="Times New Roman" w:cs="Times New Roman" w:eastAsia="Times New Roman" w:hint="default"/>
        </w:rPr>
        <w:t>89 </w:t>
      </w:r>
      <w:r>
        <w:rPr>
          <w:spacing w:val="-9"/>
        </w:rPr>
        <w:t>人，解锁股份共计</w:t>
      </w:r>
      <w:r>
        <w:rPr>
          <w:spacing w:val="-55"/>
        </w:rPr>
        <w:t> </w:t>
      </w:r>
      <w:r>
        <w:rPr>
          <w:rFonts w:ascii="Times New Roman" w:hAnsi="Times New Roman" w:cs="Times New Roman" w:eastAsia="Times New Roman" w:hint="default"/>
        </w:rPr>
        <w:t>7,440,231</w:t>
      </w:r>
    </w:p>
    <w:p>
      <w:pPr>
        <w:pStyle w:val="BodyText"/>
        <w:spacing w:line="240" w:lineRule="auto" w:before="35"/>
        <w:ind w:right="0"/>
        <w:jc w:val="both"/>
      </w:pPr>
      <w:r>
        <w:rPr/>
        <w:t>股，回购注销不符合解锁条件的股份 </w:t>
      </w:r>
      <w:r>
        <w:rPr>
          <w:rFonts w:ascii="Times New Roman" w:hAnsi="Times New Roman" w:cs="Times New Roman" w:eastAsia="Times New Roman" w:hint="default"/>
        </w:rPr>
        <w:t>411,272</w:t>
      </w:r>
      <w:r>
        <w:rPr>
          <w:rFonts w:ascii="Times New Roman" w:hAnsi="Times New Roman" w:cs="Times New Roman" w:eastAsia="Times New Roman" w:hint="default"/>
          <w:spacing w:val="-31"/>
        </w:rPr>
        <w:t> </w:t>
      </w:r>
      <w:r>
        <w:rPr/>
        <w:t>股。公司独立董事对此发表了独立意见，律师出具了法律意</w:t>
      </w:r>
    </w:p>
    <w:p>
      <w:pPr>
        <w:pStyle w:val="BodyText"/>
        <w:spacing w:line="240" w:lineRule="auto" w:before="177"/>
        <w:ind w:right="0"/>
        <w:jc w:val="both"/>
      </w:pPr>
      <w:r>
        <w:rPr/>
        <w:t>见书。</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日，公司召开</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年第二次临时股东大会，审议通过了上述议案。</w:t>
      </w:r>
    </w:p>
    <w:p>
      <w:pPr>
        <w:spacing w:line="240" w:lineRule="auto" w:before="9"/>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6</w:t>
      </w:r>
      <w:r>
        <w:rPr/>
        <w:t>、激励计划限制性股票的授予对公司经营能力和财务状况的影响</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公司本次激励计划限制性股票的授予对公司相关年度的财务状况和经营成果将产生一定的影响。本激</w:t>
      </w:r>
      <w:r>
        <w:rPr>
          <w:w w:val="100"/>
        </w:rPr>
        <w:t> </w:t>
      </w:r>
      <w:r>
        <w:rPr/>
        <w:t>励计划的成本将在管理费用中列支。</w:t>
      </w:r>
    </w:p>
    <w:p>
      <w:pPr>
        <w:pStyle w:val="Heading3"/>
        <w:spacing w:line="240" w:lineRule="auto" w:before="179"/>
        <w:ind w:right="0"/>
        <w:jc w:val="both"/>
      </w:pPr>
      <w:r>
        <w:rPr/>
        <w:t>（二）</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年股权激励计划</w:t>
      </w:r>
    </w:p>
    <w:p>
      <w:pPr>
        <w:spacing w:line="240" w:lineRule="auto" w:before="11"/>
        <w:rPr>
          <w:rFonts w:ascii="黑体" w:hAnsi="黑体" w:cs="黑体" w:eastAsia="黑体" w:hint="default"/>
          <w:sz w:val="24"/>
          <w:szCs w:val="24"/>
        </w:rPr>
      </w:pPr>
    </w:p>
    <w:p>
      <w:pPr>
        <w:pStyle w:val="Heading3"/>
        <w:spacing w:line="240" w:lineRule="auto"/>
        <w:ind w:right="0"/>
        <w:jc w:val="both"/>
      </w:pPr>
      <w:r>
        <w:rPr>
          <w:rFonts w:ascii="Times New Roman" w:hAnsi="Times New Roman" w:cs="Times New Roman" w:eastAsia="Times New Roman" w:hint="default"/>
        </w:rPr>
        <w:t>1</w:t>
      </w:r>
      <w:r>
        <w:rPr/>
        <w:t>、激励计划简述</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w:t>
      </w:r>
      <w:r>
        <w:rPr>
          <w:rFonts w:ascii="Times New Roman" w:hAnsi="Times New Roman" w:cs="Times New Roman" w:eastAsia="Times New Roman" w:hint="default"/>
        </w:rPr>
        <w:t>1</w:t>
      </w:r>
      <w:r>
        <w:rPr/>
        <w:t>）本次激励计划拟授予给激励对象的激励工具为限制性股票；</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2</w:t>
      </w:r>
      <w:r>
        <w:rPr/>
        <w:t>）本次激励计划所涉标的股票来源为公司定向发行公司人民币</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股普通股股票；</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3</w:t>
      </w:r>
      <w:r>
        <w:rPr/>
        <w:t>）激励计划涉及的激励对象（初始）共计 </w:t>
      </w:r>
      <w:r>
        <w:rPr>
          <w:rFonts w:ascii="Times New Roman" w:hAnsi="Times New Roman" w:cs="Times New Roman" w:eastAsia="Times New Roman" w:hint="default"/>
        </w:rPr>
        <w:t>413</w:t>
      </w:r>
      <w:r>
        <w:rPr>
          <w:rFonts w:ascii="Times New Roman" w:hAnsi="Times New Roman" w:cs="Times New Roman" w:eastAsia="Times New Roman" w:hint="default"/>
          <w:spacing w:val="21"/>
        </w:rPr>
        <w:t> </w:t>
      </w:r>
      <w:r>
        <w:rPr/>
        <w:t>人，包括公司部分董事、高级管理人员，中层管理</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right="11"/>
        <w:jc w:val="left"/>
      </w:pPr>
      <w:r>
        <w:rPr/>
        <w:t>人员及核心业务、技术、管理骨干人员；</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w:t>
      </w:r>
      <w:r>
        <w:rPr>
          <w:rFonts w:ascii="Times New Roman" w:hAnsi="Times New Roman" w:cs="Times New Roman" w:eastAsia="Times New Roman" w:hint="default"/>
        </w:rPr>
        <w:t>4</w:t>
      </w:r>
      <w:r>
        <w:rPr/>
        <w:t>）授予价格：授予限制性股票的授予价格为每股</w:t>
      </w:r>
      <w:r>
        <w:rPr>
          <w:spacing w:val="-61"/>
        </w:rPr>
        <w:t> </w:t>
      </w:r>
      <w:r>
        <w:rPr>
          <w:rFonts w:ascii="Times New Roman" w:hAnsi="Times New Roman" w:cs="Times New Roman" w:eastAsia="Times New Roman" w:hint="default"/>
        </w:rPr>
        <w:t>10.59</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股；</w:t>
      </w:r>
    </w:p>
    <w:p>
      <w:pPr>
        <w:spacing w:line="240" w:lineRule="auto" w:before="1"/>
        <w:rPr>
          <w:rFonts w:ascii="宋体" w:hAnsi="宋体" w:cs="宋体" w:eastAsia="宋体" w:hint="default"/>
          <w:sz w:val="21"/>
          <w:szCs w:val="21"/>
        </w:rPr>
      </w:pPr>
    </w:p>
    <w:p>
      <w:pPr>
        <w:pStyle w:val="BodyText"/>
        <w:spacing w:line="470" w:lineRule="auto"/>
        <w:ind w:left="657" w:right="3315" w:hanging="84"/>
        <w:jc w:val="left"/>
      </w:pPr>
      <w:r>
        <w:rPr/>
        <w:t>（</w:t>
      </w:r>
      <w:r>
        <w:rPr>
          <w:rFonts w:ascii="Times New Roman" w:hAnsi="Times New Roman" w:cs="Times New Roman" w:eastAsia="Times New Roman" w:hint="default"/>
        </w:rPr>
        <w:t>5</w:t>
      </w:r>
      <w:r>
        <w:rPr/>
        <w:t>）公司层面解锁业绩条件：</w:t>
      </w:r>
      <w:r>
        <w:rPr>
          <w:w w:val="100"/>
        </w:rPr>
        <w:t> </w:t>
      </w:r>
      <w:r>
        <w:rPr>
          <w:spacing w:val="-2"/>
        </w:rPr>
        <w:t>限制性股票各年度绩效考核目标如下表所示：</w:t>
      </w:r>
    </w:p>
    <w:p>
      <w:pPr>
        <w:spacing w:line="240" w:lineRule="auto" w:before="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39"/>
        <w:gridCol w:w="7221"/>
      </w:tblGrid>
      <w:tr>
        <w:trPr>
          <w:trHeight w:val="535" w:hRule="exact"/>
        </w:trPr>
        <w:tc>
          <w:tcPr>
            <w:tcW w:w="2439" w:type="dxa"/>
            <w:tcBorders>
              <w:top w:val="single" w:sz="6" w:space="0" w:color="000000"/>
              <w:left w:val="single" w:sz="6" w:space="0" w:color="000000"/>
              <w:bottom w:val="single" w:sz="8" w:space="0" w:color="000000"/>
              <w:right w:val="single" w:sz="8" w:space="0" w:color="000000"/>
            </w:tcBorders>
            <w:shd w:val="clear" w:color="auto" w:fill="BEBEBE"/>
          </w:tcPr>
          <w:p>
            <w:pPr>
              <w:pStyle w:val="TableParagraph"/>
              <w:spacing w:line="240" w:lineRule="auto" w:before="111"/>
              <w:ind w:left="761" w:right="0"/>
              <w:jc w:val="left"/>
              <w:rPr>
                <w:rFonts w:ascii="宋体" w:hAnsi="宋体" w:cs="宋体" w:eastAsia="宋体" w:hint="default"/>
                <w:sz w:val="18"/>
                <w:szCs w:val="18"/>
              </w:rPr>
            </w:pPr>
            <w:r>
              <w:rPr>
                <w:rFonts w:ascii="宋体" w:hAnsi="宋体" w:cs="宋体" w:eastAsia="宋体" w:hint="default"/>
                <w:b/>
                <w:bCs/>
                <w:sz w:val="18"/>
                <w:szCs w:val="18"/>
              </w:rPr>
              <w:t>解除限售期</w:t>
            </w:r>
            <w:r>
              <w:rPr>
                <w:rFonts w:ascii="宋体" w:hAnsi="宋体" w:cs="宋体" w:eastAsia="宋体" w:hint="default"/>
                <w:sz w:val="18"/>
                <w:szCs w:val="18"/>
              </w:rPr>
            </w:r>
          </w:p>
        </w:tc>
        <w:tc>
          <w:tcPr>
            <w:tcW w:w="7221" w:type="dxa"/>
            <w:tcBorders>
              <w:top w:val="single" w:sz="6"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845" w:hRule="exact"/>
        </w:trPr>
        <w:tc>
          <w:tcPr>
            <w:tcW w:w="243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6"/>
              <w:ind w:left="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72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年归属于上市公司股东的扣除非经常性损益后的净利润为基数，</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年归属于</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上市公司股东的扣除非经常性损益后的净利润增长率不低于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35%</w:t>
            </w:r>
          </w:p>
        </w:tc>
      </w:tr>
      <w:tr>
        <w:trPr>
          <w:trHeight w:val="845" w:hRule="exact"/>
        </w:trPr>
        <w:tc>
          <w:tcPr>
            <w:tcW w:w="243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6"/>
              <w:ind w:left="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722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6"/>
              <w:ind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年归属于上市公司股东的扣除非经常性损益后的净利润为基数，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年归属于 上市公司股东的扣除非经常性损益后的净利润增长率不低于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r>
      <w:tr>
        <w:trPr>
          <w:trHeight w:val="845" w:hRule="exact"/>
        </w:trPr>
        <w:tc>
          <w:tcPr>
            <w:tcW w:w="243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6"/>
              <w:ind w:left="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722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6"/>
              <w:ind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年归属于上市公司股东的扣除非经常性损益后的净利润为基数，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年归属于 上市公司股东的扣除非经常性损益后的净利润增长率不低于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120%</w:t>
            </w:r>
          </w:p>
        </w:tc>
      </w:tr>
      <w:tr>
        <w:trPr>
          <w:trHeight w:val="845" w:hRule="exact"/>
        </w:trPr>
        <w:tc>
          <w:tcPr>
            <w:tcW w:w="2439"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06"/>
              <w:ind w:left="4" w:right="0"/>
              <w:jc w:val="left"/>
              <w:rPr>
                <w:rFonts w:ascii="宋体" w:hAnsi="宋体" w:cs="宋体" w:eastAsia="宋体" w:hint="default"/>
                <w:sz w:val="18"/>
                <w:szCs w:val="18"/>
              </w:rPr>
            </w:pPr>
            <w:r>
              <w:rPr>
                <w:rFonts w:ascii="宋体" w:hAnsi="宋体" w:cs="宋体" w:eastAsia="宋体" w:hint="default"/>
                <w:sz w:val="18"/>
                <w:szCs w:val="18"/>
              </w:rPr>
              <w:t>第四个解除限售期</w:t>
            </w:r>
          </w:p>
        </w:tc>
        <w:tc>
          <w:tcPr>
            <w:tcW w:w="722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6"/>
              <w:ind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年归属于上市公司股东的扣除非经常性损益后的净利润为基数，</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年归属于 上市公司股东的扣除非经常性损益后的净利润增长率不低于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185%</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、限制性股票激励计划已履行的决策程序和批准情况</w:t>
      </w:r>
    </w:p>
    <w:p>
      <w:pPr>
        <w:spacing w:line="240" w:lineRule="auto" w:before="3"/>
        <w:rPr>
          <w:rFonts w:ascii="黑体" w:hAnsi="黑体" w:cs="黑体" w:eastAsia="黑体" w:hint="default"/>
          <w:sz w:val="24"/>
          <w:szCs w:val="24"/>
        </w:rPr>
      </w:pPr>
    </w:p>
    <w:p>
      <w:pPr>
        <w:pStyle w:val="BodyText"/>
        <w:spacing w:line="386" w:lineRule="auto"/>
        <w:ind w:right="147"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3 </w:t>
      </w:r>
      <w:r>
        <w:rPr/>
        <w:t>月</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日，公司召开了第三届董事会第四十次会议和第三届监事会第十七次会议，审议</w:t>
      </w:r>
      <w:r>
        <w:rPr>
          <w:w w:val="100"/>
        </w:rPr>
        <w:t> </w:t>
      </w:r>
      <w:r>
        <w:rPr/>
        <w:t>并通过了关于公司《</w:t>
      </w:r>
      <w:r>
        <w:rPr>
          <w:rFonts w:ascii="Times New Roman" w:hAnsi="Times New Roman" w:cs="Times New Roman" w:eastAsia="Times New Roman" w:hint="default"/>
        </w:rPr>
        <w:t>2017 </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》及摘要（以下简称</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spacing w:val="-3"/>
        </w:rPr>
        <w:t>年激励计划》</w:t>
      </w:r>
      <w:r>
        <w:rPr>
          <w:rFonts w:ascii="Times New Roman" w:hAnsi="Times New Roman" w:cs="Times New Roman" w:eastAsia="Times New Roman" w:hint="default"/>
          <w:spacing w:val="-3"/>
        </w:rPr>
        <w:t>”</w:t>
      </w:r>
      <w:r>
        <w:rPr>
          <w:spacing w:val="-3"/>
        </w:rPr>
        <w:t>）的议</w:t>
      </w:r>
      <w:r>
        <w:rPr>
          <w:w w:val="100"/>
        </w:rPr>
        <w:t> </w:t>
      </w:r>
      <w:r>
        <w:rPr/>
        <w:t>案，公司独立董事对此发表了独立意见，律师出具了相应报告。</w:t>
      </w:r>
    </w:p>
    <w:p>
      <w:pPr>
        <w:pStyle w:val="BodyText"/>
        <w:spacing w:line="393" w:lineRule="auto" w:before="166"/>
        <w:ind w:right="146"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日，公司召开第三届董事会第四十一次会议，审议通过了《关于调整</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年限</w:t>
      </w:r>
      <w:r>
        <w:rPr>
          <w:w w:val="100"/>
        </w:rPr>
        <w:t> </w:t>
      </w:r>
      <w:r>
        <w:rPr>
          <w:spacing w:val="-12"/>
          <w:w w:val="100"/>
        </w:rPr>
        <w:t>制性股票激励计划激励对象及授予数量的议案》、《</w:t>
      </w:r>
      <w:r>
        <w:rPr>
          <w:rFonts w:ascii="Times New Roman" w:hAnsi="Times New Roman" w:cs="Times New Roman" w:eastAsia="Times New Roman" w:hint="default"/>
          <w:spacing w:val="-12"/>
          <w:w w:val="100"/>
        </w:rPr>
        <w:t>2017</w:t>
      </w:r>
      <w:r>
        <w:rPr>
          <w:rFonts w:ascii="Times New Roman" w:hAnsi="Times New Roman" w:cs="Times New Roman" w:eastAsia="Times New Roman" w:hint="default"/>
          <w:spacing w:val="-7"/>
          <w:w w:val="100"/>
        </w:rPr>
        <w:t> </w:t>
      </w:r>
      <w:r>
        <w:rPr>
          <w:spacing w:val="-13"/>
          <w:w w:val="100"/>
        </w:rPr>
        <w:t>年限制性股票激励计划</w:t>
      </w:r>
      <w:r>
        <w:rPr>
          <w:rFonts w:ascii="Times New Roman" w:hAnsi="Times New Roman" w:cs="Times New Roman" w:eastAsia="Times New Roman" w:hint="default"/>
          <w:spacing w:val="-13"/>
          <w:w w:val="100"/>
        </w:rPr>
        <w:t>(</w:t>
      </w:r>
      <w:r>
        <w:rPr>
          <w:spacing w:val="-13"/>
          <w:w w:val="100"/>
        </w:rPr>
        <w:t>草案</w:t>
      </w:r>
      <w:r>
        <w:rPr>
          <w:rFonts w:ascii="Times New Roman" w:hAnsi="Times New Roman" w:cs="Times New Roman" w:eastAsia="Times New Roman" w:hint="default"/>
          <w:spacing w:val="-13"/>
          <w:w w:val="100"/>
        </w:rPr>
        <w:t>)</w:t>
      </w:r>
      <w:r>
        <w:rPr>
          <w:spacing w:val="-13"/>
          <w:w w:val="100"/>
        </w:rPr>
        <w:t>》（修订稿）及摘要</w:t>
      </w:r>
      <w:r>
        <w:rPr>
          <w:rFonts w:ascii="Times New Roman" w:hAnsi="Times New Roman" w:cs="Times New Roman" w:eastAsia="Times New Roman" w:hint="default"/>
          <w:spacing w:val="-13"/>
          <w:w w:val="100"/>
        </w:rPr>
        <w:t>,</w:t>
      </w:r>
      <w:r>
        <w:rPr>
          <w:rFonts w:ascii="Times New Roman" w:hAnsi="Times New Roman" w:cs="Times New Roman" w:eastAsia="Times New Roman" w:hint="default"/>
          <w:spacing w:val="36"/>
          <w:w w:val="100"/>
        </w:rPr>
        <w:t> </w:t>
      </w:r>
      <w:r>
        <w:rPr>
          <w:w w:val="100"/>
        </w:rPr>
        <w:t>并</w:t>
      </w:r>
      <w:r>
        <w:rPr>
          <w:spacing w:val="-103"/>
          <w:w w:val="100"/>
        </w:rPr>
        <w:t> </w:t>
      </w:r>
      <w:r>
        <w:rPr>
          <w:spacing w:val="-2"/>
        </w:rPr>
        <w:t>于当日召开了第三届监事会第十八次会议，对公司授予的激励对象名单进行了核实。公司独立董事对此发</w:t>
      </w:r>
      <w:r>
        <w:rPr>
          <w:spacing w:val="-44"/>
        </w:rPr>
        <w:t> </w:t>
      </w:r>
      <w:r>
        <w:rPr>
          <w:spacing w:val="-44"/>
        </w:rPr>
      </w:r>
      <w:r>
        <w:rPr/>
        <w:t>表了独立意见，认为激励对象主体资格合法有效。</w:t>
      </w:r>
    </w:p>
    <w:p>
      <w:pPr>
        <w:pStyle w:val="BodyText"/>
        <w:spacing w:line="386" w:lineRule="auto" w:before="159"/>
        <w:ind w:right="147" w:firstLine="420"/>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6"/>
        </w:rPr>
        <w:t>日，公司召开</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spacing w:val="-4"/>
        </w:rPr>
        <w:t>年年度股东大会，审议通过了关于公司《</w:t>
      </w:r>
      <w:r>
        <w:rPr>
          <w:rFonts w:ascii="Times New Roman" w:hAnsi="Times New Roman" w:cs="Times New Roman" w:eastAsia="Times New Roman" w:hint="default"/>
          <w:spacing w:val="-4"/>
        </w:rPr>
        <w:t>&lt;2017</w:t>
      </w:r>
      <w:r>
        <w:rPr>
          <w:rFonts w:ascii="Times New Roman" w:hAnsi="Times New Roman" w:cs="Times New Roman" w:eastAsia="Times New Roman" w:hint="default"/>
          <w:spacing w:val="-7"/>
        </w:rPr>
        <w:t> </w:t>
      </w:r>
      <w:r>
        <w:rPr/>
        <w:t>年限制性股票</w:t>
      </w:r>
      <w:r>
        <w:rPr>
          <w:w w:val="100"/>
        </w:rPr>
        <w:t> </w:t>
      </w:r>
      <w:r>
        <w:rPr>
          <w:spacing w:val="-15"/>
          <w:w w:val="100"/>
        </w:rPr>
        <w:t>激励计划（草案）</w:t>
      </w:r>
      <w:r>
        <w:rPr>
          <w:rFonts w:ascii="Times New Roman" w:hAnsi="Times New Roman" w:cs="Times New Roman" w:eastAsia="Times New Roman" w:hint="default"/>
          <w:spacing w:val="-15"/>
          <w:w w:val="100"/>
        </w:rPr>
        <w:t>&gt;</w:t>
      </w:r>
      <w:r>
        <w:rPr>
          <w:spacing w:val="-15"/>
          <w:w w:val="100"/>
        </w:rPr>
        <w:t>（修订稿）及摘要的议案》、《关于公司</w:t>
      </w:r>
      <w:r>
        <w:rPr>
          <w:rFonts w:ascii="Times New Roman" w:hAnsi="Times New Roman" w:cs="Times New Roman" w:eastAsia="Times New Roman" w:hint="default"/>
          <w:spacing w:val="-15"/>
          <w:w w:val="100"/>
        </w:rPr>
        <w:t>&lt;2017</w:t>
      </w:r>
      <w:r>
        <w:rPr>
          <w:rFonts w:ascii="Times New Roman" w:hAnsi="Times New Roman" w:cs="Times New Roman" w:eastAsia="Times New Roman" w:hint="default"/>
          <w:w w:val="100"/>
        </w:rPr>
        <w:t> </w:t>
      </w:r>
      <w:r>
        <w:rPr>
          <w:spacing w:val="-2"/>
          <w:w w:val="100"/>
        </w:rPr>
        <w:t>年限制性股票激励计划实施考核管理办法</w:t>
      </w:r>
      <w:r>
        <w:rPr>
          <w:rFonts w:ascii="Times New Roman" w:hAnsi="Times New Roman" w:cs="Times New Roman" w:eastAsia="Times New Roman" w:hint="default"/>
          <w:spacing w:val="-2"/>
          <w:w w:val="100"/>
        </w:rPr>
        <w:t>&gt;</w:t>
      </w:r>
      <w:r>
        <w:rPr>
          <w:rFonts w:ascii="Times New Roman" w:hAnsi="Times New Roman" w:cs="Times New Roman" w:eastAsia="Times New Roman" w:hint="default"/>
          <w:spacing w:val="-33"/>
          <w:w w:val="100"/>
        </w:rPr>
        <w:t> </w:t>
      </w:r>
      <w:r>
        <w:rPr>
          <w:spacing w:val="-9"/>
          <w:w w:val="100"/>
        </w:rPr>
        <w:t>的议案》、《关于提请股东大会授权董事会办理公司限制性股票激励计划相关事宜的议案》。</w:t>
      </w:r>
    </w:p>
    <w:p>
      <w:pPr>
        <w:pStyle w:val="BodyText"/>
        <w:spacing w:line="400" w:lineRule="auto" w:before="163"/>
        <w:ind w:right="146"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日，公司召开第三届董事会第四十五次会议，审议通过了《关于调整</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年限</w:t>
      </w:r>
      <w:r>
        <w:rPr>
          <w:w w:val="100"/>
        </w:rPr>
        <w:t> </w:t>
      </w:r>
      <w:r>
        <w:rPr>
          <w:spacing w:val="-7"/>
          <w:w w:val="100"/>
        </w:rPr>
        <w:t>制性股票激励计划授予价格、激励对象及授予数量的议案》、《关于向激励对象授予限制性股票的议案》，</w:t>
      </w:r>
      <w:r>
        <w:rPr>
          <w:spacing w:val="-69"/>
          <w:w w:val="100"/>
        </w:rPr>
        <w:t> </w:t>
      </w:r>
      <w:r>
        <w:rPr>
          <w:spacing w:val="-69"/>
          <w:w w:val="100"/>
        </w:rPr>
      </w:r>
      <w:r>
        <w:rPr>
          <w:spacing w:val="-2"/>
        </w:rPr>
        <w:t>并于当日召开了第三届监事会第二十二次会议，对公司授予的激励对象名单进行了核实。公司独立董事对</w:t>
      </w:r>
      <w:r>
        <w:rPr>
          <w:spacing w:val="-44"/>
        </w:rPr>
        <w:t> </w:t>
      </w:r>
      <w:r>
        <w:rPr>
          <w:spacing w:val="-44"/>
        </w:rPr>
      </w:r>
      <w:r>
        <w:rPr/>
        <w:t>此发表了独立意见，认为激励对象主体资格合法有效。</w:t>
      </w:r>
    </w:p>
    <w:p>
      <w:pPr>
        <w:spacing w:after="0" w:line="400"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2"/>
          <w:szCs w:val="12"/>
        </w:rPr>
      </w:pPr>
    </w:p>
    <w:p>
      <w:pPr>
        <w:pStyle w:val="Heading3"/>
        <w:spacing w:line="240" w:lineRule="auto" w:before="26"/>
        <w:ind w:right="0"/>
        <w:jc w:val="both"/>
      </w:pPr>
      <w:r>
        <w:rPr>
          <w:rFonts w:ascii="Times New Roman" w:hAnsi="Times New Roman" w:cs="Times New Roman" w:eastAsia="Times New Roman" w:hint="default"/>
        </w:rPr>
        <w:t>3</w:t>
      </w:r>
      <w:r>
        <w:rPr/>
        <w:t>、限制性股票激励计划调整</w:t>
      </w:r>
    </w:p>
    <w:p>
      <w:pPr>
        <w:spacing w:line="240" w:lineRule="auto" w:before="1"/>
        <w:rPr>
          <w:rFonts w:ascii="黑体" w:hAnsi="黑体" w:cs="黑体" w:eastAsia="黑体" w:hint="default"/>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）授予价格调整</w:t>
      </w:r>
      <w:r>
        <w:rPr>
          <w:b w:val="0"/>
          <w:bCs w:val="0"/>
        </w:rPr>
      </w:r>
    </w:p>
    <w:p>
      <w:pPr>
        <w:spacing w:line="240" w:lineRule="auto" w:before="9"/>
        <w:rPr>
          <w:rFonts w:ascii="宋体" w:hAnsi="宋体" w:cs="宋体" w:eastAsia="宋体" w:hint="default"/>
          <w:b/>
          <w:bCs/>
          <w:sz w:val="22"/>
          <w:szCs w:val="22"/>
        </w:rPr>
      </w:pPr>
    </w:p>
    <w:p>
      <w:pPr>
        <w:pStyle w:val="BodyText"/>
        <w:spacing w:line="398" w:lineRule="auto"/>
        <w:ind w:right="206" w:firstLine="420"/>
        <w:jc w:val="both"/>
      </w:pPr>
      <w:r>
        <w:rPr>
          <w:spacing w:val="-4"/>
        </w:rPr>
        <w:t>根据《</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8"/>
        </w:rPr>
        <w:t> </w:t>
      </w:r>
      <w:r>
        <w:rPr>
          <w:spacing w:val="-3"/>
        </w:rPr>
        <w:t>年激励计划》规定，在本激励计划公告当日至激励对象完成限制性股票登记期间，若公司</w:t>
      </w:r>
      <w:r>
        <w:rPr>
          <w:w w:val="100"/>
        </w:rPr>
        <w:t> </w:t>
      </w:r>
      <w:r>
        <w:rPr>
          <w:spacing w:val="-2"/>
        </w:rPr>
        <w:t>发生资本公积转增股本、派发股票红利、股份拆细或缩股、配股、派息等事宜，限制性股票的授予价格及</w:t>
      </w:r>
      <w:r>
        <w:rPr>
          <w:spacing w:val="-43"/>
        </w:rPr>
        <w:t> </w:t>
      </w:r>
      <w:r>
        <w:rPr>
          <w:spacing w:val="-43"/>
        </w:rPr>
      </w:r>
      <w:r>
        <w:rPr/>
        <w:t>授予数量将做相应的调整。</w:t>
      </w:r>
    </w:p>
    <w:p>
      <w:pPr>
        <w:pStyle w:val="BodyText"/>
        <w:spacing w:line="240" w:lineRule="auto" w:before="155"/>
        <w:ind w:left="573" w:right="100"/>
        <w:jc w:val="left"/>
      </w:pPr>
      <w:r>
        <w:rPr/>
        <w:t>经公司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spacing w:val="-4"/>
        </w:rPr>
        <w:t>年年度股东大会审议通过，公司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年年度权益分派方案为向全体股东每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w:t>
      </w:r>
      <w:r>
        <w:rPr>
          <w:spacing w:val="-51"/>
        </w:rPr>
        <w:t> </w:t>
      </w:r>
      <w:r>
        <w:rPr>
          <w:rFonts w:ascii="Times New Roman" w:hAnsi="Times New Roman" w:cs="Times New Roman" w:eastAsia="Times New Roman" w:hint="default"/>
        </w:rPr>
        <w:t>0.7</w:t>
      </w:r>
      <w:r>
        <w:rPr>
          <w:rFonts w:ascii="Times New Roman" w:hAnsi="Times New Roman" w:cs="Times New Roman" w:eastAsia="Times New Roman" w:hint="default"/>
          <w:spacing w:val="-10"/>
        </w:rPr>
        <w:t> </w:t>
      </w:r>
      <w:r>
        <w:rPr/>
        <w:t>元</w:t>
      </w:r>
    </w:p>
    <w:p>
      <w:pPr>
        <w:pStyle w:val="BodyText"/>
        <w:spacing w:line="240" w:lineRule="auto" w:before="178"/>
        <w:ind w:right="0"/>
        <w:jc w:val="both"/>
      </w:pPr>
      <w:r>
        <w:rPr>
          <w:w w:val="100"/>
        </w:rPr>
        <w:t>人民</w:t>
      </w:r>
      <w:r>
        <w:rPr>
          <w:spacing w:val="-3"/>
          <w:w w:val="100"/>
        </w:rPr>
        <w:t>币</w:t>
      </w:r>
      <w:r>
        <w:rPr>
          <w:w w:val="100"/>
        </w:rPr>
        <w:t>现</w:t>
      </w:r>
      <w:r>
        <w:rPr>
          <w:spacing w:val="-3"/>
          <w:w w:val="100"/>
        </w:rPr>
        <w:t>金</w:t>
      </w:r>
      <w:r>
        <w:rPr>
          <w:w w:val="100"/>
        </w:rPr>
        <w:t>（</w:t>
      </w:r>
      <w:r>
        <w:rPr>
          <w:spacing w:val="-3"/>
          <w:w w:val="100"/>
        </w:rPr>
        <w:t>含</w:t>
      </w:r>
      <w:r>
        <w:rPr>
          <w:w w:val="100"/>
        </w:rPr>
        <w:t>税</w:t>
      </w:r>
      <w:r>
        <w:rPr>
          <w:spacing w:val="-108"/>
          <w:w w:val="100"/>
        </w:rPr>
        <w:t>）</w:t>
      </w:r>
      <w:r>
        <w:rPr>
          <w:w w:val="100"/>
        </w:rPr>
        <w:t>。</w:t>
      </w:r>
      <w:r>
        <w:rPr>
          <w:spacing w:val="-3"/>
          <w:w w:val="100"/>
        </w:rPr>
        <w:t>本次</w:t>
      </w:r>
      <w:r>
        <w:rPr>
          <w:w w:val="100"/>
        </w:rPr>
        <w:t>权益</w:t>
      </w:r>
      <w:r>
        <w:rPr>
          <w:spacing w:val="-3"/>
          <w:w w:val="100"/>
        </w:rPr>
        <w:t>分</w:t>
      </w:r>
      <w:r>
        <w:rPr>
          <w:w w:val="100"/>
        </w:rPr>
        <w:t>派</w:t>
      </w:r>
      <w:r>
        <w:rPr>
          <w:spacing w:val="-3"/>
          <w:w w:val="100"/>
        </w:rPr>
        <w:t>股</w:t>
      </w:r>
      <w:r>
        <w:rPr>
          <w:w w:val="100"/>
        </w:rPr>
        <w:t>权</w:t>
      </w:r>
      <w:r>
        <w:rPr>
          <w:spacing w:val="-3"/>
          <w:w w:val="100"/>
        </w:rPr>
        <w:t>登</w:t>
      </w:r>
      <w:r>
        <w:rPr>
          <w:w w:val="100"/>
        </w:rPr>
        <w:t>记</w:t>
      </w:r>
      <w:r>
        <w:rPr>
          <w:spacing w:val="-3"/>
          <w:w w:val="100"/>
        </w:rPr>
        <w:t>日</w:t>
      </w:r>
      <w:r>
        <w:rPr>
          <w:w w:val="100"/>
        </w:rPr>
        <w:t>为</w:t>
      </w:r>
      <w:r>
        <w:rPr>
          <w:spacing w:val="-38"/>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8"/>
        </w:rPr>
        <w:t> </w:t>
      </w:r>
      <w:r>
        <w:rPr>
          <w:w w:val="100"/>
        </w:rPr>
        <w:t>年</w:t>
      </w:r>
      <w:r>
        <w:rPr>
          <w:spacing w:val="-3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w w:val="100"/>
        </w:rPr>
        <w:t>月</w:t>
      </w:r>
      <w:r>
        <w:rPr>
          <w:spacing w:val="-38"/>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日</w:t>
      </w:r>
      <w:r>
        <w:rPr>
          <w:spacing w:val="-3"/>
          <w:w w:val="100"/>
        </w:rPr>
        <w:t>，</w:t>
      </w:r>
      <w:r>
        <w:rPr>
          <w:w w:val="100"/>
        </w:rPr>
        <w:t>除</w:t>
      </w:r>
      <w:r>
        <w:rPr>
          <w:spacing w:val="-3"/>
          <w:w w:val="100"/>
        </w:rPr>
        <w:t>权除</w:t>
      </w:r>
      <w:r>
        <w:rPr>
          <w:w w:val="100"/>
        </w:rPr>
        <w:t>息</w:t>
      </w:r>
      <w:r>
        <w:rPr>
          <w:spacing w:val="-3"/>
          <w:w w:val="100"/>
        </w:rPr>
        <w:t>日</w:t>
      </w:r>
      <w:r>
        <w:rPr>
          <w:w w:val="100"/>
        </w:rPr>
        <w:t>为</w:t>
      </w:r>
      <w:r>
        <w:rPr>
          <w:spacing w:val="-3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w w:val="100"/>
        </w:rPr>
        <w:t>年</w:t>
      </w:r>
      <w:r>
        <w:rPr>
          <w:spacing w:val="-3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w w:val="100"/>
        </w:rPr>
        <w:t>月</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spacing w:val="-3"/>
          <w:w w:val="100"/>
        </w:rPr>
        <w:t>日。</w:t>
      </w:r>
      <w:r>
        <w:rPr>
          <w:w w:val="100"/>
        </w:rPr>
      </w:r>
    </w:p>
    <w:p>
      <w:pPr>
        <w:pStyle w:val="BodyText"/>
        <w:spacing w:line="240" w:lineRule="auto" w:before="177"/>
        <w:ind w:right="0"/>
        <w:jc w:val="both"/>
      </w:pPr>
      <w:r>
        <w:rPr/>
        <w:t>公司权益分派事项已于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日实施完毕。根据相关规定，公司对本次授予的限制性股票的授予</w:t>
      </w:r>
    </w:p>
    <w:p>
      <w:pPr>
        <w:pStyle w:val="BodyText"/>
        <w:spacing w:line="240" w:lineRule="auto" w:before="177"/>
        <w:ind w:right="0"/>
        <w:jc w:val="both"/>
      </w:pPr>
      <w:r>
        <w:rPr/>
        <w:t>价格进行相应调整。具体调整情况为：限制性股票的授予价格由</w:t>
      </w:r>
      <w:r>
        <w:rPr>
          <w:spacing w:val="-54"/>
        </w:rPr>
        <w:t> </w:t>
      </w:r>
      <w:r>
        <w:rPr>
          <w:rFonts w:ascii="Times New Roman" w:hAnsi="Times New Roman" w:cs="Times New Roman" w:eastAsia="Times New Roman" w:hint="default"/>
        </w:rPr>
        <w:t>10.59</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股调整为</w:t>
      </w:r>
      <w:r>
        <w:rPr>
          <w:spacing w:val="-55"/>
        </w:rPr>
        <w:t> </w:t>
      </w:r>
      <w:r>
        <w:rPr>
          <w:rFonts w:ascii="Times New Roman" w:hAnsi="Times New Roman" w:cs="Times New Roman" w:eastAsia="Times New Roman" w:hint="default"/>
        </w:rPr>
        <w:t>10.52</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22"/>
          <w:szCs w:val="22"/>
        </w:rPr>
      </w:pPr>
    </w:p>
    <w:p>
      <w:pPr>
        <w:pStyle w:val="Heading4"/>
        <w:spacing w:line="240" w:lineRule="auto"/>
        <w:ind w:right="100"/>
        <w:jc w:val="left"/>
        <w:rPr>
          <w:b w:val="0"/>
          <w:bCs w:val="0"/>
        </w:rPr>
      </w:pPr>
      <w:r>
        <w:rPr/>
        <w:t>（</w:t>
      </w:r>
      <w:r>
        <w:rPr>
          <w:rFonts w:ascii="Times New Roman" w:hAnsi="Times New Roman" w:cs="Times New Roman" w:eastAsia="Times New Roman" w:hint="default"/>
        </w:rPr>
        <w:t>2</w:t>
      </w:r>
      <w:r>
        <w:rPr/>
        <w:t>）授予对象及数量调整</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73" w:right="100"/>
        <w:jc w:val="left"/>
      </w:pPr>
      <w:r>
        <w:rPr>
          <w:rFonts w:ascii="Times New Roman" w:hAnsi="Times New Roman" w:cs="Times New Roman" w:eastAsia="Times New Roman" w:hint="default"/>
        </w:rPr>
        <w:t>2017 </w:t>
      </w:r>
      <w:r>
        <w:rPr>
          <w:spacing w:val="-3"/>
        </w:rPr>
        <w:t>年限制性股票激励对象名单公示期间，公司监事会对激励对象在《激励计划》公告前 </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个月内买</w:t>
      </w:r>
    </w:p>
    <w:p>
      <w:pPr>
        <w:pStyle w:val="BodyText"/>
        <w:spacing w:line="398" w:lineRule="auto" w:before="177"/>
        <w:ind w:right="206"/>
        <w:jc w:val="both"/>
      </w:pPr>
      <w:r>
        <w:rPr/>
        <w:t>卖股票的情况进行了自查，自查结果显示，任建国、田超、蓝海文、刘彬、唐炯</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名员工（或其亲属）在</w:t>
      </w:r>
      <w:r>
        <w:rPr>
          <w:w w:val="100"/>
        </w:rPr>
        <w:t> </w:t>
      </w:r>
      <w:r>
        <w:rPr>
          <w:spacing w:val="-2"/>
        </w:rPr>
        <w:t>知悉股权激励事项后仍有买卖股票的行为。根据相关规定，知悉内幕信息而买卖本公司股票的，不得成为</w:t>
      </w:r>
      <w:r>
        <w:rPr>
          <w:spacing w:val="-43"/>
        </w:rPr>
        <w:t> </w:t>
      </w:r>
      <w:r>
        <w:rPr>
          <w:spacing w:val="-43"/>
        </w:rPr>
      </w:r>
      <w:r>
        <w:rPr/>
        <w:t>激励对象。监事会决定取消上述</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人的激励对象资格。</w:t>
      </w:r>
    </w:p>
    <w:p>
      <w:pPr>
        <w:pStyle w:val="BodyText"/>
        <w:spacing w:line="408" w:lineRule="auto" w:before="122"/>
        <w:ind w:right="100" w:firstLine="420"/>
        <w:jc w:val="left"/>
      </w:pPr>
      <w:r>
        <w:rPr/>
        <w:t>公司原激励对象薛建正离职，鲁俊峰、岳平、刘铭、熊源河、肖燕南、贺菁华、张瑞东、赵红志、孔</w:t>
      </w:r>
      <w:r>
        <w:rPr>
          <w:w w:val="100"/>
        </w:rPr>
        <w:t> </w:t>
      </w:r>
      <w:r>
        <w:rPr>
          <w:spacing w:val="-5"/>
        </w:rPr>
        <w:t>祥升、徐升亮、徐卫星、贾军、王登攀自愿放弃参与此次限制性股票激励计划；激励对象詹斯静因拟离职，</w:t>
      </w:r>
      <w:r>
        <w:rPr>
          <w:spacing w:val="-7"/>
        </w:rPr>
        <w:t> </w:t>
      </w:r>
      <w:r>
        <w:rPr>
          <w:spacing w:val="-7"/>
        </w:rPr>
      </w:r>
      <w:r>
        <w:rPr>
          <w:spacing w:val="-2"/>
        </w:rPr>
        <w:t>公司决定取消其获授限制性股票，因此需对本次激励计划激励对象人数及授予数量进行调整。具体调整情</w:t>
      </w:r>
      <w:r>
        <w:rPr>
          <w:spacing w:val="-44"/>
        </w:rPr>
        <w:t> </w:t>
      </w:r>
      <w:r>
        <w:rPr>
          <w:spacing w:val="-44"/>
        </w:rPr>
      </w:r>
      <w:r>
        <w:rPr/>
        <w:t>况为：激励对象由</w:t>
      </w:r>
      <w:r>
        <w:rPr>
          <w:spacing w:val="-55"/>
        </w:rPr>
        <w:t> </w:t>
      </w:r>
      <w:r>
        <w:rPr>
          <w:rFonts w:ascii="Times New Roman" w:hAnsi="Times New Roman" w:cs="Times New Roman" w:eastAsia="Times New Roman" w:hint="default"/>
        </w:rPr>
        <w:t>422</w:t>
      </w:r>
      <w:r>
        <w:rPr>
          <w:rFonts w:ascii="Times New Roman" w:hAnsi="Times New Roman" w:cs="Times New Roman" w:eastAsia="Times New Roman" w:hint="default"/>
          <w:spacing w:val="-13"/>
        </w:rPr>
        <w:t> </w:t>
      </w:r>
      <w:r>
        <w:rPr/>
        <w:t>名调整为</w:t>
      </w:r>
      <w:r>
        <w:rPr>
          <w:spacing w:val="-54"/>
        </w:rPr>
        <w:t> </w:t>
      </w:r>
      <w:r>
        <w:rPr>
          <w:rFonts w:ascii="Times New Roman" w:hAnsi="Times New Roman" w:cs="Times New Roman" w:eastAsia="Times New Roman" w:hint="default"/>
        </w:rPr>
        <w:t>402</w:t>
      </w:r>
      <w:r>
        <w:rPr>
          <w:rFonts w:ascii="Times New Roman" w:hAnsi="Times New Roman" w:cs="Times New Roman" w:eastAsia="Times New Roman" w:hint="default"/>
          <w:spacing w:val="-12"/>
        </w:rPr>
        <w:t> </w:t>
      </w:r>
      <w:r>
        <w:rPr/>
        <w:t>名，授予的激励股票数量由</w:t>
      </w:r>
      <w:r>
        <w:rPr>
          <w:spacing w:val="-55"/>
        </w:rPr>
        <w:t> </w:t>
      </w:r>
      <w:r>
        <w:rPr>
          <w:rFonts w:ascii="Times New Roman" w:hAnsi="Times New Roman" w:cs="Times New Roman" w:eastAsia="Times New Roman" w:hint="default"/>
        </w:rPr>
        <w:t>2,300.00</w:t>
      </w:r>
      <w:r>
        <w:rPr>
          <w:rFonts w:ascii="Times New Roman" w:hAnsi="Times New Roman" w:cs="Times New Roman" w:eastAsia="Times New Roman" w:hint="default"/>
          <w:spacing w:val="-13"/>
        </w:rPr>
        <w:t> </w:t>
      </w:r>
      <w:r>
        <w:rPr/>
        <w:t>万股调整为</w:t>
      </w:r>
      <w:r>
        <w:rPr>
          <w:spacing w:val="-54"/>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13"/>
        </w:rPr>
        <w:t> </w:t>
      </w:r>
      <w:r>
        <w:rPr/>
        <w:t>万股。</w:t>
      </w:r>
    </w:p>
    <w:p>
      <w:pPr>
        <w:pStyle w:val="Heading3"/>
        <w:spacing w:line="240" w:lineRule="auto" w:before="147"/>
        <w:ind w:right="0"/>
        <w:jc w:val="both"/>
      </w:pPr>
      <w:r>
        <w:rPr>
          <w:rFonts w:ascii="Times New Roman" w:hAnsi="Times New Roman" w:cs="Times New Roman" w:eastAsia="Times New Roman" w:hint="default"/>
        </w:rPr>
        <w:t>4</w:t>
      </w:r>
      <w:r>
        <w:rPr/>
        <w:t>、激励计划的授予</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t>根据《激励计划》相关规定，董事会决定本次限制性股票的授予情况如下：</w:t>
      </w:r>
    </w:p>
    <w:p>
      <w:pPr>
        <w:spacing w:line="240" w:lineRule="auto" w:before="6"/>
        <w:rPr>
          <w:rFonts w:ascii="宋体" w:hAnsi="宋体" w:cs="宋体" w:eastAsia="宋体" w:hint="default"/>
          <w:sz w:val="22"/>
          <w:szCs w:val="22"/>
        </w:rPr>
      </w:pPr>
    </w:p>
    <w:p>
      <w:pPr>
        <w:pStyle w:val="BodyText"/>
        <w:spacing w:line="240" w:lineRule="auto"/>
        <w:ind w:left="573" w:right="100"/>
        <w:jc w:val="left"/>
      </w:pPr>
      <w:r>
        <w:rPr/>
        <w:t>（</w:t>
      </w:r>
      <w:r>
        <w:rPr>
          <w:rFonts w:ascii="Times New Roman" w:hAnsi="Times New Roman" w:cs="Times New Roman" w:eastAsia="Times New Roman" w:hint="default"/>
        </w:rPr>
        <w:t>1</w:t>
      </w:r>
      <w:r>
        <w:rPr/>
        <w:t>）本次激励计划所涉标的股票来源为公司定向发行公司人民币</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股普通股股票；</w:t>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t>（</w:t>
      </w:r>
      <w:r>
        <w:rPr>
          <w:rFonts w:ascii="Times New Roman" w:hAnsi="Times New Roman" w:cs="Times New Roman" w:eastAsia="Times New Roman" w:hint="default"/>
        </w:rPr>
        <w:t>2</w:t>
      </w:r>
      <w:r>
        <w:rPr/>
        <w:t>）本次激励计划权益授予日为</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3"/>
        </w:rPr>
        <w:t>日；</w:t>
      </w:r>
      <w:r>
        <w:rPr/>
      </w:r>
    </w:p>
    <w:p>
      <w:pPr>
        <w:spacing w:line="240" w:lineRule="auto" w:before="1"/>
        <w:rPr>
          <w:rFonts w:ascii="宋体" w:hAnsi="宋体" w:cs="宋体" w:eastAsia="宋体" w:hint="default"/>
          <w:sz w:val="21"/>
          <w:szCs w:val="21"/>
        </w:rPr>
      </w:pPr>
    </w:p>
    <w:p>
      <w:pPr>
        <w:pStyle w:val="BodyText"/>
        <w:spacing w:line="386" w:lineRule="auto"/>
        <w:ind w:right="208" w:firstLine="420"/>
        <w:jc w:val="left"/>
      </w:pPr>
      <w:r>
        <w:rPr/>
        <w:t>（</w:t>
      </w:r>
      <w:r>
        <w:rPr>
          <w:rFonts w:ascii="Times New Roman" w:hAnsi="Times New Roman" w:cs="Times New Roman" w:eastAsia="Times New Roman" w:hint="default"/>
        </w:rPr>
        <w:t>3</w:t>
      </w:r>
      <w:r>
        <w:rPr/>
        <w:t>）本次授予的激励对象共</w:t>
      </w:r>
      <w:r>
        <w:rPr>
          <w:spacing w:val="-38"/>
        </w:rPr>
        <w:t> </w:t>
      </w:r>
      <w:r>
        <w:rPr>
          <w:rFonts w:ascii="Times New Roman" w:hAnsi="Times New Roman" w:cs="Times New Roman" w:eastAsia="Times New Roman" w:hint="default"/>
        </w:rPr>
        <w:t>402</w:t>
      </w:r>
      <w:r>
        <w:rPr>
          <w:rFonts w:ascii="Times New Roman" w:hAnsi="Times New Roman" w:cs="Times New Roman" w:eastAsia="Times New Roman" w:hint="default"/>
          <w:spacing w:val="-6"/>
        </w:rPr>
        <w:t> </w:t>
      </w:r>
      <w:r>
        <w:rPr/>
        <w:t>人、授予的限制性股票数量</w:t>
      </w:r>
      <w:r>
        <w:rPr>
          <w:spacing w:val="-38"/>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5"/>
        </w:rPr>
        <w:t> </w:t>
      </w:r>
      <w:r>
        <w:rPr/>
        <w:t>万股</w:t>
      </w:r>
      <w:r>
        <w:rPr>
          <w:rFonts w:ascii="Times New Roman" w:hAnsi="Times New Roman" w:cs="Times New Roman" w:eastAsia="Times New Roman" w:hint="default"/>
        </w:rPr>
        <w:t>,</w:t>
      </w:r>
      <w:r>
        <w:rPr/>
        <w:t>占本激励计划草案摘要公</w:t>
      </w:r>
      <w:r>
        <w:rPr>
          <w:w w:val="100"/>
        </w:rPr>
        <w:t> </w:t>
      </w:r>
      <w:r>
        <w:rPr/>
        <w:t>告日公司股本总额</w:t>
      </w:r>
      <w:r>
        <w:rPr>
          <w:spacing w:val="-60"/>
        </w:rPr>
        <w:t> </w:t>
      </w:r>
      <w:r>
        <w:rPr>
          <w:rFonts w:ascii="Times New Roman" w:hAnsi="Times New Roman" w:cs="Times New Roman" w:eastAsia="Times New Roman" w:hint="default"/>
        </w:rPr>
        <w:t>114,933.6195</w:t>
      </w:r>
      <w:r>
        <w:rPr>
          <w:rFonts w:ascii="Times New Roman" w:hAnsi="Times New Roman" w:cs="Times New Roman" w:eastAsia="Times New Roman" w:hint="default"/>
          <w:spacing w:val="-13"/>
        </w:rPr>
        <w:t> </w:t>
      </w:r>
      <w:r>
        <w:rPr/>
        <w:t>万股的</w:t>
      </w:r>
      <w:r>
        <w:rPr>
          <w:spacing w:val="-58"/>
        </w:rPr>
        <w:t> </w:t>
      </w:r>
      <w:r>
        <w:rPr>
          <w:rFonts w:ascii="Times New Roman" w:hAnsi="Times New Roman" w:cs="Times New Roman" w:eastAsia="Times New Roman" w:hint="default"/>
        </w:rPr>
        <w:t>1.99%</w:t>
      </w:r>
      <w:r>
        <w:rPr/>
        <w:t>，具体情况如下：</w:t>
      </w:r>
    </w:p>
    <w:p>
      <w:pPr>
        <w:spacing w:line="240" w:lineRule="auto" w:before="1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927"/>
        <w:gridCol w:w="1286"/>
        <w:gridCol w:w="2607"/>
        <w:gridCol w:w="1620"/>
        <w:gridCol w:w="1611"/>
        <w:gridCol w:w="1608"/>
      </w:tblGrid>
      <w:tr>
        <w:trPr>
          <w:trHeight w:val="1152" w:hRule="exact"/>
        </w:trPr>
        <w:tc>
          <w:tcPr>
            <w:tcW w:w="9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left="27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6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6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9" w:lineRule="auto" w:before="106"/>
              <w:ind w:left="261" w:right="78" w:hanging="180"/>
              <w:jc w:val="left"/>
              <w:rPr>
                <w:rFonts w:ascii="宋体" w:hAnsi="宋体" w:cs="宋体" w:eastAsia="宋体" w:hint="default"/>
                <w:sz w:val="18"/>
                <w:szCs w:val="18"/>
              </w:rPr>
            </w:pPr>
            <w:r>
              <w:rPr>
                <w:rFonts w:ascii="宋体" w:hAnsi="宋体" w:cs="宋体" w:eastAsia="宋体" w:hint="default"/>
                <w:b/>
                <w:bCs/>
                <w:sz w:val="18"/>
                <w:szCs w:val="18"/>
              </w:rPr>
              <w:t>获授的限制性股票</w:t>
            </w:r>
            <w:r>
              <w:rPr>
                <w:rFonts w:ascii="宋体" w:hAnsi="宋体" w:cs="宋体" w:eastAsia="宋体" w:hint="default"/>
                <w:b/>
                <w:bCs/>
                <w:w w:val="99"/>
                <w:sz w:val="18"/>
                <w:szCs w:val="18"/>
              </w:rPr>
              <w:t> </w:t>
            </w:r>
            <w:r>
              <w:rPr>
                <w:rFonts w:ascii="宋体" w:hAnsi="宋体" w:cs="宋体" w:eastAsia="宋体" w:hint="default"/>
                <w:b/>
                <w:bCs/>
                <w:sz w:val="18"/>
                <w:szCs w:val="18"/>
              </w:rPr>
              <w:t>数量（万股）</w:t>
            </w:r>
            <w:r>
              <w:rPr>
                <w:rFonts w:ascii="宋体" w:hAnsi="宋体" w:cs="宋体" w:eastAsia="宋体" w:hint="default"/>
                <w:sz w:val="18"/>
                <w:szCs w:val="18"/>
              </w:rPr>
            </w:r>
          </w:p>
        </w:tc>
        <w:tc>
          <w:tcPr>
            <w:tcW w:w="16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9" w:lineRule="auto" w:before="106"/>
              <w:ind w:left="196" w:right="73"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占授予限制性股票</w:t>
            </w:r>
            <w:r>
              <w:rPr>
                <w:rFonts w:ascii="宋体" w:hAnsi="宋体" w:cs="宋体" w:eastAsia="宋体" w:hint="default"/>
                <w:b/>
                <w:bCs/>
                <w:w w:val="99"/>
                <w:sz w:val="18"/>
                <w:szCs w:val="18"/>
              </w:rPr>
              <w:t> </w:t>
            </w:r>
            <w:r>
              <w:rPr>
                <w:rFonts w:ascii="宋体" w:hAnsi="宋体" w:cs="宋体" w:eastAsia="宋体" w:hint="default"/>
                <w:b/>
                <w:bCs/>
                <w:sz w:val="18"/>
                <w:szCs w:val="18"/>
              </w:rPr>
              <w:t>总数的比例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9" w:lineRule="auto" w:before="106"/>
              <w:ind w:left="74" w:right="72"/>
              <w:jc w:val="center"/>
              <w:rPr>
                <w:rFonts w:ascii="宋体" w:hAnsi="宋体" w:cs="宋体" w:eastAsia="宋体" w:hint="default"/>
                <w:sz w:val="18"/>
                <w:szCs w:val="18"/>
              </w:rPr>
            </w:pPr>
            <w:r>
              <w:rPr>
                <w:rFonts w:ascii="宋体" w:hAnsi="宋体" w:cs="宋体" w:eastAsia="宋体" w:hint="default"/>
                <w:b/>
                <w:bCs/>
                <w:sz w:val="18"/>
                <w:szCs w:val="18"/>
              </w:rPr>
              <w:t>占草案公布时公司</w:t>
            </w:r>
            <w:r>
              <w:rPr>
                <w:rFonts w:ascii="宋体" w:hAnsi="宋体" w:cs="宋体" w:eastAsia="宋体" w:hint="default"/>
                <w:b/>
                <w:bCs/>
                <w:w w:val="99"/>
                <w:sz w:val="18"/>
                <w:szCs w:val="18"/>
              </w:rPr>
              <w:t> </w:t>
            </w:r>
            <w:r>
              <w:rPr>
                <w:rFonts w:ascii="宋体" w:hAnsi="宋体" w:cs="宋体" w:eastAsia="宋体" w:hint="default"/>
                <w:b/>
                <w:bCs/>
                <w:sz w:val="18"/>
                <w:szCs w:val="18"/>
              </w:rPr>
              <w:t>股本总额的比例</w:t>
            </w:r>
            <w:r>
              <w:rPr>
                <w:rFonts w:ascii="宋体" w:hAnsi="宋体" w:cs="宋体" w:eastAsia="宋体" w:hint="default"/>
                <w:sz w:val="18"/>
                <w:szCs w:val="18"/>
              </w:rPr>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927"/>
        <w:gridCol w:w="1286"/>
        <w:gridCol w:w="2607"/>
        <w:gridCol w:w="1620"/>
        <w:gridCol w:w="1611"/>
        <w:gridCol w:w="1608"/>
      </w:tblGrid>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4" w:right="0"/>
              <w:jc w:val="center"/>
              <w:rPr>
                <w:rFonts w:ascii="Times New Roman" w:hAnsi="Times New Roman" w:cs="Times New Roman" w:eastAsia="Times New Roman" w:hint="default"/>
                <w:sz w:val="18"/>
                <w:szCs w:val="18"/>
              </w:rPr>
            </w:pPr>
            <w:r>
              <w:rPr>
                <w:rFonts w:ascii="Times New Roman"/>
                <w:sz w:val="18"/>
              </w:rPr>
              <w:t>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471.50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20.63%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0.41%</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60.00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z w:val="18"/>
              </w:rPr>
              <w:t>2.62%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0.05%</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222.55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z w:val="18"/>
              </w:rPr>
              <w:t>9.74%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0.19%</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80.00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z w:val="18"/>
              </w:rPr>
              <w:t>3.50%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0.07%</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78.50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z w:val="18"/>
              </w:rPr>
              <w:t>3.43%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0.07%</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193.30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z w:val="18"/>
              </w:rPr>
              <w:t>8.46%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0.17%</w:t>
            </w:r>
          </w:p>
        </w:tc>
      </w:tr>
      <w:tr>
        <w:trPr>
          <w:trHeight w:val="536" w:hRule="exact"/>
        </w:trPr>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Times New Roman" w:hAnsi="Times New Roman" w:cs="Times New Roman" w:eastAsia="Times New Roman" w:hint="default"/>
                <w:sz w:val="18"/>
                <w:szCs w:val="18"/>
              </w:rPr>
            </w:pPr>
            <w:r>
              <w:rPr>
                <w:rFonts w:ascii="Times New Roman"/>
                <w:sz w:val="18"/>
              </w:rPr>
              <w:t>7</w:t>
            </w:r>
          </w:p>
        </w:tc>
        <w:tc>
          <w:tcPr>
            <w:tcW w:w="3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50" w:right="0"/>
              <w:jc w:val="left"/>
              <w:rPr>
                <w:rFonts w:ascii="宋体" w:hAnsi="宋体" w:cs="宋体" w:eastAsia="宋体" w:hint="default"/>
                <w:sz w:val="18"/>
                <w:szCs w:val="18"/>
              </w:rPr>
            </w:pPr>
            <w:r>
              <w:rPr>
                <w:rFonts w:ascii="宋体" w:hAnsi="宋体" w:cs="宋体" w:eastAsia="宋体" w:hint="default"/>
                <w:sz w:val="18"/>
                <w:szCs w:val="18"/>
              </w:rPr>
              <w:t>中层管理人员及核心业务、技术、管理骨干人员</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w w:val="95"/>
                <w:sz w:val="18"/>
              </w:rPr>
              <w:t>1180.15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51.63%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1.03%</w:t>
            </w:r>
          </w:p>
        </w:tc>
      </w:tr>
      <w:tr>
        <w:trPr>
          <w:trHeight w:val="533" w:hRule="exact"/>
        </w:trPr>
        <w:tc>
          <w:tcPr>
            <w:tcW w:w="927" w:type="dxa"/>
            <w:tcBorders>
              <w:top w:val="single" w:sz="6" w:space="0" w:color="000000"/>
              <w:left w:val="single" w:sz="6" w:space="0" w:color="000000"/>
              <w:bottom w:val="single" w:sz="6" w:space="0" w:color="000000"/>
              <w:right w:val="single" w:sz="6" w:space="0" w:color="000000"/>
            </w:tcBorders>
          </w:tcPr>
          <w:p>
            <w:pPr/>
          </w:p>
        </w:tc>
        <w:tc>
          <w:tcPr>
            <w:tcW w:w="3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2286.00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1.99%</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w:t>
      </w:r>
      <w:r>
        <w:rPr>
          <w:rFonts w:ascii="Times New Roman" w:hAnsi="Times New Roman" w:cs="Times New Roman" w:eastAsia="Times New Roman" w:hint="default"/>
        </w:rPr>
        <w:t>4</w:t>
      </w:r>
      <w:r>
        <w:rPr/>
        <w:t>）授予价格：限制性股票的授予价格为</w:t>
      </w:r>
      <w:r>
        <w:rPr>
          <w:spacing w:val="-55"/>
        </w:rPr>
        <w:t> </w:t>
      </w:r>
      <w:r>
        <w:rPr>
          <w:rFonts w:ascii="Times New Roman" w:hAnsi="Times New Roman" w:cs="Times New Roman" w:eastAsia="Times New Roman" w:hint="default"/>
        </w:rPr>
        <w:t>10.52</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p>
    <w:p>
      <w:pPr>
        <w:spacing w:line="240" w:lineRule="auto" w:before="7"/>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5</w:t>
      </w:r>
      <w:r>
        <w:rPr/>
        <w:t>、股权激励计划解锁及回购注销</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3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3"/>
        </w:rPr>
        <w:t>日，公司召开第三届董事会第五十次会议和第三届监事会第二十四次会议，审议通过</w:t>
      </w:r>
    </w:p>
    <w:p>
      <w:pPr>
        <w:pStyle w:val="BodyText"/>
        <w:spacing w:line="386" w:lineRule="auto" w:before="177"/>
        <w:ind w:right="146"/>
        <w:jc w:val="both"/>
      </w:pPr>
      <w:r>
        <w:rPr/>
        <w:t>了《关于回购注销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年限制性股票激励计划不符合解锁条件的激励对象已获授但尚未解锁的限制性股</w:t>
      </w:r>
      <w:r>
        <w:rPr>
          <w:w w:val="100"/>
        </w:rPr>
        <w:t> </w:t>
      </w:r>
      <w:r>
        <w:rPr>
          <w:spacing w:val="-11"/>
          <w:w w:val="100"/>
        </w:rPr>
        <w:t>票的议案》，根据《</w:t>
      </w:r>
      <w:r>
        <w:rPr>
          <w:rFonts w:ascii="Times New Roman" w:hAnsi="Times New Roman" w:cs="Times New Roman" w:eastAsia="Times New Roman" w:hint="default"/>
          <w:spacing w:val="-11"/>
          <w:w w:val="100"/>
        </w:rPr>
        <w:t>2017 </w:t>
      </w:r>
      <w:r>
        <w:rPr>
          <w:spacing w:val="-8"/>
          <w:w w:val="100"/>
        </w:rPr>
        <w:t>年激励计划》，在锁定期内，刘冈、韩笑等共</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1"/>
          <w:w w:val="100"/>
        </w:rPr>
        <w:t> </w:t>
      </w:r>
      <w:r>
        <w:rPr>
          <w:spacing w:val="-2"/>
          <w:w w:val="100"/>
        </w:rPr>
        <w:t>名激励对象离职，公司对上述离职</w:t>
      </w:r>
      <w:r>
        <w:rPr>
          <w:w w:val="100"/>
        </w:rPr>
        <w:t> </w:t>
      </w:r>
      <w:r>
        <w:rPr/>
        <w:t>对象已获授但未解锁的全部限制性股票 </w:t>
      </w:r>
      <w:r>
        <w:rPr>
          <w:rFonts w:ascii="Times New Roman" w:hAnsi="Times New Roman" w:cs="Times New Roman" w:eastAsia="Times New Roman" w:hint="default"/>
        </w:rPr>
        <w:t>81,000</w:t>
      </w:r>
      <w:r>
        <w:rPr>
          <w:rFonts w:ascii="Times New Roman" w:hAnsi="Times New Roman" w:cs="Times New Roman" w:eastAsia="Times New Roman" w:hint="default"/>
          <w:spacing w:val="-34"/>
        </w:rPr>
        <w:t> </w:t>
      </w:r>
      <w:r>
        <w:rPr>
          <w:spacing w:val="-4"/>
        </w:rPr>
        <w:t>股进行回购注销。公司独立董事对此发表了独立意见，律师</w:t>
      </w:r>
    </w:p>
    <w:p>
      <w:pPr>
        <w:pStyle w:val="BodyText"/>
        <w:spacing w:line="240" w:lineRule="auto" w:before="35"/>
        <w:ind w:right="0"/>
        <w:jc w:val="both"/>
      </w:pPr>
      <w:r>
        <w:rPr/>
        <w:t>出具了法律意见书。</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日，公司召开</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年第二次临时股东大会，审议通过了上述议案。</w:t>
      </w:r>
    </w:p>
    <w:p>
      <w:pPr>
        <w:spacing w:line="240" w:lineRule="auto" w:before="7"/>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6</w:t>
      </w:r>
      <w:r>
        <w:rPr/>
        <w:t>、本激励计划限制性股票的授予对公司经营能力和财务状况的影响</w:t>
      </w:r>
    </w:p>
    <w:p>
      <w:pPr>
        <w:spacing w:line="240" w:lineRule="auto" w:before="3"/>
        <w:rPr>
          <w:rFonts w:ascii="黑体" w:hAnsi="黑体" w:cs="黑体" w:eastAsia="黑体" w:hint="default"/>
          <w:sz w:val="24"/>
          <w:szCs w:val="24"/>
        </w:rPr>
      </w:pPr>
    </w:p>
    <w:p>
      <w:pPr>
        <w:pStyle w:val="BodyText"/>
        <w:spacing w:line="408" w:lineRule="auto"/>
        <w:ind w:right="11" w:firstLine="420"/>
        <w:jc w:val="left"/>
      </w:pPr>
      <w:r>
        <w:rPr>
          <w:spacing w:val="-2"/>
        </w:rPr>
        <w:t>公司本次激励计划限制性股票的授予对公司相关年度的财务状况和经营成果将产生一定的影响。本激</w:t>
      </w:r>
      <w:r>
        <w:rPr>
          <w:w w:val="100"/>
        </w:rPr>
        <w:t> </w:t>
      </w:r>
      <w:r>
        <w:rPr/>
        <w:t>励计划的成本将在管理费用中列支。</w:t>
      </w:r>
    </w:p>
    <w:p>
      <w:pPr>
        <w:pStyle w:val="Heading3"/>
        <w:spacing w:line="240" w:lineRule="auto" w:before="177"/>
        <w:ind w:right="0"/>
        <w:jc w:val="both"/>
      </w:pPr>
      <w:r>
        <w:rPr/>
        <w:t>（三）</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年第一期员工持股计划</w:t>
      </w:r>
    </w:p>
    <w:p>
      <w:pPr>
        <w:spacing w:line="240" w:lineRule="auto" w:before="11"/>
        <w:rPr>
          <w:rFonts w:ascii="黑体" w:hAnsi="黑体" w:cs="黑体" w:eastAsia="黑体" w:hint="default"/>
          <w:sz w:val="24"/>
          <w:szCs w:val="24"/>
        </w:rPr>
      </w:pPr>
    </w:p>
    <w:p>
      <w:pPr>
        <w:pStyle w:val="Heading3"/>
        <w:spacing w:line="240" w:lineRule="auto"/>
        <w:ind w:right="0"/>
        <w:jc w:val="both"/>
      </w:pPr>
      <w:r>
        <w:rPr>
          <w:rFonts w:ascii="Times New Roman" w:hAnsi="Times New Roman" w:cs="Times New Roman" w:eastAsia="Times New Roman" w:hint="default"/>
        </w:rPr>
        <w:t>1</w:t>
      </w:r>
      <w:r>
        <w:rPr/>
        <w:t>、员工持股计划简述</w:t>
      </w:r>
    </w:p>
    <w:p>
      <w:pPr>
        <w:spacing w:line="240" w:lineRule="auto" w:before="3"/>
        <w:rPr>
          <w:rFonts w:ascii="黑体" w:hAnsi="黑体" w:cs="黑体" w:eastAsia="黑体" w:hint="default"/>
          <w:sz w:val="24"/>
          <w:szCs w:val="24"/>
        </w:rPr>
      </w:pPr>
    </w:p>
    <w:p>
      <w:pPr>
        <w:pStyle w:val="BodyText"/>
        <w:spacing w:line="386" w:lineRule="auto"/>
        <w:ind w:right="11" w:firstLine="420"/>
        <w:jc w:val="left"/>
      </w:pPr>
      <w:r>
        <w:rPr/>
        <w:t>（</w:t>
      </w:r>
      <w:r>
        <w:rPr>
          <w:rFonts w:ascii="Times New Roman" w:hAnsi="Times New Roman" w:cs="Times New Roman" w:eastAsia="Times New Roman" w:hint="default"/>
        </w:rPr>
        <w:t>1</w:t>
      </w:r>
      <w:r>
        <w:rPr/>
        <w:t>）本员工持股计划的持有人主要包括公司部分董事、监事、高级管理人员，公司及下属子公司中</w:t>
      </w:r>
      <w:r>
        <w:rPr>
          <w:w w:val="100"/>
        </w:rPr>
        <w:t> </w:t>
      </w:r>
      <w:r>
        <w:rPr/>
        <w:t>高层管理人员、核心业务技术人员和其他员工，合计不超过</w:t>
      </w:r>
      <w:r>
        <w:rPr>
          <w:spacing w:val="-53"/>
        </w:rPr>
        <w:t> </w:t>
      </w:r>
      <w:r>
        <w:rPr>
          <w:rFonts w:ascii="Times New Roman" w:hAnsi="Times New Roman" w:cs="Times New Roman" w:eastAsia="Times New Roman" w:hint="default"/>
        </w:rPr>
        <w:t>130</w:t>
      </w:r>
      <w:r>
        <w:rPr>
          <w:rFonts w:ascii="Times New Roman" w:hAnsi="Times New Roman" w:cs="Times New Roman" w:eastAsia="Times New Roman" w:hint="default"/>
          <w:spacing w:val="-13"/>
        </w:rPr>
        <w:t> </w:t>
      </w:r>
      <w:r>
        <w:rPr/>
        <w:t>人；</w:t>
      </w:r>
    </w:p>
    <w:p>
      <w:pPr>
        <w:pStyle w:val="BodyText"/>
        <w:spacing w:line="386" w:lineRule="auto" w:before="136"/>
        <w:ind w:right="11" w:firstLine="420"/>
        <w:jc w:val="left"/>
      </w:pPr>
      <w:r>
        <w:rPr>
          <w:spacing w:val="-3"/>
        </w:rPr>
        <w:t>（</w:t>
      </w:r>
      <w:r>
        <w:rPr>
          <w:rFonts w:ascii="Times New Roman" w:hAnsi="Times New Roman" w:cs="Times New Roman" w:eastAsia="Times New Roman" w:hint="default"/>
          <w:spacing w:val="-3"/>
        </w:rPr>
        <w:t>2</w:t>
      </w:r>
      <w:r>
        <w:rPr>
          <w:spacing w:val="-3"/>
        </w:rPr>
        <w:t>）本员工持股计划设立时的资金总额上限为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spacing w:val="-4"/>
        </w:rPr>
        <w:t>万元，资金来源为员工的合法薪酬、自筹资金和</w:t>
      </w:r>
      <w:r>
        <w:rPr>
          <w:w w:val="100"/>
        </w:rPr>
        <w:t> </w:t>
      </w:r>
      <w:r>
        <w:rPr/>
        <w:t>法律、行政法规允许的其他方式；</w:t>
      </w:r>
    </w:p>
    <w:p>
      <w:pPr>
        <w:pStyle w:val="BodyText"/>
        <w:spacing w:line="240" w:lineRule="auto" w:before="166"/>
        <w:ind w:left="573" w:right="11"/>
        <w:jc w:val="left"/>
      </w:pPr>
      <w:r>
        <w:rPr/>
        <w:t>（</w:t>
      </w:r>
      <w:r>
        <w:rPr>
          <w:rFonts w:ascii="Times New Roman" w:hAnsi="Times New Roman" w:cs="Times New Roman" w:eastAsia="Times New Roman" w:hint="default"/>
        </w:rPr>
        <w:t>3</w:t>
      </w:r>
      <w:r>
        <w:rPr/>
        <w:t>）本员工持股计划将委托广发证券资产管理（广东）有限公司管理，设立广发原驰</w:t>
      </w:r>
      <w:r>
        <w:rPr>
          <w:rFonts w:ascii="Times New Roman" w:hAnsi="Times New Roman" w:cs="Times New Roman" w:eastAsia="Times New Roman" w:hint="default"/>
        </w:rPr>
        <w:t>•</w:t>
      </w:r>
      <w:r>
        <w:rPr/>
        <w:t>旋极信息</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号</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right="0"/>
        <w:jc w:val="both"/>
      </w:pPr>
      <w:r>
        <w:rPr/>
        <w:t>集合资产管理计划，按照不超过 </w:t>
      </w:r>
      <w:r>
        <w:rPr>
          <w:rFonts w:ascii="Times New Roman" w:hAnsi="Times New Roman" w:cs="Times New Roman" w:eastAsia="Times New Roman" w:hint="default"/>
        </w:rPr>
        <w:t>1:1</w:t>
      </w:r>
      <w:r>
        <w:rPr>
          <w:rFonts w:ascii="Times New Roman" w:hAnsi="Times New Roman" w:cs="Times New Roman" w:eastAsia="Times New Roman" w:hint="default"/>
          <w:spacing w:val="-35"/>
        </w:rPr>
        <w:t> </w:t>
      </w:r>
      <w:r>
        <w:rPr/>
        <w:t>的比例设立优先级份额和进取级份额，旋极信息第一期员工持股计划</w:t>
      </w:r>
    </w:p>
    <w:p>
      <w:pPr>
        <w:pStyle w:val="BodyText"/>
        <w:spacing w:line="240" w:lineRule="auto" w:before="177"/>
        <w:ind w:right="0"/>
        <w:jc w:val="both"/>
      </w:pPr>
      <w:r>
        <w:rPr/>
        <w:t>以不超过</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2"/>
        </w:rPr>
        <w:t> </w:t>
      </w:r>
      <w:r>
        <w:rPr/>
        <w:t>万元认购旋极信息</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号进取级份额。</w:t>
      </w:r>
    </w:p>
    <w:p>
      <w:pPr>
        <w:spacing w:line="240" w:lineRule="auto" w:before="3"/>
        <w:rPr>
          <w:rFonts w:ascii="宋体" w:hAnsi="宋体" w:cs="宋体" w:eastAsia="宋体" w:hint="default"/>
          <w:sz w:val="21"/>
          <w:szCs w:val="21"/>
        </w:rPr>
      </w:pPr>
    </w:p>
    <w:p>
      <w:pPr>
        <w:pStyle w:val="BodyText"/>
        <w:spacing w:line="386" w:lineRule="auto"/>
        <w:ind w:right="208" w:firstLine="420"/>
        <w:jc w:val="both"/>
      </w:pPr>
      <w:r>
        <w:rPr/>
        <w:t>（</w:t>
      </w:r>
      <w:r>
        <w:rPr>
          <w:rFonts w:ascii="Times New Roman" w:hAnsi="Times New Roman" w:cs="Times New Roman" w:eastAsia="Times New Roman" w:hint="default"/>
        </w:rPr>
        <w:t>4</w:t>
      </w:r>
      <w:r>
        <w:rPr/>
        <w:t>）本次员工持股计划所获标的股票的锁定期为</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个月，自公司公告最后一笔买入过户至集合计划</w:t>
      </w:r>
      <w:r>
        <w:rPr>
          <w:w w:val="100"/>
        </w:rPr>
        <w:t> </w:t>
      </w:r>
      <w:r>
        <w:rPr/>
        <w:t>名下之日起计算。</w:t>
      </w:r>
    </w:p>
    <w:p>
      <w:pPr>
        <w:spacing w:line="240" w:lineRule="auto" w:before="12"/>
        <w:rPr>
          <w:rFonts w:ascii="宋体" w:hAnsi="宋体" w:cs="宋体" w:eastAsia="宋体" w:hint="default"/>
          <w:sz w:val="14"/>
          <w:szCs w:val="14"/>
        </w:rPr>
      </w:pPr>
    </w:p>
    <w:p>
      <w:pPr>
        <w:pStyle w:val="Heading3"/>
        <w:spacing w:line="240" w:lineRule="auto"/>
        <w:ind w:right="0"/>
        <w:jc w:val="both"/>
      </w:pPr>
      <w:r>
        <w:rPr>
          <w:rFonts w:ascii="Times New Roman" w:hAnsi="Times New Roman" w:cs="Times New Roman" w:eastAsia="Times New Roman" w:hint="default"/>
        </w:rPr>
        <w:t>2</w:t>
      </w:r>
      <w:r>
        <w:rPr/>
        <w:t>、员工持股计划已履行的决策程序和批准情况</w:t>
      </w:r>
    </w:p>
    <w:p>
      <w:pPr>
        <w:spacing w:line="240" w:lineRule="auto" w:before="3"/>
        <w:rPr>
          <w:rFonts w:ascii="黑体" w:hAnsi="黑体" w:cs="黑体" w:eastAsia="黑体" w:hint="default"/>
          <w:sz w:val="24"/>
          <w:szCs w:val="24"/>
        </w:rPr>
      </w:pPr>
    </w:p>
    <w:p>
      <w:pPr>
        <w:pStyle w:val="BodyText"/>
        <w:spacing w:line="398" w:lineRule="auto"/>
        <w:ind w:right="208"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日，公司召开了第三届董事会第九次会议，审议通过了《关于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年第一期员工</w:t>
      </w:r>
      <w:r>
        <w:rPr>
          <w:w w:val="100"/>
        </w:rPr>
        <w:t> </w:t>
      </w:r>
      <w:r>
        <w:rPr>
          <w:spacing w:val="-2"/>
          <w:w w:val="100"/>
        </w:rPr>
        <w:t>持股计划（草案）》及摘要的议案、关于提请股东大会授权董事会办理第一期员工持股计划相关事宜的议</w:t>
      </w:r>
      <w:r>
        <w:rPr>
          <w:spacing w:val="-94"/>
          <w:w w:val="100"/>
        </w:rPr>
        <w:t> </w:t>
      </w:r>
      <w:r>
        <w:rPr>
          <w:spacing w:val="-94"/>
          <w:w w:val="100"/>
        </w:rPr>
      </w:r>
      <w:r>
        <w:rPr/>
        <w:t>案，独立董事就此事项发表了明确意见。</w:t>
      </w:r>
    </w:p>
    <w:p>
      <w:pPr>
        <w:pStyle w:val="BodyText"/>
        <w:spacing w:line="398" w:lineRule="auto" w:before="153"/>
        <w:ind w:right="208"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日，公司召开</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3"/>
        </w:rPr>
        <w:t>年第四次临时股东大会，审议通过了《关于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年第一期员</w:t>
      </w:r>
      <w:r>
        <w:rPr>
          <w:w w:val="100"/>
        </w:rPr>
        <w:t> </w:t>
      </w:r>
      <w:r>
        <w:rPr>
          <w:spacing w:val="-2"/>
          <w:w w:val="100"/>
        </w:rPr>
        <w:t>工持股计划（草案）》及摘要的议案、关于提请股东大会授权董事会办理第一期员工持股计划相关事宜的</w:t>
      </w:r>
      <w:r>
        <w:rPr>
          <w:spacing w:val="-90"/>
          <w:w w:val="100"/>
        </w:rPr>
        <w:t> </w:t>
      </w:r>
      <w:r>
        <w:rPr>
          <w:spacing w:val="-90"/>
          <w:w w:val="100"/>
        </w:rPr>
      </w:r>
      <w:r>
        <w:rPr/>
        <w:t>议案。</w:t>
      </w:r>
    </w:p>
    <w:p>
      <w:pPr>
        <w:spacing w:line="240" w:lineRule="auto" w:before="4"/>
        <w:rPr>
          <w:rFonts w:ascii="宋体" w:hAnsi="宋体" w:cs="宋体" w:eastAsia="宋体" w:hint="default"/>
          <w:sz w:val="14"/>
          <w:szCs w:val="14"/>
        </w:rPr>
      </w:pPr>
    </w:p>
    <w:p>
      <w:pPr>
        <w:pStyle w:val="Heading3"/>
        <w:spacing w:line="240" w:lineRule="auto"/>
        <w:ind w:right="0"/>
        <w:jc w:val="both"/>
      </w:pPr>
      <w:r>
        <w:rPr>
          <w:rFonts w:ascii="Times New Roman" w:hAnsi="Times New Roman" w:cs="Times New Roman" w:eastAsia="Times New Roman" w:hint="default"/>
        </w:rPr>
        <w:t>3</w:t>
      </w:r>
      <w:r>
        <w:rPr/>
        <w:t>、员工持股计划股票购买情况</w:t>
      </w:r>
    </w:p>
    <w:p>
      <w:pPr>
        <w:spacing w:line="240" w:lineRule="auto" w:before="1"/>
        <w:rPr>
          <w:rFonts w:ascii="黑体" w:hAnsi="黑体" w:cs="黑体" w:eastAsia="黑体" w:hint="default"/>
          <w:sz w:val="24"/>
          <w:szCs w:val="24"/>
        </w:rPr>
      </w:pPr>
    </w:p>
    <w:p>
      <w:pPr>
        <w:pStyle w:val="BodyText"/>
        <w:spacing w:line="386" w:lineRule="auto"/>
        <w:ind w:right="209"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4"/>
        </w:rPr>
        <w:t>日、</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spacing w:val="-4"/>
        </w:rPr>
        <w:t>日，员工持股计划管理人广发证券资产管理（广东）有限公司通</w:t>
      </w:r>
      <w:r>
        <w:rPr>
          <w:w w:val="100"/>
        </w:rPr>
        <w:t> </w:t>
      </w:r>
      <w:r>
        <w:rPr>
          <w:spacing w:val="-3"/>
        </w:rPr>
        <w:t>过二级市场竞价交易、大宗交易的方式，共计买入旋极信息股票</w:t>
      </w:r>
      <w:r>
        <w:rPr>
          <w:spacing w:val="-38"/>
        </w:rPr>
        <w:t> </w:t>
      </w:r>
      <w:r>
        <w:rPr>
          <w:rFonts w:ascii="Times New Roman" w:hAnsi="Times New Roman" w:cs="Times New Roman" w:eastAsia="Times New Roman" w:hint="default"/>
        </w:rPr>
        <w:t>2,722,979</w:t>
      </w:r>
      <w:r>
        <w:rPr>
          <w:rFonts w:ascii="Times New Roman" w:hAnsi="Times New Roman" w:cs="Times New Roman" w:eastAsia="Times New Roman" w:hint="default"/>
          <w:spacing w:val="1"/>
        </w:rPr>
        <w:t> </w:t>
      </w:r>
      <w:r>
        <w:rPr>
          <w:spacing w:val="-4"/>
        </w:rPr>
        <w:t>股，占公司总股本的</w:t>
      </w:r>
      <w:r>
        <w:rPr>
          <w:spacing w:val="-38"/>
        </w:rPr>
        <w:t> </w:t>
      </w:r>
      <w:r>
        <w:rPr>
          <w:rFonts w:ascii="Times New Roman" w:hAnsi="Times New Roman" w:cs="Times New Roman" w:eastAsia="Times New Roman" w:hint="default"/>
          <w:spacing w:val="-8"/>
        </w:rPr>
        <w:t>0.58%</w:t>
      </w:r>
      <w:r>
        <w:rPr>
          <w:spacing w:val="-8"/>
        </w:rPr>
        <w:t>，购</w:t>
      </w:r>
      <w:r>
        <w:rPr>
          <w:spacing w:val="-92"/>
        </w:rPr>
        <w:t> </w:t>
      </w:r>
      <w:r>
        <w:rPr/>
        <w:t>买均价为</w:t>
      </w:r>
      <w:r>
        <w:rPr>
          <w:spacing w:val="-53"/>
        </w:rPr>
        <w:t> </w:t>
      </w:r>
      <w:r>
        <w:rPr>
          <w:rFonts w:ascii="Times New Roman" w:hAnsi="Times New Roman" w:cs="Times New Roman" w:eastAsia="Times New Roman" w:hint="default"/>
        </w:rPr>
        <w:t>34.86</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股。公司第一期员工持股计划已完成股票购买，股票锁定期至</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3"/>
        </w:rPr>
        <w:t>日止。</w:t>
      </w:r>
      <w:r>
        <w:rPr/>
      </w:r>
    </w:p>
    <w:p>
      <w:pPr>
        <w:pStyle w:val="BodyText"/>
        <w:spacing w:line="240" w:lineRule="auto" w:before="136"/>
        <w:ind w:left="573" w:right="100"/>
        <w:jc w:val="left"/>
      </w:pPr>
      <w:r>
        <w:rPr/>
        <w:t>根据公司</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日召开的</w:t>
      </w:r>
      <w:r>
        <w:rPr>
          <w:spacing w:val="-3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年年度股东大会审议通过的《</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年年度利润分配方案的议</w:t>
      </w:r>
    </w:p>
    <w:p>
      <w:pPr>
        <w:pStyle w:val="BodyText"/>
        <w:spacing w:line="240" w:lineRule="auto" w:before="177"/>
        <w:ind w:right="0"/>
        <w:jc w:val="both"/>
      </w:pPr>
      <w:r>
        <w:rPr>
          <w:w w:val="100"/>
        </w:rPr>
        <w:t>案</w:t>
      </w:r>
      <w:r>
        <w:rPr>
          <w:spacing w:val="-106"/>
          <w:w w:val="100"/>
        </w:rPr>
        <w:t>》</w:t>
      </w:r>
      <w:r>
        <w:rPr>
          <w:spacing w:val="-32"/>
          <w:w w:val="100"/>
        </w:rPr>
        <w:t>：</w:t>
      </w:r>
      <w:r>
        <w:rPr>
          <w:w w:val="100"/>
        </w:rPr>
        <w:t>以</w:t>
      </w:r>
      <w:r>
        <w:rPr>
          <w:spacing w:val="-3"/>
          <w:w w:val="100"/>
        </w:rPr>
        <w:t>公</w:t>
      </w:r>
      <w:r>
        <w:rPr>
          <w:w w:val="100"/>
        </w:rPr>
        <w:t>司</w:t>
      </w:r>
      <w:r>
        <w:rPr>
          <w:spacing w:val="-3"/>
          <w:w w:val="100"/>
        </w:rPr>
        <w:t>总</w:t>
      </w:r>
      <w:r>
        <w:rPr>
          <w:w w:val="100"/>
        </w:rPr>
        <w:t>股本</w:t>
      </w:r>
      <w:r>
        <w:rPr>
          <w:spacing w:val="-24"/>
        </w:rPr>
        <w:t> </w:t>
      </w:r>
      <w:r>
        <w:rPr>
          <w:rFonts w:ascii="Times New Roman" w:hAnsi="Times New Roman" w:cs="Times New Roman" w:eastAsia="Times New Roman" w:hint="default"/>
          <w:w w:val="100"/>
        </w:rPr>
        <w:t>499,</w:t>
      </w:r>
      <w:r>
        <w:rPr>
          <w:rFonts w:ascii="Times New Roman" w:hAnsi="Times New Roman" w:cs="Times New Roman" w:eastAsia="Times New Roman" w:hint="default"/>
          <w:spacing w:val="-3"/>
          <w:w w:val="100"/>
        </w:rPr>
        <w:t>98</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10"/>
        </w:rPr>
        <w:t> </w:t>
      </w:r>
      <w:r>
        <w:rPr>
          <w:spacing w:val="-3"/>
          <w:w w:val="100"/>
        </w:rPr>
        <w:t>股</w:t>
      </w:r>
      <w:r>
        <w:rPr>
          <w:w w:val="100"/>
        </w:rPr>
        <w:t>为</w:t>
      </w:r>
      <w:r>
        <w:rPr>
          <w:spacing w:val="-3"/>
          <w:w w:val="100"/>
        </w:rPr>
        <w:t>基</w:t>
      </w:r>
      <w:r>
        <w:rPr>
          <w:w w:val="100"/>
        </w:rPr>
        <w:t>数</w:t>
      </w:r>
      <w:r>
        <w:rPr>
          <w:spacing w:val="-32"/>
          <w:w w:val="100"/>
        </w:rPr>
        <w:t>，</w:t>
      </w:r>
      <w:r>
        <w:rPr>
          <w:w w:val="100"/>
        </w:rPr>
        <w:t>向</w:t>
      </w:r>
      <w:r>
        <w:rPr>
          <w:spacing w:val="-3"/>
          <w:w w:val="100"/>
        </w:rPr>
        <w:t>全</w:t>
      </w:r>
      <w:r>
        <w:rPr>
          <w:w w:val="100"/>
        </w:rPr>
        <w:t>体</w:t>
      </w:r>
      <w:r>
        <w:rPr>
          <w:spacing w:val="-3"/>
          <w:w w:val="100"/>
        </w:rPr>
        <w:t>股</w:t>
      </w:r>
      <w:r>
        <w:rPr>
          <w:w w:val="100"/>
        </w:rPr>
        <w:t>东实</w:t>
      </w:r>
      <w:r>
        <w:rPr>
          <w:spacing w:val="-3"/>
          <w:w w:val="100"/>
        </w:rPr>
        <w:t>施</w:t>
      </w:r>
      <w:r>
        <w:rPr>
          <w:w w:val="100"/>
        </w:rPr>
        <w:t>每</w:t>
      </w:r>
      <w:r>
        <w:rPr>
          <w:spacing w:val="-21"/>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股</w:t>
      </w:r>
      <w:r>
        <w:rPr>
          <w:spacing w:val="-3"/>
          <w:w w:val="100"/>
        </w:rPr>
        <w:t>派</w:t>
      </w:r>
      <w:r>
        <w:rPr>
          <w:w w:val="100"/>
        </w:rPr>
        <w:t>发</w:t>
      </w:r>
      <w:r>
        <w:rPr>
          <w:spacing w:val="-3"/>
          <w:w w:val="100"/>
        </w:rPr>
        <w:t>现金</w:t>
      </w:r>
      <w:r>
        <w:rPr>
          <w:w w:val="100"/>
        </w:rPr>
        <w:t>股利</w:t>
      </w:r>
      <w:r>
        <w:rPr>
          <w:spacing w:val="-2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42</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32"/>
          <w:w w:val="100"/>
        </w:rPr>
        <w:t>元</w:t>
      </w:r>
      <w:r>
        <w:rPr>
          <w:w w:val="100"/>
        </w:rPr>
        <w:t>（</w:t>
      </w:r>
      <w:r>
        <w:rPr>
          <w:spacing w:val="-3"/>
          <w:w w:val="100"/>
        </w:rPr>
        <w:t>含</w:t>
      </w:r>
      <w:r>
        <w:rPr>
          <w:w w:val="100"/>
        </w:rPr>
        <w:t>税</w:t>
      </w:r>
      <w:r>
        <w:rPr>
          <w:spacing w:val="-108"/>
          <w:w w:val="100"/>
        </w:rPr>
        <w:t>）</w:t>
      </w:r>
      <w:r>
        <w:rPr>
          <w:spacing w:val="-29"/>
          <w:w w:val="100"/>
        </w:rPr>
        <w:t>；</w:t>
      </w:r>
      <w:r>
        <w:rPr>
          <w:spacing w:val="-3"/>
          <w:w w:val="100"/>
        </w:rPr>
        <w:t>同</w:t>
      </w:r>
      <w:r>
        <w:rPr>
          <w:w w:val="100"/>
        </w:rPr>
        <w:t>时，</w:t>
      </w:r>
    </w:p>
    <w:p>
      <w:pPr>
        <w:pStyle w:val="BodyText"/>
        <w:spacing w:line="240" w:lineRule="auto" w:before="177"/>
        <w:ind w:right="0"/>
        <w:jc w:val="both"/>
      </w:pPr>
      <w:r>
        <w:rPr/>
        <w:t>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 </w:t>
      </w:r>
      <w:r>
        <w:rPr>
          <w:spacing w:val="-3"/>
        </w:rPr>
        <w:t>股。本次权益分派于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5 </w:t>
      </w:r>
      <w:r>
        <w:rPr>
          <w:rFonts w:ascii="Times New Roman" w:hAnsi="Times New Roman" w:cs="Times New Roman" w:eastAsia="Times New Roman" w:hint="default"/>
          <w:spacing w:val="29"/>
        </w:rPr>
        <w:t> </w:t>
      </w:r>
      <w:r>
        <w:rPr>
          <w:spacing w:val="-3"/>
        </w:rPr>
        <w:t>日实施完毕，已向员工持</w:t>
      </w:r>
    </w:p>
    <w:p>
      <w:pPr>
        <w:pStyle w:val="BodyText"/>
        <w:spacing w:line="240" w:lineRule="auto" w:before="177"/>
        <w:ind w:right="0"/>
        <w:jc w:val="both"/>
      </w:pPr>
      <w:r>
        <w:rPr>
          <w:w w:val="100"/>
        </w:rPr>
        <w:t>股计</w:t>
      </w:r>
      <w:r>
        <w:rPr>
          <w:spacing w:val="-3"/>
          <w:w w:val="100"/>
        </w:rPr>
        <w:t>划</w:t>
      </w:r>
      <w:r>
        <w:rPr>
          <w:w w:val="100"/>
        </w:rPr>
        <w:t>派</w:t>
      </w:r>
      <w:r>
        <w:rPr>
          <w:spacing w:val="-3"/>
          <w:w w:val="100"/>
        </w:rPr>
        <w:t>送</w:t>
      </w:r>
      <w:r>
        <w:rPr>
          <w:w w:val="100"/>
        </w:rPr>
        <w:t>现</w:t>
      </w:r>
      <w:r>
        <w:rPr>
          <w:spacing w:val="-3"/>
          <w:w w:val="100"/>
        </w:rPr>
        <w:t>金</w:t>
      </w:r>
      <w:r>
        <w:rPr>
          <w:w w:val="100"/>
        </w:rPr>
        <w:t>红</w:t>
      </w:r>
      <w:r>
        <w:rPr>
          <w:spacing w:val="-3"/>
          <w:w w:val="100"/>
        </w:rPr>
        <w:t>利</w:t>
      </w:r>
      <w:r>
        <w:rPr>
          <w:w w:val="100"/>
        </w:rPr>
        <w:t>为</w:t>
      </w:r>
      <w:r>
        <w:rPr>
          <w:spacing w:val="-3"/>
          <w:w w:val="100"/>
        </w:rPr>
        <w:t>人</w:t>
      </w:r>
      <w:r>
        <w:rPr>
          <w:w w:val="100"/>
        </w:rPr>
        <w:t>民币</w:t>
      </w:r>
      <w:r>
        <w:rPr>
          <w:spacing w:val="-21"/>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65.12</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元</w:t>
      </w:r>
      <w:r>
        <w:rPr>
          <w:spacing w:val="-3"/>
          <w:w w:val="100"/>
        </w:rPr>
        <w:t>（</w:t>
      </w:r>
      <w:r>
        <w:rPr>
          <w:w w:val="100"/>
        </w:rPr>
        <w:t>含</w:t>
      </w:r>
      <w:r>
        <w:rPr>
          <w:spacing w:val="-3"/>
          <w:w w:val="100"/>
        </w:rPr>
        <w:t>税</w:t>
      </w:r>
      <w:r>
        <w:rPr>
          <w:spacing w:val="-106"/>
          <w:w w:val="100"/>
        </w:rPr>
        <w:t>）</w:t>
      </w:r>
      <w:r>
        <w:rPr>
          <w:w w:val="100"/>
        </w:rPr>
        <w:t>，</w:t>
      </w:r>
      <w:r>
        <w:rPr>
          <w:spacing w:val="-3"/>
          <w:w w:val="100"/>
        </w:rPr>
        <w:t>持</w:t>
      </w:r>
      <w:r>
        <w:rPr>
          <w:w w:val="100"/>
        </w:rPr>
        <w:t>股</w:t>
      </w:r>
      <w:r>
        <w:rPr>
          <w:spacing w:val="-3"/>
          <w:w w:val="100"/>
        </w:rPr>
        <w:t>数</w:t>
      </w:r>
      <w:r>
        <w:rPr>
          <w:w w:val="100"/>
        </w:rPr>
        <w:t>量</w:t>
      </w:r>
      <w:r>
        <w:rPr>
          <w:spacing w:val="-3"/>
          <w:w w:val="100"/>
        </w:rPr>
        <w:t>变</w:t>
      </w:r>
      <w:r>
        <w:rPr>
          <w:w w:val="100"/>
        </w:rPr>
        <w:t>为</w:t>
      </w:r>
      <w:r>
        <w:rPr>
          <w:spacing w:val="-21"/>
        </w:rPr>
        <w:t> </w:t>
      </w:r>
      <w:r>
        <w:rPr>
          <w:rFonts w:ascii="Times New Roman" w:hAnsi="Times New Roman" w:cs="Times New Roman" w:eastAsia="Times New Roman" w:hint="default"/>
          <w:w w:val="100"/>
        </w:rPr>
        <w:t>5,4</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股。</w:t>
      </w:r>
    </w:p>
    <w:p>
      <w:pPr>
        <w:spacing w:line="240" w:lineRule="auto" w:before="10"/>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4</w:t>
      </w:r>
      <w:r>
        <w:rPr/>
        <w:t>、员工持股计划对公司经营能力和财务状况的影响</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t>公司本次员工持股计划对公司的财务状况和经营成果不产生影响。</w:t>
      </w:r>
    </w:p>
    <w:p>
      <w:pPr>
        <w:spacing w:line="240" w:lineRule="auto" w:before="6"/>
        <w:rPr>
          <w:rFonts w:ascii="宋体" w:hAnsi="宋体" w:cs="宋体" w:eastAsia="宋体" w:hint="default"/>
          <w:sz w:val="22"/>
          <w:szCs w:val="22"/>
        </w:rPr>
      </w:pPr>
    </w:p>
    <w:p>
      <w:pPr>
        <w:pStyle w:val="BodyText"/>
        <w:spacing w:line="240" w:lineRule="auto"/>
        <w:ind w:left="573" w:right="100"/>
        <w:jc w:val="left"/>
      </w:pPr>
      <w:r>
        <w:rPr/>
        <w:t>截止</w:t>
      </w:r>
      <w:r>
        <w:rPr>
          <w:spacing w:val="-41"/>
        </w:rPr>
        <w:t> </w:t>
      </w:r>
      <w:r>
        <w:rPr>
          <w:rFonts w:ascii="Times New Roman" w:hAnsi="Times New Roman" w:cs="Times New Roman" w:eastAsia="Times New Roman" w:hint="default"/>
        </w:rPr>
        <w:t>2016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22 </w:t>
      </w:r>
      <w:r>
        <w:rPr>
          <w:spacing w:val="-5"/>
        </w:rPr>
        <w:t>日，公司本次员工持股计划锁定期已满，将结合市场情况择机通过集中竞价、大</w:t>
      </w:r>
    </w:p>
    <w:p>
      <w:pPr>
        <w:pStyle w:val="BodyText"/>
        <w:spacing w:line="398" w:lineRule="auto" w:before="177"/>
        <w:ind w:right="206"/>
        <w:jc w:val="both"/>
      </w:pPr>
      <w:r>
        <w:rPr/>
        <w:t>宗交易等法律法规许可的方式出售</w:t>
      </w:r>
      <w:r>
        <w:rPr>
          <w:rFonts w:ascii="Times New Roman" w:hAnsi="Times New Roman" w:cs="Times New Roman" w:eastAsia="Times New Roman" w:hint="default"/>
        </w:rPr>
        <w:t>“</w:t>
      </w:r>
      <w:r>
        <w:rPr/>
        <w:t>广发原驰</w:t>
      </w:r>
      <w:r>
        <w:rPr>
          <w:rFonts w:ascii="Times New Roman" w:hAnsi="Times New Roman" w:cs="Times New Roman" w:eastAsia="Times New Roman" w:hint="default"/>
        </w:rPr>
        <w:t>•</w:t>
      </w:r>
      <w:r>
        <w:rPr/>
        <w:t>旋极信息</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5"/>
        </w:rPr>
        <w:t>号集合资产管理计划</w:t>
      </w:r>
      <w:r>
        <w:rPr>
          <w:rFonts w:ascii="Times New Roman" w:hAnsi="Times New Roman" w:cs="Times New Roman" w:eastAsia="Times New Roman" w:hint="default"/>
          <w:spacing w:val="-5"/>
        </w:rPr>
        <w:t>”</w:t>
      </w:r>
      <w:r>
        <w:rPr>
          <w:spacing w:val="-5"/>
        </w:rPr>
        <w:t>所持有的股份，并由管理委</w:t>
      </w:r>
      <w:r>
        <w:rPr>
          <w:spacing w:val="-97"/>
        </w:rPr>
        <w:t> </w:t>
      </w:r>
      <w:r>
        <w:rPr>
          <w:spacing w:val="-97"/>
        </w:rPr>
      </w:r>
      <w:r>
        <w:rPr>
          <w:spacing w:val="-2"/>
        </w:rPr>
        <w:t>员会根据《员工持股计划管理办法》的规定和持有人签署的《员工持股计划认购协议书》的约定统一分批</w:t>
      </w:r>
      <w:r>
        <w:rPr>
          <w:spacing w:val="-50"/>
        </w:rPr>
        <w:t> </w:t>
      </w:r>
      <w:r>
        <w:rPr>
          <w:spacing w:val="-50"/>
        </w:rPr>
      </w:r>
      <w:r>
        <w:rPr/>
        <w:t>进行权益分配，兑现持有人因持有计划份额而享有的权益。</w:t>
      </w:r>
    </w:p>
    <w:p>
      <w:pPr>
        <w:spacing w:line="240" w:lineRule="auto" w:before="8"/>
        <w:rPr>
          <w:rFonts w:ascii="宋体" w:hAnsi="宋体" w:cs="宋体" w:eastAsia="宋体" w:hint="default"/>
          <w:sz w:val="25"/>
          <w:szCs w:val="25"/>
        </w:rPr>
      </w:pPr>
    </w:p>
    <w:p>
      <w:pPr>
        <w:pStyle w:val="Heading2"/>
        <w:spacing w:line="240" w:lineRule="auto" w:before="0"/>
        <w:ind w:right="0"/>
        <w:jc w:val="both"/>
      </w:pPr>
      <w:r>
        <w:rPr/>
        <w:t>十五、重大关联交易</w:t>
      </w:r>
    </w:p>
    <w:p>
      <w:pPr>
        <w:spacing w:after="0" w:line="240" w:lineRule="auto"/>
        <w:jc w:val="both"/>
        <w:sectPr>
          <w:pgSz w:w="11910" w:h="16840"/>
          <w:pgMar w:header="882" w:footer="1132" w:top="1280" w:bottom="1320" w:left="980" w:right="920"/>
        </w:sectPr>
      </w:pPr>
    </w:p>
    <w:p>
      <w:pPr>
        <w:spacing w:line="240" w:lineRule="auto" w:before="3"/>
        <w:rPr>
          <w:rFonts w:ascii="黑体" w:hAnsi="黑体" w:cs="黑体" w:eastAsia="黑体" w:hint="default"/>
          <w:sz w:val="12"/>
          <w:szCs w:val="12"/>
        </w:rPr>
      </w:pPr>
    </w:p>
    <w:p>
      <w:pPr>
        <w:pStyle w:val="Heading3"/>
        <w:spacing w:line="240" w:lineRule="auto" w:before="26"/>
        <w:ind w:right="0"/>
        <w:jc w:val="both"/>
      </w:pPr>
      <w:r>
        <w:rPr>
          <w:rFonts w:ascii="Times New Roman" w:hAnsi="Times New Roman" w:cs="Times New Roman" w:eastAsia="Times New Roman" w:hint="default"/>
        </w:rPr>
        <w:t>1</w:t>
      </w:r>
      <w:r>
        <w:rPr/>
        <w:t>、与日常经营相关的关联交易</w:t>
      </w:r>
    </w:p>
    <w:p>
      <w:pPr>
        <w:spacing w:line="240" w:lineRule="auto" w:before="3"/>
        <w:rPr>
          <w:rFonts w:ascii="黑体" w:hAnsi="黑体" w:cs="黑体" w:eastAsia="黑体" w:hint="default"/>
          <w:sz w:val="24"/>
          <w:szCs w:val="24"/>
        </w:rPr>
      </w:pPr>
    </w:p>
    <w:p>
      <w:pPr>
        <w:pStyle w:val="BodyText"/>
        <w:spacing w:line="470" w:lineRule="auto"/>
        <w:ind w:left="573" w:right="48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公司报告期未发生与日常经营相关的关联交易。</w:t>
      </w:r>
    </w:p>
    <w:p>
      <w:pPr>
        <w:pStyle w:val="Heading3"/>
        <w:spacing w:line="240" w:lineRule="auto" w:before="122"/>
        <w:ind w:right="0"/>
        <w:jc w:val="both"/>
      </w:pPr>
      <w:r>
        <w:rPr>
          <w:rFonts w:ascii="Times New Roman" w:hAnsi="Times New Roman" w:cs="Times New Roman" w:eastAsia="Times New Roman" w:hint="default"/>
        </w:rPr>
        <w:t>2</w:t>
      </w:r>
      <w:r>
        <w:rPr/>
        <w:t>、资产或股权收购、出售发生的关联交易</w:t>
      </w:r>
    </w:p>
    <w:p>
      <w:pPr>
        <w:spacing w:line="240" w:lineRule="auto" w:before="3"/>
        <w:rPr>
          <w:rFonts w:ascii="黑体" w:hAnsi="黑体" w:cs="黑体" w:eastAsia="黑体" w:hint="default"/>
          <w:sz w:val="24"/>
          <w:szCs w:val="24"/>
        </w:rPr>
      </w:pPr>
    </w:p>
    <w:p>
      <w:pPr>
        <w:pStyle w:val="BodyText"/>
        <w:spacing w:line="468" w:lineRule="auto"/>
        <w:ind w:left="573" w:right="29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公司报告期未发生资产或股权收购、出售的关联交易。</w:t>
      </w:r>
    </w:p>
    <w:p>
      <w:pPr>
        <w:pStyle w:val="Heading3"/>
        <w:spacing w:line="240" w:lineRule="auto" w:before="127"/>
        <w:ind w:right="0"/>
        <w:jc w:val="both"/>
      </w:pPr>
      <w:r>
        <w:rPr>
          <w:rFonts w:ascii="Times New Roman" w:hAnsi="Times New Roman" w:cs="Times New Roman" w:eastAsia="Times New Roman" w:hint="default"/>
        </w:rPr>
        <w:t>3</w:t>
      </w:r>
      <w:r>
        <w:rPr/>
        <w:t>、共同对外投资的关联交易</w:t>
      </w:r>
    </w:p>
    <w:p>
      <w:pPr>
        <w:spacing w:line="240" w:lineRule="auto" w:before="1"/>
        <w:rPr>
          <w:rFonts w:ascii="黑体" w:hAnsi="黑体" w:cs="黑体" w:eastAsia="黑体" w:hint="default"/>
          <w:sz w:val="24"/>
          <w:szCs w:val="24"/>
        </w:rPr>
      </w:pPr>
    </w:p>
    <w:p>
      <w:pPr>
        <w:pStyle w:val="BodyText"/>
        <w:spacing w:line="470" w:lineRule="auto"/>
        <w:ind w:left="573" w:right="48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pStyle w:val="Heading3"/>
        <w:spacing w:line="240" w:lineRule="auto" w:before="124"/>
        <w:ind w:right="0"/>
        <w:jc w:val="both"/>
      </w:pPr>
      <w:r>
        <w:rPr>
          <w:rFonts w:ascii="Times New Roman" w:hAnsi="Times New Roman" w:cs="Times New Roman" w:eastAsia="Times New Roman" w:hint="default"/>
        </w:rPr>
        <w:t>4</w:t>
      </w:r>
      <w:r>
        <w:rPr/>
        <w:t>、关联债权债务往来</w:t>
      </w:r>
    </w:p>
    <w:p>
      <w:pPr>
        <w:spacing w:line="240" w:lineRule="auto" w:before="1"/>
        <w:rPr>
          <w:rFonts w:ascii="黑体" w:hAnsi="黑体" w:cs="黑体" w:eastAsia="黑体" w:hint="default"/>
          <w:sz w:val="24"/>
          <w:szCs w:val="24"/>
        </w:rPr>
      </w:pPr>
    </w:p>
    <w:p>
      <w:pPr>
        <w:pStyle w:val="BodyText"/>
        <w:spacing w:line="470" w:lineRule="auto"/>
        <w:ind w:left="573" w:right="57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公司报告期不存在关联债权债务往来。</w:t>
      </w:r>
    </w:p>
    <w:p>
      <w:pPr>
        <w:pStyle w:val="Heading3"/>
        <w:spacing w:line="240" w:lineRule="auto" w:before="122"/>
        <w:ind w:right="0"/>
        <w:jc w:val="both"/>
      </w:pPr>
      <w:r>
        <w:rPr>
          <w:rFonts w:ascii="Times New Roman" w:hAnsi="Times New Roman" w:cs="Times New Roman" w:eastAsia="Times New Roman" w:hint="default"/>
        </w:rPr>
        <w:t>5</w:t>
      </w:r>
      <w:r>
        <w:rPr/>
        <w:t>、其他重大关联交易</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573" w:right="10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3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3"/>
        </w:rPr>
        <w:t>日，公司召开第三届董事会第三十九次会议，审议通过了《关于控股子公司参与</w:t>
      </w:r>
    </w:p>
    <w:p>
      <w:pPr>
        <w:pStyle w:val="BodyText"/>
        <w:spacing w:line="393" w:lineRule="auto" w:before="177"/>
        <w:ind w:right="206"/>
        <w:jc w:val="both"/>
      </w:pPr>
      <w:r>
        <w:rPr>
          <w:spacing w:val="-4"/>
          <w:w w:val="100"/>
        </w:rPr>
        <w:t>投资北京都在哪智慧城市科技有限公司暨关联交易的议案》，同意控股子公司旋极伏羲出资</w:t>
      </w:r>
      <w:r>
        <w:rPr>
          <w:w w:val="100"/>
        </w:rPr>
        <w:t> </w:t>
      </w:r>
      <w:r>
        <w:rPr>
          <w:rFonts w:ascii="Times New Roman" w:hAnsi="Times New Roman" w:cs="Times New Roman" w:eastAsia="Times New Roman" w:hint="default"/>
          <w:w w:val="100"/>
        </w:rPr>
        <w:t>310</w:t>
      </w:r>
      <w:r>
        <w:rPr>
          <w:rFonts w:ascii="Times New Roman" w:hAnsi="Times New Roman" w:cs="Times New Roman" w:eastAsia="Times New Roman" w:hint="default"/>
          <w:spacing w:val="27"/>
          <w:w w:val="100"/>
        </w:rPr>
        <w:t> </w:t>
      </w:r>
      <w:r>
        <w:rPr>
          <w:spacing w:val="-2"/>
          <w:w w:val="100"/>
        </w:rPr>
        <w:t>万元，与</w:t>
      </w:r>
      <w:r>
        <w:rPr>
          <w:w w:val="100"/>
        </w:rPr>
        <w:t> </w:t>
      </w:r>
      <w:r>
        <w:rPr>
          <w:spacing w:val="-2"/>
        </w:rPr>
        <w:t>北京都在哪网讯科技有限公司、武汉力龙信息科技股份有限公司联合成立北京都在哪智慧城市科技有限公</w:t>
      </w:r>
      <w:r>
        <w:rPr>
          <w:spacing w:val="-43"/>
        </w:rPr>
        <w:t> </w:t>
      </w:r>
      <w:r>
        <w:rPr>
          <w:spacing w:val="-43"/>
        </w:rPr>
      </w:r>
      <w:r>
        <w:rPr/>
        <w:t>司。出资后，旋极伏羲持有北京都在哪智慧城市科技有限公司</w:t>
      </w:r>
      <w:r>
        <w:rPr>
          <w:spacing w:val="-54"/>
        </w:rPr>
        <w:t> </w:t>
      </w:r>
      <w:r>
        <w:rPr>
          <w:rFonts w:ascii="Times New Roman" w:hAnsi="Times New Roman" w:cs="Times New Roman" w:eastAsia="Times New Roman" w:hint="default"/>
        </w:rPr>
        <w:t>31%</w:t>
      </w:r>
      <w:r>
        <w:rPr/>
        <w:t>股权。详见公司于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日在</w:t>
      </w:r>
      <w:r>
        <w:rPr>
          <w:w w:val="100"/>
        </w:rPr>
        <w:t> </w:t>
      </w:r>
      <w:r>
        <w:rPr>
          <w:spacing w:val="-4"/>
          <w:w w:val="100"/>
        </w:rPr>
        <w:t>巨潮资讯网披露的《关于控股子公司参与投资北京都在哪智慧城市科技有限公司暨关联交易的公告》。</w:t>
      </w:r>
    </w:p>
    <w:p>
      <w:pPr>
        <w:pStyle w:val="BodyText"/>
        <w:spacing w:line="398" w:lineRule="auto" w:before="159"/>
        <w:ind w:right="20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日，北京都在哪智慧城市科技有限公司完成了相关工商变更登记手续，并领取了北京</w:t>
      </w:r>
      <w:r>
        <w:rPr>
          <w:w w:val="100"/>
        </w:rPr>
        <w:t> </w:t>
      </w:r>
      <w:r>
        <w:rPr>
          <w:spacing w:val="-2"/>
          <w:w w:val="100"/>
        </w:rPr>
        <w:t>市工商行政管理局换发的《企业法人营业执照》。详见公司于同日在巨潮资讯网披露的《关于北京都在哪</w:t>
      </w:r>
      <w:r>
        <w:rPr>
          <w:spacing w:val="-94"/>
          <w:w w:val="100"/>
        </w:rPr>
        <w:t> </w:t>
      </w:r>
      <w:r>
        <w:rPr>
          <w:spacing w:val="-94"/>
          <w:w w:val="100"/>
        </w:rPr>
      </w:r>
      <w:r>
        <w:rPr>
          <w:spacing w:val="-7"/>
          <w:w w:val="100"/>
        </w:rPr>
        <w:t>智慧城市科技有限公司完成工商登记的公告》。</w:t>
      </w:r>
    </w:p>
    <w:p>
      <w:pPr>
        <w:pStyle w:val="BodyText"/>
        <w:spacing w:line="240" w:lineRule="auto" w:before="155"/>
        <w:ind w:left="573" w:right="10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日，公司控股股东、实际控制人陈江涛先生为泰豪智能提供</w:t>
      </w:r>
      <w:r>
        <w:rPr>
          <w:spacing w:val="-21"/>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29"/>
        </w:rPr>
        <w:t> </w:t>
      </w:r>
      <w:r>
        <w:rPr/>
        <w:t>万元的无偿</w:t>
      </w:r>
    </w:p>
    <w:p>
      <w:pPr>
        <w:pStyle w:val="BodyText"/>
        <w:spacing w:line="386" w:lineRule="auto" w:before="177"/>
        <w:ind w:right="102"/>
        <w:jc w:val="left"/>
      </w:pPr>
      <w:r>
        <w:rPr/>
        <w:t>财务资助，期限自</w:t>
      </w:r>
      <w:r>
        <w:rPr>
          <w:spacing w:val="-2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9"/>
        </w:rPr>
        <w:t> </w:t>
      </w:r>
      <w:r>
        <w:rPr/>
        <w:t>年</w:t>
      </w:r>
      <w:r>
        <w:rPr>
          <w:spacing w:val="-20"/>
        </w:rPr>
        <w:t>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月</w:t>
      </w:r>
      <w:r>
        <w:rPr>
          <w:spacing w:val="-20"/>
        </w:rPr>
        <w:t> </w:t>
      </w:r>
      <w:r>
        <w:rPr>
          <w:rFonts w:ascii="Times New Roman" w:hAnsi="Times New Roman" w:cs="Times New Roman" w:eastAsia="Times New Roman" w:hint="default"/>
        </w:rPr>
        <w:t>21</w:t>
      </w:r>
      <w:r>
        <w:rPr>
          <w:rFonts w:ascii="Times New Roman" w:hAnsi="Times New Roman" w:cs="Times New Roman" w:eastAsia="Times New Roman" w:hint="default"/>
          <w:spacing w:val="32"/>
        </w:rPr>
        <w:t> </w:t>
      </w:r>
      <w:r>
        <w:rPr/>
        <w:t>日至</w:t>
      </w:r>
      <w:r>
        <w:rPr>
          <w:spacing w:val="-2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w:t>
      </w:r>
      <w:r>
        <w:rPr>
          <w:spacing w:val="-23"/>
        </w:rPr>
        <w:t> </w:t>
      </w: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月</w:t>
      </w:r>
      <w:r>
        <w:rPr>
          <w:spacing w:val="-20"/>
        </w:rPr>
        <w:t> </w:t>
      </w:r>
      <w:r>
        <w:rPr>
          <w:rFonts w:ascii="Times New Roman" w:hAnsi="Times New Roman" w:cs="Times New Roman" w:eastAsia="Times New Roman" w:hint="default"/>
        </w:rPr>
        <w:t>20</w:t>
      </w:r>
      <w:r>
        <w:rPr>
          <w:rFonts w:ascii="Times New Roman" w:hAnsi="Times New Roman" w:cs="Times New Roman" w:eastAsia="Times New Roman" w:hint="default"/>
          <w:spacing w:val="32"/>
        </w:rPr>
        <w:t> </w:t>
      </w:r>
      <w:r>
        <w:rPr/>
        <w:t>日，用于泰豪智能的日常经营。详见公司于同</w:t>
      </w:r>
      <w:r>
        <w:rPr>
          <w:spacing w:val="-103"/>
        </w:rPr>
        <w:t> </w:t>
      </w:r>
      <w:r>
        <w:rPr>
          <w:spacing w:val="-103"/>
        </w:rPr>
      </w:r>
      <w:r>
        <w:rPr>
          <w:spacing w:val="-3"/>
          <w:w w:val="100"/>
        </w:rPr>
        <w:t>日在巨潮资讯网披露的《关于控股股东为公司全资子公司无偿提供财务资助的公告</w:t>
      </w:r>
      <w:r>
        <w:rPr>
          <w:spacing w:val="-16"/>
          <w:w w:val="100"/>
        </w:rPr>
        <w:t> 》。截止本报告披露日，</w:t>
      </w:r>
    </w:p>
    <w:p>
      <w:pPr>
        <w:spacing w:after="0" w:line="386"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11"/>
        <w:jc w:val="left"/>
      </w:pPr>
      <w:r>
        <w:rPr/>
        <w:t>泰豪智能已及时归还该笔借款。</w:t>
      </w:r>
    </w:p>
    <w:p>
      <w:pPr>
        <w:spacing w:line="240" w:lineRule="auto" w:before="6"/>
        <w:rPr>
          <w:rFonts w:ascii="宋体" w:hAnsi="宋体" w:cs="宋体" w:eastAsia="宋体" w:hint="default"/>
          <w:sz w:val="22"/>
          <w:szCs w:val="22"/>
        </w:rPr>
      </w:pPr>
    </w:p>
    <w:p>
      <w:pPr>
        <w:pStyle w:val="BodyText"/>
        <w:spacing w:line="396" w:lineRule="auto"/>
        <w:ind w:right="146" w:firstLine="42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38"/>
        </w:rPr>
        <w:t> </w:t>
      </w:r>
      <w:r>
        <w:rPr>
          <w:rFonts w:ascii="Times New Roman" w:hAnsi="Times New Roman" w:cs="Times New Roman" w:eastAsia="Times New Roman" w:hint="default"/>
        </w:rPr>
        <w:t>31 </w:t>
      </w:r>
      <w:r>
        <w:rPr>
          <w:spacing w:val="-3"/>
        </w:rPr>
        <w:t>日，公司召开第三届董事会第四十七次会议，审议通过了《关于百望股份有限公</w:t>
      </w:r>
      <w:r>
        <w:rPr>
          <w:w w:val="100"/>
        </w:rPr>
        <w:t> </w:t>
      </w:r>
      <w:r>
        <w:rPr>
          <w:spacing w:val="-2"/>
          <w:w w:val="100"/>
        </w:rPr>
        <w:t>司股权转让暨关联交易的议案》，董事会同意百望股份设置两个员工持股平台。其中，员工持股平台一持</w:t>
      </w:r>
      <w:r>
        <w:rPr>
          <w:spacing w:val="-94"/>
          <w:w w:val="100"/>
        </w:rPr>
        <w:t> </w:t>
      </w:r>
      <w:r>
        <w:rPr>
          <w:spacing w:val="-94"/>
          <w:w w:val="100"/>
        </w:rPr>
      </w:r>
      <w:r>
        <w:rPr/>
        <w:t>有百望股份 </w:t>
      </w:r>
      <w:r>
        <w:rPr>
          <w:rFonts w:ascii="Times New Roman" w:hAnsi="Times New Roman" w:cs="Times New Roman" w:eastAsia="Times New Roman" w:hint="default"/>
        </w:rPr>
        <w:t>15%</w:t>
      </w:r>
      <w:r>
        <w:rPr/>
        <w:t>股份。股份来源为现有全体股东按持股比例向员工持股平台一转让，其中公司转让</w:t>
      </w:r>
      <w:r>
        <w:rPr>
          <w:spacing w:val="-13"/>
        </w:rPr>
        <w:t> </w:t>
      </w:r>
      <w:r>
        <w:rPr>
          <w:rFonts w:ascii="Times New Roman" w:hAnsi="Times New Roman" w:cs="Times New Roman" w:eastAsia="Times New Roman" w:hint="default"/>
        </w:rPr>
        <w:t>4.5%</w:t>
      </w:r>
      <w:r>
        <w:rPr>
          <w:rFonts w:ascii="Times New Roman" w:hAnsi="Times New Roman" w:cs="Times New Roman" w:eastAsia="Times New Roman" w:hint="default"/>
          <w:w w:val="100"/>
        </w:rPr>
        <w:t> </w:t>
      </w:r>
      <w:r>
        <w:rPr>
          <w:spacing w:val="-3"/>
        </w:rPr>
        <w:t>股份；员工持股平台二持有百望股份</w:t>
      </w:r>
      <w:r>
        <w:rPr/>
        <w:t> </w:t>
      </w:r>
      <w:r>
        <w:rPr>
          <w:rFonts w:ascii="Times New Roman" w:hAnsi="Times New Roman" w:cs="Times New Roman" w:eastAsia="Times New Roman" w:hint="default"/>
          <w:spacing w:val="-2"/>
        </w:rPr>
        <w:t>17%</w:t>
      </w:r>
      <w:r>
        <w:rPr>
          <w:spacing w:val="-2"/>
        </w:rPr>
        <w:t>股份。股份来源为刘明先生与陆振华先生持有的剩余股份向员工</w:t>
      </w:r>
      <w:r>
        <w:rPr>
          <w:spacing w:val="-96"/>
        </w:rPr>
        <w:t> </w:t>
      </w:r>
      <w:r>
        <w:rPr>
          <w:spacing w:val="-96"/>
        </w:rPr>
      </w:r>
      <w:r>
        <w:rPr>
          <w:spacing w:val="-2"/>
        </w:rPr>
        <w:t>持股平台二转让，转让后，刘明先生及陆振华先生不再持有百望股份股权；刘明先生向两个员工持股平台</w:t>
      </w:r>
      <w:r>
        <w:rPr>
          <w:spacing w:val="-44"/>
        </w:rPr>
        <w:t> </w:t>
      </w:r>
      <w:r>
        <w:rPr>
          <w:spacing w:val="-44"/>
        </w:rPr>
      </w:r>
      <w:r>
        <w:rPr/>
        <w:t>转让其持有的百望股份全部股权，股权比例共计</w:t>
      </w:r>
      <w:r>
        <w:rPr>
          <w:spacing w:val="-55"/>
        </w:rPr>
        <w:t> </w:t>
      </w:r>
      <w:r>
        <w:rPr>
          <w:rFonts w:ascii="Times New Roman" w:hAnsi="Times New Roman" w:cs="Times New Roman" w:eastAsia="Times New Roman" w:hint="default"/>
        </w:rPr>
        <w:t>10%</w:t>
      </w:r>
      <w:r>
        <w:rPr/>
        <w:t>。详见公司于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日在巨潮资讯网披露的</w:t>
      </w:r>
    </w:p>
    <w:p>
      <w:pPr>
        <w:pStyle w:val="BodyText"/>
        <w:spacing w:line="240" w:lineRule="auto" w:before="26"/>
        <w:ind w:right="11"/>
        <w:jc w:val="left"/>
        <w:rPr>
          <w:rFonts w:ascii="Times New Roman" w:hAnsi="Times New Roman" w:cs="Times New Roman" w:eastAsia="Times New Roman" w:hint="default"/>
        </w:rPr>
      </w:pPr>
      <w:r>
        <w:rPr>
          <w:w w:val="100"/>
        </w:rPr>
        <w:t>《关</w:t>
      </w:r>
      <w:r>
        <w:rPr>
          <w:spacing w:val="-3"/>
          <w:w w:val="100"/>
        </w:rPr>
        <w:t>于</w:t>
      </w:r>
      <w:r>
        <w:rPr>
          <w:w w:val="100"/>
        </w:rPr>
        <w:t>百</w:t>
      </w:r>
      <w:r>
        <w:rPr>
          <w:spacing w:val="-3"/>
          <w:w w:val="100"/>
        </w:rPr>
        <w:t>望</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股权</w:t>
      </w:r>
      <w:r>
        <w:rPr>
          <w:spacing w:val="-3"/>
          <w:w w:val="100"/>
        </w:rPr>
        <w:t>转</w:t>
      </w:r>
      <w:r>
        <w:rPr>
          <w:w w:val="100"/>
        </w:rPr>
        <w:t>让</w:t>
      </w:r>
      <w:r>
        <w:rPr>
          <w:spacing w:val="-3"/>
          <w:w w:val="100"/>
        </w:rPr>
        <w:t>暨</w:t>
      </w:r>
      <w:r>
        <w:rPr>
          <w:w w:val="100"/>
        </w:rPr>
        <w:t>关</w:t>
      </w:r>
      <w:r>
        <w:rPr>
          <w:spacing w:val="-3"/>
          <w:w w:val="100"/>
        </w:rPr>
        <w:t>联</w:t>
      </w:r>
      <w:r>
        <w:rPr>
          <w:w w:val="100"/>
        </w:rPr>
        <w:t>交</w:t>
      </w:r>
      <w:r>
        <w:rPr>
          <w:spacing w:val="-3"/>
          <w:w w:val="100"/>
        </w:rPr>
        <w:t>易</w:t>
      </w:r>
      <w:r>
        <w:rPr>
          <w:w w:val="100"/>
        </w:rPr>
        <w:t>的</w:t>
      </w:r>
      <w:r>
        <w:rPr>
          <w:spacing w:val="-3"/>
          <w:w w:val="100"/>
        </w:rPr>
        <w:t>公</w:t>
      </w:r>
      <w:r>
        <w:rPr>
          <w:w w:val="100"/>
        </w:rPr>
        <w:t>告</w:t>
      </w:r>
      <w:r>
        <w:rPr>
          <w:spacing w:val="-21"/>
        </w:rPr>
        <w:t> </w:t>
      </w:r>
      <w:r>
        <w:rPr>
          <w:spacing w:val="-106"/>
          <w:w w:val="100"/>
        </w:rPr>
        <w:t>》</w:t>
      </w:r>
      <w:r>
        <w:rPr>
          <w:spacing w:val="-70"/>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2"/>
        </w:rPr>
        <w:t> </w:t>
      </w:r>
      <w:r>
        <w:rPr>
          <w:w w:val="100"/>
        </w:rPr>
        <w:t>年</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rPr>
        <w:t> </w:t>
      </w:r>
      <w:r>
        <w:rPr>
          <w:w w:val="100"/>
        </w:rPr>
        <w:t>月</w:t>
      </w:r>
      <w:r>
        <w:rPr>
          <w:spacing w:val="-72"/>
          <w:w w:val="100"/>
        </w:rPr>
        <w:t>，</w:t>
      </w:r>
      <w:r>
        <w:rPr>
          <w:w w:val="100"/>
        </w:rPr>
        <w:t>百</w:t>
      </w:r>
      <w:r>
        <w:rPr>
          <w:spacing w:val="-3"/>
          <w:w w:val="100"/>
        </w:rPr>
        <w:t>望股</w:t>
      </w:r>
      <w:r>
        <w:rPr>
          <w:w w:val="100"/>
        </w:rPr>
        <w:t>份向</w:t>
      </w:r>
      <w:r>
        <w:rPr>
          <w:spacing w:val="-3"/>
          <w:w w:val="100"/>
        </w:rPr>
        <w:t>员</w:t>
      </w:r>
      <w:r>
        <w:rPr>
          <w:w w:val="100"/>
        </w:rPr>
        <w:t>工</w:t>
      </w:r>
      <w:r>
        <w:rPr>
          <w:spacing w:val="-3"/>
          <w:w w:val="100"/>
        </w:rPr>
        <w:t>定</w:t>
      </w:r>
      <w:r>
        <w:rPr>
          <w:w w:val="100"/>
        </w:rPr>
        <w:t>向</w:t>
      </w:r>
      <w:r>
        <w:rPr>
          <w:spacing w:val="-3"/>
          <w:w w:val="100"/>
        </w:rPr>
        <w:t>增</w:t>
      </w:r>
      <w:r>
        <w:rPr>
          <w:w w:val="100"/>
        </w:rPr>
        <w:t>发</w:t>
      </w:r>
      <w:r>
        <w:rPr>
          <w:spacing w:val="-3"/>
          <w:w w:val="100"/>
        </w:rPr>
        <w:t>股</w:t>
      </w:r>
      <w:r>
        <w:rPr>
          <w:w w:val="100"/>
        </w:rPr>
        <w:t>份</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p>
    <w:p>
      <w:pPr>
        <w:pStyle w:val="BodyText"/>
        <w:spacing w:line="468" w:lineRule="auto" w:before="177"/>
        <w:ind w:left="573" w:right="3140" w:hanging="421"/>
        <w:jc w:val="left"/>
      </w:pPr>
      <w:r>
        <w:rPr/>
        <w:t>万股，增资价格</w:t>
      </w:r>
      <w:r>
        <w:rPr>
          <w:spacing w:val="-55"/>
        </w:rPr>
        <w:t> </w:t>
      </w:r>
      <w:r>
        <w:rPr>
          <w:rFonts w:ascii="Times New Roman" w:hAnsi="Times New Roman" w:cs="Times New Roman" w:eastAsia="Times New Roman" w:hint="default"/>
        </w:rPr>
        <w:t>1.23/</w:t>
      </w:r>
      <w:r>
        <w:rPr/>
        <w:t>股，增资完成后，公司持有百望股份</w:t>
      </w:r>
      <w:r>
        <w:rPr>
          <w:spacing w:val="-54"/>
        </w:rPr>
        <w:t> </w:t>
      </w:r>
      <w:r>
        <w:rPr>
          <w:rFonts w:ascii="Times New Roman" w:hAnsi="Times New Roman" w:cs="Times New Roman" w:eastAsia="Times New Roman" w:hint="default"/>
        </w:rPr>
        <w:t>20.73%</w:t>
      </w:r>
      <w:r>
        <w:rPr/>
        <w:t>股份。</w:t>
      </w:r>
      <w:r>
        <w:rPr>
          <w:w w:val="100"/>
        </w:rPr>
        <w:t> </w:t>
      </w:r>
      <w:r>
        <w:rPr/>
        <w:t>重大关联交易临时报告披露网站相关查询</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509"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81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2"/>
              <w:jc w:val="left"/>
              <w:rPr>
                <w:rFonts w:ascii="宋体" w:hAnsi="宋体" w:cs="宋体" w:eastAsia="宋体" w:hint="default"/>
                <w:sz w:val="18"/>
                <w:szCs w:val="18"/>
              </w:rPr>
            </w:pPr>
            <w:r>
              <w:rPr>
                <w:rFonts w:ascii="宋体" w:hAnsi="宋体" w:cs="宋体" w:eastAsia="宋体" w:hint="default"/>
                <w:spacing w:val="9"/>
                <w:sz w:val="18"/>
                <w:szCs w:val="18"/>
              </w:rPr>
              <w:t>关于控股子公司参与投资北京都在哪智慧 </w:t>
            </w:r>
            <w:r>
              <w:rPr>
                <w:rFonts w:ascii="宋体" w:hAnsi="宋体" w:cs="宋体" w:eastAsia="宋体" w:hint="default"/>
                <w:sz w:val="18"/>
                <w:szCs w:val="18"/>
              </w:rPr>
              <w:t>城市科技有限公司暨关联交易的公告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2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2"/>
              <w:jc w:val="left"/>
              <w:rPr>
                <w:rFonts w:ascii="宋体" w:hAnsi="宋体" w:cs="宋体" w:eastAsia="宋体" w:hint="default"/>
                <w:sz w:val="18"/>
                <w:szCs w:val="18"/>
              </w:rPr>
            </w:pPr>
            <w:r>
              <w:rPr>
                <w:rFonts w:ascii="宋体" w:hAnsi="宋体" w:cs="宋体" w:eastAsia="宋体" w:hint="default"/>
                <w:spacing w:val="9"/>
                <w:sz w:val="18"/>
                <w:szCs w:val="18"/>
              </w:rPr>
              <w:t>关于北京都在哪智慧城市科技有限公司完 </w:t>
            </w:r>
            <w:r>
              <w:rPr>
                <w:rFonts w:ascii="宋体" w:hAnsi="宋体" w:cs="宋体" w:eastAsia="宋体" w:hint="default"/>
                <w:sz w:val="18"/>
                <w:szCs w:val="18"/>
              </w:rPr>
              <w:t>成工商登记的公告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2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2"/>
              <w:jc w:val="left"/>
              <w:rPr>
                <w:rFonts w:ascii="宋体" w:hAnsi="宋体" w:cs="宋体" w:eastAsia="宋体" w:hint="default"/>
                <w:sz w:val="18"/>
                <w:szCs w:val="18"/>
              </w:rPr>
            </w:pPr>
            <w:r>
              <w:rPr>
                <w:rFonts w:ascii="宋体" w:hAnsi="宋体" w:cs="宋体" w:eastAsia="宋体" w:hint="default"/>
                <w:spacing w:val="9"/>
                <w:sz w:val="18"/>
                <w:szCs w:val="18"/>
              </w:rPr>
              <w:t>关于控股股东为公司全资子公司无偿提供 </w:t>
            </w:r>
            <w:r>
              <w:rPr>
                <w:rFonts w:ascii="宋体" w:hAnsi="宋体" w:cs="宋体" w:eastAsia="宋体" w:hint="default"/>
                <w:sz w:val="18"/>
                <w:szCs w:val="18"/>
              </w:rPr>
              <w:t>财务资助的公告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1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2"/>
              <w:jc w:val="left"/>
              <w:rPr>
                <w:rFonts w:ascii="宋体" w:hAnsi="宋体" w:cs="宋体" w:eastAsia="宋体" w:hint="default"/>
                <w:sz w:val="18"/>
                <w:szCs w:val="18"/>
              </w:rPr>
            </w:pPr>
            <w:r>
              <w:rPr>
                <w:rFonts w:ascii="宋体" w:hAnsi="宋体" w:cs="宋体" w:eastAsia="宋体" w:hint="default"/>
                <w:spacing w:val="9"/>
                <w:sz w:val="18"/>
                <w:szCs w:val="18"/>
              </w:rPr>
              <w:t>关于百望股份有限公司股权转让暨关联交 </w:t>
            </w:r>
            <w:r>
              <w:rPr>
                <w:rFonts w:ascii="宋体" w:hAnsi="宋体" w:cs="宋体" w:eastAsia="宋体" w:hint="default"/>
                <w:sz w:val="18"/>
                <w:szCs w:val="18"/>
              </w:rPr>
              <w:t>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十六、重大合同及其履行情况</w:t>
      </w:r>
    </w:p>
    <w:p>
      <w:pPr>
        <w:spacing w:line="240" w:lineRule="auto" w:before="13"/>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、托管、承包、租赁事项情况</w:t>
      </w:r>
    </w:p>
    <w:p>
      <w:pPr>
        <w:spacing w:line="240" w:lineRule="auto" w:before="3"/>
        <w:rPr>
          <w:rFonts w:ascii="黑体" w:hAnsi="黑体" w:cs="黑体" w:eastAsia="黑体" w:hint="default"/>
          <w:sz w:val="24"/>
          <w:szCs w:val="24"/>
        </w:rPr>
      </w:pPr>
    </w:p>
    <w:p>
      <w:pPr>
        <w:pStyle w:val="Heading4"/>
        <w:spacing w:line="240" w:lineRule="auto"/>
        <w:ind w:right="1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2"/>
          <w:szCs w:val="22"/>
        </w:rPr>
      </w:pPr>
    </w:p>
    <w:p>
      <w:pPr>
        <w:pStyle w:val="BodyText"/>
        <w:spacing w:line="470"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pStyle w:val="Heading4"/>
        <w:spacing w:line="240" w:lineRule="auto" w:before="111"/>
        <w:ind w:right="1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468"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after="0" w:line="468" w:lineRule="auto"/>
        <w:jc w:val="left"/>
        <w:sectPr>
          <w:pgSz w:w="11910" w:h="16840"/>
          <w:pgMar w:header="882" w:footer="1132" w:top="1280" w:bottom="1320" w:left="980" w:right="980"/>
        </w:sectPr>
      </w:pPr>
    </w:p>
    <w:p>
      <w:pPr>
        <w:spacing w:line="240" w:lineRule="auto" w:before="7"/>
        <w:rPr>
          <w:rFonts w:ascii="宋体" w:hAnsi="宋体" w:cs="宋体" w:eastAsia="宋体" w:hint="default"/>
          <w:sz w:val="13"/>
          <w:szCs w:val="13"/>
        </w:rPr>
      </w:pPr>
    </w:p>
    <w:p>
      <w:pPr>
        <w:pStyle w:val="Heading4"/>
        <w:spacing w:line="240" w:lineRule="auto" w:before="36"/>
        <w:ind w:right="1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2"/>
          <w:szCs w:val="22"/>
        </w:rPr>
      </w:pPr>
    </w:p>
    <w:p>
      <w:pPr>
        <w:pStyle w:val="BodyText"/>
        <w:spacing w:line="470"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公司报告期不存在租赁情况。</w:t>
      </w:r>
    </w:p>
    <w:p>
      <w:pPr>
        <w:pStyle w:val="Heading3"/>
        <w:spacing w:line="240" w:lineRule="auto" w:before="122"/>
        <w:ind w:right="11"/>
        <w:jc w:val="left"/>
      </w:pPr>
      <w:r>
        <w:rPr>
          <w:rFonts w:ascii="Times New Roman" w:hAnsi="Times New Roman" w:cs="Times New Roman" w:eastAsia="Times New Roman" w:hint="default"/>
        </w:rPr>
        <w:t>2</w:t>
      </w:r>
      <w:r>
        <w:rPr/>
        <w:t>、重大担保</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1</w:t>
      </w:r>
      <w:r>
        <w:rPr/>
        <w:t>）担保情况</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spacing w:val="-1"/>
        </w:rPr>
        <w:t>单位：万元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709"/>
        <w:gridCol w:w="925"/>
        <w:gridCol w:w="926"/>
        <w:gridCol w:w="1296"/>
        <w:gridCol w:w="1064"/>
        <w:gridCol w:w="1034"/>
        <w:gridCol w:w="1047"/>
        <w:gridCol w:w="794"/>
        <w:gridCol w:w="780"/>
      </w:tblGrid>
      <w:tr>
        <w:trPr>
          <w:trHeight w:val="509"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13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2"/>
              <w:jc w:val="both"/>
              <w:rPr>
                <w:rFonts w:ascii="宋体" w:hAnsi="宋体" w:cs="宋体" w:eastAsia="宋体" w:hint="default"/>
                <w:sz w:val="18"/>
                <w:szCs w:val="18"/>
              </w:rPr>
            </w:pPr>
            <w:r>
              <w:rPr>
                <w:rFonts w:ascii="宋体" w:hAnsi="宋体" w:cs="宋体" w:eastAsia="宋体" w:hint="default"/>
                <w:spacing w:val="36"/>
                <w:sz w:val="18"/>
                <w:szCs w:val="18"/>
              </w:rPr>
              <w:t>担保额度</w:t>
            </w:r>
            <w:r>
              <w:rPr>
                <w:rFonts w:ascii="宋体" w:hAnsi="宋体" w:cs="宋体" w:eastAsia="宋体" w:hint="default"/>
                <w:spacing w:val="-42"/>
                <w:sz w:val="18"/>
                <w:szCs w:val="18"/>
              </w:rPr>
              <w:t> </w:t>
            </w:r>
            <w:r>
              <w:rPr>
                <w:rFonts w:ascii="宋体" w:hAnsi="宋体" w:cs="宋体" w:eastAsia="宋体" w:hint="default"/>
                <w:spacing w:val="36"/>
                <w:sz w:val="18"/>
                <w:szCs w:val="18"/>
              </w:rPr>
              <w:t>相关公告</w:t>
            </w:r>
            <w:r>
              <w:rPr>
                <w:rFonts w:ascii="宋体" w:hAnsi="宋体" w:cs="宋体" w:eastAsia="宋体" w:hint="default"/>
                <w:spacing w:val="-42"/>
                <w:sz w:val="18"/>
                <w:szCs w:val="18"/>
              </w:rPr>
              <w:t> </w:t>
            </w: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pacing w:val="-60"/>
                <w:sz w:val="18"/>
                <w:szCs w:val="18"/>
              </w:rPr>
              <w:t> </w:t>
            </w:r>
            <w:r>
              <w:rPr>
                <w:rFonts w:ascii="宋体" w:hAnsi="宋体" w:cs="宋体" w:eastAsia="宋体" w:hint="default"/>
                <w:sz w:val="18"/>
                <w:szCs w:val="18"/>
              </w:rPr>
              <w:t>际</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60"/>
                <w:sz w:val="18"/>
                <w:szCs w:val="18"/>
              </w:rPr>
              <w:t> </w:t>
            </w:r>
            <w:r>
              <w:rPr>
                <w:rFonts w:ascii="宋体" w:hAnsi="宋体" w:cs="宋体" w:eastAsia="宋体" w:hint="default"/>
                <w:sz w:val="18"/>
                <w:szCs w:val="18"/>
              </w:rPr>
              <w:t>生</w:t>
            </w:r>
            <w:r>
              <w:rPr>
                <w:rFonts w:ascii="宋体" w:hAnsi="宋体" w:cs="宋体" w:eastAsia="宋体" w:hint="default"/>
                <w:spacing w:val="-57"/>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3"/>
              <w:jc w:val="left"/>
              <w:rPr>
                <w:rFonts w:ascii="宋体" w:hAnsi="宋体" w:cs="宋体" w:eastAsia="宋体" w:hint="default"/>
                <w:sz w:val="18"/>
                <w:szCs w:val="18"/>
              </w:rPr>
            </w:pPr>
            <w:r>
              <w:rPr>
                <w:rFonts w:ascii="宋体" w:hAnsi="宋体" w:cs="宋体" w:eastAsia="宋体" w:hint="default"/>
                <w:spacing w:val="20"/>
                <w:sz w:val="18"/>
                <w:szCs w:val="18"/>
              </w:rPr>
              <w:t>实际担保金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pacing w:val="7"/>
                <w:sz w:val="18"/>
                <w:szCs w:val="18"/>
              </w:rPr>
              <w:t>是否履行 </w:t>
            </w:r>
            <w:r>
              <w:rPr>
                <w:rFonts w:ascii="宋体" w:hAnsi="宋体" w:cs="宋体" w:eastAsia="宋体" w:hint="default"/>
                <w:sz w:val="18"/>
                <w:szCs w:val="18"/>
              </w:rPr>
              <w:t>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13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4" w:right="18"/>
              <w:jc w:val="left"/>
              <w:rPr>
                <w:rFonts w:ascii="宋体" w:hAnsi="宋体" w:cs="宋体" w:eastAsia="宋体" w:hint="default"/>
                <w:sz w:val="18"/>
                <w:szCs w:val="18"/>
              </w:rPr>
            </w:pPr>
            <w:r>
              <w:rPr>
                <w:rFonts w:ascii="宋体" w:hAnsi="宋体" w:cs="宋体" w:eastAsia="宋体" w:hint="default"/>
                <w:spacing w:val="3"/>
                <w:sz w:val="18"/>
                <w:szCs w:val="18"/>
              </w:rPr>
              <w:t>西安西谷微电子有限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2016.10.20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2019.10.19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2017.1.9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2018.1.9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2018.2.16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3,471.45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2018.2.14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12"/>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2018.4.18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2019.5.21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2017.3.27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2018.3.27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2018.5.17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2017.8.8    </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2018.8.7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9"/>
        <w:gridCol w:w="914"/>
        <w:gridCol w:w="928"/>
        <w:gridCol w:w="1312"/>
        <w:gridCol w:w="1046"/>
        <w:gridCol w:w="1037"/>
        <w:gridCol w:w="1054"/>
        <w:gridCol w:w="790"/>
        <w:gridCol w:w="785"/>
      </w:tblGrid>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北京泰豪智能工程有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33" w:right="-3"/>
              <w:jc w:val="left"/>
              <w:rPr>
                <w:rFonts w:ascii="宋体" w:hAnsi="宋体" w:cs="宋体" w:eastAsia="宋体" w:hint="default"/>
                <w:sz w:val="18"/>
                <w:szCs w:val="18"/>
              </w:rPr>
            </w:pPr>
            <w:r>
              <w:rPr>
                <w:rFonts w:ascii="宋体" w:hAnsi="宋体" w:cs="宋体" w:eastAsia="宋体" w:hint="default"/>
                <w:spacing w:val="15"/>
                <w:sz w:val="18"/>
                <w:szCs w:val="18"/>
              </w:rPr>
              <w:t>连带责任保</w:t>
            </w:r>
            <w:r>
              <w:rPr>
                <w:rFonts w:ascii="宋体" w:hAnsi="宋体" w:cs="宋体" w:eastAsia="宋体" w:hint="default"/>
                <w:spacing w:val="-71"/>
                <w:sz w:val="18"/>
                <w:szCs w:val="18"/>
              </w:rPr>
              <w:t> </w:t>
            </w:r>
            <w:r>
              <w:rPr>
                <w:rFonts w:ascii="宋体" w:hAnsi="宋体" w:cs="宋体" w:eastAsia="宋体" w:hint="default"/>
                <w:sz w:val="18"/>
                <w:szCs w:val="18"/>
              </w:rPr>
              <w:t>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 w:right="0"/>
              <w:jc w:val="left"/>
              <w:rPr>
                <w:rFonts w:ascii="Times New Roman" w:hAnsi="Times New Roman" w:cs="Times New Roman" w:eastAsia="Times New Roman" w:hint="default"/>
                <w:sz w:val="18"/>
                <w:szCs w:val="18"/>
              </w:rPr>
            </w:pPr>
            <w:r>
              <w:rPr>
                <w:rFonts w:ascii="Times New Roman"/>
                <w:sz w:val="18"/>
              </w:rPr>
              <w:t>2017.10.31</w:t>
            </w:r>
          </w:p>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4"/>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140,000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6" w:right="11"/>
              <w:jc w:val="left"/>
              <w:rPr>
                <w:rFonts w:ascii="宋体" w:hAnsi="宋体" w:cs="宋体" w:eastAsia="宋体" w:hint="default"/>
                <w:sz w:val="18"/>
                <w:szCs w:val="18"/>
              </w:rPr>
            </w:pPr>
            <w:r>
              <w:rPr>
                <w:rFonts w:ascii="宋体" w:hAnsi="宋体" w:cs="宋体" w:eastAsia="宋体" w:hint="default"/>
                <w:spacing w:val="5"/>
                <w:sz w:val="18"/>
                <w:szCs w:val="18"/>
              </w:rPr>
              <w:t>报告期内对子公司担保实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23,416.65</w:t>
            </w:r>
          </w:p>
        </w:tc>
      </w:tr>
      <w:tr>
        <w:trPr>
          <w:trHeight w:val="826"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4"/>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140,500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6" w:right="12"/>
              <w:jc w:val="left"/>
              <w:rPr>
                <w:rFonts w:ascii="宋体" w:hAnsi="宋体" w:cs="宋体" w:eastAsia="宋体" w:hint="default"/>
                <w:sz w:val="18"/>
                <w:szCs w:val="18"/>
              </w:rPr>
            </w:pPr>
            <w:r>
              <w:rPr>
                <w:rFonts w:ascii="宋体" w:hAnsi="宋体" w:cs="宋体" w:eastAsia="宋体" w:hint="default"/>
                <w:spacing w:val="5"/>
                <w:sz w:val="18"/>
                <w:szCs w:val="18"/>
              </w:rPr>
              <w:t>报告期末对子公司实际担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23,916.65</w:t>
            </w:r>
          </w:p>
        </w:tc>
      </w:tr>
      <w:tr>
        <w:trPr>
          <w:trHeight w:val="499"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23" w:right="-22"/>
              <w:jc w:val="both"/>
              <w:rPr>
                <w:rFonts w:ascii="宋体" w:hAnsi="宋体" w:cs="宋体" w:eastAsia="宋体" w:hint="default"/>
                <w:sz w:val="18"/>
                <w:szCs w:val="18"/>
              </w:rPr>
            </w:pPr>
            <w:r>
              <w:rPr>
                <w:rFonts w:ascii="宋体" w:hAnsi="宋体" w:cs="宋体" w:eastAsia="宋体" w:hint="default"/>
                <w:spacing w:val="33"/>
                <w:sz w:val="18"/>
                <w:szCs w:val="18"/>
              </w:rPr>
              <w:t>担保额度</w:t>
            </w:r>
            <w:r>
              <w:rPr>
                <w:rFonts w:ascii="宋体" w:hAnsi="宋体" w:cs="宋体" w:eastAsia="宋体" w:hint="default"/>
                <w:spacing w:val="-87"/>
                <w:sz w:val="18"/>
                <w:szCs w:val="18"/>
              </w:rPr>
              <w:t> </w:t>
            </w:r>
            <w:r>
              <w:rPr>
                <w:rFonts w:ascii="宋体" w:hAnsi="宋体" w:cs="宋体" w:eastAsia="宋体" w:hint="default"/>
                <w:spacing w:val="33"/>
                <w:sz w:val="18"/>
                <w:szCs w:val="18"/>
              </w:rPr>
              <w:t>相关公告</w:t>
            </w:r>
            <w:r>
              <w:rPr>
                <w:rFonts w:ascii="宋体" w:hAnsi="宋体" w:cs="宋体" w:eastAsia="宋体" w:hint="default"/>
                <w:spacing w:val="-87"/>
                <w:sz w:val="18"/>
                <w:szCs w:val="18"/>
              </w:rPr>
              <w:t> </w:t>
            </w:r>
            <w:r>
              <w:rPr>
                <w:rFonts w:ascii="宋体" w:hAnsi="宋体" w:cs="宋体" w:eastAsia="宋体" w:hint="default"/>
                <w:sz w:val="18"/>
                <w:szCs w:val="18"/>
              </w:rPr>
              <w:t>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15" w:right="-9"/>
              <w:jc w:val="left"/>
              <w:rPr>
                <w:rFonts w:ascii="宋体" w:hAnsi="宋体" w:cs="宋体" w:eastAsia="宋体" w:hint="default"/>
                <w:sz w:val="18"/>
                <w:szCs w:val="18"/>
              </w:rPr>
            </w:pPr>
            <w:r>
              <w:rPr>
                <w:rFonts w:ascii="宋体" w:hAnsi="宋体" w:cs="宋体" w:eastAsia="宋体" w:hint="default"/>
                <w:spacing w:val="30"/>
                <w:sz w:val="18"/>
                <w:szCs w:val="18"/>
              </w:rPr>
              <w:t>实际发生日期</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76"/>
              <w:ind w:left="1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16" w:right="10"/>
              <w:jc w:val="left"/>
              <w:rPr>
                <w:rFonts w:ascii="宋体" w:hAnsi="宋体" w:cs="宋体" w:eastAsia="宋体" w:hint="default"/>
                <w:sz w:val="18"/>
                <w:szCs w:val="18"/>
              </w:rPr>
            </w:pPr>
            <w:r>
              <w:rPr>
                <w:rFonts w:ascii="宋体" w:hAnsi="宋体" w:cs="宋体" w:eastAsia="宋体" w:hint="default"/>
                <w:spacing w:val="16"/>
                <w:sz w:val="18"/>
                <w:szCs w:val="18"/>
              </w:rPr>
              <w:t>实际担保金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23" w:right="24"/>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3"/>
                <w:sz w:val="18"/>
                <w:szCs w:val="18"/>
              </w:rPr>
              <w:t> </w:t>
            </w:r>
            <w:r>
              <w:rPr>
                <w:rFonts w:ascii="宋体" w:hAnsi="宋体" w:cs="宋体" w:eastAsia="宋体" w:hint="default"/>
                <w:sz w:val="18"/>
                <w:szCs w:val="18"/>
              </w:rPr>
              <w:t>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19" w:right="14"/>
              <w:jc w:val="left"/>
              <w:rPr>
                <w:rFonts w:ascii="宋体" w:hAnsi="宋体" w:cs="宋体" w:eastAsia="宋体" w:hint="default"/>
                <w:sz w:val="18"/>
                <w:szCs w:val="18"/>
              </w:rPr>
            </w:pPr>
            <w:r>
              <w:rPr>
                <w:rFonts w:ascii="宋体" w:hAnsi="宋体" w:cs="宋体" w:eastAsia="宋体" w:hint="default"/>
                <w:spacing w:val="4"/>
                <w:sz w:val="18"/>
                <w:szCs w:val="18"/>
              </w:rPr>
              <w:t>是否为关 </w:t>
            </w:r>
            <w:r>
              <w:rPr>
                <w:rFonts w:ascii="宋体" w:hAnsi="宋体" w:cs="宋体" w:eastAsia="宋体" w:hint="default"/>
                <w:sz w:val="18"/>
                <w:szCs w:val="18"/>
              </w:rPr>
              <w:t>联方担保</w:t>
            </w:r>
          </w:p>
        </w:tc>
      </w:tr>
      <w:tr>
        <w:trPr>
          <w:trHeight w:val="497"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2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1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3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上海信业智能科技股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 w:right="-8"/>
              <w:jc w:val="left"/>
              <w:rPr>
                <w:rFonts w:ascii="宋体" w:hAnsi="宋体" w:cs="宋体" w:eastAsia="宋体" w:hint="default"/>
                <w:sz w:val="18"/>
                <w:szCs w:val="18"/>
              </w:rPr>
            </w:pPr>
            <w:r>
              <w:rPr>
                <w:rFonts w:ascii="宋体" w:hAnsi="宋体" w:cs="宋体" w:eastAsia="宋体" w:hint="default"/>
                <w:spacing w:val="19"/>
                <w:sz w:val="18"/>
                <w:szCs w:val="18"/>
              </w:rPr>
              <w:t>连带责任保</w:t>
            </w:r>
            <w:r>
              <w:rPr>
                <w:rFonts w:ascii="宋体" w:hAnsi="宋体" w:cs="宋体" w:eastAsia="宋体" w:hint="default"/>
                <w:spacing w:val="-66"/>
                <w:sz w:val="18"/>
                <w:szCs w:val="18"/>
              </w:rPr>
              <w:t> </w:t>
            </w:r>
            <w:r>
              <w:rPr>
                <w:rFonts w:ascii="宋体" w:hAnsi="宋体" w:cs="宋体" w:eastAsia="宋体" w:hint="default"/>
                <w:sz w:val="18"/>
                <w:szCs w:val="18"/>
              </w:rPr>
              <w:t>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2017.3.29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2018.3.28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2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3"/>
                <w:sz w:val="18"/>
                <w:szCs w:val="18"/>
              </w:rPr>
              <w:t>北京泰豪太阳能电源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4" w:right="-8"/>
              <w:jc w:val="left"/>
              <w:rPr>
                <w:rFonts w:ascii="宋体" w:hAnsi="宋体" w:cs="宋体" w:eastAsia="宋体" w:hint="default"/>
                <w:sz w:val="18"/>
                <w:szCs w:val="18"/>
              </w:rPr>
            </w:pPr>
            <w:r>
              <w:rPr>
                <w:rFonts w:ascii="宋体" w:hAnsi="宋体" w:cs="宋体" w:eastAsia="宋体" w:hint="default"/>
                <w:spacing w:val="19"/>
                <w:sz w:val="18"/>
                <w:szCs w:val="18"/>
              </w:rPr>
              <w:t>连带责任保</w:t>
            </w:r>
            <w:r>
              <w:rPr>
                <w:rFonts w:ascii="宋体" w:hAnsi="宋体" w:cs="宋体" w:eastAsia="宋体" w:hint="default"/>
                <w:spacing w:val="-66"/>
                <w:sz w:val="18"/>
                <w:szCs w:val="18"/>
              </w:rPr>
              <w:t> </w:t>
            </w:r>
            <w:r>
              <w:rPr>
                <w:rFonts w:ascii="宋体" w:hAnsi="宋体" w:cs="宋体" w:eastAsia="宋体" w:hint="default"/>
                <w:sz w:val="18"/>
                <w:szCs w:val="18"/>
              </w:rPr>
              <w:t>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至</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2018.7.23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8"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4"/>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6" w:right="12"/>
              <w:jc w:val="left"/>
              <w:rPr>
                <w:rFonts w:ascii="宋体" w:hAnsi="宋体" w:cs="宋体" w:eastAsia="宋体" w:hint="default"/>
                <w:sz w:val="18"/>
                <w:szCs w:val="18"/>
              </w:rPr>
            </w:pPr>
            <w:r>
              <w:rPr>
                <w:rFonts w:ascii="宋体" w:hAnsi="宋体" w:cs="宋体" w:eastAsia="宋体" w:hint="default"/>
                <w:spacing w:val="5"/>
                <w:sz w:val="18"/>
                <w:szCs w:val="18"/>
              </w:rPr>
              <w:t>报告期内对子公司担保实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r>
      <w:tr>
        <w:trPr>
          <w:trHeight w:val="826"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4" w:right="14"/>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6" w:right="12"/>
              <w:jc w:val="left"/>
              <w:rPr>
                <w:rFonts w:ascii="宋体" w:hAnsi="宋体" w:cs="宋体" w:eastAsia="宋体" w:hint="default"/>
                <w:sz w:val="18"/>
                <w:szCs w:val="18"/>
              </w:rPr>
            </w:pPr>
            <w:r>
              <w:rPr>
                <w:rFonts w:ascii="宋体" w:hAnsi="宋体" w:cs="宋体" w:eastAsia="宋体" w:hint="default"/>
                <w:spacing w:val="5"/>
                <w:sz w:val="18"/>
                <w:szCs w:val="18"/>
              </w:rPr>
              <w:t>报告期末对子公司实际担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r>
      <w:tr>
        <w:trPr>
          <w:trHeight w:val="499"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823"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52"/>
                <w:sz w:val="18"/>
                <w:szCs w:val="18"/>
              </w:rPr>
              <w:t> </w:t>
            </w:r>
            <w:r>
              <w:rPr>
                <w:rFonts w:ascii="宋体" w:hAnsi="宋体" w:cs="宋体" w:eastAsia="宋体" w:hint="default"/>
                <w:sz w:val="18"/>
                <w:szCs w:val="18"/>
              </w:rPr>
              <w:t>告</w:t>
            </w:r>
            <w:r>
              <w:rPr>
                <w:rFonts w:ascii="宋体" w:hAnsi="宋体" w:cs="宋体" w:eastAsia="宋体" w:hint="default"/>
                <w:spacing w:val="-52"/>
                <w:sz w:val="18"/>
                <w:szCs w:val="18"/>
              </w:rPr>
              <w:t> </w:t>
            </w:r>
            <w:r>
              <w:rPr>
                <w:rFonts w:ascii="宋体" w:hAnsi="宋体" w:cs="宋体" w:eastAsia="宋体" w:hint="default"/>
                <w:sz w:val="18"/>
                <w:szCs w:val="18"/>
              </w:rPr>
              <w:t>期</w:t>
            </w:r>
            <w:r>
              <w:rPr>
                <w:rFonts w:ascii="宋体" w:hAnsi="宋体" w:cs="宋体" w:eastAsia="宋体" w:hint="default"/>
                <w:spacing w:val="-52"/>
                <w:sz w:val="18"/>
                <w:szCs w:val="18"/>
              </w:rPr>
              <w:t> </w:t>
            </w:r>
            <w:r>
              <w:rPr>
                <w:rFonts w:ascii="宋体" w:hAnsi="宋体" w:cs="宋体" w:eastAsia="宋体" w:hint="default"/>
                <w:sz w:val="18"/>
                <w:szCs w:val="18"/>
              </w:rPr>
              <w:t>内</w:t>
            </w:r>
            <w:r>
              <w:rPr>
                <w:rFonts w:ascii="宋体" w:hAnsi="宋体" w:cs="宋体" w:eastAsia="宋体" w:hint="default"/>
                <w:spacing w:val="-52"/>
                <w:sz w:val="18"/>
                <w:szCs w:val="18"/>
              </w:rPr>
              <w:t> </w:t>
            </w:r>
            <w:r>
              <w:rPr>
                <w:rFonts w:ascii="宋体" w:hAnsi="宋体" w:cs="宋体" w:eastAsia="宋体" w:hint="default"/>
                <w:sz w:val="18"/>
                <w:szCs w:val="18"/>
              </w:rPr>
              <w:t>审</w:t>
            </w:r>
            <w:r>
              <w:rPr>
                <w:rFonts w:ascii="宋体" w:hAnsi="宋体" w:cs="宋体" w:eastAsia="宋体" w:hint="default"/>
                <w:spacing w:val="-52"/>
                <w:sz w:val="18"/>
                <w:szCs w:val="18"/>
              </w:rPr>
              <w:t> </w:t>
            </w:r>
            <w:r>
              <w:rPr>
                <w:rFonts w:ascii="宋体" w:hAnsi="宋体" w:cs="宋体" w:eastAsia="宋体" w:hint="default"/>
                <w:sz w:val="18"/>
                <w:szCs w:val="18"/>
              </w:rPr>
              <w:t>批</w:t>
            </w:r>
            <w:r>
              <w:rPr>
                <w:rFonts w:ascii="宋体" w:hAnsi="宋体" w:cs="宋体" w:eastAsia="宋体" w:hint="default"/>
                <w:spacing w:val="-55"/>
                <w:sz w:val="18"/>
                <w:szCs w:val="18"/>
              </w:rPr>
              <w:t> </w:t>
            </w:r>
            <w:r>
              <w:rPr>
                <w:rFonts w:ascii="宋体" w:hAnsi="宋体" w:cs="宋体" w:eastAsia="宋体" w:hint="default"/>
                <w:sz w:val="18"/>
                <w:szCs w:val="18"/>
              </w:rPr>
              <w:t>担</w:t>
            </w:r>
            <w:r>
              <w:rPr>
                <w:rFonts w:ascii="宋体" w:hAnsi="宋体" w:cs="宋体" w:eastAsia="宋体" w:hint="default"/>
                <w:spacing w:val="-52"/>
                <w:sz w:val="18"/>
                <w:szCs w:val="18"/>
              </w:rPr>
              <w:t> </w:t>
            </w:r>
            <w:r>
              <w:rPr>
                <w:rFonts w:ascii="宋体" w:hAnsi="宋体" w:cs="宋体" w:eastAsia="宋体" w:hint="default"/>
                <w:sz w:val="18"/>
                <w:szCs w:val="18"/>
              </w:rPr>
              <w:t>保</w:t>
            </w:r>
            <w:r>
              <w:rPr>
                <w:rFonts w:ascii="宋体" w:hAnsi="宋体" w:cs="宋体" w:eastAsia="宋体" w:hint="default"/>
                <w:spacing w:val="-52"/>
                <w:sz w:val="18"/>
                <w:szCs w:val="18"/>
              </w:rPr>
              <w:t> </w:t>
            </w:r>
            <w:r>
              <w:rPr>
                <w:rFonts w:ascii="宋体" w:hAnsi="宋体" w:cs="宋体" w:eastAsia="宋体" w:hint="default"/>
                <w:sz w:val="18"/>
                <w:szCs w:val="18"/>
              </w:rPr>
              <w:t>额</w:t>
            </w:r>
            <w:r>
              <w:rPr>
                <w:rFonts w:ascii="宋体" w:hAnsi="宋体" w:cs="宋体" w:eastAsia="宋体" w:hint="default"/>
                <w:spacing w:val="-52"/>
                <w:sz w:val="18"/>
                <w:szCs w:val="18"/>
              </w:rPr>
              <w:t> </w:t>
            </w:r>
            <w:r>
              <w:rPr>
                <w:rFonts w:ascii="宋体" w:hAnsi="宋体" w:cs="宋体" w:eastAsia="宋体" w:hint="default"/>
                <w:sz w:val="18"/>
                <w:szCs w:val="18"/>
              </w:rPr>
              <w:t>度</w:t>
            </w:r>
            <w:r>
              <w:rPr>
                <w:rFonts w:ascii="宋体" w:hAnsi="宋体" w:cs="宋体" w:eastAsia="宋体" w:hint="default"/>
                <w:spacing w:val="-55"/>
                <w:sz w:val="18"/>
                <w:szCs w:val="18"/>
              </w:rPr>
              <w:t> </w:t>
            </w: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146,000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6"/>
              <w:ind w:left="16" w:right="12"/>
              <w:jc w:val="left"/>
              <w:rPr>
                <w:rFonts w:ascii="宋体" w:hAnsi="宋体" w:cs="宋体" w:eastAsia="宋体" w:hint="default"/>
                <w:sz w:val="18"/>
                <w:szCs w:val="18"/>
              </w:rPr>
            </w:pPr>
            <w:r>
              <w:rPr>
                <w:rFonts w:ascii="宋体" w:hAnsi="宋体" w:cs="宋体" w:eastAsia="宋体" w:hint="default"/>
                <w:spacing w:val="5"/>
                <w:sz w:val="18"/>
                <w:szCs w:val="18"/>
              </w:rPr>
              <w:t>报告期内担保实际发生额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24,008.65</w:t>
            </w:r>
          </w:p>
        </w:tc>
      </w:tr>
      <w:tr>
        <w:trPr>
          <w:trHeight w:val="821"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146,500</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6" w:right="12"/>
              <w:jc w:val="left"/>
              <w:rPr>
                <w:rFonts w:ascii="宋体" w:hAnsi="宋体" w:cs="宋体" w:eastAsia="宋体" w:hint="default"/>
                <w:sz w:val="18"/>
                <w:szCs w:val="18"/>
              </w:rPr>
            </w:pPr>
            <w:r>
              <w:rPr>
                <w:rFonts w:ascii="宋体" w:hAnsi="宋体" w:cs="宋体" w:eastAsia="宋体" w:hint="default"/>
                <w:spacing w:val="5"/>
                <w:sz w:val="18"/>
                <w:szCs w:val="18"/>
              </w:rPr>
              <w:t>报告期末实际担保余额合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24,508.65</w:t>
            </w:r>
          </w:p>
        </w:tc>
      </w:tr>
      <w:tr>
        <w:trPr>
          <w:trHeight w:val="514"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4.71%</w:t>
            </w:r>
          </w:p>
        </w:tc>
      </w:tr>
      <w:tr>
        <w:trPr>
          <w:trHeight w:val="5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采用复合方式担保的具体情况说明</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公司于</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spacing w:val="-3"/>
        </w:rPr>
        <w:t>日召开第三届董事会第三十次会议，审议通过了《关于为全资子公司申请政府</w:t>
      </w:r>
    </w:p>
    <w:p>
      <w:pPr>
        <w:pStyle w:val="BodyText"/>
        <w:spacing w:line="386" w:lineRule="auto" w:before="177"/>
        <w:ind w:right="11"/>
        <w:jc w:val="left"/>
      </w:pPr>
      <w:r>
        <w:rPr>
          <w:spacing w:val="-6"/>
          <w:w w:val="100"/>
        </w:rPr>
        <w:t>财政扶持资金提供担保的议案》，同意公司为西安西谷申请</w:t>
      </w:r>
      <w:r>
        <w:rPr>
          <w:spacing w:val="7"/>
          <w:w w:val="100"/>
        </w:rPr>
        <w:t> </w:t>
      </w:r>
      <w:r>
        <w:rPr>
          <w:rFonts w:ascii="Times New Roman" w:hAnsi="Times New Roman" w:cs="Times New Roman" w:eastAsia="Times New Roman" w:hint="default"/>
          <w:w w:val="100"/>
        </w:rPr>
        <w:t>500</w:t>
      </w:r>
      <w:r>
        <w:rPr>
          <w:rFonts w:ascii="Times New Roman" w:hAnsi="Times New Roman" w:cs="Times New Roman" w:eastAsia="Times New Roman" w:hint="default"/>
          <w:spacing w:val="7"/>
          <w:w w:val="100"/>
        </w:rPr>
        <w:t> </w:t>
      </w:r>
      <w:r>
        <w:rPr>
          <w:spacing w:val="-3"/>
          <w:w w:val="100"/>
        </w:rPr>
        <w:t>万元政府财政扶持资金提供担保，西安西</w:t>
      </w:r>
      <w:r>
        <w:rPr>
          <w:spacing w:val="-104"/>
          <w:w w:val="100"/>
        </w:rPr>
        <w:t> </w:t>
      </w:r>
      <w:r>
        <w:rPr>
          <w:spacing w:val="-104"/>
          <w:w w:val="100"/>
        </w:rPr>
      </w:r>
      <w:r>
        <w:rPr/>
        <w:t>谷以其自有机器设备抵押。</w:t>
      </w:r>
    </w:p>
    <w:p>
      <w:pPr>
        <w:pStyle w:val="BodyText"/>
        <w:spacing w:line="386" w:lineRule="auto" w:before="163"/>
        <w:ind w:right="11" w:firstLine="420"/>
        <w:jc w:val="left"/>
      </w:pPr>
      <w:r>
        <w:rPr/>
        <w:t>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spacing w:val="-3"/>
        </w:rPr>
        <w:t>日召开第三届董事会第四十次会议，审议通过了《关于全资子公司为其子公司</w:t>
      </w:r>
      <w:r>
        <w:rPr>
          <w:w w:val="100"/>
        </w:rPr>
        <w:t> </w:t>
      </w:r>
      <w:r>
        <w:rPr>
          <w:spacing w:val="-2"/>
          <w:w w:val="100"/>
        </w:rPr>
        <w:t>申请银行综合授信提供担保的议案》，公司全资子公司北京泰豪智能工程有限公司为其控股子公司上海信</w:t>
      </w:r>
    </w:p>
    <w:p>
      <w:pPr>
        <w:spacing w:after="0" w:line="386"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386" w:lineRule="auto" w:before="36"/>
        <w:ind w:right="146"/>
        <w:jc w:val="both"/>
      </w:pPr>
      <w:r>
        <w:rPr/>
        <w:t>业智能科技股份有限公司向招商银行上海延西支行申请人民币</w:t>
      </w:r>
      <w:r>
        <w:rPr>
          <w:spacing w:val="-47"/>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万元的</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年期综合授信业务提供连带</w:t>
      </w:r>
      <w:r>
        <w:rPr>
          <w:w w:val="100"/>
        </w:rPr>
        <w:t> </w:t>
      </w:r>
      <w:r>
        <w:rPr>
          <w:spacing w:val="-2"/>
        </w:rPr>
        <w:t>责任保证担保，上海信业其他股东按照持股比例</w:t>
      </w:r>
      <w:r>
        <w:rPr/>
        <w:t> </w:t>
      </w:r>
      <w:r>
        <w:rPr>
          <w:rFonts w:ascii="Times New Roman" w:hAnsi="Times New Roman" w:cs="Times New Roman" w:eastAsia="Times New Roman" w:hint="default"/>
          <w:spacing w:val="-2"/>
        </w:rPr>
        <w:t>5.86%</w:t>
      </w:r>
      <w:r>
        <w:rPr>
          <w:spacing w:val="-2"/>
        </w:rPr>
        <w:t>为本次授信提供反担保。目前上海信业已成为泰豪</w:t>
      </w:r>
      <w:r>
        <w:rPr>
          <w:spacing w:val="-59"/>
        </w:rPr>
        <w:t> </w:t>
      </w:r>
      <w:r>
        <w:rPr>
          <w:spacing w:val="-59"/>
        </w:rPr>
      </w:r>
      <w:r>
        <w:rPr/>
        <w:t>智能全资子公司，其少数股东的反担保义务终止。</w:t>
      </w:r>
    </w:p>
    <w:p>
      <w:pPr>
        <w:spacing w:line="240" w:lineRule="auto" w:before="2"/>
        <w:rPr>
          <w:rFonts w:ascii="宋体" w:hAnsi="宋体" w:cs="宋体" w:eastAsia="宋体" w:hint="default"/>
          <w:sz w:val="15"/>
          <w:szCs w:val="15"/>
        </w:rPr>
      </w:pPr>
    </w:p>
    <w:p>
      <w:pPr>
        <w:pStyle w:val="Heading3"/>
        <w:spacing w:line="240" w:lineRule="auto"/>
        <w:ind w:right="0"/>
        <w:jc w:val="both"/>
      </w:pPr>
      <w:r>
        <w:rPr/>
        <w:t>（</w:t>
      </w:r>
      <w:r>
        <w:rPr>
          <w:rFonts w:ascii="Times New Roman" w:hAnsi="Times New Roman" w:cs="Times New Roman" w:eastAsia="Times New Roman" w:hint="default"/>
        </w:rPr>
        <w:t>2</w:t>
      </w:r>
      <w:r>
        <w:rPr/>
        <w:t>）违规对外担保情况</w:t>
      </w:r>
    </w:p>
    <w:p>
      <w:pPr>
        <w:spacing w:line="240" w:lineRule="auto" w:before="1"/>
        <w:rPr>
          <w:rFonts w:ascii="黑体" w:hAnsi="黑体" w:cs="黑体" w:eastAsia="黑体" w:hint="default"/>
          <w:sz w:val="24"/>
          <w:szCs w:val="24"/>
        </w:rPr>
      </w:pPr>
    </w:p>
    <w:p>
      <w:pPr>
        <w:pStyle w:val="BodyText"/>
        <w:spacing w:line="470"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公司报告期无违规对外担保情况。</w:t>
      </w:r>
    </w:p>
    <w:p>
      <w:pPr>
        <w:pStyle w:val="Heading3"/>
        <w:spacing w:line="240" w:lineRule="auto" w:before="122"/>
        <w:ind w:right="0"/>
        <w:jc w:val="both"/>
      </w:pPr>
      <w:r>
        <w:rPr>
          <w:rFonts w:ascii="Times New Roman" w:hAnsi="Times New Roman" w:cs="Times New Roman" w:eastAsia="Times New Roman" w:hint="default"/>
        </w:rPr>
        <w:t>3</w:t>
      </w:r>
      <w:r>
        <w:rPr/>
        <w:t>、委托他人进行现金资产管理情况</w:t>
      </w:r>
    </w:p>
    <w:p>
      <w:pPr>
        <w:spacing w:line="240" w:lineRule="auto" w:before="4"/>
        <w:rPr>
          <w:rFonts w:ascii="黑体" w:hAnsi="黑体" w:cs="黑体" w:eastAsia="黑体" w:hint="default"/>
          <w:sz w:val="22"/>
          <w:szCs w:val="22"/>
        </w:rPr>
      </w:pPr>
    </w:p>
    <w:p>
      <w:pPr>
        <w:pStyle w:val="Heading3"/>
        <w:spacing w:line="240" w:lineRule="auto"/>
        <w:ind w:right="0"/>
        <w:jc w:val="both"/>
      </w:pPr>
      <w:r>
        <w:rPr/>
        <w:t>（</w:t>
      </w:r>
      <w:r>
        <w:rPr>
          <w:rFonts w:ascii="Times New Roman" w:hAnsi="Times New Roman" w:cs="Times New Roman" w:eastAsia="Times New Roman" w:hint="default"/>
        </w:rPr>
        <w:t>1</w:t>
      </w:r>
      <w:r>
        <w:rPr/>
        <w:t>）委托理财情况</w:t>
      </w:r>
    </w:p>
    <w:p>
      <w:pPr>
        <w:spacing w:line="240" w:lineRule="auto" w:before="3"/>
        <w:rPr>
          <w:rFonts w:ascii="黑体" w:hAnsi="黑体" w:cs="黑体" w:eastAsia="黑体" w:hint="default"/>
          <w:sz w:val="24"/>
          <w:szCs w:val="24"/>
        </w:rPr>
      </w:pPr>
    </w:p>
    <w:p>
      <w:pPr>
        <w:pStyle w:val="BodyText"/>
        <w:spacing w:line="468"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公司报告期不存在委托理财。</w:t>
      </w:r>
    </w:p>
    <w:p>
      <w:pPr>
        <w:pStyle w:val="Heading3"/>
        <w:spacing w:line="240" w:lineRule="auto" w:before="126"/>
        <w:ind w:right="0"/>
        <w:jc w:val="both"/>
      </w:pPr>
      <w:r>
        <w:rPr/>
        <w:t>（</w:t>
      </w:r>
      <w:r>
        <w:rPr>
          <w:rFonts w:ascii="Times New Roman" w:hAnsi="Times New Roman" w:cs="Times New Roman" w:eastAsia="Times New Roman" w:hint="default"/>
        </w:rPr>
        <w:t>2</w:t>
      </w:r>
      <w:r>
        <w:rPr/>
        <w:t>）委托贷款情况</w:t>
      </w:r>
    </w:p>
    <w:p>
      <w:pPr>
        <w:spacing w:line="240" w:lineRule="auto" w:before="1"/>
        <w:rPr>
          <w:rFonts w:ascii="黑体" w:hAnsi="黑体" w:cs="黑体" w:eastAsia="黑体" w:hint="default"/>
          <w:sz w:val="24"/>
          <w:szCs w:val="24"/>
        </w:rPr>
      </w:pPr>
    </w:p>
    <w:p>
      <w:pPr>
        <w:pStyle w:val="BodyText"/>
        <w:spacing w:line="470"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pStyle w:val="Heading3"/>
        <w:spacing w:line="240" w:lineRule="auto" w:before="124"/>
        <w:ind w:right="0"/>
        <w:jc w:val="both"/>
      </w:pPr>
      <w:r>
        <w:rPr>
          <w:rFonts w:ascii="Times New Roman" w:hAnsi="Times New Roman" w:cs="Times New Roman" w:eastAsia="Times New Roman" w:hint="default"/>
        </w:rPr>
        <w:t>4</w:t>
      </w:r>
      <w:r>
        <w:rPr/>
        <w:t>、其他重大合同</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80"/>
        </w:sectPr>
      </w:pPr>
    </w:p>
    <w:p>
      <w:pPr>
        <w:spacing w:line="240" w:lineRule="auto" w:before="3"/>
        <w:rPr>
          <w:rFonts w:ascii="Times New Roman" w:hAnsi="Times New Roman" w:cs="Times New Roman" w:eastAsia="Times New Roman" w:hint="default"/>
          <w:sz w:val="15"/>
          <w:szCs w:val="15"/>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936"/>
        <w:gridCol w:w="936"/>
        <w:gridCol w:w="936"/>
        <w:gridCol w:w="937"/>
        <w:gridCol w:w="936"/>
        <w:gridCol w:w="936"/>
        <w:gridCol w:w="936"/>
        <w:gridCol w:w="934"/>
        <w:gridCol w:w="931"/>
        <w:gridCol w:w="934"/>
        <w:gridCol w:w="745"/>
        <w:gridCol w:w="850"/>
        <w:gridCol w:w="1207"/>
        <w:gridCol w:w="934"/>
        <w:gridCol w:w="932"/>
      </w:tblGrid>
      <w:tr>
        <w:trPr>
          <w:trHeight w:val="1440"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pacing w:val="39"/>
                <w:sz w:val="18"/>
                <w:szCs w:val="18"/>
              </w:rPr>
              <w:t>合同订立</w:t>
            </w:r>
            <w:r>
              <w:rPr>
                <w:rFonts w:ascii="宋体" w:hAnsi="宋体" w:cs="宋体" w:eastAsia="宋体" w:hint="default"/>
                <w:spacing w:val="-38"/>
                <w:sz w:val="18"/>
                <w:szCs w:val="18"/>
              </w:rPr>
              <w:t> </w:t>
            </w:r>
            <w:r>
              <w:rPr>
                <w:rFonts w:ascii="宋体" w:hAnsi="宋体" w:cs="宋体" w:eastAsia="宋体" w:hint="default"/>
                <w:spacing w:val="39"/>
                <w:sz w:val="18"/>
                <w:szCs w:val="18"/>
              </w:rPr>
              <w:t>公司方名</w:t>
            </w:r>
            <w:r>
              <w:rPr>
                <w:rFonts w:ascii="宋体" w:hAnsi="宋体" w:cs="宋体" w:eastAsia="宋体" w:hint="default"/>
                <w:spacing w:val="-38"/>
                <w:sz w:val="18"/>
                <w:szCs w:val="18"/>
              </w:rPr>
              <w:t> </w:t>
            </w:r>
            <w:r>
              <w:rPr>
                <w:rFonts w:ascii="宋体" w:hAnsi="宋体" w:cs="宋体" w:eastAsia="宋体" w:hint="default"/>
                <w:sz w:val="18"/>
                <w:szCs w:val="18"/>
              </w:rPr>
              <w:t>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1" w:right="-27"/>
              <w:jc w:val="left"/>
              <w:rPr>
                <w:rFonts w:ascii="宋体" w:hAnsi="宋体" w:cs="宋体" w:eastAsia="宋体" w:hint="default"/>
                <w:sz w:val="18"/>
                <w:szCs w:val="18"/>
              </w:rPr>
            </w:pPr>
            <w:r>
              <w:rPr>
                <w:rFonts w:ascii="宋体" w:hAnsi="宋体" w:cs="宋体" w:eastAsia="宋体" w:hint="default"/>
                <w:spacing w:val="39"/>
                <w:sz w:val="18"/>
                <w:szCs w:val="18"/>
              </w:rPr>
              <w:t>合同订立</w:t>
            </w:r>
            <w:r>
              <w:rPr>
                <w:rFonts w:ascii="宋体" w:hAnsi="宋体" w:cs="宋体" w:eastAsia="宋体" w:hint="default"/>
                <w:spacing w:val="-38"/>
                <w:sz w:val="18"/>
                <w:szCs w:val="18"/>
              </w:rPr>
              <w:t> </w:t>
            </w:r>
            <w:r>
              <w:rPr>
                <w:rFonts w:ascii="宋体" w:hAnsi="宋体" w:cs="宋体" w:eastAsia="宋体" w:hint="default"/>
                <w:sz w:val="18"/>
                <w:szCs w:val="18"/>
              </w:rPr>
              <w:t>对方名称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pacing w:val="39"/>
                <w:sz w:val="18"/>
                <w:szCs w:val="18"/>
              </w:rPr>
              <w:t>合同签订</w:t>
            </w:r>
            <w:r>
              <w:rPr>
                <w:rFonts w:ascii="宋体" w:hAnsi="宋体" w:cs="宋体" w:eastAsia="宋体" w:hint="default"/>
                <w:spacing w:val="-38"/>
                <w:sz w:val="18"/>
                <w:szCs w:val="18"/>
              </w:rPr>
              <w:t> </w:t>
            </w:r>
            <w:r>
              <w:rPr>
                <w:rFonts w:ascii="宋体" w:hAnsi="宋体" w:cs="宋体" w:eastAsia="宋体" w:hint="default"/>
                <w:sz w:val="18"/>
                <w:szCs w:val="18"/>
              </w:rPr>
              <w:t>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34"/>
              <w:jc w:val="both"/>
              <w:rPr>
                <w:rFonts w:ascii="宋体" w:hAnsi="宋体" w:cs="宋体" w:eastAsia="宋体" w:hint="default"/>
                <w:sz w:val="18"/>
                <w:szCs w:val="18"/>
              </w:rPr>
            </w:pPr>
            <w:r>
              <w:rPr>
                <w:rFonts w:ascii="宋体" w:hAnsi="宋体" w:cs="宋体" w:eastAsia="宋体" w:hint="default"/>
                <w:spacing w:val="39"/>
                <w:sz w:val="18"/>
                <w:szCs w:val="18"/>
              </w:rPr>
              <w:t>合同涉及</w:t>
            </w:r>
            <w:r>
              <w:rPr>
                <w:rFonts w:ascii="宋体" w:hAnsi="宋体" w:cs="宋体" w:eastAsia="宋体" w:hint="default"/>
                <w:spacing w:val="-38"/>
                <w:sz w:val="18"/>
                <w:szCs w:val="18"/>
              </w:rPr>
              <w:t> </w:t>
            </w:r>
            <w:r>
              <w:rPr>
                <w:rFonts w:ascii="宋体" w:hAnsi="宋体" w:cs="宋体" w:eastAsia="宋体" w:hint="default"/>
                <w:spacing w:val="39"/>
                <w:sz w:val="18"/>
                <w:szCs w:val="18"/>
              </w:rPr>
              <w:t>资产的账</w:t>
            </w:r>
            <w:r>
              <w:rPr>
                <w:rFonts w:ascii="宋体" w:hAnsi="宋体" w:cs="宋体" w:eastAsia="宋体" w:hint="default"/>
                <w:spacing w:val="-38"/>
                <w:sz w:val="18"/>
                <w:szCs w:val="18"/>
              </w:rPr>
              <w:t> </w:t>
            </w:r>
            <w:r>
              <w:rPr>
                <w:rFonts w:ascii="宋体" w:hAnsi="宋体" w:cs="宋体" w:eastAsia="宋体" w:hint="default"/>
                <w:spacing w:val="-4"/>
                <w:sz w:val="18"/>
                <w:szCs w:val="18"/>
              </w:rPr>
              <w:t>面价值（万</w:t>
            </w:r>
            <w:r>
              <w:rPr>
                <w:rFonts w:ascii="宋体" w:hAnsi="宋体" w:cs="宋体" w:eastAsia="宋体" w:hint="default"/>
                <w:sz w:val="18"/>
                <w:szCs w:val="18"/>
              </w:rPr>
              <w:t> </w:t>
            </w:r>
            <w:r>
              <w:rPr>
                <w:rFonts w:ascii="宋体" w:hAnsi="宋体" w:cs="宋体" w:eastAsia="宋体" w:hint="default"/>
                <w:spacing w:val="-25"/>
                <w:sz w:val="18"/>
                <w:szCs w:val="18"/>
              </w:rPr>
              <w:t>元）（如有）</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4"/>
              <w:jc w:val="both"/>
              <w:rPr>
                <w:rFonts w:ascii="宋体" w:hAnsi="宋体" w:cs="宋体" w:eastAsia="宋体" w:hint="default"/>
                <w:sz w:val="18"/>
                <w:szCs w:val="18"/>
              </w:rPr>
            </w:pPr>
            <w:r>
              <w:rPr>
                <w:rFonts w:ascii="宋体" w:hAnsi="宋体" w:cs="宋体" w:eastAsia="宋体" w:hint="default"/>
                <w:spacing w:val="39"/>
                <w:sz w:val="18"/>
                <w:szCs w:val="18"/>
              </w:rPr>
              <w:t>合同涉及</w:t>
            </w:r>
            <w:r>
              <w:rPr>
                <w:rFonts w:ascii="宋体" w:hAnsi="宋体" w:cs="宋体" w:eastAsia="宋体" w:hint="default"/>
                <w:spacing w:val="-38"/>
                <w:sz w:val="18"/>
                <w:szCs w:val="18"/>
              </w:rPr>
              <w:t> </w:t>
            </w:r>
            <w:r>
              <w:rPr>
                <w:rFonts w:ascii="宋体" w:hAnsi="宋体" w:cs="宋体" w:eastAsia="宋体" w:hint="default"/>
                <w:spacing w:val="39"/>
                <w:sz w:val="18"/>
                <w:szCs w:val="18"/>
              </w:rPr>
              <w:t>资产的评</w:t>
            </w:r>
            <w:r>
              <w:rPr>
                <w:rFonts w:ascii="宋体" w:hAnsi="宋体" w:cs="宋体" w:eastAsia="宋体" w:hint="default"/>
                <w:spacing w:val="-38"/>
                <w:sz w:val="18"/>
                <w:szCs w:val="18"/>
              </w:rPr>
              <w:t> </w:t>
            </w:r>
            <w:r>
              <w:rPr>
                <w:rFonts w:ascii="宋体" w:hAnsi="宋体" w:cs="宋体" w:eastAsia="宋体" w:hint="default"/>
                <w:spacing w:val="-4"/>
                <w:sz w:val="18"/>
                <w:szCs w:val="18"/>
              </w:rPr>
              <w:t>估价值（万</w:t>
            </w:r>
            <w:r>
              <w:rPr>
                <w:rFonts w:ascii="宋体" w:hAnsi="宋体" w:cs="宋体" w:eastAsia="宋体" w:hint="default"/>
                <w:sz w:val="18"/>
                <w:szCs w:val="18"/>
              </w:rPr>
              <w:t> </w:t>
            </w:r>
            <w:r>
              <w:rPr>
                <w:rFonts w:ascii="宋体" w:hAnsi="宋体" w:cs="宋体" w:eastAsia="宋体" w:hint="default"/>
                <w:spacing w:val="-23"/>
                <w:sz w:val="18"/>
                <w:szCs w:val="18"/>
              </w:rPr>
              <w:t>元）（如有</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0" w:lineRule="atLeast"/>
              <w:ind w:left="23" w:right="-25"/>
              <w:jc w:val="both"/>
              <w:rPr>
                <w:rFonts w:ascii="宋体" w:hAnsi="宋体" w:cs="宋体" w:eastAsia="宋体" w:hint="default"/>
                <w:sz w:val="18"/>
                <w:szCs w:val="18"/>
              </w:rPr>
            </w:pPr>
            <w:r>
              <w:rPr>
                <w:rFonts w:ascii="宋体" w:hAnsi="宋体" w:cs="宋体" w:eastAsia="宋体" w:hint="default"/>
                <w:spacing w:val="39"/>
                <w:sz w:val="18"/>
                <w:szCs w:val="18"/>
              </w:rPr>
              <w:t>评估机构</w:t>
            </w:r>
            <w:r>
              <w:rPr>
                <w:rFonts w:ascii="宋体" w:hAnsi="宋体" w:cs="宋体" w:eastAsia="宋体" w:hint="default"/>
                <w:spacing w:val="-38"/>
                <w:sz w:val="18"/>
                <w:szCs w:val="18"/>
              </w:rPr>
              <w:t> </w:t>
            </w:r>
            <w:r>
              <w:rPr>
                <w:rFonts w:ascii="宋体" w:hAnsi="宋体" w:cs="宋体" w:eastAsia="宋体" w:hint="default"/>
                <w:spacing w:val="39"/>
                <w:sz w:val="18"/>
                <w:szCs w:val="18"/>
              </w:rPr>
              <w:t>名称（如</w:t>
            </w:r>
            <w:r>
              <w:rPr>
                <w:rFonts w:ascii="宋体" w:hAnsi="宋体" w:cs="宋体" w:eastAsia="宋体" w:hint="default"/>
                <w:spacing w:val="-38"/>
                <w:sz w:val="18"/>
                <w:szCs w:val="18"/>
              </w:rPr>
              <w:t> </w:t>
            </w:r>
            <w:r>
              <w:rPr>
                <w:rFonts w:ascii="宋体" w:hAnsi="宋体" w:cs="宋体" w:eastAsia="宋体" w:hint="default"/>
                <w:sz w:val="18"/>
                <w:szCs w:val="18"/>
              </w:rPr>
              <w:t>有）</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4" w:right="-31"/>
              <w:jc w:val="left"/>
              <w:rPr>
                <w:rFonts w:ascii="宋体" w:hAnsi="宋体" w:cs="宋体" w:eastAsia="宋体" w:hint="default"/>
                <w:sz w:val="18"/>
                <w:szCs w:val="18"/>
              </w:rPr>
            </w:pPr>
            <w:r>
              <w:rPr>
                <w:rFonts w:ascii="宋体" w:hAnsi="宋体" w:cs="宋体" w:eastAsia="宋体" w:hint="default"/>
                <w:spacing w:val="39"/>
                <w:sz w:val="18"/>
                <w:szCs w:val="18"/>
              </w:rPr>
              <w:t>评估基准</w:t>
            </w:r>
            <w:r>
              <w:rPr>
                <w:rFonts w:ascii="宋体" w:hAnsi="宋体" w:cs="宋体" w:eastAsia="宋体" w:hint="default"/>
                <w:spacing w:val="-38"/>
                <w:sz w:val="18"/>
                <w:szCs w:val="18"/>
              </w:rPr>
              <w:t> </w:t>
            </w:r>
            <w:r>
              <w:rPr>
                <w:rFonts w:ascii="宋体" w:hAnsi="宋体" w:cs="宋体" w:eastAsia="宋体" w:hint="default"/>
                <w:sz w:val="18"/>
                <w:szCs w:val="18"/>
              </w:rPr>
              <w:t>日（如有）</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32"/>
              <w:jc w:val="left"/>
              <w:rPr>
                <w:rFonts w:ascii="宋体" w:hAnsi="宋体" w:cs="宋体" w:eastAsia="宋体" w:hint="default"/>
                <w:sz w:val="18"/>
                <w:szCs w:val="18"/>
              </w:rPr>
            </w:pPr>
            <w:r>
              <w:rPr>
                <w:rFonts w:ascii="宋体" w:hAnsi="宋体" w:cs="宋体" w:eastAsia="宋体" w:hint="default"/>
                <w:spacing w:val="39"/>
                <w:sz w:val="18"/>
                <w:szCs w:val="18"/>
              </w:rPr>
              <w:t>交易价格</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7"/>
                <w:sz w:val="18"/>
                <w:szCs w:val="18"/>
              </w:rPr>
              <w:t>是否</w:t>
            </w:r>
            <w:r>
              <w:rPr>
                <w:rFonts w:ascii="宋体" w:hAnsi="宋体" w:cs="宋体" w:eastAsia="宋体" w:hint="default"/>
                <w:spacing w:val="-16"/>
                <w:sz w:val="18"/>
                <w:szCs w:val="18"/>
              </w:rPr>
              <w:t> </w:t>
            </w:r>
            <w:r>
              <w:rPr>
                <w:rFonts w:ascii="宋体" w:hAnsi="宋体" w:cs="宋体" w:eastAsia="宋体" w:hint="default"/>
                <w:sz w:val="18"/>
                <w:szCs w:val="18"/>
              </w:rPr>
              <w:t>关</w:t>
            </w:r>
            <w:r>
              <w:rPr>
                <w:rFonts w:ascii="宋体" w:hAnsi="宋体" w:cs="宋体" w:eastAsia="宋体" w:hint="default"/>
                <w:sz w:val="18"/>
                <w:szCs w:val="18"/>
              </w:rPr>
              <w:t> 联交易</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1" w:right="7"/>
              <w:jc w:val="left"/>
              <w:rPr>
                <w:rFonts w:ascii="宋体" w:hAnsi="宋体" w:cs="宋体" w:eastAsia="宋体" w:hint="default"/>
                <w:sz w:val="18"/>
                <w:szCs w:val="18"/>
              </w:rPr>
            </w:pPr>
            <w:r>
              <w:rPr>
                <w:rFonts w:ascii="宋体" w:hAnsi="宋体" w:cs="宋体" w:eastAsia="宋体" w:hint="default"/>
                <w:spacing w:val="14"/>
                <w:sz w:val="18"/>
                <w:szCs w:val="18"/>
              </w:rPr>
              <w:t>截至报告期末 </w:t>
            </w:r>
            <w:r>
              <w:rPr>
                <w:rFonts w:ascii="宋体" w:hAnsi="宋体" w:cs="宋体" w:eastAsia="宋体" w:hint="default"/>
                <w:sz w:val="18"/>
                <w:szCs w:val="18"/>
              </w:rPr>
              <w:t>的执行情况</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7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泰豪智能</w:t>
            </w:r>
          </w:p>
        </w:tc>
        <w:tc>
          <w:tcPr>
            <w:tcW w:w="93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1" w:right="-34"/>
              <w:jc w:val="both"/>
              <w:rPr>
                <w:rFonts w:ascii="宋体" w:hAnsi="宋体" w:cs="宋体" w:eastAsia="宋体" w:hint="default"/>
                <w:sz w:val="18"/>
                <w:szCs w:val="18"/>
              </w:rPr>
            </w:pPr>
            <w:r>
              <w:rPr>
                <w:rFonts w:ascii="宋体" w:hAnsi="宋体" w:cs="宋体" w:eastAsia="宋体" w:hint="default"/>
                <w:spacing w:val="39"/>
                <w:sz w:val="18"/>
                <w:szCs w:val="18"/>
              </w:rPr>
              <w:t>湘潭市政</w:t>
            </w:r>
            <w:r>
              <w:rPr>
                <w:rFonts w:ascii="宋体" w:hAnsi="宋体" w:cs="宋体" w:eastAsia="宋体" w:hint="default"/>
                <w:spacing w:val="-38"/>
                <w:sz w:val="18"/>
                <w:szCs w:val="18"/>
              </w:rPr>
              <w:t> </w:t>
            </w:r>
            <w:r>
              <w:rPr>
                <w:rFonts w:ascii="宋体" w:hAnsi="宋体" w:cs="宋体" w:eastAsia="宋体" w:hint="default"/>
                <w:sz w:val="18"/>
                <w:szCs w:val="18"/>
              </w:rPr>
              <w:t>府</w:t>
            </w:r>
            <w:r>
              <w:rPr>
                <w:rFonts w:ascii="宋体" w:hAnsi="宋体" w:cs="宋体" w:eastAsia="宋体" w:hint="default"/>
                <w:spacing w:val="-38"/>
                <w:sz w:val="18"/>
                <w:szCs w:val="18"/>
              </w:rPr>
              <w:t> </w:t>
            </w:r>
            <w:r>
              <w:rPr>
                <w:rFonts w:ascii="宋体" w:hAnsi="宋体" w:cs="宋体" w:eastAsia="宋体" w:hint="default"/>
                <w:spacing w:val="34"/>
                <w:sz w:val="18"/>
                <w:szCs w:val="18"/>
              </w:rPr>
              <w:t>政务服</w:t>
            </w:r>
            <w:r>
              <w:rPr>
                <w:rFonts w:ascii="宋体" w:hAnsi="宋体" w:cs="宋体" w:eastAsia="宋体" w:hint="default"/>
                <w:spacing w:val="-38"/>
                <w:sz w:val="18"/>
                <w:szCs w:val="18"/>
              </w:rPr>
              <w:t> </w:t>
            </w:r>
            <w:r>
              <w:rPr>
                <w:rFonts w:ascii="宋体" w:hAnsi="宋体" w:cs="宋体" w:eastAsia="宋体" w:hint="default"/>
                <w:spacing w:val="-4"/>
                <w:sz w:val="18"/>
                <w:szCs w:val="18"/>
              </w:rPr>
              <w:t>务中心、湘</w:t>
            </w:r>
            <w:r>
              <w:rPr>
                <w:rFonts w:ascii="宋体" w:hAnsi="宋体" w:cs="宋体" w:eastAsia="宋体" w:hint="default"/>
                <w:sz w:val="18"/>
                <w:szCs w:val="18"/>
              </w:rPr>
              <w:t> </w:t>
            </w:r>
            <w:r>
              <w:rPr>
                <w:rFonts w:ascii="宋体" w:hAnsi="宋体" w:cs="宋体" w:eastAsia="宋体" w:hint="default"/>
                <w:spacing w:val="39"/>
                <w:sz w:val="18"/>
                <w:szCs w:val="18"/>
              </w:rPr>
              <w:t>潭产业投</w:t>
            </w:r>
            <w:r>
              <w:rPr>
                <w:rFonts w:ascii="宋体" w:hAnsi="宋体" w:cs="宋体" w:eastAsia="宋体" w:hint="default"/>
                <w:spacing w:val="-38"/>
                <w:sz w:val="18"/>
                <w:szCs w:val="18"/>
              </w:rPr>
              <w:t> </w:t>
            </w:r>
            <w:r>
              <w:rPr>
                <w:rFonts w:ascii="宋体" w:hAnsi="宋体" w:cs="宋体" w:eastAsia="宋体" w:hint="default"/>
                <w:spacing w:val="39"/>
                <w:sz w:val="18"/>
                <w:szCs w:val="18"/>
              </w:rPr>
              <w:t>资发展集</w:t>
            </w:r>
            <w:r>
              <w:rPr>
                <w:rFonts w:ascii="宋体" w:hAnsi="宋体" w:cs="宋体" w:eastAsia="宋体" w:hint="default"/>
                <w:spacing w:val="-38"/>
                <w:sz w:val="18"/>
                <w:szCs w:val="18"/>
              </w:rPr>
              <w:t> </w:t>
            </w:r>
            <w:r>
              <w:rPr>
                <w:rFonts w:ascii="宋体" w:hAnsi="宋体" w:cs="宋体" w:eastAsia="宋体" w:hint="default"/>
                <w:spacing w:val="39"/>
                <w:sz w:val="18"/>
                <w:szCs w:val="18"/>
              </w:rPr>
              <w:t>团有限公</w:t>
            </w:r>
            <w:r>
              <w:rPr>
                <w:rFonts w:ascii="宋体" w:hAnsi="宋体" w:cs="宋体" w:eastAsia="宋体" w:hint="default"/>
                <w:spacing w:val="-38"/>
                <w:sz w:val="18"/>
                <w:szCs w:val="18"/>
              </w:rPr>
              <w:t> </w:t>
            </w:r>
            <w:r>
              <w:rPr>
                <w:rFonts w:ascii="宋体" w:hAnsi="宋体" w:cs="宋体" w:eastAsia="宋体" w:hint="default"/>
                <w:sz w:val="18"/>
                <w:szCs w:val="18"/>
              </w:rPr>
              <w:t>司</w:t>
            </w:r>
          </w:p>
        </w:tc>
        <w:tc>
          <w:tcPr>
            <w:tcW w:w="936"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2" w:lineRule="auto"/>
              <w:ind w:left="16" w:right="-37"/>
              <w:jc w:val="both"/>
              <w:rPr>
                <w:rFonts w:ascii="宋体" w:hAnsi="宋体" w:cs="宋体" w:eastAsia="宋体" w:hint="default"/>
                <w:sz w:val="18"/>
                <w:szCs w:val="18"/>
              </w:rPr>
            </w:pPr>
            <w:r>
              <w:rPr>
                <w:rFonts w:ascii="宋体" w:hAnsi="宋体" w:cs="宋体" w:eastAsia="宋体" w:hint="default"/>
                <w:spacing w:val="39"/>
                <w:sz w:val="18"/>
                <w:szCs w:val="18"/>
              </w:rPr>
              <w:t>湘潭市新</w:t>
            </w:r>
            <w:r>
              <w:rPr>
                <w:rFonts w:ascii="宋体" w:hAnsi="宋体" w:cs="宋体" w:eastAsia="宋体" w:hint="default"/>
                <w:spacing w:val="-38"/>
                <w:sz w:val="18"/>
                <w:szCs w:val="18"/>
              </w:rPr>
              <w:t> </w:t>
            </w:r>
            <w:r>
              <w:rPr>
                <w:rFonts w:ascii="宋体" w:hAnsi="宋体" w:cs="宋体" w:eastAsia="宋体" w:hint="default"/>
                <w:spacing w:val="39"/>
                <w:sz w:val="18"/>
                <w:szCs w:val="18"/>
              </w:rPr>
              <w:t>型智慧城</w:t>
            </w:r>
            <w:r>
              <w:rPr>
                <w:rFonts w:ascii="宋体" w:hAnsi="宋体" w:cs="宋体" w:eastAsia="宋体" w:hint="default"/>
                <w:spacing w:val="-38"/>
                <w:sz w:val="18"/>
                <w:szCs w:val="18"/>
              </w:rPr>
              <w:t> </w:t>
            </w:r>
            <w:r>
              <w:rPr>
                <w:rFonts w:ascii="宋体" w:hAnsi="宋体" w:cs="宋体" w:eastAsia="宋体" w:hint="default"/>
                <w:sz w:val="18"/>
                <w:szCs w:val="18"/>
              </w:rPr>
              <w:t>市建设</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937" w:type="dxa"/>
            <w:tcBorders>
              <w:top w:val="single" w:sz="4" w:space="0" w:color="000000"/>
              <w:left w:val="single" w:sz="10" w:space="0" w:color="FFFFFF"/>
              <w:bottom w:val="single" w:sz="4" w:space="0" w:color="000000"/>
              <w:right w:val="single" w:sz="4" w:space="0" w:color="000000"/>
            </w:tcBorders>
          </w:tcPr>
          <w:p>
            <w:pPr>
              <w:pStyle w:val="TableParagraph"/>
              <w:spacing w:line="3073"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0"/>
                <w:sz w:val="20"/>
                <w:szCs w:val="20"/>
              </w:rPr>
              <w:pict>
                <v:group style="width:46.35pt;height:153.65pt;mso-position-horizontal-relative:char;mso-position-vertical-relative:line" coordorigin="0,0" coordsize="927,3073">
                  <v:group style="position:absolute;left:0;top:0;width:927;height:3073" coordorigin="0,0" coordsize="927,3073">
                    <v:shape style="position:absolute;left:0;top:0;width:927;height:3073" coordorigin="0,0" coordsize="927,3073" path="m0,3073l927,3073,927,0,0,0,0,3073xe" filled="true" fillcolor="#ffffff" stroked="false">
                      <v:path arrowok="t"/>
                      <v:fill type="solid"/>
                    </v:shape>
                  </v:group>
                </v:group>
              </w:pict>
            </w:r>
            <w:r>
              <w:rPr>
                <w:rFonts w:ascii="Times New Roman" w:hAnsi="Times New Roman" w:cs="Times New Roman" w:eastAsia="Times New Roman" w:hint="default"/>
                <w:position w:val="-60"/>
                <w:sz w:val="20"/>
                <w:szCs w:val="20"/>
              </w:rPr>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1" w:right="-39"/>
              <w:jc w:val="both"/>
              <w:rPr>
                <w:rFonts w:ascii="宋体" w:hAnsi="宋体" w:cs="宋体" w:eastAsia="宋体" w:hint="default"/>
                <w:sz w:val="18"/>
                <w:szCs w:val="18"/>
              </w:rPr>
            </w:pPr>
            <w:r>
              <w:rPr>
                <w:rFonts w:ascii="宋体" w:hAnsi="宋体" w:cs="宋体" w:eastAsia="宋体" w:hint="default"/>
                <w:spacing w:val="39"/>
                <w:sz w:val="18"/>
                <w:szCs w:val="18"/>
              </w:rPr>
              <w:t>竞争性磋</w:t>
            </w:r>
            <w:r>
              <w:rPr>
                <w:rFonts w:ascii="宋体" w:hAnsi="宋体" w:cs="宋体" w:eastAsia="宋体" w:hint="default"/>
                <w:spacing w:val="-38"/>
                <w:sz w:val="18"/>
                <w:szCs w:val="18"/>
              </w:rPr>
              <w:t> </w:t>
            </w:r>
            <w:r>
              <w:rPr>
                <w:rFonts w:ascii="宋体" w:hAnsi="宋体" w:cs="宋体" w:eastAsia="宋体" w:hint="default"/>
                <w:spacing w:val="39"/>
                <w:sz w:val="18"/>
                <w:szCs w:val="18"/>
              </w:rPr>
              <w:t>商采购报</w:t>
            </w:r>
            <w:r>
              <w:rPr>
                <w:rFonts w:ascii="宋体" w:hAnsi="宋体" w:cs="宋体" w:eastAsia="宋体" w:hint="default"/>
                <w:spacing w:val="-38"/>
                <w:sz w:val="18"/>
                <w:szCs w:val="18"/>
              </w:rPr>
              <w:t> </w:t>
            </w:r>
            <w:r>
              <w:rPr>
                <w:rFonts w:ascii="宋体" w:hAnsi="宋体" w:cs="宋体" w:eastAsia="宋体" w:hint="default"/>
                <w:sz w:val="18"/>
                <w:szCs w:val="18"/>
              </w:rPr>
              <w:t>价</w:t>
            </w:r>
          </w:p>
        </w:tc>
        <w:tc>
          <w:tcPr>
            <w:tcW w:w="934" w:type="dxa"/>
            <w:tcBorders>
              <w:top w:val="single" w:sz="4" w:space="0" w:color="000000"/>
              <w:left w:val="single" w:sz="10" w:space="0" w:color="FFFFFF"/>
              <w:bottom w:val="single" w:sz="4" w:space="0" w:color="000000"/>
              <w:right w:val="single" w:sz="4" w:space="0" w:color="000000"/>
            </w:tcBorders>
          </w:tcPr>
          <w:p>
            <w:pPr>
              <w:pStyle w:val="TableParagraph"/>
              <w:spacing w:line="3229"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46.2pt;height:161.450pt;mso-position-horizontal-relative:char;mso-position-vertical-relative:line" coordorigin="0,0" coordsize="924,3229">
                  <v:group style="position:absolute;left:0;top:0;width:924;height:3229" coordorigin="0,0" coordsize="924,3229">
                    <v:shape style="position:absolute;left:0;top:0;width:924;height:3229" coordorigin="0,0" coordsize="924,3229" path="m0,3229l924,3229,924,0,0,0,0,3229xe" filled="true" fillcolor="#ffffff" stroked="false">
                      <v:path arrowok="t"/>
                      <v:fill type="solid"/>
                    </v:shape>
                  </v:group>
                </v:group>
              </w:pict>
            </w:r>
            <w:r>
              <w:rPr>
                <w:rFonts w:ascii="Times New Roman" w:hAnsi="Times New Roman" w:cs="Times New Roman" w:eastAsia="Times New Roman" w:hint="default"/>
                <w:position w:val="-64"/>
                <w:sz w:val="20"/>
                <w:szCs w:val="20"/>
              </w:rPr>
            </w:r>
          </w:p>
          <w:p>
            <w:pPr>
              <w:pStyle w:val="TableParagraph"/>
              <w:spacing w:line="240" w:lineRule="auto" w:before="148"/>
              <w:ind w:left="16" w:right="0"/>
              <w:jc w:val="left"/>
              <w:rPr>
                <w:rFonts w:ascii="Times New Roman" w:hAnsi="Times New Roman" w:cs="Times New Roman" w:eastAsia="Times New Roman" w:hint="default"/>
                <w:sz w:val="18"/>
                <w:szCs w:val="18"/>
              </w:rPr>
            </w:pPr>
            <w:r>
              <w:rPr>
                <w:rFonts w:ascii="Times New Roman"/>
                <w:sz w:val="18"/>
              </w:rPr>
              <w:t>155,900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06"/>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p>
          <w:p>
            <w:pPr>
              <w:pStyle w:val="TableParagraph"/>
              <w:spacing w:line="314" w:lineRule="auto" w:before="63"/>
              <w:ind w:left="21"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日，湘潭市 </w:t>
            </w:r>
            <w:r>
              <w:rPr>
                <w:rFonts w:ascii="宋体" w:hAnsi="宋体" w:cs="宋体" w:eastAsia="宋体" w:hint="default"/>
                <w:spacing w:val="14"/>
                <w:sz w:val="18"/>
                <w:szCs w:val="18"/>
              </w:rPr>
              <w:t>新型智慧城市</w:t>
            </w:r>
            <w:r>
              <w:rPr>
                <w:rFonts w:ascii="宋体" w:hAnsi="宋体" w:cs="宋体" w:eastAsia="宋体" w:hint="default"/>
                <w:spacing w:val="14"/>
                <w:sz w:val="18"/>
                <w:szCs w:val="18"/>
              </w:rPr>
              <w:t> </w:t>
            </w:r>
            <w:r>
              <w:rPr>
                <w:rFonts w:ascii="宋体" w:hAnsi="宋体" w:cs="宋体" w:eastAsia="宋体" w:hint="default"/>
                <w:sz w:val="18"/>
                <w:szCs w:val="18"/>
              </w:rPr>
              <w:t>建设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 </w:t>
            </w:r>
            <w:r>
              <w:rPr>
                <w:rFonts w:ascii="宋体" w:hAnsi="宋体" w:cs="宋体" w:eastAsia="宋体" w:hint="default"/>
                <w:spacing w:val="14"/>
                <w:sz w:val="18"/>
                <w:szCs w:val="18"/>
              </w:rPr>
              <w:t>公司完成股权</w:t>
            </w:r>
            <w:r>
              <w:rPr>
                <w:rFonts w:ascii="宋体" w:hAnsi="宋体" w:cs="宋体" w:eastAsia="宋体" w:hint="default"/>
                <w:spacing w:val="14"/>
                <w:sz w:val="18"/>
                <w:szCs w:val="18"/>
              </w:rPr>
              <w:t> 变更，项目进 入实质性建设 阶段。截至本 报告披露日，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项目总体 </w:t>
            </w:r>
            <w:r>
              <w:rPr>
                <w:rFonts w:ascii="宋体" w:hAnsi="宋体" w:cs="宋体" w:eastAsia="宋体" w:hint="default"/>
                <w:spacing w:val="49"/>
                <w:sz w:val="18"/>
                <w:szCs w:val="18"/>
              </w:rPr>
              <w:t>方案正在设</w:t>
            </w:r>
            <w:r>
              <w:rPr>
                <w:rFonts w:ascii="宋体" w:hAnsi="宋体" w:cs="宋体" w:eastAsia="宋体" w:hint="default"/>
                <w:spacing w:val="-88"/>
                <w:sz w:val="18"/>
                <w:szCs w:val="18"/>
              </w:rPr>
              <w:t> </w:t>
            </w:r>
            <w:r>
              <w:rPr>
                <w:rFonts w:ascii="宋体" w:hAnsi="宋体" w:cs="宋体" w:eastAsia="宋体" w:hint="default"/>
                <w:spacing w:val="14"/>
                <w:sz w:val="18"/>
                <w:szCs w:val="18"/>
              </w:rPr>
              <w:t>计；子项目大</w:t>
            </w:r>
            <w:r>
              <w:rPr>
                <w:rFonts w:ascii="宋体" w:hAnsi="宋体" w:cs="宋体" w:eastAsia="宋体" w:hint="default"/>
                <w:spacing w:val="14"/>
                <w:sz w:val="18"/>
                <w:szCs w:val="18"/>
              </w:rPr>
              <w:t> 数据中心过渡 机房已完成项 目设计和财政 评审工作，即 将开始建设； 子项目智慧警 务启动设计招 标工作；急用 先建子项目基 础地理空间系</w:t>
            </w:r>
            <w:r>
              <w:rPr>
                <w:rFonts w:ascii="宋体" w:hAnsi="宋体" w:cs="宋体" w:eastAsia="宋体" w:hint="default"/>
                <w:sz w:val="18"/>
                <w:szCs w:val="18"/>
              </w:rPr>
            </w:r>
          </w:p>
        </w:tc>
        <w:tc>
          <w:tcPr>
            <w:tcW w:w="93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9" w:lineRule="auto"/>
              <w:ind w:left="21" w:right="-31"/>
              <w:jc w:val="both"/>
              <w:rPr>
                <w:rFonts w:ascii="宋体" w:hAnsi="宋体" w:cs="宋体" w:eastAsia="宋体" w:hint="default"/>
                <w:sz w:val="18"/>
                <w:szCs w:val="18"/>
              </w:rPr>
            </w:pPr>
            <w:r>
              <w:rPr>
                <w:rFonts w:ascii="宋体" w:hAnsi="宋体" w:cs="宋体" w:eastAsia="宋体" w:hint="default"/>
                <w:spacing w:val="39"/>
                <w:sz w:val="18"/>
                <w:szCs w:val="18"/>
              </w:rPr>
              <w:t>《关于全</w:t>
            </w:r>
            <w:r>
              <w:rPr>
                <w:rFonts w:ascii="宋体" w:hAnsi="宋体" w:cs="宋体" w:eastAsia="宋体" w:hint="default"/>
                <w:spacing w:val="-38"/>
                <w:sz w:val="18"/>
                <w:szCs w:val="18"/>
              </w:rPr>
              <w:t> </w:t>
            </w:r>
            <w:r>
              <w:rPr>
                <w:rFonts w:ascii="宋体" w:hAnsi="宋体" w:cs="宋体" w:eastAsia="宋体" w:hint="default"/>
                <w:spacing w:val="39"/>
                <w:sz w:val="18"/>
                <w:szCs w:val="18"/>
              </w:rPr>
              <w:t>资子公司</w:t>
            </w:r>
            <w:r>
              <w:rPr>
                <w:rFonts w:ascii="宋体" w:hAnsi="宋体" w:cs="宋体" w:eastAsia="宋体" w:hint="default"/>
                <w:spacing w:val="-38"/>
                <w:sz w:val="18"/>
                <w:szCs w:val="18"/>
              </w:rPr>
              <w:t> </w:t>
            </w:r>
            <w:r>
              <w:rPr>
                <w:rFonts w:ascii="宋体" w:hAnsi="宋体" w:cs="宋体" w:eastAsia="宋体" w:hint="default"/>
                <w:spacing w:val="39"/>
                <w:sz w:val="18"/>
                <w:szCs w:val="18"/>
              </w:rPr>
              <w:t>签订重大</w:t>
            </w:r>
            <w:r>
              <w:rPr>
                <w:rFonts w:ascii="宋体" w:hAnsi="宋体" w:cs="宋体" w:eastAsia="宋体" w:hint="default"/>
                <w:spacing w:val="-38"/>
                <w:sz w:val="18"/>
                <w:szCs w:val="18"/>
              </w:rPr>
              <w:t> </w:t>
            </w:r>
            <w:r>
              <w:rPr>
                <w:rFonts w:ascii="宋体" w:hAnsi="宋体" w:cs="宋体" w:eastAsia="宋体" w:hint="default"/>
                <w:spacing w:val="39"/>
                <w:sz w:val="18"/>
                <w:szCs w:val="18"/>
              </w:rPr>
              <w:t>合同的公</w:t>
            </w:r>
            <w:r>
              <w:rPr>
                <w:rFonts w:ascii="宋体" w:hAnsi="宋体" w:cs="宋体" w:eastAsia="宋体" w:hint="default"/>
                <w:spacing w:val="-38"/>
                <w:sz w:val="18"/>
                <w:szCs w:val="18"/>
              </w:rPr>
              <w:t> </w:t>
            </w:r>
            <w:r>
              <w:rPr>
                <w:rFonts w:ascii="宋体" w:hAnsi="宋体" w:cs="宋体" w:eastAsia="宋体" w:hint="default"/>
                <w:sz w:val="18"/>
                <w:szCs w:val="18"/>
              </w:rPr>
              <w:t>告》</w:t>
            </w:r>
          </w:p>
        </w:tc>
      </w:tr>
    </w:tbl>
    <w:p>
      <w:pPr>
        <w:spacing w:after="0" w:line="319" w:lineRule="auto"/>
        <w:jc w:val="both"/>
        <w:rPr>
          <w:rFonts w:ascii="宋体" w:hAnsi="宋体" w:cs="宋体" w:eastAsia="宋体" w:hint="default"/>
          <w:sz w:val="18"/>
          <w:szCs w:val="18"/>
        </w:rPr>
        <w:sectPr>
          <w:headerReference w:type="default" r:id="rId32"/>
          <w:footerReference w:type="default" r:id="rId33"/>
          <w:pgSz w:w="16840" w:h="11910" w:orient="landscape"/>
          <w:pgMar w:header="882" w:footer="1132" w:top="1100" w:bottom="1320" w:left="1300" w:right="1280"/>
          <w:pgNumType w:start="78"/>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936"/>
        <w:gridCol w:w="936"/>
        <w:gridCol w:w="936"/>
        <w:gridCol w:w="937"/>
        <w:gridCol w:w="936"/>
        <w:gridCol w:w="936"/>
        <w:gridCol w:w="936"/>
        <w:gridCol w:w="934"/>
        <w:gridCol w:w="931"/>
        <w:gridCol w:w="934"/>
        <w:gridCol w:w="745"/>
        <w:gridCol w:w="850"/>
        <w:gridCol w:w="1207"/>
        <w:gridCol w:w="934"/>
        <w:gridCol w:w="932"/>
      </w:tblGrid>
      <w:tr>
        <w:trPr>
          <w:trHeight w:val="1675" w:hRule="exact"/>
        </w:trPr>
        <w:tc>
          <w:tcPr>
            <w:tcW w:w="936" w:type="dxa"/>
            <w:tcBorders>
              <w:top w:val="single" w:sz="10" w:space="0" w:color="000000"/>
              <w:left w:val="single" w:sz="4" w:space="0" w:color="000000"/>
              <w:bottom w:val="single" w:sz="4" w:space="0" w:color="000000"/>
              <w:right w:val="single" w:sz="4" w:space="0" w:color="000000"/>
            </w:tcBorders>
          </w:tcPr>
          <w:p>
            <w:pPr/>
          </w:p>
        </w:tc>
        <w:tc>
          <w:tcPr>
            <w:tcW w:w="936" w:type="dxa"/>
            <w:tcBorders>
              <w:top w:val="single" w:sz="10" w:space="0" w:color="000000"/>
              <w:left w:val="single" w:sz="4" w:space="0" w:color="000000"/>
              <w:bottom w:val="single" w:sz="4" w:space="0" w:color="000000"/>
              <w:right w:val="single" w:sz="4" w:space="0" w:color="000000"/>
            </w:tcBorders>
          </w:tcPr>
          <w:p>
            <w:pPr/>
          </w:p>
        </w:tc>
        <w:tc>
          <w:tcPr>
            <w:tcW w:w="936" w:type="dxa"/>
            <w:tcBorders>
              <w:top w:val="single" w:sz="10" w:space="0" w:color="000000"/>
              <w:left w:val="single" w:sz="4" w:space="0" w:color="000000"/>
              <w:bottom w:val="single" w:sz="4" w:space="0" w:color="000000"/>
              <w:right w:val="single" w:sz="4" w:space="0" w:color="000000"/>
            </w:tcBorders>
          </w:tcPr>
          <w:p>
            <w:pPr/>
          </w:p>
        </w:tc>
        <w:tc>
          <w:tcPr>
            <w:tcW w:w="937" w:type="dxa"/>
            <w:tcBorders>
              <w:top w:val="single" w:sz="10" w:space="0" w:color="000000"/>
              <w:left w:val="single" w:sz="4" w:space="0" w:color="000000"/>
              <w:bottom w:val="single" w:sz="4" w:space="0" w:color="000000"/>
              <w:right w:val="single" w:sz="4" w:space="0" w:color="000000"/>
            </w:tcBorders>
          </w:tcPr>
          <w:p>
            <w:pPr/>
          </w:p>
        </w:tc>
        <w:tc>
          <w:tcPr>
            <w:tcW w:w="936" w:type="dxa"/>
            <w:tcBorders>
              <w:top w:val="single" w:sz="10" w:space="0" w:color="000000"/>
              <w:left w:val="single" w:sz="4" w:space="0" w:color="000000"/>
              <w:bottom w:val="single" w:sz="4" w:space="0" w:color="000000"/>
              <w:right w:val="single" w:sz="4" w:space="0" w:color="000000"/>
            </w:tcBorders>
          </w:tcPr>
          <w:p>
            <w:pPr/>
          </w:p>
        </w:tc>
        <w:tc>
          <w:tcPr>
            <w:tcW w:w="936" w:type="dxa"/>
            <w:tcBorders>
              <w:top w:val="single" w:sz="10" w:space="0" w:color="000000"/>
              <w:left w:val="single" w:sz="4" w:space="0" w:color="000000"/>
              <w:bottom w:val="single" w:sz="4" w:space="0" w:color="000000"/>
              <w:right w:val="single" w:sz="4" w:space="0" w:color="000000"/>
            </w:tcBorders>
          </w:tcPr>
          <w:p>
            <w:pPr/>
          </w:p>
        </w:tc>
        <w:tc>
          <w:tcPr>
            <w:tcW w:w="936" w:type="dxa"/>
            <w:tcBorders>
              <w:top w:val="single" w:sz="10" w:space="0" w:color="000000"/>
              <w:left w:val="single" w:sz="4" w:space="0" w:color="000000"/>
              <w:bottom w:val="single" w:sz="4" w:space="0" w:color="000000"/>
              <w:right w:val="single" w:sz="4" w:space="0" w:color="000000"/>
            </w:tcBorders>
          </w:tcPr>
          <w:p>
            <w:pPr/>
          </w:p>
        </w:tc>
        <w:tc>
          <w:tcPr>
            <w:tcW w:w="934"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c>
          <w:tcPr>
            <w:tcW w:w="934" w:type="dxa"/>
            <w:tcBorders>
              <w:top w:val="single" w:sz="10" w:space="0" w:color="000000"/>
              <w:left w:val="single" w:sz="4" w:space="0" w:color="000000"/>
              <w:bottom w:val="single" w:sz="4" w:space="0" w:color="000000"/>
              <w:right w:val="single" w:sz="4" w:space="0" w:color="000000"/>
            </w:tcBorders>
          </w:tcPr>
          <w:p>
            <w:pPr/>
          </w:p>
        </w:tc>
        <w:tc>
          <w:tcPr>
            <w:tcW w:w="745"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1207"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1" w:right="7"/>
              <w:jc w:val="both"/>
              <w:rPr>
                <w:rFonts w:ascii="宋体" w:hAnsi="宋体" w:cs="宋体" w:eastAsia="宋体" w:hint="default"/>
                <w:sz w:val="18"/>
                <w:szCs w:val="18"/>
              </w:rPr>
            </w:pPr>
            <w:r>
              <w:rPr>
                <w:rFonts w:ascii="宋体" w:hAnsi="宋体" w:cs="宋体" w:eastAsia="宋体" w:hint="default"/>
                <w:spacing w:val="14"/>
                <w:sz w:val="18"/>
                <w:szCs w:val="18"/>
              </w:rPr>
              <w:t>统平台、智慧 交通、智慧政 务等正在与各 委办局协商启 </w:t>
            </w:r>
            <w:r>
              <w:rPr>
                <w:rFonts w:ascii="宋体" w:hAnsi="宋体" w:cs="宋体" w:eastAsia="宋体" w:hint="default"/>
                <w:sz w:val="18"/>
                <w:szCs w:val="18"/>
              </w:rPr>
              <w:t>动方案。</w:t>
            </w:r>
          </w:p>
        </w:tc>
        <w:tc>
          <w:tcPr>
            <w:tcW w:w="934" w:type="dxa"/>
            <w:tcBorders>
              <w:top w:val="single" w:sz="10" w:space="0" w:color="000000"/>
              <w:left w:val="single" w:sz="4" w:space="0" w:color="000000"/>
              <w:bottom w:val="single" w:sz="4" w:space="0" w:color="000000"/>
              <w:right w:val="single" w:sz="4" w:space="0" w:color="000000"/>
            </w:tcBorders>
          </w:tcPr>
          <w:p>
            <w:pPr/>
          </w:p>
        </w:tc>
        <w:tc>
          <w:tcPr>
            <w:tcW w:w="932" w:type="dxa"/>
            <w:tcBorders>
              <w:top w:val="single" w:sz="10"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2"/>
        <w:rPr>
          <w:rFonts w:ascii="Times New Roman" w:hAnsi="Times New Roman" w:cs="Times New Roman" w:eastAsia="Times New Roman" w:hint="default"/>
          <w:sz w:val="19"/>
          <w:szCs w:val="19"/>
        </w:rPr>
      </w:pPr>
    </w:p>
    <w:p>
      <w:pPr>
        <w:pStyle w:val="Heading2"/>
        <w:spacing w:line="240" w:lineRule="auto"/>
        <w:ind w:right="11"/>
        <w:jc w:val="left"/>
      </w:pPr>
      <w:r>
        <w:rPr/>
        <w:t>十七、社会责任情况</w:t>
      </w:r>
    </w:p>
    <w:p>
      <w:pPr>
        <w:spacing w:line="240" w:lineRule="auto" w:before="10"/>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、履行社会责任情况</w:t>
      </w:r>
    </w:p>
    <w:p>
      <w:pPr>
        <w:spacing w:line="240" w:lineRule="auto" w:before="3"/>
        <w:rPr>
          <w:rFonts w:ascii="黑体" w:hAnsi="黑体" w:cs="黑体" w:eastAsia="黑体" w:hint="default"/>
          <w:sz w:val="24"/>
          <w:szCs w:val="24"/>
        </w:rPr>
      </w:pPr>
    </w:p>
    <w:p>
      <w:pPr>
        <w:pStyle w:val="BodyText"/>
        <w:spacing w:line="386" w:lineRule="auto"/>
        <w:ind w:right="11" w:firstLine="42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 </w:t>
      </w:r>
      <w:r>
        <w:rPr>
          <w:spacing w:val="-3"/>
        </w:rPr>
        <w:t>年，公司设立首都高校基础学科</w:t>
      </w:r>
      <w:r>
        <w:rPr>
          <w:rFonts w:ascii="Times New Roman" w:hAnsi="Times New Roman" w:cs="Times New Roman" w:eastAsia="Times New Roman" w:hint="default"/>
          <w:spacing w:val="-3"/>
        </w:rPr>
        <w:t>“</w:t>
      </w:r>
      <w:r>
        <w:rPr>
          <w:spacing w:val="-3"/>
        </w:rPr>
        <w:t>旋极奖学金</w:t>
      </w:r>
      <w:r>
        <w:rPr>
          <w:rFonts w:ascii="Times New Roman" w:hAnsi="Times New Roman" w:cs="Times New Roman" w:eastAsia="Times New Roman" w:hint="default"/>
          <w:spacing w:val="-3"/>
        </w:rPr>
        <w:t>”</w:t>
      </w:r>
      <w:r>
        <w:rPr>
          <w:spacing w:val="-3"/>
        </w:rPr>
        <w:t>项目并于后期持续捐助，其中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年为北京青</w:t>
      </w:r>
      <w:r>
        <w:rPr>
          <w:w w:val="100"/>
        </w:rPr>
        <w:t> </w:t>
      </w:r>
      <w:r>
        <w:rPr/>
        <w:t>少年发展基金会捐款</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万元；</w:t>
      </w:r>
    </w:p>
    <w:p>
      <w:pPr>
        <w:pStyle w:val="BodyText"/>
        <w:spacing w:line="386" w:lineRule="auto" w:before="136"/>
        <w:ind w:right="146"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 </w:t>
      </w:r>
      <w:r>
        <w:rPr/>
        <w:t>年，公司设立爱佑</w:t>
      </w:r>
      <w:r>
        <w:rPr>
          <w:rFonts w:ascii="Times New Roman" w:hAnsi="Times New Roman" w:cs="Times New Roman" w:eastAsia="Times New Roman" w:hint="default"/>
        </w:rPr>
        <w:t>•</w:t>
      </w:r>
      <w:r>
        <w:rPr/>
        <w:t>旋极北京小婴儿之家，并于后期持续捐助，其中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年为爱佑慈善基金</w:t>
      </w:r>
      <w:r>
        <w:rPr>
          <w:w w:val="100"/>
        </w:rPr>
        <w:t> </w:t>
      </w:r>
      <w:r>
        <w:rPr/>
        <w:t>会捐款</w:t>
      </w:r>
      <w:r>
        <w:rPr>
          <w:spacing w:val="-52"/>
        </w:rPr>
        <w:t> </w:t>
      </w:r>
      <w:r>
        <w:rPr>
          <w:rFonts w:ascii="Times New Roman" w:hAnsi="Times New Roman" w:cs="Times New Roman" w:eastAsia="Times New Roman" w:hint="default"/>
        </w:rPr>
        <w:t>400</w:t>
      </w:r>
      <w:r>
        <w:rPr>
          <w:rFonts w:ascii="Times New Roman" w:hAnsi="Times New Roman" w:cs="Times New Roman" w:eastAsia="Times New Roman" w:hint="default"/>
          <w:spacing w:val="-10"/>
        </w:rPr>
        <w:t> </w:t>
      </w:r>
      <w:r>
        <w:rPr/>
        <w:t>万元；</w:t>
      </w:r>
    </w:p>
    <w:p>
      <w:pPr>
        <w:pStyle w:val="BodyText"/>
        <w:spacing w:line="240" w:lineRule="auto" w:before="137"/>
        <w:ind w:left="573" w:right="1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年积极开展为九寨沟地震灾区献爱心活动，共捐款</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余万；</w:t>
      </w:r>
    </w:p>
    <w:p>
      <w:pPr>
        <w:spacing w:line="240" w:lineRule="auto" w:before="1"/>
        <w:rPr>
          <w:rFonts w:ascii="宋体" w:hAnsi="宋体" w:cs="宋体" w:eastAsia="宋体" w:hint="default"/>
          <w:sz w:val="21"/>
          <w:szCs w:val="21"/>
        </w:rPr>
      </w:pPr>
    </w:p>
    <w:p>
      <w:pPr>
        <w:pStyle w:val="BodyText"/>
        <w:spacing w:line="386" w:lineRule="auto"/>
        <w:ind w:right="11" w:firstLine="42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年，公司党工企先后于</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月及</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月赴北京大学人民医院清河分院探望白血病患儿，</w:t>
      </w:r>
      <w:r>
        <w:rPr>
          <w:w w:val="100"/>
        </w:rPr>
        <w:t> </w:t>
      </w:r>
      <w:r>
        <w:rPr/>
        <w:t>为孩子们送去关怀和温暖；</w:t>
      </w:r>
    </w:p>
    <w:p>
      <w:pPr>
        <w:pStyle w:val="BodyText"/>
        <w:spacing w:line="240" w:lineRule="auto" w:before="166"/>
        <w:ind w:left="573" w:right="11"/>
        <w:jc w:val="left"/>
        <w:rPr>
          <w:rFonts w:ascii="MS Gothic" w:hAnsi="MS Gothic" w:cs="MS Gothic" w:eastAsia="MS Gothic" w:hint="default"/>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年，公司全资子公司泰豪智能向北京对外经济贸易大学教育基金会捐赠</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14"/>
        </w:rPr>
        <w:t> </w:t>
      </w:r>
      <w:r>
        <w:rPr/>
        <w:t>万元</w:t>
      </w:r>
      <w:r>
        <w:rPr>
          <w:rFonts w:ascii="MS Gothic" w:hAnsi="MS Gothic" w:cs="MS Gothic" w:eastAsia="MS Gothic" w:hint="default"/>
        </w:rPr>
        <w:t>｡</w:t>
      </w:r>
    </w:p>
    <w:p>
      <w:pPr>
        <w:spacing w:line="240" w:lineRule="auto" w:before="9"/>
        <w:rPr>
          <w:rFonts w:ascii="MS Gothic" w:hAnsi="MS Gothic" w:cs="MS Gothic" w:eastAsia="MS Gothic" w:hint="default"/>
          <w:sz w:val="23"/>
          <w:szCs w:val="23"/>
        </w:rPr>
      </w:pPr>
    </w:p>
    <w:p>
      <w:pPr>
        <w:pStyle w:val="Heading3"/>
        <w:spacing w:line="240" w:lineRule="auto"/>
        <w:ind w:right="11"/>
        <w:jc w:val="left"/>
      </w:pPr>
      <w:r>
        <w:rPr>
          <w:rFonts w:ascii="Times New Roman" w:hAnsi="Times New Roman" w:cs="Times New Roman" w:eastAsia="Times New Roman" w:hint="default"/>
        </w:rPr>
        <w:t>2</w:t>
      </w:r>
      <w:r>
        <w:rPr/>
        <w:t>、履行精准扶贫社会责任情况</w:t>
      </w:r>
    </w:p>
    <w:p>
      <w:pPr>
        <w:spacing w:line="240" w:lineRule="auto" w:before="2"/>
        <w:rPr>
          <w:rFonts w:ascii="黑体" w:hAnsi="黑体" w:cs="黑体" w:eastAsia="黑体" w:hint="default"/>
          <w:sz w:val="22"/>
          <w:szCs w:val="22"/>
        </w:rPr>
      </w:pPr>
    </w:p>
    <w:p>
      <w:pPr>
        <w:pStyle w:val="Heading3"/>
        <w:spacing w:line="240" w:lineRule="auto"/>
        <w:ind w:right="11"/>
        <w:jc w:val="left"/>
      </w:pPr>
      <w:r>
        <w:rPr/>
        <w:t>（</w:t>
      </w:r>
      <w:r>
        <w:rPr>
          <w:rFonts w:ascii="Times New Roman" w:hAnsi="Times New Roman" w:cs="Times New Roman" w:eastAsia="Times New Roman" w:hint="default"/>
        </w:rPr>
        <w:t>1</w:t>
      </w:r>
      <w:r>
        <w:rPr/>
        <w:t>）精准扶贫规划</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公司报告年度暂未开展精准扶贫工作，也暂无后续精准扶贫计划。</w:t>
      </w:r>
    </w:p>
    <w:p>
      <w:pPr>
        <w:spacing w:line="240" w:lineRule="auto" w:before="12"/>
        <w:rPr>
          <w:rFonts w:ascii="宋体" w:hAnsi="宋体" w:cs="宋体" w:eastAsia="宋体" w:hint="default"/>
          <w:sz w:val="24"/>
          <w:szCs w:val="24"/>
        </w:rPr>
      </w:pPr>
    </w:p>
    <w:p>
      <w:pPr>
        <w:spacing w:line="482" w:lineRule="auto" w:before="0"/>
        <w:ind w:left="573" w:right="3315" w:hanging="421"/>
        <w:jc w:val="left"/>
        <w:rPr>
          <w:rFonts w:ascii="宋体" w:hAnsi="宋体" w:cs="宋体" w:eastAsia="宋体" w:hint="default"/>
          <w:sz w:val="21"/>
          <w:szCs w:val="21"/>
        </w:rPr>
      </w:pPr>
      <w:r>
        <w:rPr>
          <w:rFonts w:ascii="Times New Roman" w:hAnsi="Times New Roman" w:cs="Times New Roman" w:eastAsia="Times New Roman" w:hint="default"/>
          <w:sz w:val="24"/>
          <w:szCs w:val="24"/>
        </w:rPr>
        <w:t>3</w:t>
      </w:r>
      <w:r>
        <w:rPr>
          <w:rFonts w:ascii="黑体" w:hAnsi="黑体" w:cs="黑体" w:eastAsia="黑体" w:hint="default"/>
          <w:sz w:val="24"/>
          <w:szCs w:val="24"/>
        </w:rPr>
        <w:t>、环境保护相关的情况 </w:t>
      </w:r>
      <w:r>
        <w:rPr>
          <w:rFonts w:ascii="宋体" w:hAnsi="宋体" w:cs="宋体" w:eastAsia="宋体" w:hint="default"/>
          <w:spacing w:val="-2"/>
          <w:sz w:val="21"/>
          <w:szCs w:val="21"/>
        </w:rPr>
        <w:t>上市公司及其子公司是否属于环境保护部门公布的重点排污单位</w:t>
      </w:r>
      <w:r>
        <w:rPr>
          <w:rFonts w:ascii="宋体" w:hAnsi="宋体" w:cs="宋体" w:eastAsia="宋体" w:hint="default"/>
          <w:w w:val="100"/>
          <w:sz w:val="21"/>
          <w:szCs w:val="21"/>
        </w:rPr>
        <w:t> </w:t>
      </w:r>
      <w:r>
        <w:rPr>
          <w:rFonts w:ascii="宋体" w:hAnsi="宋体" w:cs="宋体" w:eastAsia="宋体" w:hint="default"/>
          <w:sz w:val="21"/>
          <w:szCs w:val="21"/>
        </w:rPr>
        <w:t>不适用</w:t>
      </w:r>
    </w:p>
    <w:p>
      <w:pPr>
        <w:pStyle w:val="Heading3"/>
        <w:spacing w:line="240" w:lineRule="auto" w:before="111"/>
        <w:ind w:right="11"/>
        <w:jc w:val="left"/>
      </w:pPr>
      <w:r>
        <w:rPr/>
        <w:t>十八、其他重大事项的说明</w:t>
      </w:r>
    </w:p>
    <w:p>
      <w:pPr>
        <w:spacing w:line="240" w:lineRule="auto" w:before="9"/>
        <w:rPr>
          <w:rFonts w:ascii="黑体" w:hAnsi="黑体" w:cs="黑体" w:eastAsia="黑体" w:hint="default"/>
          <w:sz w:val="25"/>
          <w:szCs w:val="25"/>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t>（一）对外投资情况</w:t>
      </w:r>
    </w:p>
    <w:p>
      <w:pPr>
        <w:spacing w:line="240" w:lineRule="auto" w:before="3"/>
        <w:rPr>
          <w:rFonts w:ascii="黑体" w:hAnsi="黑体" w:cs="黑体" w:eastAsia="黑体" w:hint="default"/>
          <w:sz w:val="26"/>
          <w:szCs w:val="26"/>
        </w:rPr>
      </w:pPr>
    </w:p>
    <w:p>
      <w:pPr>
        <w:pStyle w:val="Heading3"/>
        <w:spacing w:line="240" w:lineRule="auto"/>
        <w:ind w:right="11"/>
        <w:jc w:val="left"/>
      </w:pPr>
      <w:r>
        <w:rPr>
          <w:rFonts w:ascii="Times New Roman" w:hAnsi="Times New Roman" w:cs="Times New Roman" w:eastAsia="Times New Roman" w:hint="default"/>
        </w:rPr>
        <w:t>1</w:t>
      </w:r>
      <w:r>
        <w:rPr/>
        <w:t>、航星中云投资进展情况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日第三届董事会第二十次会议审议通过了《关于使用自有资金投资北京航星中云科技</w:t>
      </w:r>
    </w:p>
    <w:p>
      <w:pPr>
        <w:pStyle w:val="BodyText"/>
        <w:spacing w:line="386" w:lineRule="auto" w:before="177"/>
        <w:ind w:right="151"/>
        <w:jc w:val="both"/>
      </w:pPr>
      <w:r>
        <w:rPr>
          <w:w w:val="100"/>
        </w:rPr>
        <w:t>有限</w:t>
      </w:r>
      <w:r>
        <w:rPr>
          <w:spacing w:val="-3"/>
          <w:w w:val="100"/>
        </w:rPr>
        <w:t>公</w:t>
      </w:r>
      <w:r>
        <w:rPr>
          <w:w w:val="100"/>
        </w:rPr>
        <w:t>司</w:t>
      </w:r>
      <w:r>
        <w:rPr>
          <w:spacing w:val="-3"/>
          <w:w w:val="100"/>
        </w:rPr>
        <w:t>的</w:t>
      </w:r>
      <w:r>
        <w:rPr>
          <w:w w:val="100"/>
        </w:rPr>
        <w:t>议</w:t>
      </w:r>
      <w:r>
        <w:rPr>
          <w:spacing w:val="-3"/>
          <w:w w:val="100"/>
        </w:rPr>
        <w:t>案</w:t>
      </w:r>
      <w:r>
        <w:rPr>
          <w:spacing w:val="-106"/>
          <w:w w:val="100"/>
        </w:rPr>
        <w:t>》</w:t>
      </w:r>
      <w:r>
        <w:rPr>
          <w:spacing w:val="-3"/>
          <w:w w:val="100"/>
        </w:rPr>
        <w:t>，</w:t>
      </w:r>
      <w:r>
        <w:rPr>
          <w:w w:val="100"/>
        </w:rPr>
        <w:t>同</w:t>
      </w:r>
      <w:r>
        <w:rPr>
          <w:spacing w:val="-3"/>
          <w:w w:val="100"/>
        </w:rPr>
        <w:t>意公</w:t>
      </w:r>
      <w:r>
        <w:rPr>
          <w:w w:val="100"/>
        </w:rPr>
        <w:t>司使</w:t>
      </w:r>
      <w:r>
        <w:rPr>
          <w:spacing w:val="-3"/>
          <w:w w:val="100"/>
        </w:rPr>
        <w:t>用</w:t>
      </w:r>
      <w:r>
        <w:rPr>
          <w:w w:val="100"/>
        </w:rPr>
        <w:t>自</w:t>
      </w:r>
      <w:r>
        <w:rPr>
          <w:spacing w:val="-3"/>
          <w:w w:val="100"/>
        </w:rPr>
        <w:t>有</w:t>
      </w:r>
      <w:r>
        <w:rPr>
          <w:w w:val="100"/>
        </w:rPr>
        <w:t>资金</w:t>
      </w:r>
      <w:r>
        <w:rPr>
          <w:spacing w:val="-23"/>
        </w:rPr>
        <w:t> </w:t>
      </w:r>
      <w:r>
        <w:rPr>
          <w:rFonts w:ascii="Times New Roman" w:hAnsi="Times New Roman" w:cs="Times New Roman" w:eastAsia="Times New Roman" w:hint="default"/>
          <w:w w:val="100"/>
        </w:rPr>
        <w:t>3,000</w:t>
      </w:r>
      <w:r>
        <w:rPr>
          <w:rFonts w:ascii="Times New Roman" w:hAnsi="Times New Roman" w:cs="Times New Roman" w:eastAsia="Times New Roman" w:hint="default"/>
          <w:spacing w:val="7"/>
        </w:rPr>
        <w:t> </w:t>
      </w:r>
      <w:r>
        <w:rPr>
          <w:spacing w:val="-3"/>
          <w:w w:val="100"/>
        </w:rPr>
        <w:t>万</w:t>
      </w:r>
      <w:r>
        <w:rPr>
          <w:w w:val="100"/>
        </w:rPr>
        <w:t>元投</w:t>
      </w:r>
      <w:r>
        <w:rPr>
          <w:spacing w:val="-3"/>
          <w:w w:val="100"/>
        </w:rPr>
        <w:t>资</w:t>
      </w:r>
      <w:r>
        <w:rPr>
          <w:w w:val="100"/>
        </w:rPr>
        <w:t>北</w:t>
      </w:r>
      <w:r>
        <w:rPr>
          <w:spacing w:val="-3"/>
          <w:w w:val="100"/>
        </w:rPr>
        <w:t>京</w:t>
      </w:r>
      <w:r>
        <w:rPr>
          <w:w w:val="100"/>
        </w:rPr>
        <w:t>航</w:t>
      </w:r>
      <w:r>
        <w:rPr>
          <w:spacing w:val="-3"/>
          <w:w w:val="100"/>
        </w:rPr>
        <w:t>星</w:t>
      </w:r>
      <w:r>
        <w:rPr>
          <w:w w:val="100"/>
        </w:rPr>
        <w:t>中</w:t>
      </w:r>
      <w:r>
        <w:rPr>
          <w:spacing w:val="-3"/>
          <w:w w:val="100"/>
        </w:rPr>
        <w:t>云</w:t>
      </w:r>
      <w:r>
        <w:rPr>
          <w:w w:val="100"/>
        </w:rPr>
        <w:t>科</w:t>
      </w:r>
      <w:r>
        <w:rPr>
          <w:spacing w:val="-3"/>
          <w:w w:val="100"/>
        </w:rPr>
        <w:t>技</w:t>
      </w:r>
      <w:r>
        <w:rPr>
          <w:w w:val="100"/>
        </w:rPr>
        <w:t>有限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rFonts w:ascii="Times New Roman" w:hAnsi="Times New Roman" w:cs="Times New Roman" w:eastAsia="Times New Roman" w:hint="default"/>
          <w:spacing w:val="-1"/>
          <w:w w:val="100"/>
        </w:rPr>
        <w:t>“</w:t>
      </w:r>
      <w:r>
        <w:rPr>
          <w:spacing w:val="-3"/>
          <w:w w:val="100"/>
        </w:rPr>
        <w:t>航星中 </w:t>
      </w:r>
      <w:r>
        <w:rPr>
          <w:w w:val="100"/>
        </w:rPr>
        <w:t>云</w:t>
      </w:r>
      <w:r>
        <w:rPr>
          <w:rFonts w:ascii="Times New Roman" w:hAnsi="Times New Roman" w:cs="Times New Roman" w:eastAsia="Times New Roman" w:hint="default"/>
          <w:spacing w:val="-1"/>
          <w:w w:val="100"/>
        </w:rPr>
        <w:t>”</w:t>
      </w:r>
      <w:r>
        <w:rPr>
          <w:spacing w:val="-106"/>
          <w:w w:val="100"/>
        </w:rPr>
        <w:t>）</w:t>
      </w:r>
      <w:r>
        <w:rPr>
          <w:spacing w:val="-15"/>
          <w:w w:val="100"/>
        </w:rPr>
        <w:t>。</w:t>
      </w:r>
      <w:r>
        <w:rPr>
          <w:w w:val="100"/>
        </w:rPr>
        <w:t>本</w:t>
      </w:r>
      <w:r>
        <w:rPr>
          <w:spacing w:val="-3"/>
          <w:w w:val="100"/>
        </w:rPr>
        <w:t>次</w:t>
      </w:r>
      <w:r>
        <w:rPr>
          <w:w w:val="100"/>
        </w:rPr>
        <w:t>投</w:t>
      </w:r>
      <w:r>
        <w:rPr>
          <w:spacing w:val="-3"/>
          <w:w w:val="100"/>
        </w:rPr>
        <w:t>资</w:t>
      </w:r>
      <w:r>
        <w:rPr>
          <w:w w:val="100"/>
        </w:rPr>
        <w:t>完</w:t>
      </w:r>
      <w:r>
        <w:rPr>
          <w:spacing w:val="-3"/>
          <w:w w:val="100"/>
        </w:rPr>
        <w:t>成后</w:t>
      </w:r>
      <w:r>
        <w:rPr>
          <w:spacing w:val="-15"/>
          <w:w w:val="100"/>
        </w:rPr>
        <w:t>，</w:t>
      </w:r>
      <w:r>
        <w:rPr>
          <w:w w:val="100"/>
        </w:rPr>
        <w:t>旋极</w:t>
      </w:r>
      <w:r>
        <w:rPr>
          <w:spacing w:val="-3"/>
          <w:w w:val="100"/>
        </w:rPr>
        <w:t>信</w:t>
      </w:r>
      <w:r>
        <w:rPr>
          <w:w w:val="100"/>
        </w:rPr>
        <w:t>息</w:t>
      </w:r>
      <w:r>
        <w:rPr>
          <w:spacing w:val="-3"/>
          <w:w w:val="100"/>
        </w:rPr>
        <w:t>将</w:t>
      </w:r>
      <w:r>
        <w:rPr>
          <w:w w:val="100"/>
        </w:rPr>
        <w:t>持</w:t>
      </w:r>
      <w:r>
        <w:rPr>
          <w:spacing w:val="-3"/>
          <w:w w:val="100"/>
        </w:rPr>
        <w:t>有</w:t>
      </w:r>
      <w:r>
        <w:rPr>
          <w:w w:val="100"/>
        </w:rPr>
        <w:t>航</w:t>
      </w:r>
      <w:r>
        <w:rPr>
          <w:spacing w:val="-3"/>
          <w:w w:val="100"/>
        </w:rPr>
        <w:t>星中</w:t>
      </w:r>
      <w:r>
        <w:rPr>
          <w:w w:val="100"/>
        </w:rPr>
        <w:t>云</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
          <w:w w:val="100"/>
        </w:rPr>
        <w:t>%</w:t>
      </w:r>
      <w:r>
        <w:rPr>
          <w:spacing w:val="-3"/>
          <w:w w:val="100"/>
        </w:rPr>
        <w:t>股</w:t>
      </w:r>
      <w:r>
        <w:rPr>
          <w:w w:val="100"/>
        </w:rPr>
        <w:t>权</w:t>
      </w:r>
      <w:r>
        <w:rPr>
          <w:spacing w:val="-12"/>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10"/>
        </w:rPr>
        <w:t> </w:t>
      </w:r>
      <w:r>
        <w:rPr>
          <w:spacing w:val="-3"/>
          <w:w w:val="100"/>
        </w:rPr>
        <w:t>日</w:t>
      </w:r>
      <w:r>
        <w:rPr>
          <w:w w:val="100"/>
        </w:rPr>
        <w:t>公</w:t>
      </w:r>
      <w:r>
        <w:rPr>
          <w:spacing w:val="-3"/>
          <w:w w:val="100"/>
        </w:rPr>
        <w:t>司</w:t>
      </w:r>
      <w:r>
        <w:rPr>
          <w:w w:val="100"/>
        </w:rPr>
        <w:t>发</w:t>
      </w:r>
      <w:r>
        <w:rPr>
          <w:spacing w:val="-15"/>
          <w:w w:val="100"/>
        </w:rPr>
        <w:t>布</w:t>
      </w:r>
      <w:r>
        <w:rPr>
          <w:w w:val="100"/>
        </w:rPr>
        <w:t>《</w:t>
      </w:r>
      <w:r>
        <w:rPr>
          <w:spacing w:val="-3"/>
          <w:w w:val="100"/>
        </w:rPr>
        <w:t>关</w:t>
      </w:r>
      <w:r>
        <w:rPr>
          <w:w w:val="100"/>
        </w:rPr>
        <w:t>于</w:t>
      </w:r>
      <w:r>
        <w:rPr>
          <w:spacing w:val="-3"/>
          <w:w w:val="100"/>
        </w:rPr>
        <w:t>使</w:t>
      </w:r>
      <w:r>
        <w:rPr>
          <w:w w:val="100"/>
        </w:rPr>
        <w:t>用</w:t>
      </w:r>
      <w:r>
        <w:rPr>
          <w:spacing w:val="-3"/>
          <w:w w:val="100"/>
        </w:rPr>
        <w:t>自</w:t>
      </w:r>
      <w:r>
        <w:rPr>
          <w:w w:val="100"/>
        </w:rPr>
        <w:t>有</w:t>
      </w:r>
      <w:r>
        <w:rPr>
          <w:w w:val="100"/>
        </w:rPr>
        <w:t> </w:t>
      </w:r>
      <w:r>
        <w:rPr>
          <w:spacing w:val="2"/>
          <w:w w:val="100"/>
        </w:rPr>
        <w:t>资</w:t>
      </w:r>
      <w:r>
        <w:rPr>
          <w:w w:val="100"/>
        </w:rPr>
        <w:t>金投资</w:t>
      </w:r>
      <w:r>
        <w:rPr>
          <w:spacing w:val="2"/>
          <w:w w:val="100"/>
        </w:rPr>
        <w:t>北</w:t>
      </w:r>
      <w:r>
        <w:rPr>
          <w:w w:val="100"/>
        </w:rPr>
        <w:t>京航星</w:t>
      </w:r>
      <w:r>
        <w:rPr>
          <w:spacing w:val="2"/>
          <w:w w:val="100"/>
        </w:rPr>
        <w:t>中</w:t>
      </w:r>
      <w:r>
        <w:rPr>
          <w:w w:val="100"/>
        </w:rPr>
        <w:t>云科</w:t>
      </w:r>
      <w:r>
        <w:rPr>
          <w:spacing w:val="2"/>
          <w:w w:val="100"/>
        </w:rPr>
        <w:t>技</w:t>
      </w:r>
      <w:r>
        <w:rPr>
          <w:w w:val="100"/>
        </w:rPr>
        <w:t>有限公</w:t>
      </w:r>
      <w:r>
        <w:rPr>
          <w:spacing w:val="2"/>
          <w:w w:val="100"/>
        </w:rPr>
        <w:t>司</w:t>
      </w:r>
      <w:r>
        <w:rPr>
          <w:w w:val="100"/>
        </w:rPr>
        <w:t>的进展</w:t>
      </w:r>
      <w:r>
        <w:rPr>
          <w:spacing w:val="2"/>
          <w:w w:val="100"/>
        </w:rPr>
        <w:t>公</w:t>
      </w:r>
      <w:r>
        <w:rPr>
          <w:w w:val="100"/>
        </w:rPr>
        <w:t>告</w:t>
      </w:r>
      <w:r>
        <w:rPr>
          <w:spacing w:val="-104"/>
          <w:w w:val="100"/>
        </w:rPr>
        <w:t>》</w:t>
      </w:r>
      <w:r>
        <w:rPr>
          <w:w w:val="100"/>
        </w:rPr>
        <w:t>，</w:t>
      </w:r>
      <w:r>
        <w:rPr>
          <w:spacing w:val="2"/>
          <w:w w:val="100"/>
        </w:rPr>
        <w:t>公</w:t>
      </w:r>
      <w:r>
        <w:rPr>
          <w:w w:val="100"/>
        </w:rPr>
        <w:t>司与航</w:t>
      </w:r>
      <w:r>
        <w:rPr>
          <w:spacing w:val="2"/>
          <w:w w:val="100"/>
        </w:rPr>
        <w:t>星</w:t>
      </w:r>
      <w:r>
        <w:rPr>
          <w:w w:val="100"/>
        </w:rPr>
        <w:t>中云各</w:t>
      </w:r>
      <w:r>
        <w:rPr>
          <w:spacing w:val="2"/>
          <w:w w:val="100"/>
        </w:rPr>
        <w:t>原</w:t>
      </w:r>
      <w:r>
        <w:rPr>
          <w:w w:val="100"/>
        </w:rPr>
        <w:t>股东</w:t>
      </w:r>
      <w:r>
        <w:rPr>
          <w:spacing w:val="2"/>
          <w:w w:val="100"/>
        </w:rPr>
        <w:t>共</w:t>
      </w:r>
      <w:r>
        <w:rPr>
          <w:w w:val="100"/>
        </w:rPr>
        <w:t>同签署</w:t>
      </w:r>
      <w:r>
        <w:rPr>
          <w:spacing w:val="2"/>
          <w:w w:val="100"/>
        </w:rPr>
        <w:t>《</w:t>
      </w:r>
      <w:r>
        <w:rPr>
          <w:w w:val="100"/>
        </w:rPr>
        <w:t>北京航</w:t>
      </w:r>
      <w:r>
        <w:rPr>
          <w:spacing w:val="2"/>
          <w:w w:val="100"/>
        </w:rPr>
        <w:t>星</w:t>
      </w:r>
      <w:r>
        <w:rPr>
          <w:w w:val="100"/>
        </w:rPr>
        <w:t>中云科</w:t>
      </w:r>
    </w:p>
    <w:p>
      <w:pPr>
        <w:spacing w:after="0" w:line="386" w:lineRule="auto"/>
        <w:jc w:val="both"/>
        <w:sectPr>
          <w:headerReference w:type="default" r:id="rId34"/>
          <w:footerReference w:type="default" r:id="rId35"/>
          <w:pgSz w:w="11910" w:h="16840"/>
          <w:pgMar w:header="882" w:footer="1132" w:top="1280" w:bottom="1320" w:left="980" w:right="980"/>
          <w:pgNumType w:start="80"/>
        </w:sectPr>
      </w:pPr>
    </w:p>
    <w:p>
      <w:pPr>
        <w:spacing w:line="240" w:lineRule="auto" w:before="5"/>
        <w:rPr>
          <w:rFonts w:ascii="宋体" w:hAnsi="宋体" w:cs="宋体" w:eastAsia="宋体" w:hint="default"/>
          <w:sz w:val="13"/>
          <w:szCs w:val="13"/>
        </w:rPr>
      </w:pPr>
    </w:p>
    <w:p>
      <w:pPr>
        <w:pStyle w:val="BodyText"/>
        <w:spacing w:line="240" w:lineRule="auto" w:before="36"/>
        <w:ind w:right="100"/>
        <w:jc w:val="left"/>
      </w:pPr>
      <w:r>
        <w:rPr>
          <w:w w:val="100"/>
        </w:rPr>
        <w:t>技有</w:t>
      </w:r>
      <w:r>
        <w:rPr>
          <w:spacing w:val="-3"/>
          <w:w w:val="100"/>
        </w:rPr>
        <w:t>限</w:t>
      </w:r>
      <w:r>
        <w:rPr>
          <w:w w:val="100"/>
        </w:rPr>
        <w:t>公</w:t>
      </w:r>
      <w:r>
        <w:rPr>
          <w:spacing w:val="-3"/>
          <w:w w:val="100"/>
        </w:rPr>
        <w:t>司</w:t>
      </w:r>
      <w:r>
        <w:rPr>
          <w:w w:val="100"/>
        </w:rPr>
        <w:t>之</w:t>
      </w:r>
      <w:r>
        <w:rPr>
          <w:spacing w:val="-3"/>
          <w:w w:val="100"/>
        </w:rPr>
        <w:t>增</w:t>
      </w:r>
      <w:r>
        <w:rPr>
          <w:w w:val="100"/>
        </w:rPr>
        <w:t>资</w:t>
      </w:r>
      <w:r>
        <w:rPr>
          <w:spacing w:val="-3"/>
          <w:w w:val="100"/>
        </w:rPr>
        <w:t>协</w:t>
      </w:r>
      <w:r>
        <w:rPr>
          <w:w w:val="100"/>
        </w:rPr>
        <w:t>议</w:t>
      </w:r>
      <w:r>
        <w:rPr>
          <w:spacing w:val="-108"/>
          <w:w w:val="100"/>
        </w:rPr>
        <w:t>》</w:t>
      </w:r>
      <w:r>
        <w:rPr>
          <w:w w:val="100"/>
        </w:rPr>
        <w:t>。</w:t>
      </w:r>
    </w:p>
    <w:p>
      <w:pPr>
        <w:spacing w:line="240" w:lineRule="auto" w:before="6"/>
        <w:rPr>
          <w:rFonts w:ascii="宋体" w:hAnsi="宋体" w:cs="宋体" w:eastAsia="宋体" w:hint="default"/>
          <w:sz w:val="22"/>
          <w:szCs w:val="22"/>
        </w:rPr>
      </w:pPr>
    </w:p>
    <w:p>
      <w:pPr>
        <w:pStyle w:val="BodyText"/>
        <w:spacing w:line="398" w:lineRule="auto"/>
        <w:ind w:right="20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日，航星中云根据增资协议完成了相关工商变更登记手续，并领取了北京市工商行政管</w:t>
      </w:r>
      <w:r>
        <w:rPr>
          <w:w w:val="100"/>
        </w:rPr>
        <w:t> </w:t>
      </w:r>
      <w:r>
        <w:rPr>
          <w:spacing w:val="-2"/>
          <w:w w:val="100"/>
        </w:rPr>
        <w:t>理局换发的《企业法人营业执照》。详见公司于同日在巨潮资讯网披露的《关于北京航星中云科技有限公</w:t>
      </w:r>
      <w:r>
        <w:rPr>
          <w:spacing w:val="-94"/>
          <w:w w:val="100"/>
        </w:rPr>
        <w:t> </w:t>
      </w:r>
      <w:r>
        <w:rPr>
          <w:spacing w:val="-94"/>
          <w:w w:val="100"/>
        </w:rPr>
      </w:r>
      <w:r>
        <w:rPr/>
        <w:t>司完成工商变更暨投资进展公告</w:t>
      </w:r>
      <w:r>
        <w:rPr>
          <w:spacing w:val="-19"/>
        </w:rPr>
        <w:t> </w:t>
      </w:r>
      <w:r>
        <w:rPr>
          <w:spacing w:val="-106"/>
        </w:rPr>
        <w:t>》。</w:t>
      </w:r>
      <w:r>
        <w:rPr/>
      </w:r>
    </w:p>
    <w:p>
      <w:pPr>
        <w:spacing w:line="240" w:lineRule="auto" w:before="2"/>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2</w:t>
      </w:r>
      <w:r>
        <w:rPr/>
        <w:t>、百望股份投资进展</w:t>
      </w:r>
    </w:p>
    <w:p>
      <w:pPr>
        <w:spacing w:line="240" w:lineRule="auto" w:before="3"/>
        <w:rPr>
          <w:rFonts w:ascii="黑体" w:hAnsi="黑体" w:cs="黑体" w:eastAsia="黑体" w:hint="default"/>
          <w:sz w:val="24"/>
          <w:szCs w:val="24"/>
        </w:rPr>
      </w:pPr>
    </w:p>
    <w:p>
      <w:pPr>
        <w:pStyle w:val="BodyText"/>
        <w:spacing w:line="386" w:lineRule="auto"/>
        <w:ind w:right="206" w:firstLine="420"/>
        <w:jc w:val="both"/>
      </w:pPr>
      <w:r>
        <w:rPr>
          <w:rFonts w:ascii="Times New Roman" w:hAnsi="Times New Roman" w:cs="Times New Roman" w:eastAsia="Times New Roman" w:hint="default"/>
          <w:w w:val="100"/>
        </w:rPr>
        <w:t>2015</w:t>
      </w:r>
      <w:r>
        <w:rPr>
          <w:rFonts w:ascii="Times New Roman" w:hAnsi="Times New Roman" w:cs="Times New Roman" w:eastAsia="Times New Roman" w:hint="default"/>
          <w:spacing w:val="-27"/>
        </w:rPr>
        <w:t> </w:t>
      </w:r>
      <w:r>
        <w:rPr>
          <w:w w:val="100"/>
        </w:rPr>
        <w:t>年</w:t>
      </w:r>
      <w:r>
        <w:rPr>
          <w:spacing w:val="-72"/>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4"/>
        </w:rPr>
        <w:t> </w:t>
      </w:r>
      <w:r>
        <w:rPr>
          <w:w w:val="100"/>
        </w:rPr>
        <w:t>月</w:t>
      </w:r>
      <w:r>
        <w:rPr>
          <w:spacing w:val="-7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w:t>
      </w:r>
      <w:r>
        <w:rPr>
          <w:rFonts w:ascii="Times New Roman" w:hAnsi="Times New Roman" w:cs="Times New Roman" w:eastAsia="Times New Roman" w:hint="default"/>
          <w:spacing w:val="-24"/>
        </w:rPr>
        <w:t> </w:t>
      </w:r>
      <w:r>
        <w:rPr>
          <w:w w:val="100"/>
        </w:rPr>
        <w:t>日</w:t>
      </w:r>
      <w:r>
        <w:rPr>
          <w:spacing w:val="-108"/>
          <w:w w:val="100"/>
        </w:rPr>
        <w:t>，</w:t>
      </w:r>
      <w:r>
        <w:rPr>
          <w:w w:val="100"/>
        </w:rPr>
        <w:t>经</w:t>
      </w:r>
      <w:r>
        <w:rPr>
          <w:spacing w:val="-3"/>
          <w:w w:val="100"/>
        </w:rPr>
        <w:t>公</w:t>
      </w:r>
      <w:r>
        <w:rPr>
          <w:w w:val="100"/>
        </w:rPr>
        <w:t>司</w:t>
      </w:r>
      <w:r>
        <w:rPr>
          <w:spacing w:val="-74"/>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7"/>
        </w:rPr>
        <w:t> </w:t>
      </w:r>
      <w:r>
        <w:rPr>
          <w:w w:val="100"/>
        </w:rPr>
        <w:t>年</w:t>
      </w:r>
      <w:r>
        <w:rPr>
          <w:spacing w:val="-3"/>
          <w:w w:val="100"/>
        </w:rPr>
        <w:t>第</w:t>
      </w:r>
      <w:r>
        <w:rPr>
          <w:w w:val="100"/>
        </w:rPr>
        <w:t>六</w:t>
      </w:r>
      <w:r>
        <w:rPr>
          <w:spacing w:val="-3"/>
          <w:w w:val="100"/>
        </w:rPr>
        <w:t>次</w:t>
      </w:r>
      <w:r>
        <w:rPr>
          <w:w w:val="100"/>
        </w:rPr>
        <w:t>临</w:t>
      </w:r>
      <w:r>
        <w:rPr>
          <w:spacing w:val="-3"/>
          <w:w w:val="100"/>
        </w:rPr>
        <w:t>时</w:t>
      </w:r>
      <w:r>
        <w:rPr>
          <w:w w:val="100"/>
        </w:rPr>
        <w:t>股</w:t>
      </w:r>
      <w:r>
        <w:rPr>
          <w:spacing w:val="-3"/>
          <w:w w:val="100"/>
        </w:rPr>
        <w:t>东大</w:t>
      </w:r>
      <w:r>
        <w:rPr>
          <w:w w:val="100"/>
        </w:rPr>
        <w:t>会审</w:t>
      </w:r>
      <w:r>
        <w:rPr>
          <w:spacing w:val="-3"/>
          <w:w w:val="100"/>
        </w:rPr>
        <w:t>议</w:t>
      </w:r>
      <w:r>
        <w:rPr>
          <w:w w:val="100"/>
        </w:rPr>
        <w:t>通</w:t>
      </w:r>
      <w:r>
        <w:rPr>
          <w:spacing w:val="-3"/>
          <w:w w:val="100"/>
        </w:rPr>
        <w:t>过</w:t>
      </w:r>
      <w:r>
        <w:rPr>
          <w:spacing w:val="-106"/>
          <w:w w:val="100"/>
        </w:rPr>
        <w:t>，</w:t>
      </w:r>
      <w:r>
        <w:rPr>
          <w:spacing w:val="-3"/>
          <w:w w:val="100"/>
        </w:rPr>
        <w:t>公</w:t>
      </w:r>
      <w:r>
        <w:rPr>
          <w:w w:val="100"/>
        </w:rPr>
        <w:t>司</w:t>
      </w:r>
      <w:r>
        <w:rPr>
          <w:spacing w:val="-3"/>
          <w:w w:val="100"/>
        </w:rPr>
        <w:t>决</w:t>
      </w:r>
      <w:r>
        <w:rPr>
          <w:w w:val="100"/>
        </w:rPr>
        <w:t>议</w:t>
      </w:r>
      <w:r>
        <w:rPr>
          <w:spacing w:val="-3"/>
          <w:w w:val="100"/>
        </w:rPr>
        <w:t>使用</w:t>
      </w:r>
      <w:r>
        <w:rPr>
          <w:w w:val="100"/>
        </w:rPr>
        <w:t>自有</w:t>
      </w:r>
      <w:r>
        <w:rPr>
          <w:spacing w:val="-3"/>
          <w:w w:val="100"/>
        </w:rPr>
        <w:t>资</w:t>
      </w:r>
      <w:r>
        <w:rPr>
          <w:w w:val="100"/>
        </w:rPr>
        <w:t>金</w:t>
      </w:r>
      <w:r>
        <w:rPr>
          <w:spacing w:val="-3"/>
          <w:w w:val="100"/>
        </w:rPr>
        <w:t>人</w:t>
      </w:r>
      <w:r>
        <w:rPr>
          <w:w w:val="100"/>
        </w:rPr>
        <w:t>民币</w:t>
      </w:r>
      <w:r>
        <w:rPr>
          <w:spacing w:val="-74"/>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w w:val="100"/>
        </w:rPr>
        <w:t> </w:t>
      </w:r>
      <w:r>
        <w:rPr>
          <w:w w:val="100"/>
        </w:rPr>
        <w:t>万元</w:t>
      </w:r>
      <w:r>
        <w:rPr>
          <w:spacing w:val="-3"/>
          <w:w w:val="100"/>
        </w:rPr>
        <w:t>与</w:t>
      </w:r>
      <w:r>
        <w:rPr>
          <w:w w:val="100"/>
        </w:rPr>
        <w:t>河</w:t>
      </w:r>
      <w:r>
        <w:rPr>
          <w:spacing w:val="-3"/>
          <w:w w:val="100"/>
        </w:rPr>
        <w:t>南</w:t>
      </w:r>
      <w:r>
        <w:rPr>
          <w:w w:val="100"/>
        </w:rPr>
        <w:t>百</w:t>
      </w:r>
      <w:r>
        <w:rPr>
          <w:spacing w:val="-3"/>
          <w:w w:val="100"/>
        </w:rPr>
        <w:t>望</w:t>
      </w:r>
      <w:r>
        <w:rPr>
          <w:w w:val="100"/>
        </w:rPr>
        <w:t>九</w:t>
      </w:r>
      <w:r>
        <w:rPr>
          <w:spacing w:val="-3"/>
          <w:w w:val="100"/>
        </w:rPr>
        <w:t>赋</w:t>
      </w:r>
      <w:r>
        <w:rPr>
          <w:w w:val="100"/>
        </w:rPr>
        <w:t>电</w:t>
      </w:r>
      <w:r>
        <w:rPr>
          <w:spacing w:val="-3"/>
          <w:w w:val="100"/>
        </w:rPr>
        <w:t>子</w:t>
      </w:r>
      <w:r>
        <w:rPr>
          <w:w w:val="100"/>
        </w:rPr>
        <w:t>科技</w:t>
      </w:r>
      <w:r>
        <w:rPr>
          <w:spacing w:val="-3"/>
          <w:w w:val="100"/>
        </w:rPr>
        <w:t>有</w:t>
      </w:r>
      <w:r>
        <w:rPr>
          <w:w w:val="100"/>
        </w:rPr>
        <w:t>限</w:t>
      </w:r>
      <w:r>
        <w:rPr>
          <w:spacing w:val="-3"/>
          <w:w w:val="100"/>
        </w:rPr>
        <w:t>公</w:t>
      </w:r>
      <w:r>
        <w:rPr>
          <w:spacing w:val="-53"/>
          <w:w w:val="100"/>
        </w:rPr>
        <w:t>司</w:t>
      </w:r>
      <w:r>
        <w:rPr>
          <w:w w:val="100"/>
        </w:rPr>
        <w:t>（</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3"/>
          <w:w w:val="100"/>
        </w:rPr>
        <w:t>“</w:t>
      </w:r>
      <w:r>
        <w:rPr>
          <w:w w:val="100"/>
        </w:rPr>
        <w:t>百望</w:t>
      </w:r>
      <w:r>
        <w:rPr>
          <w:spacing w:val="-3"/>
          <w:w w:val="100"/>
        </w:rPr>
        <w:t>九</w:t>
      </w:r>
      <w:r>
        <w:rPr>
          <w:w w:val="100"/>
        </w:rPr>
        <w:t>赋</w:t>
      </w:r>
      <w:r>
        <w:rPr>
          <w:rFonts w:ascii="Times New Roman" w:hAnsi="Times New Roman" w:cs="Times New Roman" w:eastAsia="Times New Roman" w:hint="default"/>
          <w:spacing w:val="-1"/>
          <w:w w:val="100"/>
        </w:rPr>
        <w:t>”</w:t>
      </w:r>
      <w:r>
        <w:rPr>
          <w:spacing w:val="-106"/>
          <w:w w:val="100"/>
        </w:rPr>
        <w:t>）</w:t>
      </w:r>
      <w:r>
        <w:rPr>
          <w:spacing w:val="-56"/>
          <w:w w:val="100"/>
        </w:rPr>
        <w:t>、</w:t>
      </w:r>
      <w:r>
        <w:rPr>
          <w:w w:val="100"/>
        </w:rPr>
        <w:t>自</w:t>
      </w:r>
      <w:r>
        <w:rPr>
          <w:spacing w:val="-3"/>
          <w:w w:val="100"/>
        </w:rPr>
        <w:t>然</w:t>
      </w:r>
      <w:r>
        <w:rPr>
          <w:w w:val="100"/>
        </w:rPr>
        <w:t>人</w:t>
      </w:r>
      <w:r>
        <w:rPr>
          <w:spacing w:val="-3"/>
          <w:w w:val="100"/>
        </w:rPr>
        <w:t>刘明</w:t>
      </w:r>
      <w:r>
        <w:rPr>
          <w:w w:val="100"/>
        </w:rPr>
        <w:t>与陆</w:t>
      </w:r>
      <w:r>
        <w:rPr>
          <w:spacing w:val="-3"/>
          <w:w w:val="100"/>
        </w:rPr>
        <w:t>振</w:t>
      </w:r>
      <w:r>
        <w:rPr>
          <w:w w:val="100"/>
        </w:rPr>
        <w:t>华</w:t>
      </w:r>
      <w:r>
        <w:rPr>
          <w:spacing w:val="-3"/>
          <w:w w:val="100"/>
        </w:rPr>
        <w:t>共</w:t>
      </w:r>
      <w:r>
        <w:rPr>
          <w:w w:val="100"/>
        </w:rPr>
        <w:t>同</w:t>
      </w:r>
      <w:r>
        <w:rPr>
          <w:spacing w:val="-3"/>
          <w:w w:val="100"/>
        </w:rPr>
        <w:t>增</w:t>
      </w:r>
      <w:r>
        <w:rPr>
          <w:w w:val="100"/>
        </w:rPr>
        <w:t>资</w:t>
      </w:r>
      <w:r>
        <w:rPr>
          <w:spacing w:val="-3"/>
          <w:w w:val="100"/>
        </w:rPr>
        <w:t>百</w:t>
      </w:r>
      <w:r>
        <w:rPr>
          <w:w w:val="100"/>
        </w:rPr>
        <w:t>望</w:t>
      </w:r>
      <w:r>
        <w:rPr>
          <w:spacing w:val="-3"/>
          <w:w w:val="100"/>
        </w:rPr>
        <w:t>股</w:t>
      </w:r>
      <w:r>
        <w:rPr>
          <w:w w:val="100"/>
        </w:rPr>
        <w:t>份有</w:t>
      </w:r>
      <w:r>
        <w:rPr>
          <w:w w:val="100"/>
        </w:rPr>
        <w:t> 限公</w:t>
      </w:r>
      <w:r>
        <w:rPr>
          <w:spacing w:val="-3"/>
          <w:w w:val="100"/>
        </w:rPr>
        <w:t>司</w:t>
      </w:r>
      <w:r>
        <w:rPr>
          <w:w w:val="100"/>
        </w:rPr>
        <w:t>（</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3"/>
          <w:w w:val="100"/>
        </w:rPr>
        <w:t>“</w:t>
      </w:r>
      <w:r>
        <w:rPr>
          <w:w w:val="100"/>
        </w:rPr>
        <w:t>百</w:t>
      </w:r>
      <w:r>
        <w:rPr>
          <w:spacing w:val="-3"/>
          <w:w w:val="100"/>
        </w:rPr>
        <w:t>望股</w:t>
      </w:r>
      <w:r>
        <w:rPr>
          <w:w w:val="100"/>
        </w:rPr>
        <w:t>份</w:t>
      </w:r>
      <w:r>
        <w:rPr>
          <w:rFonts w:ascii="Times New Roman" w:hAnsi="Times New Roman" w:cs="Times New Roman" w:eastAsia="Times New Roman" w:hint="default"/>
          <w:spacing w:val="-1"/>
          <w:w w:val="100"/>
        </w:rPr>
        <w:t>”</w:t>
      </w:r>
      <w:r>
        <w:rPr>
          <w:spacing w:val="-106"/>
          <w:w w:val="100"/>
        </w:rPr>
        <w:t>）</w:t>
      </w:r>
      <w:r>
        <w:rPr>
          <w:spacing w:val="-3"/>
          <w:w w:val="100"/>
        </w:rPr>
        <w:t>，</w:t>
      </w:r>
      <w:r>
        <w:rPr>
          <w:w w:val="100"/>
        </w:rPr>
        <w:t>增</w:t>
      </w:r>
      <w:r>
        <w:rPr>
          <w:spacing w:val="-3"/>
          <w:w w:val="100"/>
        </w:rPr>
        <w:t>资</w:t>
      </w:r>
      <w:r>
        <w:rPr>
          <w:w w:val="100"/>
        </w:rPr>
        <w:t>完</w:t>
      </w:r>
      <w:r>
        <w:rPr>
          <w:spacing w:val="-3"/>
          <w:w w:val="100"/>
        </w:rPr>
        <w:t>成</w:t>
      </w:r>
      <w:r>
        <w:rPr>
          <w:w w:val="100"/>
        </w:rPr>
        <w:t>后</w:t>
      </w:r>
      <w:r>
        <w:rPr>
          <w:spacing w:val="-3"/>
          <w:w w:val="100"/>
        </w:rPr>
        <w:t>，</w:t>
      </w:r>
      <w:r>
        <w:rPr>
          <w:w w:val="100"/>
        </w:rPr>
        <w:t>公</w:t>
      </w:r>
      <w:r>
        <w:rPr>
          <w:spacing w:val="-3"/>
          <w:w w:val="100"/>
        </w:rPr>
        <w:t>司</w:t>
      </w:r>
      <w:r>
        <w:rPr>
          <w:w w:val="100"/>
        </w:rPr>
        <w:t>持有</w:t>
      </w:r>
      <w:r>
        <w:rPr>
          <w:spacing w:val="-3"/>
          <w:w w:val="100"/>
        </w:rPr>
        <w:t>百</w:t>
      </w:r>
      <w:r>
        <w:rPr>
          <w:w w:val="100"/>
        </w:rPr>
        <w:t>望</w:t>
      </w:r>
      <w:r>
        <w:rPr>
          <w:spacing w:val="-3"/>
          <w:w w:val="100"/>
        </w:rPr>
        <w:t>股</w:t>
      </w:r>
      <w:r>
        <w:rPr>
          <w:w w:val="100"/>
        </w:rPr>
        <w:t>份</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spacing w:val="-3"/>
          <w:w w:val="100"/>
        </w:rPr>
        <w:t>的</w:t>
      </w:r>
      <w:r>
        <w:rPr>
          <w:w w:val="100"/>
        </w:rPr>
        <w:t>股</w:t>
      </w:r>
      <w:r>
        <w:rPr>
          <w:spacing w:val="-3"/>
          <w:w w:val="100"/>
        </w:rPr>
        <w:t>份</w:t>
      </w:r>
      <w:r>
        <w:rPr>
          <w:w w:val="100"/>
        </w:rPr>
        <w:t>。</w:t>
      </w:r>
    </w:p>
    <w:p>
      <w:pPr>
        <w:pStyle w:val="BodyText"/>
        <w:spacing w:line="398" w:lineRule="auto" w:before="134"/>
        <w:ind w:right="103"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月，根据百望股份资金需求情况，经公司、各增资方与百望股份原股东陈杰、陈琳协商，决</w:t>
      </w:r>
      <w:r>
        <w:rPr>
          <w:w w:val="100"/>
        </w:rPr>
        <w:t> </w:t>
      </w:r>
      <w:r>
        <w:rPr>
          <w:spacing w:val="-2"/>
        </w:rPr>
        <w:t>定本次投资形式由增资方式入股变更为股权转让的形式，旋极信息、百望九赋、刘明与陆振华各股东保持</w:t>
      </w:r>
      <w:r>
        <w:rPr>
          <w:spacing w:val="-43"/>
        </w:rPr>
        <w:t> </w:t>
      </w:r>
      <w:r>
        <w:rPr>
          <w:spacing w:val="-43"/>
        </w:rPr>
      </w:r>
      <w:r>
        <w:rPr>
          <w:spacing w:val="-6"/>
        </w:rPr>
        <w:t>持股比例不变，变更后，旋极信息以人民币</w:t>
      </w:r>
      <w:r>
        <w:rPr>
          <w:spacing w:val="-4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万元受让百望股份原股东陈杰持有的标的公司</w:t>
      </w:r>
      <w:r>
        <w:rPr>
          <w:spacing w:val="-44"/>
        </w:rPr>
        <w:t> </w:t>
      </w:r>
      <w:r>
        <w:rPr>
          <w:rFonts w:ascii="Times New Roman" w:hAnsi="Times New Roman" w:cs="Times New Roman" w:eastAsia="Times New Roman" w:hint="default"/>
        </w:rPr>
        <w:t>30%</w:t>
      </w:r>
      <w:r>
        <w:rPr/>
        <w:t>股份。</w:t>
      </w:r>
    </w:p>
    <w:p>
      <w:pPr>
        <w:pStyle w:val="BodyText"/>
        <w:spacing w:line="391" w:lineRule="auto" w:before="124"/>
        <w:ind w:right="100" w:firstLine="420"/>
        <w:jc w:val="left"/>
        <w:rPr>
          <w:rFonts w:ascii="Times New Roman" w:hAnsi="Times New Roman" w:cs="Times New Roman" w:eastAsia="Times New Roman" w:hint="default"/>
        </w:rPr>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8"/>
          <w:w w:val="100"/>
        </w:rPr>
        <w:t> </w:t>
      </w:r>
      <w:r>
        <w:rPr>
          <w:w w:val="100"/>
        </w:rPr>
        <w:t>年</w:t>
      </w:r>
      <w:r>
        <w:rPr>
          <w:spacing w:val="-48"/>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8"/>
          <w:w w:val="100"/>
        </w:rPr>
        <w:t> </w:t>
      </w:r>
      <w:r>
        <w:rPr>
          <w:spacing w:val="-6"/>
          <w:w w:val="100"/>
        </w:rPr>
        <w:t>月，百望股份拟以增资扩股的方式引入新股东北京汇达高新投资基金中心（有限合伙）（以</w:t>
      </w:r>
      <w:r>
        <w:rPr>
          <w:w w:val="100"/>
        </w:rPr>
        <w:t> </w:t>
      </w:r>
      <w:r>
        <w:rPr>
          <w:spacing w:val="-6"/>
          <w:w w:val="100"/>
        </w:rPr>
        <w:t>下简称</w:t>
      </w:r>
      <w:r>
        <w:rPr>
          <w:rFonts w:ascii="Times New Roman" w:hAnsi="Times New Roman" w:cs="Times New Roman" w:eastAsia="Times New Roman" w:hint="default"/>
          <w:spacing w:val="-6"/>
          <w:w w:val="100"/>
        </w:rPr>
        <w:t>“</w:t>
      </w:r>
      <w:r>
        <w:rPr>
          <w:spacing w:val="-6"/>
          <w:w w:val="100"/>
        </w:rPr>
        <w:t>汇达基金</w:t>
      </w:r>
      <w:r>
        <w:rPr>
          <w:rFonts w:ascii="Times New Roman" w:hAnsi="Times New Roman" w:cs="Times New Roman" w:eastAsia="Times New Roman" w:hint="default"/>
          <w:spacing w:val="-6"/>
          <w:w w:val="100"/>
        </w:rPr>
        <w:t>”</w:t>
      </w:r>
      <w:r>
        <w:rPr>
          <w:spacing w:val="-6"/>
          <w:w w:val="100"/>
        </w:rPr>
        <w:t>）和青岛远望者股权投资基金合伙企业（有限合伙）（以下简称</w:t>
      </w:r>
      <w:r>
        <w:rPr>
          <w:rFonts w:ascii="Times New Roman" w:hAnsi="Times New Roman" w:cs="Times New Roman" w:eastAsia="Times New Roman" w:hint="default"/>
          <w:spacing w:val="-6"/>
          <w:w w:val="100"/>
        </w:rPr>
        <w:t>“</w:t>
      </w:r>
      <w:r>
        <w:rPr>
          <w:spacing w:val="-6"/>
          <w:w w:val="100"/>
        </w:rPr>
        <w:t>远望者基金</w:t>
      </w:r>
      <w:r>
        <w:rPr>
          <w:rFonts w:ascii="Times New Roman" w:hAnsi="Times New Roman" w:cs="Times New Roman" w:eastAsia="Times New Roman" w:hint="default"/>
          <w:spacing w:val="-6"/>
          <w:w w:val="100"/>
        </w:rPr>
        <w:t>”</w:t>
      </w:r>
      <w:r>
        <w:rPr>
          <w:spacing w:val="-6"/>
          <w:w w:val="100"/>
        </w:rPr>
        <w:t>）。汇达基</w:t>
      </w:r>
      <w:r>
        <w:rPr>
          <w:spacing w:val="-64"/>
          <w:w w:val="100"/>
        </w:rPr>
        <w:t> </w:t>
      </w:r>
      <w:r>
        <w:rPr>
          <w:spacing w:val="-64"/>
          <w:w w:val="100"/>
        </w:rPr>
      </w:r>
      <w:r>
        <w:rPr/>
        <w:t>金和远望着基金各金使用人民币 </w:t>
      </w:r>
      <w:r>
        <w:rPr>
          <w:rFonts w:ascii="Times New Roman" w:hAnsi="Times New Roman" w:cs="Times New Roman" w:eastAsia="Times New Roman" w:hint="default"/>
        </w:rPr>
        <w:t>7,500 </w:t>
      </w:r>
      <w:r>
        <w:rPr/>
        <w:t>万元向百望股份增资，增资后各持有其</w:t>
      </w:r>
      <w:r>
        <w:rPr>
          <w:spacing w:val="-45"/>
        </w:rPr>
        <w:t> </w:t>
      </w:r>
      <w:r>
        <w:rPr>
          <w:rFonts w:ascii="Times New Roman" w:hAnsi="Times New Roman" w:cs="Times New Roman" w:eastAsia="Times New Roman" w:hint="default"/>
        </w:rPr>
        <w:t>4.29%</w:t>
      </w:r>
      <w:r>
        <w:rPr/>
        <w:t>股权。百望股份原股</w:t>
      </w:r>
      <w:r>
        <w:rPr>
          <w:w w:val="100"/>
        </w:rPr>
        <w:t> </w:t>
      </w:r>
      <w:r>
        <w:rPr/>
        <w:t>东均承诺放弃优先认购权，不参与本次增资。增资后，公司持有百旺股份变为</w:t>
      </w:r>
      <w:r>
        <w:rPr>
          <w:spacing w:val="-55"/>
        </w:rPr>
        <w:t> </w:t>
      </w:r>
      <w:r>
        <w:rPr>
          <w:rFonts w:ascii="Times New Roman" w:hAnsi="Times New Roman" w:cs="Times New Roman" w:eastAsia="Times New Roman" w:hint="default"/>
        </w:rPr>
        <w:t>27.43%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日，</w:t>
      </w:r>
      <w:r>
        <w:rPr>
          <w:w w:val="100"/>
        </w:rPr>
        <w:t> </w:t>
      </w:r>
      <w:r>
        <w:rPr/>
        <w:t>百望股份完成了相关股权登记、工商备案手续，并领取了北京股权登记管理中心换发的《百望股份有限公</w:t>
      </w:r>
      <w:r>
        <w:rPr>
          <w:w w:val="100"/>
        </w:rPr>
        <w:t> </w:t>
      </w:r>
      <w:r>
        <w:rPr/>
        <w:t>司股东名册》</w:t>
      </w:r>
      <w:r>
        <w:rPr>
          <w:rFonts w:ascii="Times New Roman" w:hAnsi="Times New Roman" w:cs="Times New Roman" w:eastAsia="Times New Roman" w:hint="default"/>
        </w:rPr>
        <w:t>.</w:t>
      </w:r>
    </w:p>
    <w:p>
      <w:pPr>
        <w:pStyle w:val="BodyText"/>
        <w:spacing w:line="240" w:lineRule="auto" w:before="131"/>
        <w:ind w:left="573" w:right="10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spacing w:val="-4"/>
        </w:rPr>
        <w:t>月，百望股份回购注销汇达基金持有的全部股权，回购价格为汇达基金投资款按年息</w:t>
      </w:r>
      <w:r>
        <w:rPr>
          <w:spacing w:val="-57"/>
        </w:rPr>
        <w:t> </w:t>
      </w:r>
      <w:r>
        <w:rPr>
          <w:rFonts w:ascii="Times New Roman" w:hAnsi="Times New Roman" w:cs="Times New Roman" w:eastAsia="Times New Roman" w:hint="default"/>
        </w:rPr>
        <w:t>15%</w:t>
      </w:r>
      <w:r>
        <w:rPr/>
        <w:t>计</w:t>
      </w:r>
    </w:p>
    <w:p>
      <w:pPr>
        <w:pStyle w:val="BodyText"/>
        <w:spacing w:line="386" w:lineRule="auto" w:before="177"/>
        <w:ind w:right="143"/>
        <w:jc w:val="left"/>
      </w:pPr>
      <w:r>
        <w:rPr/>
        <w:t>算收益后的全部本金和收益。回购注销后，百望股份注册资本和股份将从 </w:t>
      </w:r>
      <w:r>
        <w:rPr>
          <w:rFonts w:ascii="Times New Roman" w:hAnsi="Times New Roman" w:cs="Times New Roman" w:eastAsia="Times New Roman" w:hint="default"/>
        </w:rPr>
        <w:t>10,468.75 </w:t>
      </w:r>
      <w:r>
        <w:rPr/>
        <w:t>万减少为 </w:t>
      </w:r>
      <w:r>
        <w:rPr>
          <w:rFonts w:ascii="Times New Roman" w:hAnsi="Times New Roman" w:cs="Times New Roman" w:eastAsia="Times New Roman" w:hint="default"/>
        </w:rPr>
        <w:t>10,000</w:t>
      </w:r>
      <w:r>
        <w:rPr>
          <w:rFonts w:ascii="Times New Roman" w:hAnsi="Times New Roman" w:cs="Times New Roman" w:eastAsia="Times New Roman" w:hint="default"/>
          <w:spacing w:val="-16"/>
        </w:rPr>
        <w:t> </w:t>
      </w:r>
      <w:r>
        <w:rPr>
          <w:spacing w:val="-3"/>
        </w:rPr>
        <w:t>万，</w:t>
      </w:r>
      <w:r>
        <w:rPr>
          <w:spacing w:val="-3"/>
          <w:w w:val="100"/>
        </w:rPr>
        <w:t> </w:t>
      </w:r>
      <w:r>
        <w:rPr/>
        <w:t>公司持股比例变为</w:t>
      </w:r>
      <w:r>
        <w:rPr>
          <w:spacing w:val="-53"/>
        </w:rPr>
        <w:t> </w:t>
      </w:r>
      <w:r>
        <w:rPr>
          <w:rFonts w:ascii="Times New Roman" w:hAnsi="Times New Roman" w:cs="Times New Roman" w:eastAsia="Times New Roman" w:hint="default"/>
        </w:rPr>
        <w:t>30%</w:t>
      </w:r>
      <w:r>
        <w:rPr/>
        <w:t>。</w:t>
      </w:r>
    </w:p>
    <w:p>
      <w:pPr>
        <w:pStyle w:val="BodyText"/>
        <w:spacing w:line="386" w:lineRule="auto" w:before="134"/>
        <w:ind w:right="20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日，经公司第三届董事会第四十七次会议审议通过，董事会同意百望股份设置两个员</w:t>
      </w:r>
      <w:r>
        <w:rPr>
          <w:w w:val="100"/>
        </w:rPr>
        <w:t> </w:t>
      </w:r>
      <w:r>
        <w:rPr>
          <w:spacing w:val="-4"/>
        </w:rPr>
        <w:t>工持股平台。其中，员工持股平台一持有百望股份</w:t>
      </w:r>
      <w:r>
        <w:rPr>
          <w:spacing w:val="-38"/>
        </w:rPr>
        <w:t> </w:t>
      </w:r>
      <w:r>
        <w:rPr>
          <w:rFonts w:ascii="Times New Roman" w:hAnsi="Times New Roman" w:cs="Times New Roman" w:eastAsia="Times New Roman" w:hint="default"/>
          <w:spacing w:val="-4"/>
        </w:rPr>
        <w:t>15%</w:t>
      </w:r>
      <w:r>
        <w:rPr>
          <w:spacing w:val="-4"/>
        </w:rPr>
        <w:t>股份，其中公司转让</w:t>
      </w:r>
      <w:r>
        <w:rPr>
          <w:spacing w:val="-35"/>
        </w:rPr>
        <w:t> </w:t>
      </w:r>
      <w:r>
        <w:rPr>
          <w:rFonts w:ascii="Times New Roman" w:hAnsi="Times New Roman" w:cs="Times New Roman" w:eastAsia="Times New Roman" w:hint="default"/>
          <w:spacing w:val="-4"/>
        </w:rPr>
        <w:t>4.5%</w:t>
      </w:r>
      <w:r>
        <w:rPr>
          <w:spacing w:val="-4"/>
        </w:rPr>
        <w:t>股份，转让价格为</w:t>
      </w:r>
      <w:r>
        <w:rPr>
          <w:spacing w:val="-34"/>
        </w:rPr>
        <w:t> </w:t>
      </w:r>
      <w:r>
        <w:rPr>
          <w:rFonts w:ascii="Times New Roman" w:hAnsi="Times New Roman" w:cs="Times New Roman" w:eastAsia="Times New Roman" w:hint="default"/>
        </w:rPr>
        <w:t>552.51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3"/>
        </w:rPr>
        <w:t>万元。员工持股平台二持有百望股份</w:t>
      </w:r>
      <w:r>
        <w:rPr/>
        <w:t> </w:t>
      </w:r>
      <w:r>
        <w:rPr>
          <w:rFonts w:ascii="Times New Roman" w:hAnsi="Times New Roman" w:cs="Times New Roman" w:eastAsia="Times New Roman" w:hint="default"/>
          <w:spacing w:val="-2"/>
        </w:rPr>
        <w:t>17%</w:t>
      </w:r>
      <w:r>
        <w:rPr>
          <w:spacing w:val="-2"/>
        </w:rPr>
        <w:t>股份。股份来源为刘明先生与陆振华先生持有的剩余股份向员工</w:t>
      </w:r>
      <w:r>
        <w:rPr>
          <w:spacing w:val="-96"/>
        </w:rPr>
        <w:t> </w:t>
      </w:r>
      <w:r>
        <w:rPr>
          <w:spacing w:val="-96"/>
        </w:rPr>
      </w:r>
      <w:r>
        <w:rPr/>
        <w:t>持股平台二转让，转让后，刘明先生及陆振华先生不再持有百望股份股权。</w:t>
      </w:r>
    </w:p>
    <w:p>
      <w:pPr>
        <w:pStyle w:val="BodyText"/>
        <w:spacing w:line="386" w:lineRule="auto" w:before="166"/>
        <w:ind w:right="209"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月，百望股份向员工定向增发股份</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spacing w:val="-4"/>
        </w:rPr>
        <w:t>万股，增资价格</w:t>
      </w:r>
      <w:r>
        <w:rPr>
          <w:spacing w:val="-40"/>
        </w:rPr>
        <w:t> </w:t>
      </w:r>
      <w:r>
        <w:rPr>
          <w:rFonts w:ascii="Times New Roman" w:hAnsi="Times New Roman" w:cs="Times New Roman" w:eastAsia="Times New Roman" w:hint="default"/>
          <w:spacing w:val="-3"/>
        </w:rPr>
        <w:t>1.23/</w:t>
      </w:r>
      <w:r>
        <w:rPr>
          <w:spacing w:val="-3"/>
        </w:rPr>
        <w:t>股，增资完成后，公司持有百</w:t>
      </w:r>
      <w:r>
        <w:rPr>
          <w:w w:val="100"/>
        </w:rPr>
        <w:t> </w:t>
      </w:r>
      <w:r>
        <w:rPr/>
        <w:t>望股份</w:t>
      </w:r>
      <w:r>
        <w:rPr>
          <w:spacing w:val="-52"/>
        </w:rPr>
        <w:t> </w:t>
      </w:r>
      <w:r>
        <w:rPr>
          <w:rFonts w:ascii="Times New Roman" w:hAnsi="Times New Roman" w:cs="Times New Roman" w:eastAsia="Times New Roman" w:hint="default"/>
        </w:rPr>
        <w:t>20.73%</w:t>
      </w:r>
      <w:r>
        <w:rPr/>
        <w:t>股份。</w:t>
      </w:r>
    </w:p>
    <w:p>
      <w:pPr>
        <w:pStyle w:val="Heading3"/>
        <w:spacing w:line="240" w:lineRule="auto" w:before="169"/>
        <w:ind w:right="100"/>
        <w:jc w:val="left"/>
      </w:pPr>
      <w:r>
        <w:rPr>
          <w:rFonts w:ascii="Times New Roman" w:hAnsi="Times New Roman" w:cs="Times New Roman" w:eastAsia="Times New Roman" w:hint="default"/>
        </w:rPr>
        <w:t>3</w:t>
      </w:r>
      <w:r>
        <w:rPr/>
        <w:t>、北京中关村银行投资进展情况</w:t>
      </w:r>
    </w:p>
    <w:p>
      <w:pPr>
        <w:spacing w:after="0" w:line="240" w:lineRule="auto"/>
        <w:jc w:val="left"/>
        <w:sectPr>
          <w:footerReference w:type="default" r:id="rId36"/>
          <w:pgSz w:w="11910" w:h="16840"/>
          <w:pgMar w:footer="1132" w:header="882" w:top="1280" w:bottom="1320" w:left="980" w:right="920"/>
          <w:pgNumType w:start="81"/>
        </w:sectPr>
      </w:pPr>
    </w:p>
    <w:p>
      <w:pPr>
        <w:spacing w:line="240" w:lineRule="auto" w:before="5"/>
        <w:rPr>
          <w:rFonts w:ascii="黑体" w:hAnsi="黑体" w:cs="黑体" w:eastAsia="黑体" w:hint="default"/>
          <w:sz w:val="13"/>
          <w:szCs w:val="13"/>
        </w:rPr>
      </w:pPr>
    </w:p>
    <w:p>
      <w:pPr>
        <w:pStyle w:val="BodyText"/>
        <w:spacing w:line="240" w:lineRule="auto" w:before="36"/>
        <w:ind w:left="573" w:right="10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日，公司召开</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3"/>
        </w:rPr>
        <w:t>年第八次临时股东大会，审议通过了《关于发起设立北京中关村银</w:t>
      </w:r>
    </w:p>
    <w:p>
      <w:pPr>
        <w:pStyle w:val="BodyText"/>
        <w:spacing w:line="240" w:lineRule="auto" w:before="177"/>
        <w:ind w:right="0"/>
        <w:jc w:val="both"/>
      </w:pPr>
      <w:r>
        <w:rPr>
          <w:w w:val="100"/>
        </w:rPr>
        <w:t>行股</w:t>
      </w:r>
      <w:r>
        <w:rPr>
          <w:spacing w:val="-3"/>
          <w:w w:val="100"/>
        </w:rPr>
        <w:t>份</w:t>
      </w:r>
      <w:r>
        <w:rPr>
          <w:w w:val="100"/>
        </w:rPr>
        <w:t>有</w:t>
      </w:r>
      <w:r>
        <w:rPr>
          <w:spacing w:val="-3"/>
          <w:w w:val="100"/>
        </w:rPr>
        <w:t>限</w:t>
      </w:r>
      <w:r>
        <w:rPr>
          <w:w w:val="100"/>
        </w:rPr>
        <w:t>公</w:t>
      </w:r>
      <w:r>
        <w:rPr>
          <w:spacing w:val="-3"/>
          <w:w w:val="100"/>
        </w:rPr>
        <w:t>司</w:t>
      </w:r>
      <w:r>
        <w:rPr>
          <w:w w:val="100"/>
        </w:rPr>
        <w:t>的</w:t>
      </w:r>
      <w:r>
        <w:rPr>
          <w:spacing w:val="-3"/>
          <w:w w:val="100"/>
        </w:rPr>
        <w:t>议</w:t>
      </w:r>
      <w:r>
        <w:rPr>
          <w:w w:val="100"/>
        </w:rPr>
        <w:t>案</w:t>
      </w:r>
      <w:r>
        <w:rPr>
          <w:spacing w:val="-108"/>
          <w:w w:val="100"/>
        </w:rPr>
        <w:t>》</w:t>
      </w:r>
      <w:r>
        <w:rPr>
          <w:spacing w:val="-3"/>
          <w:w w:val="100"/>
        </w:rPr>
        <w:t>，</w:t>
      </w:r>
      <w:r>
        <w:rPr>
          <w:w w:val="100"/>
        </w:rPr>
        <w:t>公司</w:t>
      </w:r>
      <w:r>
        <w:rPr>
          <w:spacing w:val="-3"/>
          <w:w w:val="100"/>
        </w:rPr>
        <w:t>出</w:t>
      </w:r>
      <w:r>
        <w:rPr>
          <w:w w:val="100"/>
        </w:rPr>
        <w:t>资</w:t>
      </w:r>
      <w:r>
        <w:rPr>
          <w:spacing w:val="-3"/>
          <w:w w:val="100"/>
        </w:rPr>
        <w:t>人民</w:t>
      </w:r>
      <w:r>
        <w:rPr>
          <w:w w:val="100"/>
        </w:rPr>
        <w:t>币</w:t>
      </w:r>
      <w:r>
        <w:rPr>
          <w:spacing w:val="-26"/>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spacing w:val="-3"/>
          <w:w w:val="100"/>
        </w:rPr>
        <w:t>亿元</w:t>
      </w:r>
      <w:r>
        <w:rPr>
          <w:w w:val="100"/>
        </w:rPr>
        <w:t>与用</w:t>
      </w:r>
      <w:r>
        <w:rPr>
          <w:spacing w:val="-3"/>
          <w:w w:val="100"/>
        </w:rPr>
        <w:t>友</w:t>
      </w:r>
      <w:r>
        <w:rPr>
          <w:w w:val="100"/>
        </w:rPr>
        <w:t>网</w:t>
      </w:r>
      <w:r>
        <w:rPr>
          <w:spacing w:val="-3"/>
          <w:w w:val="100"/>
        </w:rPr>
        <w:t>络</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公司</w:t>
      </w:r>
      <w:r>
        <w:rPr>
          <w:spacing w:val="-3"/>
          <w:w w:val="100"/>
        </w:rPr>
        <w:t>、</w:t>
      </w:r>
      <w:r>
        <w:rPr>
          <w:w w:val="100"/>
        </w:rPr>
        <w:t>北</w:t>
      </w:r>
      <w:r>
        <w:rPr>
          <w:spacing w:val="-3"/>
          <w:w w:val="100"/>
        </w:rPr>
        <w:t>京</w:t>
      </w:r>
      <w:r>
        <w:rPr>
          <w:w w:val="100"/>
        </w:rPr>
        <w:t>碧</w:t>
      </w:r>
      <w:r>
        <w:rPr>
          <w:spacing w:val="-3"/>
          <w:w w:val="100"/>
        </w:rPr>
        <w:t>水</w:t>
      </w:r>
      <w:r>
        <w:rPr>
          <w:w w:val="100"/>
        </w:rPr>
        <w:t>源</w:t>
      </w:r>
      <w:r>
        <w:rPr>
          <w:spacing w:val="-3"/>
          <w:w w:val="100"/>
        </w:rPr>
        <w:t>科</w:t>
      </w:r>
      <w:r>
        <w:rPr>
          <w:w w:val="100"/>
        </w:rPr>
        <w:t>技</w:t>
      </w:r>
      <w:r>
        <w:rPr>
          <w:spacing w:val="-3"/>
          <w:w w:val="100"/>
        </w:rPr>
        <w:t>股</w:t>
      </w:r>
      <w:r>
        <w:rPr>
          <w:w w:val="100"/>
        </w:rPr>
        <w:t>份</w:t>
      </w:r>
    </w:p>
    <w:p>
      <w:pPr>
        <w:pStyle w:val="BodyText"/>
        <w:spacing w:line="386" w:lineRule="auto" w:before="177"/>
        <w:ind w:right="211"/>
        <w:jc w:val="both"/>
      </w:pPr>
      <w:r>
        <w:rPr/>
        <w:t>有限公司等</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家公司共同投资发起设立北京中关村银行股份有限公司。详见公司于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spacing w:val="-3"/>
        </w:rPr>
        <w:t>日在</w:t>
      </w:r>
      <w:r>
        <w:rPr>
          <w:spacing w:val="-3"/>
          <w:w w:val="100"/>
        </w:rPr>
        <w:t> </w:t>
      </w:r>
      <w:r>
        <w:rPr>
          <w:spacing w:val="-5"/>
          <w:w w:val="100"/>
        </w:rPr>
        <w:t>巨潮资讯网披露的《关于发起设立北京中关村银行股份有限公司的公告》。</w:t>
      </w:r>
    </w:p>
    <w:p>
      <w:pPr>
        <w:pStyle w:val="BodyText"/>
        <w:spacing w:line="386" w:lineRule="auto" w:before="166"/>
        <w:ind w:right="100"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22 </w:t>
      </w:r>
      <w:r>
        <w:rPr>
          <w:spacing w:val="-3"/>
        </w:rPr>
        <w:t>日，公司发布《关于筹建北京中关村银行股份有限公司获中国银监会及北京银监局核</w:t>
      </w:r>
      <w:r>
        <w:rPr>
          <w:w w:val="100"/>
        </w:rPr>
        <w:t> </w:t>
      </w:r>
      <w:r>
        <w:rPr>
          <w:spacing w:val="-9"/>
          <w:w w:val="100"/>
        </w:rPr>
        <w:t>准批复暨对外投资进展公告》。</w:t>
      </w:r>
    </w:p>
    <w:p>
      <w:pPr>
        <w:pStyle w:val="BodyText"/>
        <w:spacing w:line="386" w:lineRule="auto" w:before="163"/>
        <w:ind w:right="204" w:firstLine="42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日，公司发布《关于收到北京银监局关于北京中关村银行开业批复暨对外投资进展公</w:t>
      </w:r>
      <w:r>
        <w:rPr>
          <w:w w:val="100"/>
        </w:rPr>
        <w:t> </w:t>
      </w:r>
      <w:r>
        <w:rPr/>
        <w:t>告</w:t>
      </w:r>
      <w:r>
        <w:rPr>
          <w:spacing w:val="-18"/>
        </w:rPr>
        <w:t> </w:t>
      </w:r>
      <w:r>
        <w:rPr>
          <w:spacing w:val="-106"/>
        </w:rPr>
        <w:t>》。</w:t>
      </w:r>
      <w:r>
        <w:rPr/>
      </w:r>
    </w:p>
    <w:p>
      <w:pPr>
        <w:spacing w:line="240" w:lineRule="auto" w:before="2"/>
        <w:rPr>
          <w:rFonts w:ascii="宋体" w:hAnsi="宋体" w:cs="宋体" w:eastAsia="宋体" w:hint="default"/>
          <w:sz w:val="15"/>
          <w:szCs w:val="15"/>
        </w:rPr>
      </w:pPr>
    </w:p>
    <w:p>
      <w:pPr>
        <w:pStyle w:val="Heading3"/>
        <w:spacing w:line="240" w:lineRule="auto"/>
        <w:ind w:right="0"/>
        <w:jc w:val="both"/>
      </w:pPr>
      <w:r>
        <w:rPr>
          <w:rFonts w:ascii="Times New Roman" w:hAnsi="Times New Roman" w:cs="Times New Roman" w:eastAsia="Times New Roman" w:hint="default"/>
        </w:rPr>
        <w:t>4</w:t>
      </w:r>
      <w:r>
        <w:rPr/>
        <w:t>、江海通讯退出</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t>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日召开第三届董事会第五次会议，审议通过《关于使用自有资金增资苏州市江</w:t>
      </w:r>
    </w:p>
    <w:p>
      <w:pPr>
        <w:pStyle w:val="BodyText"/>
        <w:spacing w:line="386" w:lineRule="auto" w:before="177"/>
        <w:ind w:right="206"/>
        <w:jc w:val="both"/>
      </w:pPr>
      <w:r>
        <w:rPr>
          <w:w w:val="100"/>
        </w:rPr>
        <w:t>海通</w:t>
      </w:r>
      <w:r>
        <w:rPr>
          <w:spacing w:val="-3"/>
          <w:w w:val="100"/>
        </w:rPr>
        <w:t>讯</w:t>
      </w:r>
      <w:r>
        <w:rPr>
          <w:w w:val="100"/>
        </w:rPr>
        <w:t>发</w:t>
      </w:r>
      <w:r>
        <w:rPr>
          <w:spacing w:val="-3"/>
          <w:w w:val="100"/>
        </w:rPr>
        <w:t>展</w:t>
      </w:r>
      <w:r>
        <w:rPr>
          <w:w w:val="100"/>
        </w:rPr>
        <w:t>实</w:t>
      </w:r>
      <w:r>
        <w:rPr>
          <w:spacing w:val="-3"/>
          <w:w w:val="100"/>
        </w:rPr>
        <w:t>业</w:t>
      </w:r>
      <w:r>
        <w:rPr>
          <w:w w:val="100"/>
        </w:rPr>
        <w:t>有</w:t>
      </w:r>
      <w:r>
        <w:rPr>
          <w:spacing w:val="-3"/>
          <w:w w:val="100"/>
        </w:rPr>
        <w:t>限</w:t>
      </w:r>
      <w:r>
        <w:rPr>
          <w:w w:val="100"/>
        </w:rPr>
        <w:t>公</w:t>
      </w:r>
      <w:r>
        <w:rPr>
          <w:spacing w:val="-3"/>
          <w:w w:val="100"/>
        </w:rPr>
        <w:t>司</w:t>
      </w:r>
      <w:r>
        <w:rPr>
          <w:w w:val="100"/>
        </w:rPr>
        <w:t>的议</w:t>
      </w:r>
      <w:r>
        <w:rPr>
          <w:spacing w:val="-2"/>
          <w:w w:val="100"/>
        </w:rPr>
        <w:t>案</w:t>
      </w:r>
      <w:r>
        <w:rPr>
          <w:spacing w:val="-106"/>
          <w:w w:val="100"/>
        </w:rPr>
        <w:t>》</w:t>
      </w:r>
      <w:r>
        <w:rPr>
          <w:spacing w:val="-65"/>
          <w:w w:val="100"/>
        </w:rPr>
        <w:t>，</w:t>
      </w:r>
      <w:r>
        <w:rPr>
          <w:spacing w:val="-3"/>
          <w:w w:val="100"/>
        </w:rPr>
        <w:t>同</w:t>
      </w:r>
      <w:r>
        <w:rPr>
          <w:w w:val="100"/>
        </w:rPr>
        <w:t>意</w:t>
      </w:r>
      <w:r>
        <w:rPr>
          <w:spacing w:val="-3"/>
          <w:w w:val="100"/>
        </w:rPr>
        <w:t>公</w:t>
      </w:r>
      <w:r>
        <w:rPr>
          <w:w w:val="100"/>
        </w:rPr>
        <w:t>司</w:t>
      </w:r>
      <w:r>
        <w:rPr>
          <w:spacing w:val="-3"/>
          <w:w w:val="100"/>
        </w:rPr>
        <w:t>使</w:t>
      </w:r>
      <w:r>
        <w:rPr>
          <w:w w:val="100"/>
        </w:rPr>
        <w:t>用</w:t>
      </w:r>
      <w:r>
        <w:rPr>
          <w:spacing w:val="-3"/>
          <w:w w:val="100"/>
        </w:rPr>
        <w:t>自</w:t>
      </w:r>
      <w:r>
        <w:rPr>
          <w:w w:val="100"/>
        </w:rPr>
        <w:t>有</w:t>
      </w:r>
      <w:r>
        <w:rPr>
          <w:spacing w:val="-3"/>
          <w:w w:val="100"/>
        </w:rPr>
        <w:t>资</w:t>
      </w:r>
      <w:r>
        <w:rPr>
          <w:w w:val="100"/>
        </w:rPr>
        <w:t>金</w:t>
      </w:r>
      <w:r>
        <w:rPr>
          <w:spacing w:val="-53"/>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w w:val="100"/>
        </w:rPr>
        <w:t>万</w:t>
      </w:r>
      <w:r>
        <w:rPr>
          <w:spacing w:val="-3"/>
          <w:w w:val="100"/>
        </w:rPr>
        <w:t>元</w:t>
      </w:r>
      <w:r>
        <w:rPr>
          <w:w w:val="100"/>
        </w:rPr>
        <w:t>增</w:t>
      </w:r>
      <w:r>
        <w:rPr>
          <w:spacing w:val="-3"/>
          <w:w w:val="100"/>
        </w:rPr>
        <w:t>资苏</w:t>
      </w:r>
      <w:r>
        <w:rPr>
          <w:w w:val="100"/>
        </w:rPr>
        <w:t>州市</w:t>
      </w:r>
      <w:r>
        <w:rPr>
          <w:spacing w:val="-3"/>
          <w:w w:val="100"/>
        </w:rPr>
        <w:t>江</w:t>
      </w:r>
      <w:r>
        <w:rPr>
          <w:w w:val="100"/>
        </w:rPr>
        <w:t>海</w:t>
      </w:r>
      <w:r>
        <w:rPr>
          <w:spacing w:val="-3"/>
          <w:w w:val="100"/>
        </w:rPr>
        <w:t>通</w:t>
      </w:r>
      <w:r>
        <w:rPr>
          <w:w w:val="100"/>
        </w:rPr>
        <w:t>讯</w:t>
      </w:r>
      <w:r>
        <w:rPr>
          <w:spacing w:val="-3"/>
          <w:w w:val="100"/>
        </w:rPr>
        <w:t>发</w:t>
      </w:r>
      <w:r>
        <w:rPr>
          <w:w w:val="100"/>
        </w:rPr>
        <w:t>展</w:t>
      </w:r>
      <w:r>
        <w:rPr>
          <w:spacing w:val="-3"/>
          <w:w w:val="100"/>
        </w:rPr>
        <w:t>实</w:t>
      </w:r>
      <w:r>
        <w:rPr>
          <w:w w:val="100"/>
        </w:rPr>
        <w:t>业</w:t>
      </w:r>
      <w:r>
        <w:rPr>
          <w:spacing w:val="-3"/>
          <w:w w:val="100"/>
        </w:rPr>
        <w:t>有</w:t>
      </w:r>
      <w:r>
        <w:rPr>
          <w:w w:val="100"/>
        </w:rPr>
        <w:t>限公</w:t>
      </w:r>
      <w:r>
        <w:rPr>
          <w:w w:val="100"/>
        </w:rPr>
        <w:t> 司（</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3"/>
          <w:w w:val="100"/>
        </w:rPr>
        <w:t>“</w:t>
      </w:r>
      <w:r>
        <w:rPr>
          <w:w w:val="100"/>
        </w:rPr>
        <w:t>江</w:t>
      </w:r>
      <w:r>
        <w:rPr>
          <w:spacing w:val="-3"/>
          <w:w w:val="100"/>
        </w:rPr>
        <w:t>海</w:t>
      </w:r>
      <w:r>
        <w:rPr>
          <w:w w:val="100"/>
        </w:rPr>
        <w:t>通</w:t>
      </w:r>
      <w:r>
        <w:rPr>
          <w:spacing w:val="-1"/>
          <w:w w:val="100"/>
        </w:rPr>
        <w:t>讯</w:t>
      </w:r>
      <w:r>
        <w:rPr>
          <w:rFonts w:ascii="Times New Roman" w:hAnsi="Times New Roman" w:cs="Times New Roman" w:eastAsia="Times New Roman" w:hint="default"/>
          <w:spacing w:val="-1"/>
          <w:w w:val="100"/>
        </w:rPr>
        <w:t>”</w:t>
      </w:r>
      <w:r>
        <w:rPr>
          <w:spacing w:val="-108"/>
          <w:w w:val="100"/>
        </w:rPr>
        <w:t>）</w:t>
      </w:r>
      <w:r>
        <w:rPr>
          <w:w w:val="100"/>
        </w:rPr>
        <w:t>。本</w:t>
      </w:r>
      <w:r>
        <w:rPr>
          <w:spacing w:val="-3"/>
          <w:w w:val="100"/>
        </w:rPr>
        <w:t>次</w:t>
      </w:r>
      <w:r>
        <w:rPr>
          <w:w w:val="100"/>
        </w:rPr>
        <w:t>投</w:t>
      </w:r>
      <w:r>
        <w:rPr>
          <w:spacing w:val="-3"/>
          <w:w w:val="100"/>
        </w:rPr>
        <w:t>资</w:t>
      </w:r>
      <w:r>
        <w:rPr>
          <w:w w:val="100"/>
        </w:rPr>
        <w:t>完</w:t>
      </w:r>
      <w:r>
        <w:rPr>
          <w:spacing w:val="-3"/>
          <w:w w:val="100"/>
        </w:rPr>
        <w:t>成</w:t>
      </w:r>
      <w:r>
        <w:rPr>
          <w:w w:val="100"/>
        </w:rPr>
        <w:t>后</w:t>
      </w:r>
      <w:r>
        <w:rPr>
          <w:spacing w:val="-3"/>
          <w:w w:val="100"/>
        </w:rPr>
        <w:t>，</w:t>
      </w:r>
      <w:r>
        <w:rPr>
          <w:w w:val="100"/>
        </w:rPr>
        <w:t>公</w:t>
      </w:r>
      <w:r>
        <w:rPr>
          <w:spacing w:val="-3"/>
          <w:w w:val="100"/>
        </w:rPr>
        <w:t>司</w:t>
      </w:r>
      <w:r>
        <w:rPr>
          <w:w w:val="100"/>
        </w:rPr>
        <w:t>持有</w:t>
      </w:r>
      <w:r>
        <w:rPr>
          <w:spacing w:val="-3"/>
          <w:w w:val="100"/>
        </w:rPr>
        <w:t>江</w:t>
      </w:r>
      <w:r>
        <w:rPr>
          <w:w w:val="100"/>
        </w:rPr>
        <w:t>海</w:t>
      </w:r>
      <w:r>
        <w:rPr>
          <w:spacing w:val="-3"/>
          <w:w w:val="100"/>
        </w:rPr>
        <w:t>通</w:t>
      </w:r>
      <w:r>
        <w:rPr>
          <w:w w:val="100"/>
        </w:rPr>
        <w:t>讯</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spacing w:val="-3"/>
          <w:w w:val="100"/>
        </w:rPr>
        <w:t>的</w:t>
      </w:r>
      <w:r>
        <w:rPr>
          <w:w w:val="100"/>
        </w:rPr>
        <w:t>股</w:t>
      </w:r>
      <w:r>
        <w:rPr>
          <w:spacing w:val="-3"/>
          <w:w w:val="100"/>
        </w:rPr>
        <w:t>份</w:t>
      </w:r>
      <w:r>
        <w:rPr>
          <w:w w:val="100"/>
        </w:rPr>
        <w:t>。</w:t>
      </w:r>
    </w:p>
    <w:p>
      <w:pPr>
        <w:pStyle w:val="BodyText"/>
        <w:spacing w:line="240" w:lineRule="auto" w:before="136"/>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日召开第三届董事会第四十九次会议，审议通过了《关于转让苏州市江海通讯</w:t>
      </w:r>
    </w:p>
    <w:p>
      <w:pPr>
        <w:pStyle w:val="BodyText"/>
        <w:spacing w:line="386" w:lineRule="auto" w:before="177"/>
        <w:ind w:right="206"/>
        <w:jc w:val="both"/>
      </w:pPr>
      <w:r>
        <w:rPr>
          <w:spacing w:val="-6"/>
          <w:w w:val="100"/>
        </w:rPr>
        <w:t>发展实业有限公司全部股权的议案》，由于江海通讯未完成</w:t>
      </w:r>
      <w:r>
        <w:rPr>
          <w:spacing w:val="-46"/>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8"/>
          <w:w w:val="100"/>
        </w:rPr>
        <w:t> </w:t>
      </w:r>
      <w:r>
        <w:rPr>
          <w:spacing w:val="-2"/>
          <w:w w:val="100"/>
        </w:rPr>
        <w:t>年承诺的业绩目标，同意公司根据原《增</w:t>
      </w:r>
      <w:r>
        <w:rPr>
          <w:spacing w:val="-103"/>
          <w:w w:val="100"/>
        </w:rPr>
        <w:t> </w:t>
      </w:r>
      <w:r>
        <w:rPr>
          <w:spacing w:val="-103"/>
          <w:w w:val="100"/>
        </w:rPr>
      </w:r>
      <w:r>
        <w:rPr>
          <w:spacing w:val="-4"/>
        </w:rPr>
        <w:t>资协议》行使股份赎回权，将持有的江海通讯</w:t>
      </w:r>
      <w:r>
        <w:rPr>
          <w:spacing w:val="-30"/>
        </w:rPr>
        <w:t> </w:t>
      </w:r>
      <w:r>
        <w:rPr>
          <w:rFonts w:ascii="Times New Roman" w:hAnsi="Times New Roman" w:cs="Times New Roman" w:eastAsia="Times New Roman" w:hint="default"/>
        </w:rPr>
        <w:t>20%</w:t>
      </w:r>
      <w:r>
        <w:rPr/>
        <w:t>股权转让给江海通讯原股东苏州孔雀信天游电子有限公</w:t>
      </w:r>
      <w:r>
        <w:rPr>
          <w:spacing w:val="-96"/>
        </w:rPr>
        <w:t> </w:t>
      </w:r>
      <w:r>
        <w:rPr>
          <w:spacing w:val="-96"/>
        </w:rPr>
      </w:r>
      <w:r>
        <w:rPr/>
        <w:t>司，转让价款共计人民币</w:t>
      </w:r>
      <w:r>
        <w:rPr>
          <w:spacing w:val="-58"/>
        </w:rPr>
        <w:t> </w:t>
      </w:r>
      <w:r>
        <w:rPr>
          <w:rFonts w:ascii="Times New Roman" w:hAnsi="Times New Roman" w:cs="Times New Roman" w:eastAsia="Times New Roman" w:hint="default"/>
        </w:rPr>
        <w:t>7,129.22</w:t>
      </w:r>
      <w:r>
        <w:rPr>
          <w:rFonts w:ascii="Times New Roman" w:hAnsi="Times New Roman" w:cs="Times New Roman" w:eastAsia="Times New Roman" w:hint="default"/>
          <w:spacing w:val="-15"/>
        </w:rPr>
        <w:t> </w:t>
      </w:r>
      <w:r>
        <w:rPr/>
        <w:t>万元，本次转让完成后，公司不再持有江海通讯股权。</w:t>
      </w:r>
    </w:p>
    <w:p>
      <w:pPr>
        <w:pStyle w:val="Heading3"/>
        <w:spacing w:line="240" w:lineRule="auto" w:before="168"/>
        <w:ind w:right="0"/>
        <w:jc w:val="both"/>
      </w:pPr>
      <w:r>
        <w:rPr>
          <w:rFonts w:ascii="Times New Roman" w:hAnsi="Times New Roman" w:cs="Times New Roman" w:eastAsia="Times New Roman" w:hint="default"/>
        </w:rPr>
        <w:t>5</w:t>
      </w:r>
      <w:r>
        <w:rPr/>
        <w:t>、设立北京华控产业投资基金</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2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28"/>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日，公司与北京华控投资顾问有限公司（以下简称</w:t>
      </w:r>
      <w:r>
        <w:rPr>
          <w:rFonts w:ascii="Times New Roman" w:hAnsi="Times New Roman" w:cs="Times New Roman" w:eastAsia="Times New Roman" w:hint="default"/>
        </w:rPr>
        <w:t>“</w:t>
      </w:r>
      <w:r>
        <w:rPr/>
        <w:t>华控投资</w:t>
      </w:r>
      <w:r>
        <w:rPr>
          <w:rFonts w:ascii="Times New Roman" w:hAnsi="Times New Roman" w:cs="Times New Roman" w:eastAsia="Times New Roman" w:hint="default"/>
        </w:rPr>
        <w:t>”</w:t>
      </w:r>
      <w:r>
        <w:rPr/>
        <w:t>）共同申请的</w:t>
      </w:r>
      <w:r>
        <w:rPr>
          <w:rFonts w:ascii="Times New Roman" w:hAnsi="Times New Roman" w:cs="Times New Roman" w:eastAsia="Times New Roman" w:hint="default"/>
        </w:rPr>
        <w:t>“</w:t>
      </w:r>
      <w:r>
        <w:rPr/>
        <w:t>华控军</w:t>
      </w:r>
    </w:p>
    <w:p>
      <w:pPr>
        <w:pStyle w:val="BodyText"/>
        <w:spacing w:line="240" w:lineRule="auto" w:before="177"/>
        <w:ind w:right="0"/>
        <w:jc w:val="both"/>
      </w:pPr>
      <w:r>
        <w:rPr>
          <w:w w:val="100"/>
        </w:rPr>
        <w:t>民融</w:t>
      </w:r>
      <w:r>
        <w:rPr>
          <w:spacing w:val="-3"/>
          <w:w w:val="100"/>
        </w:rPr>
        <w:t>合</w:t>
      </w:r>
      <w:r>
        <w:rPr>
          <w:w w:val="100"/>
        </w:rPr>
        <w:t>产</w:t>
      </w:r>
      <w:r>
        <w:rPr>
          <w:spacing w:val="-3"/>
          <w:w w:val="100"/>
        </w:rPr>
        <w:t>业</w:t>
      </w:r>
      <w:r>
        <w:rPr>
          <w:w w:val="100"/>
        </w:rPr>
        <w:t>并</w:t>
      </w:r>
      <w:r>
        <w:rPr>
          <w:spacing w:val="-3"/>
          <w:w w:val="100"/>
        </w:rPr>
        <w:t>购</w:t>
      </w:r>
      <w:r>
        <w:rPr>
          <w:w w:val="100"/>
        </w:rPr>
        <w:t>基</w:t>
      </w:r>
      <w:r>
        <w:rPr>
          <w:spacing w:val="-72"/>
          <w:w w:val="100"/>
        </w:rPr>
        <w:t>金</w:t>
      </w:r>
      <w:r>
        <w:rPr>
          <w:spacing w:val="-3"/>
          <w:w w:val="100"/>
        </w:rPr>
        <w:t>（</w:t>
      </w:r>
      <w:r>
        <w:rPr>
          <w:w w:val="100"/>
        </w:rPr>
        <w:t>有</w:t>
      </w:r>
      <w:r>
        <w:rPr>
          <w:spacing w:val="-3"/>
          <w:w w:val="100"/>
        </w:rPr>
        <w:t>限</w:t>
      </w:r>
      <w:r>
        <w:rPr>
          <w:w w:val="100"/>
        </w:rPr>
        <w:t>合伙</w:t>
      </w:r>
      <w:r>
        <w:rPr>
          <w:spacing w:val="-178"/>
          <w:w w:val="100"/>
        </w:rPr>
        <w:t>）</w:t>
      </w:r>
      <w:r>
        <w:rPr>
          <w:w w:val="100"/>
        </w:rPr>
        <w:t>（</w:t>
      </w:r>
      <w:r>
        <w:rPr>
          <w:spacing w:val="-3"/>
          <w:w w:val="100"/>
        </w:rPr>
        <w:t>筹</w:t>
      </w:r>
      <w:r>
        <w:rPr>
          <w:spacing w:val="-70"/>
          <w:w w:val="100"/>
        </w:rPr>
        <w:t>）</w:t>
      </w:r>
      <w:r>
        <w:rPr>
          <w:rFonts w:ascii="Times New Roman" w:hAnsi="Times New Roman" w:cs="Times New Roman" w:eastAsia="Times New Roman" w:hint="default"/>
          <w:spacing w:val="-3"/>
          <w:w w:val="100"/>
        </w:rPr>
        <w:t>”</w:t>
      </w:r>
      <w:r>
        <w:rPr>
          <w:w w:val="100"/>
        </w:rPr>
        <w:t>成</w:t>
      </w:r>
      <w:r>
        <w:rPr>
          <w:spacing w:val="-3"/>
          <w:w w:val="100"/>
        </w:rPr>
        <w:t>功</w:t>
      </w:r>
      <w:r>
        <w:rPr>
          <w:w w:val="100"/>
        </w:rPr>
        <w:t>入选</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年</w:t>
      </w:r>
      <w:r>
        <w:rPr>
          <w:w w:val="100"/>
        </w:rPr>
        <w:t>北</w:t>
      </w:r>
      <w:r>
        <w:rPr>
          <w:spacing w:val="-3"/>
          <w:w w:val="100"/>
        </w:rPr>
        <w:t>京</w:t>
      </w:r>
      <w:r>
        <w:rPr>
          <w:w w:val="100"/>
        </w:rPr>
        <w:t>高</w:t>
      </w:r>
      <w:r>
        <w:rPr>
          <w:spacing w:val="-3"/>
          <w:w w:val="100"/>
        </w:rPr>
        <w:t>精</w:t>
      </w:r>
      <w:r>
        <w:rPr>
          <w:w w:val="100"/>
        </w:rPr>
        <w:t>尖</w:t>
      </w:r>
      <w:r>
        <w:rPr>
          <w:spacing w:val="-3"/>
          <w:w w:val="100"/>
        </w:rPr>
        <w:t>产</w:t>
      </w:r>
      <w:r>
        <w:rPr>
          <w:w w:val="100"/>
        </w:rPr>
        <w:t>业</w:t>
      </w:r>
      <w:r>
        <w:rPr>
          <w:spacing w:val="-3"/>
          <w:w w:val="100"/>
        </w:rPr>
        <w:t>发展</w:t>
      </w:r>
      <w:r>
        <w:rPr>
          <w:w w:val="100"/>
        </w:rPr>
        <w:t>基金</w:t>
      </w:r>
      <w:r>
        <w:rPr>
          <w:spacing w:val="-3"/>
          <w:w w:val="100"/>
        </w:rPr>
        <w:t>第</w:t>
      </w:r>
      <w:r>
        <w:rPr>
          <w:w w:val="100"/>
        </w:rPr>
        <w:t>三</w:t>
      </w:r>
      <w:r>
        <w:rPr>
          <w:spacing w:val="-3"/>
          <w:w w:val="100"/>
        </w:rPr>
        <w:t>批</w:t>
      </w:r>
      <w:r>
        <w:rPr>
          <w:w w:val="100"/>
        </w:rPr>
        <w:t>拟</w:t>
      </w:r>
      <w:r>
        <w:rPr>
          <w:spacing w:val="-3"/>
          <w:w w:val="100"/>
        </w:rPr>
        <w:t>合</w:t>
      </w:r>
      <w:r>
        <w:rPr>
          <w:w w:val="100"/>
        </w:rPr>
        <w:t>作</w:t>
      </w:r>
      <w:r>
        <w:rPr>
          <w:spacing w:val="-3"/>
          <w:w w:val="100"/>
        </w:rPr>
        <w:t>机</w:t>
      </w:r>
      <w:r>
        <w:rPr>
          <w:w w:val="100"/>
        </w:rPr>
        <w:t>构</w:t>
      </w:r>
      <w:r>
        <w:rPr>
          <w:spacing w:val="-3"/>
          <w:w w:val="100"/>
        </w:rPr>
        <w:t>名</w:t>
      </w:r>
      <w:r>
        <w:rPr>
          <w:w w:val="100"/>
        </w:rPr>
        <w:t>单。</w:t>
      </w:r>
    </w:p>
    <w:p>
      <w:pPr>
        <w:spacing w:line="240" w:lineRule="auto" w:before="4"/>
        <w:rPr>
          <w:rFonts w:ascii="宋体" w:hAnsi="宋体" w:cs="宋体" w:eastAsia="宋体" w:hint="default"/>
          <w:sz w:val="21"/>
          <w:szCs w:val="21"/>
        </w:rPr>
      </w:pPr>
    </w:p>
    <w:p>
      <w:pPr>
        <w:pStyle w:val="BodyText"/>
        <w:spacing w:line="240" w:lineRule="auto"/>
        <w:ind w:left="573" w:right="100"/>
        <w:jc w:val="left"/>
      </w:pPr>
      <w:r>
        <w:rPr/>
        <w:t>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5"/>
        </w:rPr>
        <w:t>日召开第三届董事会第五十一次会议，审议通过了《关于发起设立北京华控产</w:t>
      </w:r>
    </w:p>
    <w:p>
      <w:pPr>
        <w:pStyle w:val="BodyText"/>
        <w:spacing w:line="403" w:lineRule="auto" w:before="177"/>
        <w:ind w:right="208"/>
        <w:jc w:val="both"/>
      </w:pPr>
      <w:r>
        <w:rPr>
          <w:spacing w:val="-7"/>
          <w:w w:val="100"/>
        </w:rPr>
        <w:t>业投资基金的议案》，董事会同意公司以自有资金出资</w:t>
      </w:r>
      <w:r>
        <w:rPr>
          <w:spacing w:val="-45"/>
          <w:w w:val="100"/>
        </w:rPr>
        <w:t> </w:t>
      </w:r>
      <w:r>
        <w:rPr>
          <w:rFonts w:ascii="Times New Roman" w:hAnsi="Times New Roman" w:cs="Times New Roman" w:eastAsia="Times New Roman" w:hint="default"/>
          <w:spacing w:val="-1"/>
          <w:w w:val="100"/>
        </w:rPr>
        <w:t>5,000</w:t>
      </w:r>
      <w:r>
        <w:rPr>
          <w:rFonts w:ascii="Times New Roman" w:hAnsi="Times New Roman" w:cs="Times New Roman" w:eastAsia="Times New Roman" w:hint="default"/>
          <w:spacing w:val="-6"/>
          <w:w w:val="100"/>
        </w:rPr>
        <w:t> </w:t>
      </w:r>
      <w:r>
        <w:rPr>
          <w:spacing w:val="-4"/>
          <w:w w:val="100"/>
        </w:rPr>
        <w:t>万元作为有限合伙人，与华控投资、北京市经</w:t>
      </w:r>
      <w:r>
        <w:rPr>
          <w:spacing w:val="-102"/>
          <w:w w:val="100"/>
        </w:rPr>
        <w:t> </w:t>
      </w:r>
      <w:r>
        <w:rPr>
          <w:spacing w:val="-102"/>
          <w:w w:val="100"/>
        </w:rPr>
      </w:r>
      <w:r>
        <w:rPr>
          <w:spacing w:val="-2"/>
        </w:rPr>
        <w:t>济和信息化委员会经济技术市场发展中心、华控（宁波梅山保税港区）防务股权投资基金合伙企业（有限</w:t>
      </w:r>
      <w:r>
        <w:rPr>
          <w:spacing w:val="-46"/>
        </w:rPr>
        <w:t> </w:t>
      </w:r>
      <w:r>
        <w:rPr>
          <w:spacing w:val="-46"/>
        </w:rPr>
      </w:r>
      <w:r>
        <w:rPr>
          <w:spacing w:val="-7"/>
          <w:w w:val="100"/>
        </w:rPr>
        <w:t>合伙）、华控湖北防务产业投资基金（有限合伙）、华控卓宇（宁波梅山保税港区）防务股权投资基金合伙</w:t>
      </w:r>
      <w:r>
        <w:rPr>
          <w:spacing w:val="-76"/>
          <w:w w:val="100"/>
        </w:rPr>
        <w:t> </w:t>
      </w:r>
      <w:r>
        <w:rPr>
          <w:spacing w:val="-76"/>
          <w:w w:val="100"/>
        </w:rPr>
      </w:r>
      <w:r>
        <w:rPr>
          <w:spacing w:val="-2"/>
          <w:w w:val="100"/>
        </w:rPr>
        <w:t>企业（有限合伙）、新余华控投资管理合伙企业（有限合伙）共同发起设立北京华控产业投资基金合伙企</w:t>
      </w:r>
      <w:r>
        <w:rPr>
          <w:spacing w:val="-94"/>
          <w:w w:val="100"/>
        </w:rPr>
        <w:t> </w:t>
      </w:r>
      <w:r>
        <w:rPr>
          <w:spacing w:val="-94"/>
          <w:w w:val="100"/>
        </w:rPr>
      </w:r>
      <w:r>
        <w:rPr>
          <w:spacing w:val="-15"/>
          <w:w w:val="100"/>
        </w:rPr>
        <w:t>业（有限合伙）。</w:t>
      </w:r>
    </w:p>
    <w:p>
      <w:pPr>
        <w:pStyle w:val="BodyText"/>
        <w:spacing w:line="386" w:lineRule="auto" w:before="148"/>
        <w:ind w:right="100" w:firstLine="42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3"/>
        </w:rPr>
        <w:t>日，北京华控产业投资基金（有限合伙）完成了相关工商变更登记手续，并领取了北</w:t>
      </w:r>
      <w:r>
        <w:rPr>
          <w:w w:val="100"/>
        </w:rPr>
        <w:t> </w:t>
      </w:r>
      <w:r>
        <w:rPr>
          <w:spacing w:val="-6"/>
          <w:w w:val="100"/>
        </w:rPr>
        <w:t>京市工商行政管理局颁发的《企业法人营业执照》。</w:t>
      </w:r>
    </w:p>
    <w:p>
      <w:pPr>
        <w:spacing w:after="0" w:line="386"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2"/>
          <w:szCs w:val="12"/>
        </w:rPr>
      </w:pPr>
    </w:p>
    <w:p>
      <w:pPr>
        <w:pStyle w:val="Heading3"/>
        <w:spacing w:line="240" w:lineRule="auto" w:before="26"/>
        <w:ind w:right="0"/>
        <w:jc w:val="both"/>
      </w:pPr>
      <w:r>
        <w:rPr>
          <w:rFonts w:ascii="Times New Roman" w:hAnsi="Times New Roman" w:cs="Times New Roman" w:eastAsia="Times New Roman" w:hint="default"/>
        </w:rPr>
        <w:t>6</w:t>
      </w:r>
      <w:r>
        <w:rPr/>
        <w:t>、中航特装退出</w:t>
      </w:r>
    </w:p>
    <w:p>
      <w:pPr>
        <w:spacing w:line="240" w:lineRule="auto" w:before="1"/>
        <w:rPr>
          <w:rFonts w:ascii="黑体" w:hAnsi="黑体" w:cs="黑体" w:eastAsia="黑体" w:hint="default"/>
          <w:sz w:val="24"/>
          <w:szCs w:val="24"/>
        </w:rPr>
      </w:pPr>
    </w:p>
    <w:p>
      <w:pPr>
        <w:pStyle w:val="BodyText"/>
        <w:spacing w:line="386" w:lineRule="auto"/>
        <w:ind w:right="206" w:firstLine="420"/>
        <w:jc w:val="both"/>
      </w:pPr>
      <w:r>
        <w:rPr/>
        <w:t>经公司第二届董事会第三十一次会议审议通过，公司使用自有资金</w:t>
      </w:r>
      <w:r>
        <w:rPr>
          <w:spacing w:val="-61"/>
        </w:rPr>
        <w:t> </w:t>
      </w:r>
      <w:r>
        <w:rPr>
          <w:rFonts w:ascii="Times New Roman" w:hAnsi="Times New Roman" w:cs="Times New Roman" w:eastAsia="Times New Roman" w:hint="default"/>
        </w:rPr>
        <w:t>7,982.46</w:t>
      </w:r>
      <w:r>
        <w:rPr>
          <w:rFonts w:ascii="Times New Roman" w:hAnsi="Times New Roman" w:cs="Times New Roman" w:eastAsia="Times New Roman" w:hint="default"/>
          <w:spacing w:val="-19"/>
        </w:rPr>
        <w:t> </w:t>
      </w:r>
      <w:r>
        <w:rPr/>
        <w:t>万元投资南京中航特种装</w:t>
      </w:r>
      <w:r>
        <w:rPr>
          <w:w w:val="100"/>
        </w:rPr>
        <w:t> </w:t>
      </w:r>
      <w:r>
        <w:rPr>
          <w:spacing w:val="-5"/>
          <w:w w:val="100"/>
        </w:rPr>
        <w:t>备有限公司（以下简称</w:t>
      </w:r>
      <w:r>
        <w:rPr>
          <w:rFonts w:ascii="Times New Roman" w:hAnsi="Times New Roman" w:cs="Times New Roman" w:eastAsia="Times New Roman" w:hint="default"/>
          <w:spacing w:val="-5"/>
          <w:w w:val="100"/>
        </w:rPr>
        <w:t>“</w:t>
      </w:r>
      <w:r>
        <w:rPr>
          <w:spacing w:val="-5"/>
          <w:w w:val="100"/>
        </w:rPr>
        <w:t>中航特装</w:t>
      </w:r>
      <w:r>
        <w:rPr>
          <w:rFonts w:ascii="Times New Roman" w:hAnsi="Times New Roman" w:cs="Times New Roman" w:eastAsia="Times New Roman" w:hint="default"/>
          <w:spacing w:val="-5"/>
          <w:w w:val="100"/>
        </w:rPr>
        <w:t>”</w:t>
      </w:r>
      <w:r>
        <w:rPr>
          <w:spacing w:val="-5"/>
          <w:w w:val="100"/>
        </w:rPr>
        <w:t>）。本次投资完成后，公司持有中航特装</w:t>
      </w:r>
      <w:r>
        <w:rPr>
          <w:spacing w:val="-28"/>
          <w:w w:val="100"/>
        </w:rPr>
        <w:t> </w:t>
      </w:r>
      <w:r>
        <w:rPr>
          <w:rFonts w:ascii="Times New Roman" w:hAnsi="Times New Roman" w:cs="Times New Roman" w:eastAsia="Times New Roman" w:hint="default"/>
          <w:spacing w:val="-2"/>
          <w:w w:val="100"/>
        </w:rPr>
        <w:t>10.47%</w:t>
      </w:r>
      <w:r>
        <w:rPr>
          <w:spacing w:val="-2"/>
          <w:w w:val="100"/>
        </w:rPr>
        <w:t>的股份。</w:t>
      </w:r>
    </w:p>
    <w:p>
      <w:pPr>
        <w:pStyle w:val="BodyText"/>
        <w:spacing w:line="386" w:lineRule="auto" w:before="136"/>
        <w:ind w:right="208" w:firstLine="420"/>
        <w:jc w:val="both"/>
      </w:pPr>
      <w:r>
        <w:rPr/>
        <w:t>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5"/>
        </w:rPr>
        <w:t>日召开第三届董事会第五十一次会议，审议通过了《关于转让南京中航特种装</w:t>
      </w:r>
      <w:r>
        <w:rPr>
          <w:w w:val="100"/>
        </w:rPr>
        <w:t> </w:t>
      </w:r>
      <w:r>
        <w:rPr>
          <w:spacing w:val="-6"/>
          <w:w w:val="100"/>
        </w:rPr>
        <w:t>备有限公司全部股权的议案》，董事会同意将持有的中航特装</w:t>
      </w:r>
      <w:r>
        <w:rPr>
          <w:spacing w:val="-14"/>
          <w:w w:val="100"/>
        </w:rPr>
        <w:t> </w:t>
      </w:r>
      <w:r>
        <w:rPr>
          <w:rFonts w:ascii="Times New Roman" w:hAnsi="Times New Roman" w:cs="Times New Roman" w:eastAsia="Times New Roman" w:hint="default"/>
          <w:spacing w:val="-2"/>
          <w:w w:val="100"/>
        </w:rPr>
        <w:t>10.47%</w:t>
      </w:r>
      <w:r>
        <w:rPr>
          <w:spacing w:val="-2"/>
          <w:w w:val="100"/>
        </w:rPr>
        <w:t>股权全部转让给金城集团有限公司，</w:t>
      </w:r>
      <w:r>
        <w:rPr>
          <w:spacing w:val="-97"/>
          <w:w w:val="100"/>
        </w:rPr>
        <w:t> </w:t>
      </w:r>
      <w:r>
        <w:rPr>
          <w:spacing w:val="-97"/>
          <w:w w:val="100"/>
        </w:rPr>
      </w:r>
      <w:r>
        <w:rPr/>
        <w:t>转让价格为</w:t>
      </w:r>
      <w:r>
        <w:rPr>
          <w:spacing w:val="-55"/>
        </w:rPr>
        <w:t> </w:t>
      </w:r>
      <w:r>
        <w:rPr>
          <w:rFonts w:ascii="Times New Roman" w:hAnsi="Times New Roman" w:cs="Times New Roman" w:eastAsia="Times New Roman" w:hint="default"/>
        </w:rPr>
        <w:t>9,485</w:t>
      </w:r>
      <w:r>
        <w:rPr>
          <w:rFonts w:ascii="Times New Roman" w:hAnsi="Times New Roman" w:cs="Times New Roman" w:eastAsia="Times New Roman" w:hint="default"/>
          <w:spacing w:val="-14"/>
        </w:rPr>
        <w:t> </w:t>
      </w:r>
      <w:r>
        <w:rPr/>
        <w:t>万元。转让完成后，公司不再持有中航特装股权。</w:t>
      </w:r>
    </w:p>
    <w:p>
      <w:pPr>
        <w:pStyle w:val="Heading3"/>
        <w:spacing w:line="240" w:lineRule="auto" w:before="166"/>
        <w:ind w:right="0"/>
        <w:jc w:val="both"/>
      </w:pPr>
      <w:r>
        <w:rPr>
          <w:rFonts w:ascii="Times New Roman" w:hAnsi="Times New Roman" w:cs="Times New Roman" w:eastAsia="Times New Roman" w:hint="default"/>
        </w:rPr>
        <w:t>7</w:t>
      </w:r>
      <w:r>
        <w:rPr/>
        <w:t>、上海旋极增资</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3"/>
        </w:rPr>
        <w:t>日，公司召开第三届董事会第五十二次会议，审议通过了《关于使用自有资金增资上</w:t>
      </w:r>
    </w:p>
    <w:p>
      <w:pPr>
        <w:pStyle w:val="BodyText"/>
        <w:spacing w:line="386" w:lineRule="auto" w:before="177"/>
        <w:ind w:right="100"/>
        <w:jc w:val="left"/>
      </w:pPr>
      <w:r>
        <w:rPr>
          <w:spacing w:val="-7"/>
          <w:w w:val="100"/>
        </w:rPr>
        <w:t>海旋极信息技术有限公司的议案》，董事会同意公司使用自有资金</w:t>
      </w:r>
      <w:r>
        <w:rPr>
          <w:spacing w:val="-37"/>
          <w:w w:val="100"/>
        </w:rPr>
        <w:t> </w:t>
      </w:r>
      <w:r>
        <w:rPr>
          <w:rFonts w:ascii="Times New Roman" w:hAnsi="Times New Roman" w:cs="Times New Roman" w:eastAsia="Times New Roman" w:hint="default"/>
          <w:spacing w:val="-2"/>
          <w:w w:val="100"/>
        </w:rPr>
        <w:t>4,000</w:t>
      </w:r>
      <w:r>
        <w:rPr>
          <w:rFonts w:ascii="Times New Roman" w:hAnsi="Times New Roman" w:cs="Times New Roman" w:eastAsia="Times New Roman" w:hint="default"/>
          <w:spacing w:val="2"/>
          <w:w w:val="100"/>
        </w:rPr>
        <w:t> </w:t>
      </w:r>
      <w:r>
        <w:rPr>
          <w:spacing w:val="-4"/>
          <w:w w:val="100"/>
        </w:rPr>
        <w:t>万元，对公司全资子公司上海旋极</w:t>
      </w:r>
      <w:r>
        <w:rPr>
          <w:spacing w:val="-99"/>
          <w:w w:val="100"/>
        </w:rPr>
        <w:t> </w:t>
      </w:r>
      <w:r>
        <w:rPr>
          <w:spacing w:val="-99"/>
          <w:w w:val="100"/>
        </w:rPr>
      </w:r>
      <w:r>
        <w:rPr/>
        <w:t>进行增资。本次增资完成后，上海旋极注册资本增加至</w:t>
      </w:r>
      <w:r>
        <w:rPr>
          <w:spacing w:val="-5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3"/>
        </w:rPr>
        <w:t> </w:t>
      </w:r>
      <w:r>
        <w:rPr/>
        <w:t>万元，公司持股比例仍为</w:t>
      </w:r>
      <w:r>
        <w:rPr>
          <w:spacing w:val="-57"/>
        </w:rPr>
        <w:t> </w:t>
      </w:r>
      <w:r>
        <w:rPr>
          <w:rFonts w:ascii="Times New Roman" w:hAnsi="Times New Roman" w:cs="Times New Roman" w:eastAsia="Times New Roman" w:hint="default"/>
        </w:rPr>
        <w:t>100%</w:t>
      </w:r>
      <w:r>
        <w:rPr/>
        <w:t>。</w:t>
      </w:r>
    </w:p>
    <w:p>
      <w:pPr>
        <w:pStyle w:val="Heading3"/>
        <w:spacing w:line="240" w:lineRule="auto" w:before="166"/>
        <w:ind w:right="0"/>
        <w:jc w:val="both"/>
      </w:pPr>
      <w:r>
        <w:rPr/>
        <w:t>（二）股本及注册资本变更情况</w:t>
      </w:r>
    </w:p>
    <w:p>
      <w:pPr>
        <w:spacing w:line="240" w:lineRule="auto" w:before="6"/>
        <w:rPr>
          <w:rFonts w:ascii="黑体" w:hAnsi="黑体" w:cs="黑体" w:eastAsia="黑体" w:hint="default"/>
          <w:sz w:val="25"/>
          <w:szCs w:val="25"/>
        </w:rPr>
      </w:pPr>
    </w:p>
    <w:p>
      <w:pPr>
        <w:pStyle w:val="BodyText"/>
        <w:spacing w:line="386" w:lineRule="auto"/>
        <w:ind w:right="208"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日，公司召开</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年第九次临时股东大会，审议通过《关于注册资本变更并修改公</w:t>
      </w:r>
      <w:r>
        <w:rPr>
          <w:w w:val="100"/>
        </w:rPr>
        <w:t> </w:t>
      </w:r>
      <w:r>
        <w:rPr>
          <w:spacing w:val="-7"/>
          <w:w w:val="100"/>
        </w:rPr>
        <w:t>司章程的议案》，鉴于公司发行股份购买北京泰豪智能工程有限公司</w:t>
      </w:r>
      <w:r>
        <w:rPr>
          <w:spacing w:val="-27"/>
          <w:w w:val="100"/>
        </w:rPr>
        <w:t> </w:t>
      </w:r>
      <w:r>
        <w:rPr>
          <w:rFonts w:ascii="Times New Roman" w:hAnsi="Times New Roman" w:cs="Times New Roman" w:eastAsia="Times New Roman" w:hint="default"/>
          <w:spacing w:val="-2"/>
          <w:w w:val="100"/>
        </w:rPr>
        <w:t>100%</w:t>
      </w:r>
      <w:r>
        <w:rPr>
          <w:spacing w:val="-2"/>
          <w:w w:val="100"/>
        </w:rPr>
        <w:t>股权并募集配套资金暨关联交易</w:t>
      </w:r>
      <w:r>
        <w:rPr>
          <w:spacing w:val="-96"/>
          <w:w w:val="100"/>
        </w:rPr>
        <w:t> </w:t>
      </w:r>
      <w:r>
        <w:rPr>
          <w:spacing w:val="-96"/>
          <w:w w:val="100"/>
        </w:rPr>
      </w:r>
      <w:r>
        <w:rPr/>
        <w:t>事项已完成股份登记、上市等事宜</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公司股份总数由</w:t>
      </w:r>
      <w:r>
        <w:rPr>
          <w:spacing w:val="-51"/>
        </w:rPr>
        <w:t> </w:t>
      </w:r>
      <w:r>
        <w:rPr>
          <w:rFonts w:ascii="Times New Roman" w:hAnsi="Times New Roman" w:cs="Times New Roman" w:eastAsia="Times New Roman" w:hint="default"/>
        </w:rPr>
        <w:t>99,996.6216</w:t>
      </w:r>
      <w:r>
        <w:rPr>
          <w:rFonts w:ascii="Times New Roman" w:hAnsi="Times New Roman" w:cs="Times New Roman" w:eastAsia="Times New Roman" w:hint="default"/>
          <w:spacing w:val="-8"/>
        </w:rPr>
        <w:t> </w:t>
      </w:r>
      <w:r>
        <w:rPr/>
        <w:t>万股变更为</w:t>
      </w:r>
      <w:r>
        <w:rPr>
          <w:spacing w:val="-51"/>
        </w:rPr>
        <w:t> </w:t>
      </w:r>
      <w:r>
        <w:rPr>
          <w:rFonts w:ascii="Times New Roman" w:hAnsi="Times New Roman" w:cs="Times New Roman" w:eastAsia="Times New Roman" w:hint="default"/>
          <w:spacing w:val="-3"/>
        </w:rPr>
        <w:t>115,022.1154</w:t>
      </w:r>
      <w:r>
        <w:rPr>
          <w:rFonts w:ascii="Times New Roman" w:hAnsi="Times New Roman" w:cs="Times New Roman" w:eastAsia="Times New Roman" w:hint="default"/>
          <w:spacing w:val="-10"/>
        </w:rPr>
        <w:t> </w:t>
      </w:r>
      <w:r>
        <w:rPr>
          <w:spacing w:val="-3"/>
        </w:rPr>
        <w:t>万股，公司注册</w:t>
      </w:r>
    </w:p>
    <w:p>
      <w:pPr>
        <w:pStyle w:val="BodyText"/>
        <w:spacing w:line="386" w:lineRule="auto" w:before="35"/>
        <w:ind w:right="100"/>
        <w:jc w:val="left"/>
      </w:pPr>
      <w:r>
        <w:rPr/>
        <w:t>资本由</w:t>
      </w:r>
      <w:r>
        <w:rPr>
          <w:spacing w:val="-46"/>
        </w:rPr>
        <w:t> </w:t>
      </w:r>
      <w:r>
        <w:rPr>
          <w:rFonts w:ascii="Times New Roman" w:hAnsi="Times New Roman" w:cs="Times New Roman" w:eastAsia="Times New Roman" w:hint="default"/>
        </w:rPr>
        <w:t>99,996.6216</w:t>
      </w:r>
      <w:r>
        <w:rPr>
          <w:rFonts w:ascii="Times New Roman" w:hAnsi="Times New Roman" w:cs="Times New Roman" w:eastAsia="Times New Roman" w:hint="default"/>
          <w:spacing w:val="-5"/>
        </w:rPr>
        <w:t> </w:t>
      </w:r>
      <w:r>
        <w:rPr/>
        <w:t>万元变更为</w:t>
      </w:r>
      <w:r>
        <w:rPr>
          <w:spacing w:val="-49"/>
        </w:rPr>
        <w:t> </w:t>
      </w:r>
      <w:r>
        <w:rPr>
          <w:rFonts w:ascii="Times New Roman" w:hAnsi="Times New Roman" w:cs="Times New Roman" w:eastAsia="Times New Roman" w:hint="default"/>
          <w:spacing w:val="-3"/>
        </w:rPr>
        <w:t>115,022.1154</w:t>
      </w:r>
      <w:r>
        <w:rPr>
          <w:rFonts w:ascii="Times New Roman" w:hAnsi="Times New Roman" w:cs="Times New Roman" w:eastAsia="Times New Roman" w:hint="default"/>
          <w:spacing w:val="-5"/>
        </w:rPr>
        <w:t> </w:t>
      </w:r>
      <w:r>
        <w:rPr>
          <w:spacing w:val="-10"/>
        </w:rPr>
        <w:t>万元，</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5"/>
        </w:rPr>
        <w:t>日，公司完成了相关工商变更登记手续，</w:t>
      </w:r>
      <w:r>
        <w:rPr>
          <w:spacing w:val="-102"/>
        </w:rPr>
        <w:t> </w:t>
      </w:r>
      <w:r>
        <w:rPr>
          <w:spacing w:val="-102"/>
        </w:rPr>
      </w:r>
      <w:r>
        <w:rPr>
          <w:spacing w:val="-5"/>
          <w:w w:val="100"/>
        </w:rPr>
        <w:t>并领取了北京市工商行政管理局换发的《企业法人营业执照》。</w:t>
      </w:r>
    </w:p>
    <w:p>
      <w:pPr>
        <w:pStyle w:val="BodyText"/>
        <w:spacing w:line="398" w:lineRule="auto" w:before="166"/>
        <w:ind w:right="206"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日，公司召开第三届董事会第二十八次会议和第三届监事会第十四次会议，审议通过</w:t>
      </w:r>
      <w:r>
        <w:rPr>
          <w:w w:val="100"/>
        </w:rPr>
        <w:t> </w:t>
      </w:r>
      <w:r>
        <w:rPr>
          <w:spacing w:val="-2"/>
          <w:w w:val="100"/>
        </w:rPr>
        <w:t>了《关于回购注销不符合解锁条件的激励对象已获授但尚未解锁的限制性股票的议案》。公司根据限制性</w:t>
      </w:r>
      <w:r>
        <w:rPr>
          <w:spacing w:val="-94"/>
          <w:w w:val="100"/>
        </w:rPr>
        <w:t> </w:t>
      </w:r>
      <w:r>
        <w:rPr>
          <w:spacing w:val="-94"/>
          <w:w w:val="100"/>
        </w:rPr>
      </w:r>
      <w:r>
        <w:rPr>
          <w:spacing w:val="-3"/>
        </w:rPr>
        <w:t>股票考核激励管理办法，回购注销不符合解锁条件的 </w:t>
      </w:r>
      <w:r>
        <w:rPr>
          <w:rFonts w:ascii="Times New Roman" w:hAnsi="Times New Roman" w:cs="Times New Roman" w:eastAsia="Times New Roman" w:hint="default"/>
        </w:rPr>
        <w:t>884,959 </w:t>
      </w:r>
      <w:r>
        <w:rPr>
          <w:rFonts w:ascii="Times New Roman" w:hAnsi="Times New Roman" w:cs="Times New Roman" w:eastAsia="Times New Roman" w:hint="default"/>
          <w:spacing w:val="47"/>
        </w:rPr>
        <w:t> </w:t>
      </w:r>
      <w:r>
        <w:rPr>
          <w:spacing w:val="-3"/>
        </w:rPr>
        <w:t>股限制性股票，上述限制性股票已在中国证</w:t>
      </w:r>
    </w:p>
    <w:p>
      <w:pPr>
        <w:pStyle w:val="BodyText"/>
        <w:spacing w:line="386" w:lineRule="auto" w:before="24"/>
        <w:ind w:right="208"/>
        <w:jc w:val="both"/>
      </w:pPr>
      <w:r>
        <w:rPr>
          <w:spacing w:val="-5"/>
          <w:w w:val="100"/>
        </w:rPr>
        <w:t>券登记结算有限责任公司深圳分公司完成注销手续，详见公司于</w:t>
      </w:r>
      <w:r>
        <w:rPr>
          <w:spacing w:val="-5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2"/>
          <w:w w:val="100"/>
        </w:rPr>
        <w:t> </w:t>
      </w:r>
      <w:r>
        <w:rPr>
          <w:w w:val="100"/>
        </w:rPr>
        <w:t>年</w:t>
      </w:r>
      <w:r>
        <w:rPr>
          <w:spacing w:val="-54"/>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w w:val="100"/>
        </w:rPr>
        <w:t> </w:t>
      </w:r>
      <w:r>
        <w:rPr>
          <w:w w:val="100"/>
        </w:rPr>
        <w:t>月</w:t>
      </w:r>
      <w:r>
        <w:rPr>
          <w:spacing w:val="-54"/>
          <w:w w:val="100"/>
        </w:rPr>
        <w:t> </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spacing w:val="-10"/>
          <w:w w:val="100"/>
        </w:rPr>
        <w:t> </w:t>
      </w:r>
      <w:r>
        <w:rPr>
          <w:spacing w:val="-10"/>
          <w:w w:val="100"/>
        </w:rPr>
        <w:t>日在巨潮资讯网披露的《关</w:t>
      </w:r>
      <w:r>
        <w:rPr>
          <w:w w:val="100"/>
        </w:rPr>
        <w:t> </w:t>
      </w:r>
      <w:r>
        <w:rPr>
          <w:spacing w:val="-9"/>
          <w:w w:val="100"/>
        </w:rPr>
        <w:t>于部分限制性股票回购注销完成的公告》。根据立信会计师事务所（特殊普通合伙）出具的信会师报字</w:t>
      </w:r>
      <w:r>
        <w:rPr>
          <w:rFonts w:ascii="Times New Roman" w:hAnsi="Times New Roman" w:cs="Times New Roman" w:eastAsia="Times New Roman" w:hint="default"/>
          <w:spacing w:val="-9"/>
          <w:w w:val="100"/>
        </w:rPr>
        <w:t>(2016)</w:t>
      </w:r>
      <w:r>
        <w:rPr>
          <w:rFonts w:ascii="Times New Roman" w:hAnsi="Times New Roman" w:cs="Times New Roman" w:eastAsia="Times New Roman" w:hint="default"/>
          <w:spacing w:val="-36"/>
          <w:w w:val="100"/>
        </w:rPr>
        <w:t> </w:t>
      </w:r>
      <w:r>
        <w:rPr>
          <w:rFonts w:ascii="Times New Roman" w:hAnsi="Times New Roman" w:cs="Times New Roman" w:eastAsia="Times New Roman" w:hint="default"/>
          <w:spacing w:val="-36"/>
          <w:w w:val="100"/>
        </w:rPr>
      </w:r>
      <w:r>
        <w:rPr/>
        <w:t>第</w:t>
      </w:r>
      <w:r>
        <w:rPr>
          <w:spacing w:val="-41"/>
        </w:rPr>
        <w:t> </w:t>
      </w:r>
      <w:r>
        <w:rPr>
          <w:rFonts w:ascii="Times New Roman" w:hAnsi="Times New Roman" w:cs="Times New Roman" w:eastAsia="Times New Roman" w:hint="default"/>
        </w:rPr>
        <w:t>ZG10007</w:t>
      </w:r>
      <w:r>
        <w:rPr>
          <w:rFonts w:ascii="Times New Roman" w:hAnsi="Times New Roman" w:cs="Times New Roman" w:eastAsia="Times New Roman" w:hint="default"/>
          <w:spacing w:val="-11"/>
        </w:rPr>
        <w:t> </w:t>
      </w:r>
      <w:r>
        <w:rPr/>
        <w:t>号验资报告，对公司截至</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日止减少注册资本及实收资本（股本）情况进行了</w:t>
      </w:r>
    </w:p>
    <w:p>
      <w:pPr>
        <w:pStyle w:val="BodyText"/>
        <w:spacing w:line="240" w:lineRule="auto" w:before="35"/>
        <w:ind w:right="0"/>
        <w:jc w:val="both"/>
      </w:pPr>
      <w:r>
        <w:rPr/>
        <w:t>审验，公司减资前的注册资本为人民币</w:t>
      </w:r>
      <w:r>
        <w:rPr>
          <w:spacing w:val="-56"/>
        </w:rPr>
        <w:t> </w:t>
      </w:r>
      <w:r>
        <w:rPr>
          <w:rFonts w:ascii="Times New Roman" w:hAnsi="Times New Roman" w:cs="Times New Roman" w:eastAsia="Times New Roman" w:hint="default"/>
        </w:rPr>
        <w:t>1,150,221,154.00</w:t>
      </w:r>
      <w:r>
        <w:rPr>
          <w:rFonts w:ascii="Times New Roman" w:hAnsi="Times New Roman" w:cs="Times New Roman" w:eastAsia="Times New Roman" w:hint="default"/>
          <w:spacing w:val="-15"/>
        </w:rPr>
        <w:t> </w:t>
      </w:r>
      <w:r>
        <w:rPr/>
        <w:t>元，股本为人民币</w:t>
      </w:r>
      <w:r>
        <w:rPr>
          <w:spacing w:val="-57"/>
        </w:rPr>
        <w:t> </w:t>
      </w:r>
      <w:r>
        <w:rPr>
          <w:rFonts w:ascii="Times New Roman" w:hAnsi="Times New Roman" w:cs="Times New Roman" w:eastAsia="Times New Roman" w:hint="default"/>
        </w:rPr>
        <w:t>1,150,221,154.00</w:t>
      </w:r>
      <w:r>
        <w:rPr>
          <w:rFonts w:ascii="Times New Roman" w:hAnsi="Times New Roman" w:cs="Times New Roman" w:eastAsia="Times New Roman" w:hint="default"/>
          <w:spacing w:val="-15"/>
        </w:rPr>
        <w:t> </w:t>
      </w:r>
      <w:r>
        <w:rPr/>
        <w:t>元；本次变更</w:t>
      </w:r>
    </w:p>
    <w:p>
      <w:pPr>
        <w:pStyle w:val="BodyText"/>
        <w:spacing w:line="386" w:lineRule="auto" w:before="177"/>
        <w:ind w:right="100"/>
        <w:jc w:val="left"/>
      </w:pPr>
      <w:r>
        <w:rPr/>
        <w:t>后的注册资本为人民币</w:t>
      </w:r>
      <w:r>
        <w:rPr>
          <w:spacing w:val="-38"/>
        </w:rPr>
        <w:t> </w:t>
      </w:r>
      <w:r>
        <w:rPr>
          <w:rFonts w:ascii="Times New Roman" w:hAnsi="Times New Roman" w:cs="Times New Roman" w:eastAsia="Times New Roman" w:hint="default"/>
        </w:rPr>
        <w:t>1,149,336,195.00</w:t>
      </w:r>
      <w:r>
        <w:rPr>
          <w:rFonts w:ascii="Times New Roman" w:hAnsi="Times New Roman" w:cs="Times New Roman" w:eastAsia="Times New Roman" w:hint="default"/>
          <w:spacing w:val="-7"/>
        </w:rPr>
        <w:t> </w:t>
      </w:r>
      <w:r>
        <w:rPr/>
        <w:t>元，股本为人民币</w:t>
      </w:r>
      <w:r>
        <w:rPr>
          <w:spacing w:val="-41"/>
        </w:rPr>
        <w:t> </w:t>
      </w:r>
      <w:r>
        <w:rPr>
          <w:rFonts w:ascii="Times New Roman" w:hAnsi="Times New Roman" w:cs="Times New Roman" w:eastAsia="Times New Roman" w:hint="default"/>
        </w:rPr>
        <w:t>1,149,336,195.00</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38"/>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日，公司</w:t>
      </w:r>
      <w:r>
        <w:rPr>
          <w:w w:val="100"/>
        </w:rPr>
        <w:t> </w:t>
      </w:r>
      <w:r>
        <w:rPr>
          <w:spacing w:val="-4"/>
          <w:w w:val="100"/>
        </w:rPr>
        <w:t>完成了相关工商变更登记手续，并领取了北京市工商行政管理局换发的《企业法人营业执照》。</w:t>
      </w:r>
    </w:p>
    <w:p>
      <w:pPr>
        <w:pStyle w:val="BodyText"/>
        <w:spacing w:line="386" w:lineRule="auto" w:before="166"/>
        <w:ind w:right="20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日，公司召开第三届董事会第四十五次会议，审议通过了《关于向激励对象授予限制</w:t>
      </w:r>
      <w:r>
        <w:rPr>
          <w:w w:val="100"/>
        </w:rPr>
        <w:t> </w:t>
      </w:r>
      <w:r>
        <w:rPr>
          <w:spacing w:val="-10"/>
          <w:w w:val="100"/>
        </w:rPr>
        <w:t>性股票的议案》，</w:t>
      </w:r>
      <w:r>
        <w:rPr>
          <w:rFonts w:ascii="Times New Roman" w:hAnsi="Times New Roman" w:cs="Times New Roman" w:eastAsia="Times New Roman" w:hint="default"/>
          <w:spacing w:val="-10"/>
          <w:w w:val="100"/>
        </w:rPr>
        <w:t>2017</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 </w:t>
      </w:r>
      <w:r>
        <w:rPr>
          <w:spacing w:val="-2"/>
          <w:w w:val="100"/>
        </w:rPr>
        <w:t>年限制性股票激励计划规定的限制性股票授予条件已经成就，授予限制性股票数量</w:t>
      </w:r>
    </w:p>
    <w:p>
      <w:pPr>
        <w:spacing w:after="0" w:line="386" w:lineRule="auto"/>
        <w:jc w:val="both"/>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100"/>
        <w:jc w:val="left"/>
      </w:pPr>
      <w:r>
        <w:rPr/>
        <w:t>为</w:t>
      </w:r>
      <w:r>
        <w:rPr>
          <w:spacing w:val="-48"/>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12"/>
        </w:rPr>
        <w:t> </w:t>
      </w:r>
      <w:r>
        <w:rPr/>
        <w:t>万股，截至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日，上述限制性股票已在中国证券登记结算有限责任公司深圳分公</w:t>
      </w:r>
    </w:p>
    <w:p>
      <w:pPr>
        <w:pStyle w:val="BodyText"/>
        <w:spacing w:line="386" w:lineRule="auto" w:before="177"/>
        <w:ind w:right="206"/>
        <w:jc w:val="both"/>
      </w:pPr>
      <w:r>
        <w:rPr>
          <w:spacing w:val="-3"/>
        </w:rPr>
        <w:t>司完成授予登记手续，详见公司于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3"/>
        </w:rPr>
        <w:t>日在巨潮资讯网披露的《</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6"/>
        </w:rPr>
        <w:t> </w:t>
      </w:r>
      <w:r>
        <w:rPr/>
        <w:t>年限制性股票授予完成公</w:t>
      </w:r>
      <w:r>
        <w:rPr>
          <w:spacing w:val="-102"/>
        </w:rPr>
        <w:t> </w:t>
      </w:r>
      <w:r>
        <w:rPr>
          <w:spacing w:val="-102"/>
        </w:rPr>
      </w:r>
      <w:r>
        <w:rPr>
          <w:spacing w:val="-5"/>
          <w:w w:val="100"/>
        </w:rPr>
        <w:t>告》。根据立信会计师事务所（特殊普通合伙）出具的信会师报字</w:t>
      </w:r>
      <w:r>
        <w:rPr>
          <w:rFonts w:ascii="Times New Roman" w:hAnsi="Times New Roman" w:cs="Times New Roman" w:eastAsia="Times New Roman" w:hint="default"/>
          <w:spacing w:val="-5"/>
          <w:w w:val="100"/>
        </w:rPr>
        <w:t>[2017]</w:t>
      </w:r>
      <w:r>
        <w:rPr>
          <w:spacing w:val="-5"/>
          <w:w w:val="100"/>
        </w:rPr>
        <w:t>第</w:t>
      </w:r>
      <w:r>
        <w:rPr>
          <w:w w:val="100"/>
        </w:rPr>
        <w:t> </w:t>
      </w:r>
      <w:r>
        <w:rPr>
          <w:rFonts w:ascii="Times New Roman" w:hAnsi="Times New Roman" w:cs="Times New Roman" w:eastAsia="Times New Roman" w:hint="default"/>
          <w:spacing w:val="-1"/>
          <w:w w:val="100"/>
        </w:rPr>
        <w:t>ZG12068</w:t>
      </w:r>
      <w:r>
        <w:rPr>
          <w:rFonts w:ascii="Times New Roman" w:hAnsi="Times New Roman" w:cs="Times New Roman" w:eastAsia="Times New Roman" w:hint="default"/>
          <w:w w:val="100"/>
        </w:rPr>
        <w:t> </w:t>
      </w:r>
      <w:r>
        <w:rPr>
          <w:spacing w:val="-2"/>
          <w:w w:val="100"/>
        </w:rPr>
        <w:t>号验资报告，对公司</w:t>
      </w:r>
      <w:r>
        <w:rPr>
          <w:spacing w:val="-94"/>
          <w:w w:val="100"/>
        </w:rPr>
        <w:t> </w:t>
      </w:r>
      <w:r>
        <w:rPr>
          <w:spacing w:val="-94"/>
          <w:w w:val="100"/>
        </w:rPr>
      </w:r>
      <w:r>
        <w:rPr/>
        <w:t>截至</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日止新增注册资本及实收资本（股本）情况进行了审验，公司增资前的注册资本为人</w:t>
      </w:r>
      <w:r>
        <w:rPr>
          <w:w w:val="100"/>
        </w:rPr>
        <w:t> </w:t>
      </w:r>
      <w:r>
        <w:rPr>
          <w:spacing w:val="15"/>
        </w:rPr>
        <w:t>民币</w:t>
      </w:r>
      <w:r>
        <w:rPr>
          <w:spacing w:val="35"/>
        </w:rPr>
        <w:t> </w:t>
      </w:r>
      <w:r>
        <w:rPr>
          <w:rFonts w:ascii="Times New Roman" w:hAnsi="Times New Roman" w:cs="Times New Roman" w:eastAsia="Times New Roman" w:hint="default"/>
        </w:rPr>
        <w:t>1,149,336,195.00</w:t>
      </w:r>
      <w:r>
        <w:rPr>
          <w:rFonts w:ascii="Times New Roman" w:hAnsi="Times New Roman" w:cs="Times New Roman" w:eastAsia="Times New Roman" w:hint="default"/>
          <w:spacing w:val="11"/>
        </w:rPr>
        <w:t> </w:t>
      </w:r>
      <w:r>
        <w:rPr/>
        <w:t>元</w:t>
      </w:r>
      <w:r>
        <w:rPr>
          <w:spacing w:val="-77"/>
        </w:rPr>
        <w:t> </w:t>
      </w:r>
      <w:r>
        <w:rPr/>
        <w:t>，</w:t>
      </w:r>
      <w:r>
        <w:rPr>
          <w:spacing w:val="-74"/>
        </w:rPr>
        <w:t> </w:t>
      </w:r>
      <w:r>
        <w:rPr/>
        <w:t>股</w:t>
      </w:r>
      <w:r>
        <w:rPr>
          <w:spacing w:val="-74"/>
        </w:rPr>
        <w:t> </w:t>
      </w:r>
      <w:r>
        <w:rPr/>
        <w:t>本</w:t>
      </w:r>
      <w:r>
        <w:rPr>
          <w:spacing w:val="-74"/>
        </w:rPr>
        <w:t> </w:t>
      </w:r>
      <w:r>
        <w:rPr/>
        <w:t>为</w:t>
      </w:r>
      <w:r>
        <w:rPr>
          <w:spacing w:val="-74"/>
        </w:rPr>
        <w:t> </w:t>
      </w:r>
      <w:r>
        <w:rPr/>
        <w:t>人</w:t>
      </w:r>
      <w:r>
        <w:rPr>
          <w:spacing w:val="-74"/>
        </w:rPr>
        <w:t> </w:t>
      </w:r>
      <w:r>
        <w:rPr/>
        <w:t>民</w:t>
      </w:r>
      <w:r>
        <w:rPr>
          <w:spacing w:val="-77"/>
        </w:rPr>
        <w:t> </w:t>
      </w:r>
      <w:r>
        <w:rPr/>
        <w:t>币</w:t>
      </w:r>
      <w:r>
        <w:rPr>
          <w:spacing w:val="36"/>
        </w:rPr>
        <w:t> </w:t>
      </w:r>
      <w:r>
        <w:rPr>
          <w:rFonts w:ascii="Times New Roman" w:hAnsi="Times New Roman" w:cs="Times New Roman" w:eastAsia="Times New Roman" w:hint="default"/>
        </w:rPr>
        <w:t>1,149,336,195.00</w:t>
      </w:r>
      <w:r>
        <w:rPr>
          <w:rFonts w:ascii="Times New Roman" w:hAnsi="Times New Roman" w:cs="Times New Roman" w:eastAsia="Times New Roman" w:hint="default"/>
          <w:spacing w:val="13"/>
        </w:rPr>
        <w:t> </w:t>
      </w:r>
      <w:r>
        <w:rPr/>
        <w:t>元</w:t>
      </w:r>
      <w:r>
        <w:rPr>
          <w:spacing w:val="-74"/>
        </w:rPr>
        <w:t> </w:t>
      </w:r>
      <w:r>
        <w:rPr/>
        <w:t>；</w:t>
      </w:r>
      <w:r>
        <w:rPr>
          <w:spacing w:val="-74"/>
        </w:rPr>
        <w:t> </w:t>
      </w:r>
      <w:r>
        <w:rPr/>
        <w:t>本</w:t>
      </w:r>
      <w:r>
        <w:rPr>
          <w:spacing w:val="-77"/>
        </w:rPr>
        <w:t> </w:t>
      </w:r>
      <w:r>
        <w:rPr/>
        <w:t>次</w:t>
      </w:r>
      <w:r>
        <w:rPr>
          <w:spacing w:val="-74"/>
        </w:rPr>
        <w:t> </w:t>
      </w:r>
      <w:r>
        <w:rPr/>
        <w:t>变</w:t>
      </w:r>
      <w:r>
        <w:rPr>
          <w:spacing w:val="-74"/>
        </w:rPr>
        <w:t> </w:t>
      </w:r>
      <w:r>
        <w:rPr/>
        <w:t>更</w:t>
      </w:r>
      <w:r>
        <w:rPr>
          <w:spacing w:val="-77"/>
        </w:rPr>
        <w:t> </w:t>
      </w:r>
      <w:r>
        <w:rPr/>
        <w:t>后</w:t>
      </w:r>
      <w:r>
        <w:rPr>
          <w:spacing w:val="-74"/>
        </w:rPr>
        <w:t> </w:t>
      </w:r>
      <w:r>
        <w:rPr/>
        <w:t>的</w:t>
      </w:r>
      <w:r>
        <w:rPr>
          <w:spacing w:val="-74"/>
        </w:rPr>
        <w:t> </w:t>
      </w:r>
      <w:r>
        <w:rPr/>
        <w:t>注</w:t>
      </w:r>
      <w:r>
        <w:rPr>
          <w:spacing w:val="-74"/>
        </w:rPr>
        <w:t> </w:t>
      </w:r>
      <w:r>
        <w:rPr/>
        <w:t>册</w:t>
      </w:r>
      <w:r>
        <w:rPr>
          <w:spacing w:val="-74"/>
        </w:rPr>
        <w:t> </w:t>
      </w:r>
      <w:r>
        <w:rPr/>
        <w:t>资</w:t>
      </w:r>
      <w:r>
        <w:rPr>
          <w:spacing w:val="-74"/>
        </w:rPr>
        <w:t> </w:t>
      </w:r>
      <w:r>
        <w:rPr/>
        <w:t>本</w:t>
      </w:r>
      <w:r>
        <w:rPr>
          <w:spacing w:val="-77"/>
        </w:rPr>
        <w:t> </w:t>
      </w:r>
      <w:r>
        <w:rPr/>
        <w:t>为</w:t>
      </w:r>
      <w:r>
        <w:rPr>
          <w:spacing w:val="-74"/>
        </w:rPr>
        <w:t> </w:t>
      </w:r>
      <w:r>
        <w:rPr/>
        <w:t>人</w:t>
      </w:r>
      <w:r>
        <w:rPr>
          <w:spacing w:val="-74"/>
        </w:rPr>
        <w:t> </w:t>
      </w:r>
      <w:r>
        <w:rPr/>
        <w:t>民</w:t>
      </w:r>
      <w:r>
        <w:rPr>
          <w:spacing w:val="-77"/>
        </w:rPr>
        <w:t> </w:t>
      </w:r>
      <w:r>
        <w:rPr/>
        <w:t>币</w:t>
      </w:r>
      <w:r>
        <w:rPr>
          <w:w w:val="100"/>
        </w:rPr>
        <w:t> </w:t>
      </w:r>
      <w:r>
        <w:rPr>
          <w:rFonts w:ascii="Times New Roman" w:hAnsi="Times New Roman" w:cs="Times New Roman" w:eastAsia="Times New Roman" w:hint="default"/>
        </w:rPr>
        <w:t>1,172,196,195.00</w:t>
      </w:r>
      <w:r>
        <w:rPr>
          <w:rFonts w:ascii="Times New Roman" w:hAnsi="Times New Roman" w:cs="Times New Roman" w:eastAsia="Times New Roman" w:hint="default"/>
          <w:spacing w:val="-5"/>
        </w:rPr>
        <w:t> </w:t>
      </w:r>
      <w:r>
        <w:rPr>
          <w:spacing w:val="-5"/>
        </w:rPr>
        <w:t>元，股本为人民币</w:t>
      </w:r>
      <w:r>
        <w:rPr>
          <w:spacing w:val="-46"/>
        </w:rPr>
        <w:t> </w:t>
      </w:r>
      <w:r>
        <w:rPr>
          <w:rFonts w:ascii="Times New Roman" w:hAnsi="Times New Roman" w:cs="Times New Roman" w:eastAsia="Times New Roman" w:hint="default"/>
        </w:rPr>
        <w:t>1,172,196,195.00</w:t>
      </w:r>
      <w:r>
        <w:rPr>
          <w:rFonts w:ascii="Times New Roman" w:hAnsi="Times New Roman" w:cs="Times New Roman" w:eastAsia="Times New Roman" w:hint="default"/>
          <w:spacing w:val="-8"/>
        </w:rPr>
        <w:t> </w:t>
      </w:r>
      <w:r>
        <w:rPr>
          <w:spacing w:val="-5"/>
        </w:rPr>
        <w:t>元，</w:t>
      </w:r>
      <w:r>
        <w:rPr>
          <w:rFonts w:ascii="Times New Roman" w:hAnsi="Times New Roman" w:cs="Times New Roman" w:eastAsia="Times New Roman" w:hint="default"/>
          <w:spacing w:val="-5"/>
        </w:rPr>
        <w:t>2017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4"/>
        </w:rPr>
        <w:t>日，公司完成了相关工商变更登记</w:t>
      </w:r>
      <w:r>
        <w:rPr>
          <w:spacing w:val="-102"/>
        </w:rPr>
        <w:t> </w:t>
      </w:r>
      <w:r>
        <w:rPr>
          <w:spacing w:val="-102"/>
        </w:rPr>
      </w:r>
      <w:r>
        <w:rPr>
          <w:spacing w:val="-5"/>
          <w:w w:val="100"/>
        </w:rPr>
        <w:t>手续，并领取了北京市工商行政管理局换发的《企业法人营业执照》。</w:t>
      </w:r>
    </w:p>
    <w:p>
      <w:pPr>
        <w:spacing w:line="240" w:lineRule="auto" w:before="2"/>
        <w:rPr>
          <w:rFonts w:ascii="宋体" w:hAnsi="宋体" w:cs="宋体" w:eastAsia="宋体" w:hint="default"/>
          <w:sz w:val="15"/>
          <w:szCs w:val="15"/>
        </w:rPr>
      </w:pPr>
    </w:p>
    <w:p>
      <w:pPr>
        <w:pStyle w:val="Heading3"/>
        <w:spacing w:line="240" w:lineRule="auto"/>
        <w:ind w:right="100"/>
        <w:jc w:val="left"/>
      </w:pPr>
      <w:r>
        <w:rPr/>
        <w:t>（三）控股股东股票质押与解除质押情况</w:t>
      </w:r>
    </w:p>
    <w:p>
      <w:pPr>
        <w:spacing w:line="240" w:lineRule="auto" w:before="6"/>
        <w:rPr>
          <w:rFonts w:ascii="黑体" w:hAnsi="黑体" w:cs="黑体" w:eastAsia="黑体" w:hint="default"/>
          <w:sz w:val="25"/>
          <w:szCs w:val="25"/>
        </w:rPr>
      </w:pPr>
    </w:p>
    <w:p>
      <w:pPr>
        <w:pStyle w:val="BodyText"/>
        <w:spacing w:line="386" w:lineRule="auto"/>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日接到公司控股股东、实际控制人陈江涛先生的通知，陈江涛先生因个人需要</w:t>
      </w:r>
      <w:r>
        <w:rPr>
          <w:spacing w:val="-3"/>
          <w:w w:val="100"/>
        </w:rPr>
        <w:t> </w:t>
      </w:r>
      <w:r>
        <w:rPr/>
        <w:t>与兴业证券股份有限公司以其持有的公司股份</w:t>
      </w:r>
      <w:r>
        <w:rPr>
          <w:spacing w:val="-47"/>
        </w:rPr>
        <w:t> </w:t>
      </w:r>
      <w:r>
        <w:rPr>
          <w:rFonts w:ascii="Times New Roman" w:hAnsi="Times New Roman" w:cs="Times New Roman" w:eastAsia="Times New Roman" w:hint="default"/>
        </w:rPr>
        <w:t>23,170,000</w:t>
      </w:r>
      <w:r>
        <w:rPr>
          <w:rFonts w:ascii="Times New Roman" w:hAnsi="Times New Roman" w:cs="Times New Roman" w:eastAsia="Times New Roman" w:hint="default"/>
          <w:spacing w:val="-6"/>
        </w:rPr>
        <w:t> </w:t>
      </w:r>
      <w:r>
        <w:rPr>
          <w:spacing w:val="-5"/>
        </w:rPr>
        <w:t>股（占其所持公司股份总数</w:t>
      </w:r>
      <w:r>
        <w:rPr>
          <w:spacing w:val="-47"/>
        </w:rPr>
        <w:t> </w:t>
      </w:r>
      <w:r>
        <w:rPr>
          <w:rFonts w:ascii="Times New Roman" w:hAnsi="Times New Roman" w:cs="Times New Roman" w:eastAsia="Times New Roman" w:hint="default"/>
        </w:rPr>
        <w:t>5.94%</w:t>
      </w:r>
      <w:r>
        <w:rPr>
          <w:rFonts w:ascii="Times New Roman" w:hAnsi="Times New Roman" w:cs="Times New Roman" w:eastAsia="Times New Roman" w:hint="default"/>
          <w:spacing w:val="38"/>
        </w:rPr>
        <w:t> </w:t>
      </w:r>
      <w:r>
        <w:rPr>
          <w:spacing w:val="-7"/>
        </w:rPr>
        <w:t>，占公司股份</w:t>
      </w:r>
      <w:r>
        <w:rPr>
          <w:spacing w:val="-103"/>
        </w:rPr>
        <w:t> </w:t>
      </w:r>
      <w:r>
        <w:rPr>
          <w:spacing w:val="-103"/>
        </w:rPr>
      </w:r>
      <w:r>
        <w:rPr/>
        <w:t>总数的 </w:t>
      </w:r>
      <w:r>
        <w:rPr>
          <w:rFonts w:ascii="Times New Roman" w:hAnsi="Times New Roman" w:cs="Times New Roman" w:eastAsia="Times New Roman" w:hint="default"/>
          <w:spacing w:val="-2"/>
        </w:rPr>
        <w:t>2.01%</w:t>
      </w:r>
      <w:r>
        <w:rPr>
          <w:spacing w:val="-2"/>
        </w:rPr>
        <w:t>）办理了股票质押式回购业务。详见公司于同日在巨潮资讯网披露的《关于公司控股股东股</w:t>
      </w:r>
      <w:r>
        <w:rPr>
          <w:spacing w:val="-62"/>
        </w:rPr>
        <w:t> </w:t>
      </w:r>
      <w:r>
        <w:rPr>
          <w:spacing w:val="-62"/>
        </w:rPr>
      </w:r>
      <w:r>
        <w:rPr>
          <w:spacing w:val="-15"/>
          <w:w w:val="100"/>
        </w:rPr>
        <w:t>份质押的公告》。</w:t>
      </w:r>
    </w:p>
    <w:p>
      <w:pPr>
        <w:pStyle w:val="BodyText"/>
        <w:spacing w:line="240" w:lineRule="auto" w:before="163"/>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日接到公司控股股东、实际控制人陈江涛先生的通知，陈江涛先生因个人需要</w:t>
      </w:r>
    </w:p>
    <w:p>
      <w:pPr>
        <w:pStyle w:val="BodyText"/>
        <w:spacing w:line="386" w:lineRule="auto" w:before="177"/>
        <w:ind w:right="100"/>
        <w:jc w:val="left"/>
      </w:pPr>
      <w:r>
        <w:rPr/>
        <w:t>与长城证券股份有限公司、兴业证券股份有限公司以其持有的公司股份共计</w:t>
      </w:r>
      <w:r>
        <w:rPr>
          <w:spacing w:val="-56"/>
        </w:rPr>
        <w:t> </w:t>
      </w:r>
      <w:r>
        <w:rPr>
          <w:rFonts w:ascii="Times New Roman" w:hAnsi="Times New Roman" w:cs="Times New Roman" w:eastAsia="Times New Roman" w:hint="default"/>
        </w:rPr>
        <w:t>51,940,000</w:t>
      </w:r>
      <w:r>
        <w:rPr>
          <w:rFonts w:ascii="Times New Roman" w:hAnsi="Times New Roman" w:cs="Times New Roman" w:eastAsia="Times New Roman" w:hint="default"/>
          <w:spacing w:val="-9"/>
        </w:rPr>
        <w:t> </w:t>
      </w:r>
      <w:r>
        <w:rPr>
          <w:spacing w:val="-3"/>
        </w:rPr>
        <w:t>股（占其所持公司</w:t>
      </w:r>
      <w:r>
        <w:rPr>
          <w:w w:val="100"/>
        </w:rPr>
        <w:t> </w:t>
      </w:r>
      <w:r>
        <w:rPr/>
        <w:t>股份总数 </w:t>
      </w:r>
      <w:r>
        <w:rPr>
          <w:rFonts w:ascii="Times New Roman" w:hAnsi="Times New Roman" w:cs="Times New Roman" w:eastAsia="Times New Roman" w:hint="default"/>
        </w:rPr>
        <w:t>13.03% </w:t>
      </w:r>
      <w:r>
        <w:rPr/>
        <w:t>，占公司股份总数的</w:t>
      </w:r>
      <w:r>
        <w:rPr>
          <w:spacing w:val="-63"/>
        </w:rPr>
        <w:t> </w:t>
      </w:r>
      <w:r>
        <w:rPr>
          <w:rFonts w:ascii="Times New Roman" w:hAnsi="Times New Roman" w:cs="Times New Roman" w:eastAsia="Times New Roman" w:hint="default"/>
        </w:rPr>
        <w:t>4.52%</w:t>
      </w:r>
      <w:r>
        <w:rPr/>
        <w:t>）办理了股票质押式回购业务；陈江涛先生将其质押给齐鲁</w:t>
      </w:r>
      <w:r>
        <w:rPr>
          <w:w w:val="100"/>
        </w:rPr>
        <w:t> </w:t>
      </w:r>
      <w:r>
        <w:rPr>
          <w:spacing w:val="-10"/>
        </w:rPr>
        <w:t>证券（上海）资产管理有限公司的</w:t>
      </w:r>
      <w:r>
        <w:rPr>
          <w:spacing w:val="-39"/>
        </w:rPr>
        <w:t> </w:t>
      </w:r>
      <w:r>
        <w:rPr>
          <w:rFonts w:ascii="Times New Roman" w:hAnsi="Times New Roman" w:cs="Times New Roman" w:eastAsia="Times New Roman" w:hint="default"/>
        </w:rPr>
        <w:t>32,000,000</w:t>
      </w:r>
      <w:r>
        <w:rPr>
          <w:rFonts w:ascii="Times New Roman" w:hAnsi="Times New Roman" w:cs="Times New Roman" w:eastAsia="Times New Roman" w:hint="default"/>
          <w:spacing w:val="-2"/>
        </w:rPr>
        <w:t> </w:t>
      </w:r>
      <w:r>
        <w:rPr>
          <w:spacing w:val="-7"/>
        </w:rPr>
        <w:t>股（占其所持公司股份总数</w:t>
      </w:r>
      <w:r>
        <w:rPr>
          <w:spacing w:val="-40"/>
        </w:rPr>
        <w:t> </w:t>
      </w:r>
      <w:r>
        <w:rPr>
          <w:rFonts w:ascii="Times New Roman" w:hAnsi="Times New Roman" w:cs="Times New Roman" w:eastAsia="Times New Roman" w:hint="default"/>
          <w:spacing w:val="-6"/>
        </w:rPr>
        <w:t>8.20%</w:t>
      </w:r>
      <w:r>
        <w:rPr>
          <w:spacing w:val="-6"/>
        </w:rPr>
        <w:t>，占公司股份总数的</w:t>
      </w:r>
      <w:r>
        <w:rPr>
          <w:spacing w:val="-39"/>
        </w:rPr>
        <w:t> </w:t>
      </w:r>
      <w:r>
        <w:rPr>
          <w:rFonts w:ascii="Times New Roman" w:hAnsi="Times New Roman" w:cs="Times New Roman" w:eastAsia="Times New Roman" w:hint="default"/>
        </w:rPr>
        <w:t>2.78%</w:t>
      </w:r>
      <w:r>
        <w:rPr/>
        <w:t>）</w:t>
      </w:r>
      <w:r>
        <w:rPr>
          <w:spacing w:val="-100"/>
        </w:rPr>
        <w:t> </w:t>
      </w:r>
      <w:r>
        <w:rPr>
          <w:spacing w:val="-5"/>
          <w:w w:val="100"/>
        </w:rPr>
        <w:t>限售股解除质押。详见公司于同日在巨潮资讯网披露的《关于公司控股股东解除股份质押及质押的公告》。</w:t>
      </w:r>
    </w:p>
    <w:p>
      <w:pPr>
        <w:pStyle w:val="BodyText"/>
        <w:spacing w:line="240" w:lineRule="auto" w:before="166"/>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日接到公司控股股东、实际控制人陈江涛先生的通知，陈江涛先生将其质押给</w:t>
      </w:r>
    </w:p>
    <w:p>
      <w:pPr>
        <w:pStyle w:val="BodyText"/>
        <w:spacing w:line="386" w:lineRule="auto" w:before="177"/>
        <w:ind w:right="100"/>
        <w:jc w:val="left"/>
      </w:pPr>
      <w:r>
        <w:rPr/>
        <w:t>兴业证券股份有限公司的</w:t>
      </w:r>
      <w:r>
        <w:rPr>
          <w:spacing w:val="-48"/>
        </w:rPr>
        <w:t> </w:t>
      </w:r>
      <w:r>
        <w:rPr>
          <w:rFonts w:ascii="Times New Roman" w:hAnsi="Times New Roman" w:cs="Times New Roman" w:eastAsia="Times New Roman" w:hint="default"/>
        </w:rPr>
        <w:t>16,081,026</w:t>
      </w:r>
      <w:r>
        <w:rPr>
          <w:rFonts w:ascii="Times New Roman" w:hAnsi="Times New Roman" w:cs="Times New Roman" w:eastAsia="Times New Roman" w:hint="default"/>
          <w:spacing w:val="-3"/>
        </w:rPr>
        <w:t> </w:t>
      </w:r>
      <w:r>
        <w:rPr>
          <w:spacing w:val="-3"/>
        </w:rPr>
        <w:t>股（占其所持公司股份总数</w:t>
      </w:r>
      <w:r>
        <w:rPr>
          <w:spacing w:val="-45"/>
        </w:rPr>
        <w:t> </w:t>
      </w:r>
      <w:r>
        <w:rPr>
          <w:rFonts w:ascii="Times New Roman" w:hAnsi="Times New Roman" w:cs="Times New Roman" w:eastAsia="Times New Roman" w:hint="default"/>
        </w:rPr>
        <w:t>4.12%</w:t>
      </w:r>
      <w:r>
        <w:rPr>
          <w:rFonts w:ascii="Times New Roman" w:hAnsi="Times New Roman" w:cs="Times New Roman" w:eastAsia="Times New Roman" w:hint="default"/>
          <w:spacing w:val="43"/>
        </w:rPr>
        <w:t> </w:t>
      </w:r>
      <w:r>
        <w:rPr>
          <w:spacing w:val="-3"/>
        </w:rPr>
        <w:t>，占公司股份总数的</w:t>
      </w:r>
      <w:r>
        <w:rPr>
          <w:spacing w:val="-44"/>
        </w:rPr>
        <w:t> </w:t>
      </w:r>
      <w:r>
        <w:rPr>
          <w:rFonts w:ascii="Times New Roman" w:hAnsi="Times New Roman" w:cs="Times New Roman" w:eastAsia="Times New Roman" w:hint="default"/>
          <w:spacing w:val="-3"/>
        </w:rPr>
        <w:t>1.40%</w:t>
      </w:r>
      <w:r>
        <w:rPr>
          <w:spacing w:val="-3"/>
        </w:rPr>
        <w:t>）限售</w:t>
      </w:r>
      <w:r>
        <w:rPr>
          <w:spacing w:val="-102"/>
        </w:rPr>
        <w:t> </w:t>
      </w:r>
      <w:r>
        <w:rPr>
          <w:spacing w:val="-102"/>
        </w:rPr>
      </w:r>
      <w:r>
        <w:rPr>
          <w:spacing w:val="-4"/>
          <w:w w:val="100"/>
        </w:rPr>
        <w:t>股解除质押。详见公司于同日在巨潮资讯网披露的《关于控股股东股份解除质押的公告》。</w:t>
      </w:r>
    </w:p>
    <w:p>
      <w:pPr>
        <w:pStyle w:val="BodyText"/>
        <w:spacing w:line="386" w:lineRule="auto" w:before="166"/>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与兴业证券股份有限公司以其持有的公司股份</w:t>
      </w:r>
      <w:r>
        <w:rPr>
          <w:spacing w:val="-44"/>
        </w:rPr>
        <w:t> </w:t>
      </w:r>
      <w:r>
        <w:rPr>
          <w:rFonts w:ascii="Times New Roman" w:hAnsi="Times New Roman" w:cs="Times New Roman" w:eastAsia="Times New Roman" w:hint="default"/>
        </w:rPr>
        <w:t>20,500,000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5.25%</w:t>
      </w:r>
      <w:r>
        <w:rPr/>
        <w:t>，占公司股份</w:t>
      </w:r>
      <w:r>
        <w:rPr>
          <w:w w:val="100"/>
        </w:rPr>
        <w:t> </w:t>
      </w:r>
      <w:r>
        <w:rPr/>
        <w:t>总数的 </w:t>
      </w:r>
      <w:r>
        <w:rPr>
          <w:rFonts w:ascii="Times New Roman" w:hAnsi="Times New Roman" w:cs="Times New Roman" w:eastAsia="Times New Roman" w:hint="default"/>
          <w:spacing w:val="-2"/>
        </w:rPr>
        <w:t>1.78%</w:t>
      </w:r>
      <w:r>
        <w:rPr>
          <w:spacing w:val="-2"/>
        </w:rPr>
        <w:t>）办理了股票质押式回购业务。详见公司于同日在巨潮资讯网披露的《关于公司控股股东股</w:t>
      </w:r>
      <w:r>
        <w:rPr>
          <w:spacing w:val="-62"/>
        </w:rPr>
        <w:t> </w:t>
      </w:r>
      <w:r>
        <w:rPr>
          <w:spacing w:val="-62"/>
        </w:rPr>
      </w:r>
      <w:r>
        <w:rPr>
          <w:spacing w:val="-15"/>
          <w:w w:val="100"/>
        </w:rPr>
        <w:t>份质押的公告》。</w:t>
      </w:r>
    </w:p>
    <w:p>
      <w:pPr>
        <w:pStyle w:val="BodyText"/>
        <w:spacing w:line="386" w:lineRule="auto" w:before="163"/>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与兴业证券股份有限公司以其持有的公司股份</w:t>
      </w:r>
      <w:r>
        <w:rPr>
          <w:spacing w:val="-45"/>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6"/>
        </w:rPr>
        <w:t> </w:t>
      </w:r>
      <w:r>
        <w:rPr>
          <w:spacing w:val="-5"/>
        </w:rPr>
        <w:t>股（占其所持公司股份总数</w:t>
      </w:r>
      <w:r>
        <w:rPr>
          <w:spacing w:val="-46"/>
        </w:rPr>
        <w:t> </w:t>
      </w:r>
      <w:r>
        <w:rPr>
          <w:rFonts w:ascii="Times New Roman" w:hAnsi="Times New Roman" w:cs="Times New Roman" w:eastAsia="Times New Roman" w:hint="default"/>
          <w:spacing w:val="-5"/>
        </w:rPr>
        <w:t>0.72%</w:t>
      </w:r>
      <w:r>
        <w:rPr>
          <w:spacing w:val="-5"/>
        </w:rPr>
        <w:t>，占公司股份总</w:t>
      </w:r>
      <w:r>
        <w:rPr>
          <w:spacing w:val="-101"/>
        </w:rPr>
        <w:t> </w:t>
      </w:r>
      <w:r>
        <w:rPr>
          <w:spacing w:val="-101"/>
        </w:rPr>
      </w:r>
      <w:r>
        <w:rPr/>
        <w:t>数的 </w:t>
      </w:r>
      <w:r>
        <w:rPr>
          <w:rFonts w:ascii="Times New Roman" w:hAnsi="Times New Roman" w:cs="Times New Roman" w:eastAsia="Times New Roman" w:hint="default"/>
          <w:spacing w:val="-2"/>
        </w:rPr>
        <w:t>0.02%</w:t>
      </w:r>
      <w:r>
        <w:rPr>
          <w:spacing w:val="-2"/>
        </w:rPr>
        <w:t>）办理了股票质押式回购业务。详见公司于同日在巨潮资讯网披露的《关于控股股东股份质押</w:t>
      </w:r>
      <w:r>
        <w:rPr>
          <w:spacing w:val="-60"/>
        </w:rPr>
        <w:t> </w:t>
      </w:r>
      <w:r>
        <w:rPr>
          <w:spacing w:val="-60"/>
        </w:rPr>
      </w:r>
      <w:r>
        <w:rPr>
          <w:spacing w:val="-22"/>
          <w:w w:val="100"/>
        </w:rPr>
        <w:t>的公告》。</w:t>
      </w:r>
    </w:p>
    <w:p>
      <w:pPr>
        <w:spacing w:after="0" w:line="386" w:lineRule="auto"/>
        <w:jc w:val="both"/>
        <w:sectPr>
          <w:footerReference w:type="default" r:id="rId37"/>
          <w:pgSz w:w="11910" w:h="16840"/>
          <w:pgMar w:footer="1132" w:header="882" w:top="1280" w:bottom="1320" w:left="980" w:right="920"/>
          <w:pgNumType w:start="84"/>
        </w:sectPr>
      </w:pPr>
    </w:p>
    <w:p>
      <w:pPr>
        <w:spacing w:line="240" w:lineRule="auto" w:before="5"/>
        <w:rPr>
          <w:rFonts w:ascii="宋体" w:hAnsi="宋体" w:cs="宋体" w:eastAsia="宋体" w:hint="default"/>
          <w:sz w:val="13"/>
          <w:szCs w:val="13"/>
        </w:rPr>
      </w:pPr>
    </w:p>
    <w:p>
      <w:pPr>
        <w:pStyle w:val="BodyText"/>
        <w:spacing w:line="386" w:lineRule="auto" w:before="36"/>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与长城证券股份有限公司以其持有的公司股份</w:t>
      </w:r>
      <w:r>
        <w:rPr>
          <w:spacing w:val="-44"/>
        </w:rPr>
        <w:t> </w:t>
      </w:r>
      <w:r>
        <w:rPr>
          <w:rFonts w:ascii="Times New Roman" w:hAnsi="Times New Roman" w:cs="Times New Roman" w:eastAsia="Times New Roman" w:hint="default"/>
        </w:rPr>
        <w:t>36,380,000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9.32%</w:t>
      </w:r>
      <w:r>
        <w:rPr/>
        <w:t>，占公司股份</w:t>
      </w:r>
      <w:r>
        <w:rPr>
          <w:w w:val="100"/>
        </w:rPr>
        <w:t> </w:t>
      </w:r>
      <w:r>
        <w:rPr/>
        <w:t>总数的 </w:t>
      </w:r>
      <w:r>
        <w:rPr>
          <w:rFonts w:ascii="Times New Roman" w:hAnsi="Times New Roman" w:cs="Times New Roman" w:eastAsia="Times New Roman" w:hint="default"/>
          <w:spacing w:val="-2"/>
        </w:rPr>
        <w:t>3.10%</w:t>
      </w:r>
      <w:r>
        <w:rPr>
          <w:spacing w:val="-2"/>
        </w:rPr>
        <w:t>）办理了股票质押式回购业务。详见公司于同日在巨潮资讯网披露的《关于控股股东股份质</w:t>
      </w:r>
      <w:r>
        <w:rPr>
          <w:spacing w:val="-62"/>
        </w:rPr>
        <w:t> </w:t>
      </w:r>
      <w:r>
        <w:rPr>
          <w:spacing w:val="-62"/>
        </w:rPr>
      </w:r>
      <w:r>
        <w:rPr>
          <w:spacing w:val="-19"/>
          <w:w w:val="100"/>
        </w:rPr>
        <w:t>押的公告》。</w:t>
      </w:r>
    </w:p>
    <w:p>
      <w:pPr>
        <w:pStyle w:val="BodyText"/>
        <w:spacing w:line="240" w:lineRule="auto" w:before="166"/>
        <w:ind w:left="573" w:right="11"/>
        <w:jc w:val="left"/>
      </w:pPr>
      <w:r>
        <w:rPr/>
        <w:t>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日接到公司控股股东、实际控制人陈江涛先生的通知，陈江涛先生将其质押给长</w:t>
      </w:r>
    </w:p>
    <w:p>
      <w:pPr>
        <w:pStyle w:val="BodyText"/>
        <w:spacing w:line="386" w:lineRule="auto" w:before="177"/>
        <w:ind w:right="153"/>
        <w:jc w:val="both"/>
      </w:pPr>
      <w:r>
        <w:rPr/>
        <w:t>城证券股份有限公司的</w:t>
      </w:r>
      <w:r>
        <w:rPr>
          <w:spacing w:val="-45"/>
        </w:rPr>
        <w:t> </w:t>
      </w:r>
      <w:r>
        <w:rPr>
          <w:rFonts w:ascii="Times New Roman" w:hAnsi="Times New Roman" w:cs="Times New Roman" w:eastAsia="Times New Roman" w:hint="default"/>
        </w:rPr>
        <w:t>36,120,000</w:t>
      </w:r>
      <w:r>
        <w:rPr>
          <w:rFonts w:ascii="Times New Roman" w:hAnsi="Times New Roman" w:cs="Times New Roman" w:eastAsia="Times New Roman" w:hint="default"/>
          <w:spacing w:val="-6"/>
        </w:rPr>
        <w:t> </w:t>
      </w:r>
      <w:r>
        <w:rPr>
          <w:spacing w:val="-3"/>
        </w:rPr>
        <w:t>股（占其所持公司股份总数</w:t>
      </w:r>
      <w:r>
        <w:rPr>
          <w:spacing w:val="-45"/>
        </w:rPr>
        <w:t> </w:t>
      </w:r>
      <w:r>
        <w:rPr>
          <w:rFonts w:ascii="Times New Roman" w:hAnsi="Times New Roman" w:cs="Times New Roman" w:eastAsia="Times New Roman" w:hint="default"/>
        </w:rPr>
        <w:t>9.25%</w:t>
      </w:r>
      <w:r>
        <w:rPr>
          <w:rFonts w:ascii="Times New Roman" w:hAnsi="Times New Roman" w:cs="Times New Roman" w:eastAsia="Times New Roman" w:hint="default"/>
          <w:spacing w:val="44"/>
        </w:rPr>
        <w:t> </w:t>
      </w:r>
      <w:r>
        <w:rPr>
          <w:spacing w:val="-3"/>
        </w:rPr>
        <w:t>，占公司股份总数的</w:t>
      </w:r>
      <w:r>
        <w:rPr>
          <w:spacing w:val="-44"/>
        </w:rPr>
        <w:t> </w:t>
      </w:r>
      <w:r>
        <w:rPr>
          <w:rFonts w:ascii="Times New Roman" w:hAnsi="Times New Roman" w:cs="Times New Roman" w:eastAsia="Times New Roman" w:hint="default"/>
          <w:spacing w:val="-3"/>
        </w:rPr>
        <w:t>3.08%</w:t>
      </w:r>
      <w:r>
        <w:rPr>
          <w:spacing w:val="-3"/>
        </w:rPr>
        <w:t>）限售股</w:t>
      </w:r>
      <w:r>
        <w:rPr>
          <w:spacing w:val="-101"/>
        </w:rPr>
        <w:t> </w:t>
      </w:r>
      <w:r>
        <w:rPr>
          <w:spacing w:val="-101"/>
        </w:rPr>
      </w:r>
      <w:r>
        <w:rPr>
          <w:spacing w:val="-4"/>
          <w:w w:val="100"/>
        </w:rPr>
        <w:t>解除质押。详见公司于同日在巨潮资讯网披露的《关于控股股东股份解除质押的公告》。</w:t>
      </w:r>
    </w:p>
    <w:p>
      <w:pPr>
        <w:pStyle w:val="BodyText"/>
        <w:spacing w:line="386" w:lineRule="auto" w:before="164"/>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与长城证券股份有限公司以其持有的公司股份</w:t>
      </w:r>
      <w:r>
        <w:rPr>
          <w:spacing w:val="-44"/>
        </w:rPr>
        <w:t> </w:t>
      </w:r>
      <w:r>
        <w:rPr>
          <w:rFonts w:ascii="Times New Roman" w:hAnsi="Times New Roman" w:cs="Times New Roman" w:eastAsia="Times New Roman" w:hint="default"/>
        </w:rPr>
        <w:t>29,000,000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7.43%</w:t>
      </w:r>
      <w:r>
        <w:rPr/>
        <w:t>，占公司股份</w:t>
      </w:r>
      <w:r>
        <w:rPr>
          <w:w w:val="100"/>
        </w:rPr>
        <w:t> </w:t>
      </w:r>
      <w:r>
        <w:rPr/>
        <w:t>总数的 </w:t>
      </w:r>
      <w:r>
        <w:rPr>
          <w:rFonts w:ascii="Times New Roman" w:hAnsi="Times New Roman" w:cs="Times New Roman" w:eastAsia="Times New Roman" w:hint="default"/>
          <w:spacing w:val="-2"/>
        </w:rPr>
        <w:t>2.47%</w:t>
      </w:r>
      <w:r>
        <w:rPr>
          <w:spacing w:val="-2"/>
        </w:rPr>
        <w:t>）办理了股票质押式回购业务。详见公司于同日在巨潮资讯网披露的《关于控股股东股份质</w:t>
      </w:r>
      <w:r>
        <w:rPr>
          <w:spacing w:val="-62"/>
        </w:rPr>
        <w:t> </w:t>
      </w:r>
      <w:r>
        <w:rPr>
          <w:spacing w:val="-62"/>
        </w:rPr>
      </w:r>
      <w:r>
        <w:rPr>
          <w:spacing w:val="-19"/>
          <w:w w:val="100"/>
        </w:rPr>
        <w:t>押的公告》。</w:t>
      </w:r>
    </w:p>
    <w:p>
      <w:pPr>
        <w:pStyle w:val="BodyText"/>
        <w:spacing w:line="240" w:lineRule="auto" w:before="166"/>
        <w:ind w:left="573" w:right="11"/>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日接到公司控股股东、实际控制人陈江涛先生通知，陈江涛先生因个人需要与</w:t>
      </w:r>
    </w:p>
    <w:p>
      <w:pPr>
        <w:pStyle w:val="BodyText"/>
        <w:spacing w:line="386" w:lineRule="auto" w:before="177"/>
        <w:ind w:right="148"/>
        <w:jc w:val="both"/>
      </w:pPr>
      <w:r>
        <w:rPr/>
        <w:t>国联证券股份有限公司办理了股权解除质押业务，解除质押的股份数量为</w:t>
      </w:r>
      <w:r>
        <w:rPr>
          <w:spacing w:val="-62"/>
        </w:rPr>
        <w:t> </w:t>
      </w:r>
      <w:r>
        <w:rPr>
          <w:rFonts w:ascii="Times New Roman" w:hAnsi="Times New Roman" w:cs="Times New Roman" w:eastAsia="Times New Roman" w:hint="default"/>
        </w:rPr>
        <w:t>24,020,000</w:t>
      </w:r>
      <w:r>
        <w:rPr>
          <w:rFonts w:ascii="Times New Roman" w:hAnsi="Times New Roman" w:cs="Times New Roman" w:eastAsia="Times New Roman" w:hint="default"/>
          <w:spacing w:val="-20"/>
        </w:rPr>
        <w:t> </w:t>
      </w:r>
      <w:r>
        <w:rPr/>
        <w:t>股（占其所持公司股</w:t>
      </w:r>
      <w:r>
        <w:rPr>
          <w:w w:val="100"/>
        </w:rPr>
        <w:t> </w:t>
      </w:r>
      <w:r>
        <w:rPr>
          <w:spacing w:val="-1"/>
          <w:w w:val="100"/>
        </w:rPr>
        <w:t>份总数</w:t>
      </w:r>
      <w:r>
        <w:rPr>
          <w:spacing w:val="-45"/>
          <w:w w:val="100"/>
        </w:rPr>
        <w:t> </w:t>
      </w:r>
      <w:r>
        <w:rPr>
          <w:rFonts w:ascii="Times New Roman" w:hAnsi="Times New Roman" w:cs="Times New Roman" w:eastAsia="Times New Roman" w:hint="default"/>
          <w:spacing w:val="-2"/>
          <w:w w:val="100"/>
        </w:rPr>
        <w:t>6.15%</w:t>
      </w:r>
      <w:r>
        <w:rPr>
          <w:spacing w:val="-2"/>
          <w:w w:val="100"/>
        </w:rPr>
        <w:t>，占公司股份总数的</w:t>
      </w:r>
      <w:r>
        <w:rPr>
          <w:spacing w:val="-45"/>
          <w:w w:val="100"/>
        </w:rPr>
        <w:t> </w:t>
      </w:r>
      <w:r>
        <w:rPr>
          <w:rFonts w:ascii="Times New Roman" w:hAnsi="Times New Roman" w:cs="Times New Roman" w:eastAsia="Times New Roman" w:hint="default"/>
          <w:spacing w:val="-32"/>
          <w:w w:val="100"/>
        </w:rPr>
        <w:t>2.05%</w:t>
      </w:r>
      <w:r>
        <w:rPr>
          <w:spacing w:val="-32"/>
          <w:w w:val="100"/>
        </w:rPr>
        <w:t>）；</w:t>
      </w:r>
      <w:r>
        <w:rPr>
          <w:w w:val="100"/>
        </w:rPr>
      </w:r>
    </w:p>
    <w:p>
      <w:pPr>
        <w:pStyle w:val="BodyText"/>
        <w:spacing w:line="240" w:lineRule="auto" w:before="136"/>
        <w:ind w:left="573" w:right="11"/>
        <w:jc w:val="left"/>
      </w:pPr>
      <w:r>
        <w:rPr/>
        <w:t>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5"/>
        </w:rPr>
        <w:t>日接到公司控股股东、实际控制人陈江涛先生的通知，陈江涛先生因个人需要</w:t>
      </w:r>
    </w:p>
    <w:p>
      <w:pPr>
        <w:pStyle w:val="BodyText"/>
        <w:spacing w:line="240" w:lineRule="auto" w:before="177"/>
        <w:ind w:right="0"/>
        <w:jc w:val="both"/>
      </w:pPr>
      <w:r>
        <w:rPr>
          <w:spacing w:val="-2"/>
        </w:rPr>
        <w:t>与兴业证券股份有限公司、深圳市中小企业信用融资担保集团有限公司以其持有的公司股份</w:t>
      </w:r>
      <w:r>
        <w:rPr/>
        <w:t> </w:t>
      </w:r>
      <w:r>
        <w:rPr>
          <w:rFonts w:ascii="Times New Roman" w:hAnsi="Times New Roman" w:cs="Times New Roman" w:eastAsia="Times New Roman" w:hint="default"/>
          <w:spacing w:val="-1"/>
        </w:rPr>
        <w:t>15,865,000</w:t>
      </w:r>
      <w:r>
        <w:rPr>
          <w:rFonts w:ascii="Times New Roman" w:hAnsi="Times New Roman" w:cs="Times New Roman" w:eastAsia="Times New Roman" w:hint="default"/>
          <w:spacing w:val="6"/>
        </w:rPr>
        <w:t> </w:t>
      </w:r>
      <w:r>
        <w:rPr/>
        <w:t>股</w:t>
      </w:r>
    </w:p>
    <w:p>
      <w:pPr>
        <w:pStyle w:val="BodyText"/>
        <w:spacing w:line="386" w:lineRule="auto" w:before="177"/>
        <w:ind w:right="148"/>
        <w:jc w:val="both"/>
      </w:pPr>
      <w:r>
        <w:rPr/>
        <w:t>（占其所持公司股份总数</w:t>
      </w:r>
      <w:r>
        <w:rPr>
          <w:spacing w:val="-41"/>
        </w:rPr>
        <w:t> </w:t>
      </w:r>
      <w:r>
        <w:rPr>
          <w:rFonts w:ascii="Times New Roman" w:hAnsi="Times New Roman" w:cs="Times New Roman" w:eastAsia="Times New Roman" w:hint="default"/>
        </w:rPr>
        <w:t>4.06%</w:t>
      </w:r>
      <w:r>
        <w:rPr>
          <w:rFonts w:ascii="Times New Roman" w:hAnsi="Times New Roman" w:cs="Times New Roman" w:eastAsia="Times New Roman" w:hint="default"/>
          <w:spacing w:val="1"/>
        </w:rPr>
        <w:t> </w:t>
      </w:r>
      <w:r>
        <w:rPr>
          <w:spacing w:val="-3"/>
        </w:rPr>
        <w:t>，占公司股份总数的</w:t>
      </w:r>
      <w:r>
        <w:rPr>
          <w:spacing w:val="-39"/>
        </w:rPr>
        <w:t> </w:t>
      </w:r>
      <w:r>
        <w:rPr>
          <w:rFonts w:ascii="Times New Roman" w:hAnsi="Times New Roman" w:cs="Times New Roman" w:eastAsia="Times New Roman" w:hint="default"/>
          <w:spacing w:val="-3"/>
        </w:rPr>
        <w:t>1.35%</w:t>
      </w:r>
      <w:r>
        <w:rPr>
          <w:spacing w:val="-3"/>
        </w:rPr>
        <w:t>）办理了股票质押式回购业务；陈江涛先生与</w:t>
      </w:r>
      <w:r>
        <w:rPr>
          <w:spacing w:val="-99"/>
        </w:rPr>
        <w:t> </w:t>
      </w:r>
      <w:r>
        <w:rPr>
          <w:spacing w:val="-99"/>
        </w:rPr>
      </w:r>
      <w:r>
        <w:rPr/>
        <w:t>兴业证券股份有限公司办理了股权解除质押业务，解除质押的股份数量为 </w:t>
      </w:r>
      <w:r>
        <w:rPr>
          <w:rFonts w:ascii="Times New Roman" w:hAnsi="Times New Roman" w:cs="Times New Roman" w:eastAsia="Times New Roman" w:hint="default"/>
        </w:rPr>
        <w:t>3,710,000</w:t>
      </w:r>
      <w:r>
        <w:rPr>
          <w:rFonts w:ascii="Times New Roman" w:hAnsi="Times New Roman" w:cs="Times New Roman" w:eastAsia="Times New Roman" w:hint="default"/>
          <w:spacing w:val="21"/>
        </w:rPr>
        <w:t> </w:t>
      </w:r>
      <w:r>
        <w:rPr/>
        <w:t>股（占其所持公司股</w:t>
      </w:r>
      <w:r>
        <w:rPr>
          <w:w w:val="100"/>
        </w:rPr>
        <w:t> </w:t>
      </w:r>
      <w:r>
        <w:rPr>
          <w:spacing w:val="-1"/>
          <w:w w:val="100"/>
        </w:rPr>
        <w:t>份总数</w:t>
      </w:r>
      <w:r>
        <w:rPr>
          <w:spacing w:val="-45"/>
          <w:w w:val="100"/>
        </w:rPr>
        <w:t> </w:t>
      </w:r>
      <w:r>
        <w:rPr>
          <w:rFonts w:ascii="Times New Roman" w:hAnsi="Times New Roman" w:cs="Times New Roman" w:eastAsia="Times New Roman" w:hint="default"/>
          <w:spacing w:val="-2"/>
          <w:w w:val="100"/>
        </w:rPr>
        <w:t>0.95%</w:t>
      </w:r>
      <w:r>
        <w:rPr>
          <w:spacing w:val="-2"/>
          <w:w w:val="100"/>
        </w:rPr>
        <w:t>，占公司股份总数的</w:t>
      </w:r>
      <w:r>
        <w:rPr>
          <w:spacing w:val="-45"/>
          <w:w w:val="100"/>
        </w:rPr>
        <w:t> </w:t>
      </w:r>
      <w:r>
        <w:rPr>
          <w:rFonts w:ascii="Times New Roman" w:hAnsi="Times New Roman" w:cs="Times New Roman" w:eastAsia="Times New Roman" w:hint="default"/>
          <w:spacing w:val="-32"/>
          <w:w w:val="100"/>
        </w:rPr>
        <w:t>0.32%</w:t>
      </w:r>
      <w:r>
        <w:rPr>
          <w:spacing w:val="-32"/>
          <w:w w:val="100"/>
        </w:rPr>
        <w:t>）；</w:t>
      </w:r>
      <w:r>
        <w:rPr>
          <w:w w:val="100"/>
        </w:rPr>
      </w:r>
    </w:p>
    <w:p>
      <w:pPr>
        <w:pStyle w:val="BodyText"/>
        <w:spacing w:line="386" w:lineRule="auto" w:before="134"/>
        <w:ind w:right="149" w:firstLine="420"/>
        <w:jc w:val="both"/>
      </w:pPr>
      <w:r>
        <w:rPr/>
        <w:t>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5"/>
        </w:rPr>
        <w:t>日接到公司控股股东、实际控制人陈江涛先生的通知，陈江涛先生因个人需要</w:t>
      </w:r>
      <w:r>
        <w:rPr>
          <w:w w:val="100"/>
        </w:rPr>
        <w:t> </w:t>
      </w:r>
      <w:r>
        <w:rPr/>
        <w:t>与长城证券股份有限公司以其持有的公司股份</w:t>
      </w:r>
      <w:r>
        <w:rPr>
          <w:spacing w:val="-44"/>
        </w:rPr>
        <w:t> </w:t>
      </w:r>
      <w:r>
        <w:rPr>
          <w:rFonts w:ascii="Times New Roman" w:hAnsi="Times New Roman" w:cs="Times New Roman" w:eastAsia="Times New Roman" w:hint="default"/>
        </w:rPr>
        <w:t>2,300,000</w:t>
      </w:r>
      <w:r>
        <w:rPr>
          <w:rFonts w:ascii="Times New Roman" w:hAnsi="Times New Roman" w:cs="Times New Roman" w:eastAsia="Times New Roman" w:hint="default"/>
          <w:spacing w:val="-6"/>
        </w:rPr>
        <w:t> </w:t>
      </w:r>
      <w:r>
        <w:rPr>
          <w:spacing w:val="-5"/>
        </w:rPr>
        <w:t>股（占其所持公司股份总数</w:t>
      </w:r>
      <w:r>
        <w:rPr>
          <w:spacing w:val="-46"/>
        </w:rPr>
        <w:t> </w:t>
      </w:r>
      <w:r>
        <w:rPr>
          <w:rFonts w:ascii="Times New Roman" w:hAnsi="Times New Roman" w:cs="Times New Roman" w:eastAsia="Times New Roman" w:hint="default"/>
          <w:spacing w:val="-5"/>
        </w:rPr>
        <w:t>0.59%</w:t>
      </w:r>
      <w:r>
        <w:rPr>
          <w:spacing w:val="-5"/>
        </w:rPr>
        <w:t>，占公司股份总</w:t>
      </w:r>
      <w:r>
        <w:rPr>
          <w:spacing w:val="-102"/>
        </w:rPr>
        <w:t> </w:t>
      </w:r>
      <w:r>
        <w:rPr>
          <w:spacing w:val="-102"/>
        </w:rPr>
      </w:r>
      <w:r>
        <w:rPr/>
        <w:t>数的</w:t>
      </w:r>
      <w:r>
        <w:rPr>
          <w:spacing w:val="-55"/>
        </w:rPr>
        <w:t> </w:t>
      </w:r>
      <w:r>
        <w:rPr>
          <w:rFonts w:ascii="Times New Roman" w:hAnsi="Times New Roman" w:cs="Times New Roman" w:eastAsia="Times New Roman" w:hint="default"/>
        </w:rPr>
        <w:t>0.20%</w:t>
      </w:r>
      <w:r>
        <w:rPr/>
        <w:t>）办理了股票质押式回购业务；</w:t>
      </w:r>
    </w:p>
    <w:p>
      <w:pPr>
        <w:pStyle w:val="BodyText"/>
        <w:spacing w:line="240" w:lineRule="auto" w:before="136"/>
        <w:ind w:left="573" w:right="11"/>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日接到公司控股股东、实际控制人陈江涛先生的通知，陈江涛先生因个人需要</w:t>
      </w:r>
    </w:p>
    <w:p>
      <w:pPr>
        <w:pStyle w:val="BodyText"/>
        <w:spacing w:line="386" w:lineRule="auto" w:before="177"/>
        <w:ind w:left="0" w:right="146"/>
        <w:jc w:val="right"/>
      </w:pPr>
      <w:r>
        <w:rPr/>
        <w:t>与银河证券股份有限公司以其持有的公司股份</w:t>
      </w:r>
      <w:r>
        <w:rPr>
          <w:spacing w:val="-37"/>
        </w:rPr>
        <w:t> </w:t>
      </w:r>
      <w:r>
        <w:rPr>
          <w:rFonts w:ascii="Times New Roman" w:hAnsi="Times New Roman" w:cs="Times New Roman" w:eastAsia="Times New Roman" w:hint="default"/>
        </w:rPr>
        <w:t>83,675,300</w:t>
      </w:r>
      <w:r>
        <w:rPr>
          <w:rFonts w:ascii="Times New Roman" w:hAnsi="Times New Roman" w:cs="Times New Roman" w:eastAsia="Times New Roman" w:hint="default"/>
          <w:spacing w:val="-6"/>
        </w:rPr>
        <w:t> </w:t>
      </w:r>
      <w:r>
        <w:rPr/>
        <w:t>股（占其所持公司股份总数</w:t>
      </w:r>
      <w:r>
        <w:rPr>
          <w:spacing w:val="-37"/>
        </w:rPr>
        <w:t> </w:t>
      </w:r>
      <w:r>
        <w:rPr>
          <w:rFonts w:ascii="Times New Roman" w:hAnsi="Times New Roman" w:cs="Times New Roman" w:eastAsia="Times New Roman" w:hint="default"/>
        </w:rPr>
        <w:t>21.44%</w:t>
      </w:r>
      <w:r>
        <w:rPr>
          <w:rFonts w:ascii="Times New Roman" w:hAnsi="Times New Roman" w:cs="Times New Roman" w:eastAsia="Times New Roman" w:hint="default"/>
          <w:spacing w:val="27"/>
        </w:rPr>
        <w:t> </w:t>
      </w:r>
      <w:r>
        <w:rPr/>
        <w:t>，占公司股</w:t>
      </w:r>
      <w:r>
        <w:rPr>
          <w:w w:val="100"/>
        </w:rPr>
        <w:t> </w:t>
      </w:r>
      <w:r>
        <w:rPr>
          <w:spacing w:val="-1"/>
        </w:rPr>
        <w:t>份总数的</w:t>
      </w:r>
      <w:r>
        <w:rPr>
          <w:spacing w:val="45"/>
        </w:rPr>
        <w:t> </w:t>
      </w:r>
      <w:r>
        <w:rPr>
          <w:rFonts w:ascii="Times New Roman" w:hAnsi="Times New Roman" w:cs="Times New Roman" w:eastAsia="Times New Roman" w:hint="default"/>
          <w:spacing w:val="-2"/>
        </w:rPr>
        <w:t>7.14%</w:t>
      </w:r>
      <w:r>
        <w:rPr>
          <w:spacing w:val="-2"/>
        </w:rPr>
        <w:t>）办理了股票质押式回购业务；陈江涛先生与兴业证券股份有限公司办理了股权解除质押</w:t>
      </w:r>
      <w:r>
        <w:rPr>
          <w:w w:val="100"/>
        </w:rPr>
        <w:t> </w:t>
      </w:r>
      <w:r>
        <w:rPr>
          <w:spacing w:val="-3"/>
          <w:w w:val="100"/>
        </w:rPr>
        <w:t>业务，解除质押的股份数量为</w:t>
      </w:r>
      <w:r>
        <w:rPr>
          <w:spacing w:val="-46"/>
          <w:w w:val="100"/>
        </w:rPr>
        <w:t> </w:t>
      </w:r>
      <w:r>
        <w:rPr>
          <w:rFonts w:ascii="Times New Roman" w:hAnsi="Times New Roman" w:cs="Times New Roman" w:eastAsia="Times New Roman" w:hint="default"/>
          <w:spacing w:val="-1"/>
          <w:w w:val="100"/>
        </w:rPr>
        <w:t>76,449,744</w:t>
      </w:r>
      <w:r>
        <w:rPr>
          <w:rFonts w:ascii="Times New Roman" w:hAnsi="Times New Roman" w:cs="Times New Roman" w:eastAsia="Times New Roman" w:hint="default"/>
          <w:spacing w:val="-5"/>
          <w:w w:val="100"/>
        </w:rPr>
        <w:t> </w:t>
      </w:r>
      <w:r>
        <w:rPr>
          <w:spacing w:val="-3"/>
          <w:w w:val="100"/>
        </w:rPr>
        <w:t>股（占其所持公司股份总数</w:t>
      </w:r>
      <w:r>
        <w:rPr>
          <w:spacing w:val="-47"/>
          <w:w w:val="100"/>
        </w:rPr>
        <w:t> </w:t>
      </w:r>
      <w:r>
        <w:rPr>
          <w:rFonts w:ascii="Times New Roman" w:hAnsi="Times New Roman" w:cs="Times New Roman" w:eastAsia="Times New Roman" w:hint="default"/>
          <w:spacing w:val="-3"/>
          <w:w w:val="100"/>
        </w:rPr>
        <w:t>19.59%</w:t>
      </w:r>
      <w:r>
        <w:rPr>
          <w:spacing w:val="-3"/>
          <w:w w:val="100"/>
        </w:rPr>
        <w:t>，占公司股份总数的</w:t>
      </w:r>
      <w:r>
        <w:rPr>
          <w:spacing w:val="-46"/>
          <w:w w:val="100"/>
        </w:rPr>
        <w:t> </w:t>
      </w:r>
      <w:r>
        <w:rPr>
          <w:rFonts w:ascii="Times New Roman" w:hAnsi="Times New Roman" w:cs="Times New Roman" w:eastAsia="Times New Roman" w:hint="default"/>
          <w:spacing w:val="-32"/>
          <w:w w:val="100"/>
        </w:rPr>
        <w:t>6.52%</w:t>
      </w:r>
      <w:r>
        <w:rPr>
          <w:spacing w:val="-32"/>
          <w:w w:val="100"/>
        </w:rPr>
        <w:t>）；</w:t>
      </w:r>
      <w:r>
        <w:rPr>
          <w:w w:val="100"/>
        </w:rPr>
      </w:r>
    </w:p>
    <w:p>
      <w:pPr>
        <w:pStyle w:val="BodyText"/>
        <w:spacing w:line="240" w:lineRule="auto" w:before="136"/>
        <w:ind w:left="573" w:right="11"/>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日接到公司控股股东、实际控制人陈江涛先生的通知，陈江涛先生因个人需要</w:t>
      </w:r>
    </w:p>
    <w:p>
      <w:pPr>
        <w:pStyle w:val="BodyText"/>
        <w:spacing w:line="240" w:lineRule="auto" w:before="177"/>
        <w:ind w:right="0"/>
        <w:jc w:val="both"/>
      </w:pPr>
      <w:r>
        <w:rPr/>
        <w:t>与华泰证券股份有限公司办理了解除质押业务，解除质押股份数量为</w:t>
      </w:r>
      <w:r>
        <w:rPr>
          <w:spacing w:val="-47"/>
        </w:rPr>
        <w:t> </w:t>
      </w:r>
      <w:r>
        <w:rPr>
          <w:rFonts w:ascii="Times New Roman" w:hAnsi="Times New Roman" w:cs="Times New Roman" w:eastAsia="Times New Roman" w:hint="default"/>
        </w:rPr>
        <w:t>15,400,000</w:t>
      </w:r>
      <w:r>
        <w:rPr>
          <w:rFonts w:ascii="Times New Roman" w:hAnsi="Times New Roman" w:cs="Times New Roman" w:eastAsia="Times New Roman" w:hint="default"/>
          <w:spacing w:val="-9"/>
        </w:rPr>
        <w:t> </w:t>
      </w:r>
      <w:r>
        <w:rPr>
          <w:spacing w:val="-3"/>
        </w:rPr>
        <w:t>股，占其所持公司股份总</w:t>
      </w:r>
    </w:p>
    <w:p>
      <w:pPr>
        <w:spacing w:after="0" w:line="240" w:lineRule="auto"/>
        <w:jc w:val="both"/>
        <w:sectPr>
          <w:footerReference w:type="default" r:id="rId38"/>
          <w:pgSz w:w="11910" w:h="16840"/>
          <w:pgMar w:footer="1132" w:header="882" w:top="1280" w:bottom="1320" w:left="980" w:right="980"/>
          <w:pgNumType w:start="85"/>
        </w:sectPr>
      </w:pPr>
    </w:p>
    <w:p>
      <w:pPr>
        <w:spacing w:line="240" w:lineRule="auto" w:before="5"/>
        <w:rPr>
          <w:rFonts w:ascii="宋体" w:hAnsi="宋体" w:cs="宋体" w:eastAsia="宋体" w:hint="default"/>
          <w:sz w:val="13"/>
          <w:szCs w:val="13"/>
        </w:rPr>
      </w:pPr>
    </w:p>
    <w:p>
      <w:pPr>
        <w:pStyle w:val="BodyText"/>
        <w:spacing w:line="240" w:lineRule="auto" w:before="36"/>
        <w:ind w:right="0"/>
        <w:jc w:val="both"/>
      </w:pPr>
      <w:r>
        <w:rPr/>
        <w:t>数的</w:t>
      </w:r>
      <w:r>
        <w:rPr>
          <w:spacing w:val="-53"/>
        </w:rPr>
        <w:t> </w:t>
      </w:r>
      <w:r>
        <w:rPr>
          <w:rFonts w:ascii="Times New Roman" w:hAnsi="Times New Roman" w:cs="Times New Roman" w:eastAsia="Times New Roman" w:hint="default"/>
        </w:rPr>
        <w:t>3.95%</w:t>
      </w:r>
      <w:r>
        <w:rPr/>
        <w:t>。</w:t>
      </w:r>
    </w:p>
    <w:p>
      <w:pPr>
        <w:spacing w:line="240" w:lineRule="auto" w:before="3"/>
        <w:rPr>
          <w:rFonts w:ascii="宋体" w:hAnsi="宋体" w:cs="宋体" w:eastAsia="宋体" w:hint="default"/>
          <w:sz w:val="21"/>
          <w:szCs w:val="21"/>
        </w:rPr>
      </w:pPr>
    </w:p>
    <w:p>
      <w:pPr>
        <w:pStyle w:val="BodyText"/>
        <w:spacing w:line="240" w:lineRule="auto"/>
        <w:ind w:left="573" w:right="0"/>
        <w:jc w:val="left"/>
      </w:pPr>
      <w:r>
        <w:rPr/>
        <w:t>公司于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5"/>
        </w:rPr>
        <w:t>日接到公司控股股东、实际控制人陈江涛先生的通知，陈江涛先生因个人需要，</w:t>
      </w:r>
    </w:p>
    <w:p>
      <w:pPr>
        <w:pStyle w:val="BodyText"/>
        <w:spacing w:line="240" w:lineRule="auto" w:before="177"/>
        <w:ind w:right="0"/>
        <w:jc w:val="both"/>
      </w:pPr>
      <w:r>
        <w:rPr>
          <w:spacing w:val="-2"/>
        </w:rPr>
        <w:t>与长城证券股份有限公司办理了股权质押业务，质押股份数量为</w:t>
      </w:r>
      <w:r>
        <w:rPr/>
        <w:t> </w:t>
      </w:r>
      <w:r>
        <w:rPr>
          <w:rFonts w:ascii="Times New Roman" w:hAnsi="Times New Roman" w:cs="Times New Roman" w:eastAsia="Times New Roman" w:hint="default"/>
          <w:spacing w:val="-1"/>
        </w:rPr>
        <w:t>16,700,000</w:t>
      </w:r>
      <w:r>
        <w:rPr>
          <w:rFonts w:ascii="Times New Roman" w:hAnsi="Times New Roman" w:cs="Times New Roman" w:eastAsia="Times New Roman" w:hint="default"/>
          <w:spacing w:val="6"/>
        </w:rPr>
        <w:t> </w:t>
      </w:r>
      <w:r>
        <w:rPr>
          <w:spacing w:val="-2"/>
        </w:rPr>
        <w:t>股，占其所持公司股份总数的</w:t>
      </w:r>
    </w:p>
    <w:p>
      <w:pPr>
        <w:pStyle w:val="BodyText"/>
        <w:spacing w:line="386" w:lineRule="auto" w:before="177"/>
        <w:ind w:right="206"/>
        <w:jc w:val="left"/>
      </w:pPr>
      <w:r>
        <w:rPr>
          <w:rFonts w:ascii="Times New Roman" w:hAnsi="Times New Roman" w:cs="Times New Roman" w:eastAsia="Times New Roman" w:hint="default"/>
        </w:rPr>
        <w:t>4.28%</w:t>
      </w:r>
      <w:r>
        <w:rPr/>
        <w:t>；并与兴业证券股份有限公司办理了解除质押业务，解除质押股份数量为 </w:t>
      </w:r>
      <w:r>
        <w:rPr>
          <w:rFonts w:ascii="Times New Roman" w:hAnsi="Times New Roman" w:cs="Times New Roman" w:eastAsia="Times New Roman" w:hint="default"/>
        </w:rPr>
        <w:t>28,390,000</w:t>
      </w:r>
      <w:r>
        <w:rPr>
          <w:rFonts w:ascii="Times New Roman" w:hAnsi="Times New Roman" w:cs="Times New Roman" w:eastAsia="Times New Roman" w:hint="default"/>
          <w:spacing w:val="3"/>
        </w:rPr>
        <w:t> </w:t>
      </w:r>
      <w:r>
        <w:rPr/>
        <w:t>股，占其所持</w:t>
      </w:r>
      <w:r>
        <w:rPr>
          <w:w w:val="100"/>
        </w:rPr>
        <w:t> </w:t>
      </w:r>
      <w:r>
        <w:rPr/>
        <w:t>公司股份总数的</w:t>
      </w:r>
      <w:r>
        <w:rPr>
          <w:spacing w:val="-54"/>
        </w:rPr>
        <w:t> </w:t>
      </w:r>
      <w:r>
        <w:rPr>
          <w:rFonts w:ascii="Times New Roman" w:hAnsi="Times New Roman" w:cs="Times New Roman" w:eastAsia="Times New Roman" w:hint="default"/>
        </w:rPr>
        <w:t>7.27%</w:t>
      </w:r>
      <w:r>
        <w:rPr/>
        <w:t>。</w:t>
      </w:r>
    </w:p>
    <w:p>
      <w:pPr>
        <w:pStyle w:val="BodyText"/>
        <w:spacing w:line="240" w:lineRule="auto" w:before="134"/>
        <w:ind w:left="573" w:right="100"/>
        <w:jc w:val="left"/>
      </w:pPr>
      <w:r>
        <w:rPr>
          <w:spacing w:val="-2"/>
        </w:rPr>
        <w:t>截止本报告披露日，陈江涛先生质押股份占其所持股份总数的</w:t>
      </w:r>
      <w:r>
        <w:rPr>
          <w:spacing w:val="5"/>
        </w:rPr>
        <w:t> </w:t>
      </w:r>
      <w:r>
        <w:rPr>
          <w:rFonts w:ascii="Times New Roman" w:hAnsi="Times New Roman" w:cs="Times New Roman" w:eastAsia="Times New Roman" w:hint="default"/>
          <w:spacing w:val="-1"/>
        </w:rPr>
        <w:t>71.78%</w:t>
      </w:r>
      <w:r>
        <w:rPr>
          <w:spacing w:val="-1"/>
        </w:rPr>
        <w:t>。</w:t>
      </w:r>
    </w:p>
    <w:p>
      <w:pPr>
        <w:spacing w:line="240" w:lineRule="auto" w:before="10"/>
        <w:rPr>
          <w:rFonts w:ascii="宋体" w:hAnsi="宋体" w:cs="宋体" w:eastAsia="宋体" w:hint="default"/>
          <w:sz w:val="23"/>
          <w:szCs w:val="23"/>
        </w:rPr>
      </w:pPr>
    </w:p>
    <w:p>
      <w:pPr>
        <w:pStyle w:val="Heading3"/>
        <w:spacing w:line="240" w:lineRule="auto"/>
        <w:ind w:right="0"/>
        <w:jc w:val="both"/>
      </w:pPr>
      <w:r>
        <w:rPr/>
        <w:t>（四）回购公司部分社会公众股份事项</w:t>
      </w:r>
    </w:p>
    <w:p>
      <w:pPr>
        <w:spacing w:line="240" w:lineRule="auto" w:before="6"/>
        <w:rPr>
          <w:rFonts w:ascii="黑体" w:hAnsi="黑体" w:cs="黑体" w:eastAsia="黑体" w:hint="default"/>
          <w:sz w:val="25"/>
          <w:szCs w:val="25"/>
        </w:rPr>
      </w:pPr>
    </w:p>
    <w:p>
      <w:pPr>
        <w:pStyle w:val="BodyText"/>
        <w:spacing w:line="240" w:lineRule="auto"/>
        <w:ind w:left="573"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3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日，经公司第三届董事会第五十一次会议审议通过，公司计划以自筹资金进行股份回</w:t>
      </w:r>
    </w:p>
    <w:p>
      <w:pPr>
        <w:pStyle w:val="BodyText"/>
        <w:spacing w:line="240" w:lineRule="auto" w:before="177"/>
        <w:ind w:right="0"/>
        <w:jc w:val="both"/>
      </w:pPr>
      <w:r>
        <w:rPr/>
        <w:t>购，回购的资金总额最低不低于人民币</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亿元，最高不超过人民币</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亿元，资金来源为自筹资金。回购股</w:t>
      </w:r>
    </w:p>
    <w:p>
      <w:pPr>
        <w:pStyle w:val="BodyText"/>
        <w:spacing w:line="240" w:lineRule="auto" w:before="177"/>
        <w:ind w:right="0"/>
        <w:jc w:val="both"/>
      </w:pPr>
      <w:r>
        <w:rPr/>
        <w:t>份的价格不超过人民币</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t>股，该部分回购的股份将进行注销。</w:t>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日，公司召开</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年第三次临时股东大会审议通过了上述事项。</w:t>
      </w:r>
    </w:p>
    <w:p>
      <w:pPr>
        <w:spacing w:line="240" w:lineRule="auto" w:before="1"/>
        <w:rPr>
          <w:rFonts w:ascii="宋体" w:hAnsi="宋体" w:cs="宋体" w:eastAsia="宋体" w:hint="default"/>
          <w:sz w:val="21"/>
          <w:szCs w:val="21"/>
        </w:rPr>
      </w:pPr>
    </w:p>
    <w:p>
      <w:pPr>
        <w:pStyle w:val="BodyText"/>
        <w:spacing w:line="240" w:lineRule="auto"/>
        <w:ind w:left="573" w:right="10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8"/>
        </w:rPr>
        <w:t>日，公司首次实施了回购方案。截至本报告披露日，公司累计回购社会公众股</w:t>
      </w:r>
      <w:r>
        <w:rPr>
          <w:spacing w:val="-40"/>
        </w:rPr>
        <w:t> </w:t>
      </w:r>
      <w:r>
        <w:rPr>
          <w:rFonts w:ascii="Times New Roman" w:hAnsi="Times New Roman" w:cs="Times New Roman" w:eastAsia="Times New Roman" w:hint="default"/>
        </w:rPr>
        <w:t>6,056,025</w:t>
      </w:r>
    </w:p>
    <w:p>
      <w:pPr>
        <w:pStyle w:val="BodyText"/>
        <w:spacing w:line="240" w:lineRule="auto" w:before="177"/>
        <w:ind w:right="0"/>
        <w:jc w:val="both"/>
      </w:pPr>
      <w:r>
        <w:rPr/>
        <w:t>股，累计回购金额</w:t>
      </w:r>
      <w:r>
        <w:rPr>
          <w:spacing w:val="-55"/>
        </w:rPr>
        <w:t> </w:t>
      </w:r>
      <w:r>
        <w:rPr>
          <w:rFonts w:ascii="Times New Roman" w:hAnsi="Times New Roman" w:cs="Times New Roman" w:eastAsia="Times New Roman" w:hint="default"/>
        </w:rPr>
        <w:t>9,219.69</w:t>
      </w:r>
      <w:r>
        <w:rPr>
          <w:rFonts w:ascii="Times New Roman" w:hAnsi="Times New Roman" w:cs="Times New Roman" w:eastAsia="Times New Roman" w:hint="default"/>
          <w:spacing w:val="-12"/>
        </w:rPr>
        <w:t> </w:t>
      </w:r>
      <w:r>
        <w:rPr/>
        <w:t>万元，回购最低价</w:t>
      </w:r>
      <w:r>
        <w:rPr>
          <w:spacing w:val="-54"/>
        </w:rPr>
        <w:t> </w:t>
      </w:r>
      <w:r>
        <w:rPr>
          <w:rFonts w:ascii="Times New Roman" w:hAnsi="Times New Roman" w:cs="Times New Roman" w:eastAsia="Times New Roman" w:hint="default"/>
        </w:rPr>
        <w:t>14.32</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t>股，回购最高价</w:t>
      </w:r>
      <w:r>
        <w:rPr>
          <w:spacing w:val="-55"/>
        </w:rPr>
        <w:t> </w:t>
      </w:r>
      <w:r>
        <w:rPr>
          <w:rFonts w:ascii="Times New Roman" w:hAnsi="Times New Roman" w:cs="Times New Roman" w:eastAsia="Times New Roman" w:hint="default"/>
        </w:rPr>
        <w:t>16.059</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23"/>
          <w:szCs w:val="23"/>
        </w:rPr>
      </w:pPr>
    </w:p>
    <w:p>
      <w:pPr>
        <w:pStyle w:val="Heading3"/>
        <w:spacing w:line="240" w:lineRule="auto"/>
        <w:ind w:right="0"/>
        <w:jc w:val="both"/>
      </w:pPr>
      <w:r>
        <w:rPr/>
        <w:t>（五）公司债相关事项</w:t>
      </w:r>
    </w:p>
    <w:p>
      <w:pPr>
        <w:spacing w:line="240" w:lineRule="auto" w:before="6"/>
        <w:rPr>
          <w:rFonts w:ascii="黑体" w:hAnsi="黑体" w:cs="黑体" w:eastAsia="黑体" w:hint="default"/>
          <w:sz w:val="25"/>
          <w:szCs w:val="25"/>
        </w:rPr>
      </w:pPr>
    </w:p>
    <w:p>
      <w:pPr>
        <w:pStyle w:val="BodyText"/>
        <w:spacing w:line="240" w:lineRule="auto"/>
        <w:ind w:left="573" w:right="10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日，经公司第三届董事会第五十四次会议审议通过，董事会同意发行不超过人民币</w:t>
      </w:r>
      <w:r>
        <w:rPr>
          <w:spacing w:val="-5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pStyle w:val="BodyText"/>
        <w:spacing w:line="398" w:lineRule="auto" w:before="177"/>
        <w:ind w:right="206"/>
        <w:jc w:val="both"/>
      </w:pPr>
      <w:r>
        <w:rPr/>
        <w:t>亿元（含 </w:t>
      </w:r>
      <w:r>
        <w:rPr>
          <w:rFonts w:ascii="Times New Roman" w:hAnsi="Times New Roman" w:cs="Times New Roman" w:eastAsia="Times New Roman" w:hint="default"/>
        </w:rPr>
        <w:t>10 </w:t>
      </w:r>
      <w:r>
        <w:rPr/>
        <w:t>亿元）的公司债券，用于回购公司股票及补充流动资金。本次公司债券面值 </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t>元，按面值</w:t>
      </w:r>
      <w:r>
        <w:rPr>
          <w:w w:val="100"/>
        </w:rPr>
        <w:t> </w:t>
      </w:r>
      <w:r>
        <w:rPr>
          <w:spacing w:val="2"/>
        </w:rPr>
        <w:t>平价发行。具体发行规模和期次由公司股东大会授权公司管理层根据公司资金需求情况和发行时市场情</w:t>
      </w:r>
      <w:r>
        <w:rPr>
          <w:spacing w:val="-30"/>
        </w:rPr>
        <w:t> </w:t>
      </w:r>
      <w:r>
        <w:rPr>
          <w:spacing w:val="-30"/>
        </w:rPr>
      </w:r>
      <w:r>
        <w:rPr/>
        <w:t>况，在上述范围内确定。</w:t>
      </w:r>
    </w:p>
    <w:p>
      <w:pPr>
        <w:pStyle w:val="BodyText"/>
        <w:spacing w:line="240" w:lineRule="auto" w:before="155"/>
        <w:ind w:left="573" w:right="10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日，公司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年第二次临时股东大会审议通过了上述事项。</w:t>
      </w:r>
    </w:p>
    <w:p>
      <w:pPr>
        <w:spacing w:line="240" w:lineRule="auto" w:before="10"/>
        <w:rPr>
          <w:rFonts w:ascii="宋体" w:hAnsi="宋体" w:cs="宋体" w:eastAsia="宋体" w:hint="default"/>
          <w:sz w:val="23"/>
          <w:szCs w:val="23"/>
        </w:rPr>
      </w:pPr>
    </w:p>
    <w:p>
      <w:pPr>
        <w:pStyle w:val="Heading3"/>
        <w:spacing w:line="240" w:lineRule="auto"/>
        <w:ind w:right="0"/>
        <w:jc w:val="both"/>
      </w:pPr>
      <w:r>
        <w:rPr/>
        <w:t>（六）其他重大事项</w:t>
      </w:r>
    </w:p>
    <w:p>
      <w:pPr>
        <w:spacing w:line="240" w:lineRule="auto" w:before="3"/>
        <w:rPr>
          <w:rFonts w:ascii="黑体" w:hAnsi="黑体" w:cs="黑体" w:eastAsia="黑体" w:hint="default"/>
          <w:sz w:val="26"/>
          <w:szCs w:val="26"/>
        </w:rPr>
      </w:pPr>
    </w:p>
    <w:p>
      <w:pPr>
        <w:pStyle w:val="Heading3"/>
        <w:spacing w:line="240" w:lineRule="auto"/>
        <w:ind w:right="0"/>
        <w:jc w:val="both"/>
      </w:pPr>
      <w:r>
        <w:rPr>
          <w:rFonts w:ascii="Times New Roman" w:hAnsi="Times New Roman" w:cs="Times New Roman" w:eastAsia="Times New Roman" w:hint="default"/>
        </w:rPr>
        <w:t>1</w:t>
      </w:r>
      <w:r>
        <w:rPr/>
        <w:t>、控股股东、实际控制人增持计划</w:t>
      </w:r>
    </w:p>
    <w:p>
      <w:pPr>
        <w:spacing w:line="240" w:lineRule="auto" w:before="3"/>
        <w:rPr>
          <w:rFonts w:ascii="黑体" w:hAnsi="黑体" w:cs="黑体" w:eastAsia="黑体" w:hint="default"/>
          <w:sz w:val="24"/>
          <w:szCs w:val="24"/>
        </w:rPr>
      </w:pPr>
    </w:p>
    <w:p>
      <w:pPr>
        <w:pStyle w:val="BodyText"/>
        <w:spacing w:line="391" w:lineRule="auto"/>
        <w:ind w:right="206" w:firstLine="420"/>
        <w:jc w:val="both"/>
      </w:pPr>
      <w:r>
        <w:rPr>
          <w:spacing w:val="-4"/>
        </w:rPr>
        <w:t>基于对公司未来发展和长期投资价值的信心，公司控股股东及实际控制人拟于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日起</w:t>
      </w:r>
      <w:r>
        <w:rPr>
          <w:spacing w:val="-7"/>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
          <w:w w:val="100"/>
        </w:rPr>
        <w:t> </w:t>
      </w:r>
      <w:r>
        <w:rPr>
          <w:spacing w:val="-2"/>
        </w:rPr>
        <w:t>个月内通过中国证券监督管理委员会和深圳证券交易所相关规定允许的方式增持公司股票，累计增持金额</w:t>
      </w:r>
      <w:r>
        <w:rPr>
          <w:spacing w:val="-43"/>
        </w:rPr>
        <w:t> </w:t>
      </w:r>
      <w:r>
        <w:rPr>
          <w:spacing w:val="-43"/>
        </w:rPr>
      </w:r>
      <w:r>
        <w:rPr/>
        <w:t>不低于人民币</w:t>
      </w:r>
      <w:r>
        <w:rPr>
          <w:spacing w:val="-21"/>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亿元，增持所需资金由陈江涛先生自筹取得。</w:t>
      </w:r>
      <w:r>
        <w:rPr>
          <w:rFonts w:ascii="Times New Roman" w:hAnsi="Times New Roman" w:cs="Times New Roman" w:eastAsia="Times New Roman" w:hint="default"/>
        </w:rPr>
        <w:t>2017</w:t>
      </w:r>
      <w:r>
        <w:rPr>
          <w:rFonts w:ascii="Times New Roman" w:hAnsi="Times New Roman" w:cs="Times New Roman" w:eastAsia="Times New Roman" w:hint="default"/>
          <w:spacing w:val="2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日至</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29"/>
        </w:rPr>
        <w:t> </w:t>
      </w:r>
      <w:r>
        <w:rPr/>
        <w:t>日，陈江涛先</w:t>
      </w:r>
      <w:r>
        <w:rPr>
          <w:w w:val="100"/>
        </w:rPr>
        <w:t> </w:t>
      </w:r>
      <w:r>
        <w:rPr/>
        <w:t>生通过</w:t>
      </w:r>
      <w:r>
        <w:rPr>
          <w:rFonts w:ascii="Times New Roman" w:hAnsi="Times New Roman" w:cs="Times New Roman" w:eastAsia="Times New Roman" w:hint="default"/>
        </w:rPr>
        <w:t>“</w:t>
      </w:r>
      <w:r>
        <w:rPr/>
        <w:t>北方信托</w:t>
      </w:r>
      <w:r>
        <w:rPr>
          <w:rFonts w:ascii="Times New Roman" w:hAnsi="Times New Roman" w:cs="Times New Roman" w:eastAsia="Times New Roman" w:hint="default"/>
        </w:rPr>
        <w:t>•</w:t>
      </w:r>
      <w:r>
        <w:rPr/>
        <w:t>恒生一号单一信托计划</w:t>
      </w:r>
      <w:r>
        <w:rPr>
          <w:rFonts w:ascii="Times New Roman" w:hAnsi="Times New Roman" w:cs="Times New Roman" w:eastAsia="Times New Roman" w:hint="default"/>
        </w:rPr>
        <w:t>”</w:t>
      </w:r>
      <w:r>
        <w:rPr/>
        <w:t>增持公司股份 </w:t>
      </w:r>
      <w:r>
        <w:rPr>
          <w:rFonts w:ascii="Times New Roman" w:hAnsi="Times New Roman" w:cs="Times New Roman" w:eastAsia="Times New Roman" w:hint="default"/>
        </w:rPr>
        <w:t>5,239,865 </w:t>
      </w:r>
      <w:r>
        <w:rPr/>
        <w:t>股，占公司总股本</w:t>
      </w:r>
      <w:r>
        <w:rPr>
          <w:spacing w:val="-52"/>
        </w:rPr>
        <w:t> </w:t>
      </w:r>
      <w:r>
        <w:rPr>
          <w:rFonts w:ascii="Times New Roman" w:hAnsi="Times New Roman" w:cs="Times New Roman" w:eastAsia="Times New Roman" w:hint="default"/>
        </w:rPr>
        <w:t>0.45%</w:t>
      </w:r>
      <w:r>
        <w:rPr/>
        <w:t>，增持金额为</w:t>
      </w:r>
      <w:r>
        <w:rPr>
          <w:w w:val="100"/>
        </w:rPr>
        <w:t> </w:t>
      </w:r>
      <w:r>
        <w:rPr>
          <w:rFonts w:ascii="Times New Roman" w:hAnsi="Times New Roman" w:cs="Times New Roman" w:eastAsia="Times New Roman" w:hint="default"/>
        </w:rPr>
        <w:t>10,003.90</w:t>
      </w:r>
      <w:r>
        <w:rPr>
          <w:rFonts w:ascii="Times New Roman" w:hAnsi="Times New Roman" w:cs="Times New Roman" w:eastAsia="Times New Roman" w:hint="default"/>
          <w:spacing w:val="-10"/>
        </w:rPr>
        <w:t> </w:t>
      </w:r>
      <w:r>
        <w:rPr/>
        <w:t>万元。</w:t>
      </w:r>
    </w:p>
    <w:p>
      <w:pPr>
        <w:spacing w:after="0" w:line="391" w:lineRule="auto"/>
        <w:jc w:val="both"/>
        <w:sectPr>
          <w:footerReference w:type="default" r:id="rId39"/>
          <w:pgSz w:w="11910" w:h="16840"/>
          <w:pgMar w:footer="1132" w:header="882" w:top="1280" w:bottom="1320" w:left="980" w:right="920"/>
          <w:pgNumType w:start="86"/>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4"/>
        </w:rPr>
        <w:t>日，陈江涛先生通过</w:t>
      </w:r>
      <w:r>
        <w:rPr>
          <w:rFonts w:ascii="Times New Roman" w:hAnsi="Times New Roman" w:cs="Times New Roman" w:eastAsia="Times New Roman" w:hint="default"/>
          <w:spacing w:val="-4"/>
        </w:rPr>
        <w:t>“</w:t>
      </w:r>
      <w:r>
        <w:rPr>
          <w:spacing w:val="-4"/>
        </w:rPr>
        <w:t>北方信托</w:t>
      </w:r>
      <w:r>
        <w:rPr>
          <w:rFonts w:ascii="Times New Roman" w:hAnsi="Times New Roman" w:cs="Times New Roman" w:eastAsia="Times New Roman" w:hint="default"/>
          <w:spacing w:val="-4"/>
        </w:rPr>
        <w:t>•</w:t>
      </w:r>
      <w:r>
        <w:rPr>
          <w:spacing w:val="-4"/>
        </w:rPr>
        <w:t>恒生一号单一信托计划</w:t>
      </w:r>
      <w:r>
        <w:rPr>
          <w:rFonts w:ascii="Times New Roman" w:hAnsi="Times New Roman" w:cs="Times New Roman" w:eastAsia="Times New Roman" w:hint="default"/>
          <w:spacing w:val="-4"/>
        </w:rPr>
        <w:t>”</w:t>
      </w:r>
      <w:r>
        <w:rPr>
          <w:spacing w:val="-4"/>
        </w:rPr>
        <w:t>增持公司股</w:t>
      </w:r>
    </w:p>
    <w:p>
      <w:pPr>
        <w:pStyle w:val="BodyText"/>
        <w:spacing w:line="240" w:lineRule="auto" w:before="177"/>
        <w:ind w:right="0"/>
        <w:jc w:val="both"/>
      </w:pPr>
      <w:r>
        <w:rPr/>
        <w:t>份</w:t>
      </w:r>
      <w:r>
        <w:rPr>
          <w:spacing w:val="-43"/>
        </w:rPr>
        <w:t> </w:t>
      </w:r>
      <w:r>
        <w:rPr>
          <w:rFonts w:ascii="Times New Roman" w:hAnsi="Times New Roman" w:cs="Times New Roman" w:eastAsia="Times New Roman" w:hint="default"/>
        </w:rPr>
        <w:t>7,583,442</w:t>
      </w:r>
      <w:r>
        <w:rPr>
          <w:rFonts w:ascii="Times New Roman" w:hAnsi="Times New Roman" w:cs="Times New Roman" w:eastAsia="Times New Roman" w:hint="default"/>
          <w:spacing w:val="-12"/>
        </w:rPr>
        <w:t> </w:t>
      </w:r>
      <w:r>
        <w:rPr/>
        <w:t>股，占公司总股本</w:t>
      </w:r>
      <w:r>
        <w:rPr>
          <w:spacing w:val="-43"/>
        </w:rPr>
        <w:t> </w:t>
      </w:r>
      <w:r>
        <w:rPr>
          <w:rFonts w:ascii="Times New Roman" w:hAnsi="Times New Roman" w:cs="Times New Roman" w:eastAsia="Times New Roman" w:hint="default"/>
        </w:rPr>
        <w:t>0.65%</w:t>
      </w:r>
      <w:r>
        <w:rPr/>
        <w:t>，增持金额为</w:t>
      </w:r>
      <w:r>
        <w:rPr>
          <w:spacing w:val="-44"/>
        </w:rPr>
        <w:t> </w:t>
      </w:r>
      <w:r>
        <w:rPr>
          <w:rFonts w:ascii="Times New Roman" w:hAnsi="Times New Roman" w:cs="Times New Roman" w:eastAsia="Times New Roman" w:hint="default"/>
        </w:rPr>
        <w:t>11,922.91</w:t>
      </w:r>
      <w:r>
        <w:rPr>
          <w:rFonts w:ascii="Times New Roman" w:hAnsi="Times New Roman" w:cs="Times New Roman" w:eastAsia="Times New Roman" w:hint="default"/>
          <w:spacing w:val="-14"/>
        </w:rPr>
        <w:t> </w:t>
      </w:r>
      <w:r>
        <w:rPr/>
        <w:t>万元。截止本报告披露日，陈江涛先生累计</w:t>
      </w:r>
    </w:p>
    <w:p>
      <w:pPr>
        <w:pStyle w:val="BodyText"/>
        <w:spacing w:line="240" w:lineRule="auto" w:before="177"/>
        <w:ind w:right="0"/>
        <w:jc w:val="both"/>
      </w:pPr>
      <w:r>
        <w:rPr/>
        <w:t>通过该信托计划增持股份</w:t>
      </w:r>
      <w:r>
        <w:rPr>
          <w:spacing w:val="-55"/>
        </w:rPr>
        <w:t> </w:t>
      </w:r>
      <w:r>
        <w:rPr>
          <w:rFonts w:ascii="Times New Roman" w:hAnsi="Times New Roman" w:cs="Times New Roman" w:eastAsia="Times New Roman" w:hint="default"/>
        </w:rPr>
        <w:t>19,296,008</w:t>
      </w:r>
      <w:r>
        <w:rPr>
          <w:rFonts w:ascii="Times New Roman" w:hAnsi="Times New Roman" w:cs="Times New Roman" w:eastAsia="Times New Roman" w:hint="default"/>
          <w:spacing w:val="-9"/>
        </w:rPr>
        <w:t> </w:t>
      </w:r>
      <w:r>
        <w:rPr>
          <w:spacing w:val="-3"/>
        </w:rPr>
        <w:t>股。</w:t>
      </w:r>
      <w:r>
        <w:rPr/>
      </w:r>
    </w:p>
    <w:p>
      <w:pPr>
        <w:spacing w:line="240" w:lineRule="auto" w:before="9"/>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2</w:t>
      </w:r>
      <w:r>
        <w:rPr/>
        <w:t>、股东承诺不减持公司股票情况</w:t>
      </w:r>
    </w:p>
    <w:p>
      <w:pPr>
        <w:spacing w:line="240" w:lineRule="auto" w:before="1"/>
        <w:rPr>
          <w:rFonts w:ascii="黑体" w:hAnsi="黑体" w:cs="黑体" w:eastAsia="黑体" w:hint="default"/>
          <w:sz w:val="24"/>
          <w:szCs w:val="24"/>
        </w:rPr>
      </w:pPr>
    </w:p>
    <w:p>
      <w:pPr>
        <w:pStyle w:val="BodyText"/>
        <w:spacing w:line="398" w:lineRule="auto"/>
        <w:ind w:right="14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日，公司控股股东、实际控制人陈江涛先生，董事及总经理刘明先生、董事及副总经</w:t>
      </w:r>
      <w:r>
        <w:rPr>
          <w:w w:val="100"/>
        </w:rPr>
        <w:t> </w:t>
      </w:r>
      <w:r>
        <w:rPr>
          <w:spacing w:val="-2"/>
        </w:rPr>
        <w:t>理蔡厚富先生、副总经理及董事会秘书黄海涛女士、副总经理谢军伟先生、赵庭荣先生、周翔先生承诺自</w:t>
      </w:r>
      <w:r>
        <w:rPr>
          <w:spacing w:val="-47"/>
        </w:rPr>
        <w:t> </w:t>
      </w:r>
      <w:r>
        <w:rPr>
          <w:spacing w:val="-47"/>
        </w:rPr>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日起十二个月内（即至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日）不减持本人持有的公司股票。</w:t>
      </w:r>
    </w:p>
    <w:p>
      <w:pPr>
        <w:pStyle w:val="BodyText"/>
        <w:spacing w:line="240" w:lineRule="auto" w:before="124"/>
        <w:ind w:left="573" w:right="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8"/>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日，公司监事白巍先生决定取消原减持计划，并承诺自</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8"/>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日起十二个月</w:t>
      </w:r>
    </w:p>
    <w:p>
      <w:pPr>
        <w:pStyle w:val="BodyText"/>
        <w:spacing w:line="468" w:lineRule="auto" w:before="177"/>
        <w:ind w:left="573" w:right="4350" w:hanging="421"/>
        <w:jc w:val="left"/>
      </w:pPr>
      <w:r>
        <w:rPr/>
        <w:t>内（即至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日）不减持本人持有的公司股票。</w:t>
      </w:r>
      <w:r>
        <w:rPr>
          <w:w w:val="100"/>
        </w:rPr>
        <w:t> </w:t>
      </w:r>
      <w:r>
        <w:rPr/>
        <w:t>截止本报告披露日，上述股东均履行承诺。</w:t>
      </w:r>
    </w:p>
    <w:p>
      <w:pPr>
        <w:pStyle w:val="Heading3"/>
        <w:spacing w:line="240" w:lineRule="auto" w:before="126"/>
        <w:ind w:right="0"/>
        <w:jc w:val="both"/>
      </w:pPr>
      <w:r>
        <w:rPr>
          <w:rFonts w:ascii="Times New Roman" w:hAnsi="Times New Roman" w:cs="Times New Roman" w:eastAsia="Times New Roman" w:hint="default"/>
        </w:rPr>
        <w:t>3</w:t>
      </w:r>
      <w:r>
        <w:rPr/>
        <w:t>、关于增值税税控系统产品及维护服务价格调整的情况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2017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0"/>
        </w:rPr>
        <w:t> </w:t>
      </w:r>
      <w:r>
        <w:rPr>
          <w:rFonts w:ascii="Times New Roman" w:hAnsi="Times New Roman" w:cs="Times New Roman" w:eastAsia="Times New Roman" w:hint="default"/>
        </w:rPr>
        <w:t>4 </w:t>
      </w:r>
      <w:r>
        <w:rPr>
          <w:spacing w:val="-3"/>
        </w:rPr>
        <w:t>日，国家发展和改革委员会发布《国家发展改革委关于降低增值税税控系统产品及维护</w:t>
      </w:r>
    </w:p>
    <w:p>
      <w:pPr>
        <w:pStyle w:val="BodyText"/>
        <w:spacing w:line="240" w:lineRule="auto" w:before="177"/>
        <w:ind w:right="0"/>
        <w:jc w:val="both"/>
        <w:rPr>
          <w:rFonts w:ascii="Times New Roman" w:hAnsi="Times New Roman" w:cs="Times New Roman" w:eastAsia="Times New Roman" w:hint="default"/>
        </w:rPr>
      </w:pPr>
      <w:r>
        <w:rPr>
          <w:w w:val="100"/>
        </w:rPr>
        <w:t>服务</w:t>
      </w:r>
      <w:r>
        <w:rPr>
          <w:spacing w:val="-3"/>
          <w:w w:val="100"/>
        </w:rPr>
        <w:t>价</w:t>
      </w:r>
      <w:r>
        <w:rPr>
          <w:w w:val="100"/>
        </w:rPr>
        <w:t>格</w:t>
      </w:r>
      <w:r>
        <w:rPr>
          <w:spacing w:val="-3"/>
          <w:w w:val="100"/>
        </w:rPr>
        <w:t>等</w:t>
      </w:r>
      <w:r>
        <w:rPr>
          <w:w w:val="100"/>
        </w:rPr>
        <w:t>有</w:t>
      </w:r>
      <w:r>
        <w:rPr>
          <w:spacing w:val="-3"/>
          <w:w w:val="100"/>
        </w:rPr>
        <w:t>关</w:t>
      </w:r>
      <w:r>
        <w:rPr>
          <w:w w:val="100"/>
        </w:rPr>
        <w:t>问</w:t>
      </w:r>
      <w:r>
        <w:rPr>
          <w:spacing w:val="-3"/>
          <w:w w:val="100"/>
        </w:rPr>
        <w:t>题</w:t>
      </w:r>
      <w:r>
        <w:rPr>
          <w:w w:val="100"/>
        </w:rPr>
        <w:t>的</w:t>
      </w:r>
      <w:r>
        <w:rPr>
          <w:spacing w:val="-3"/>
          <w:w w:val="100"/>
        </w:rPr>
        <w:t>通</w:t>
      </w:r>
      <w:r>
        <w:rPr>
          <w:w w:val="100"/>
        </w:rPr>
        <w:t>知</w:t>
      </w:r>
      <w:r>
        <w:rPr>
          <w:spacing w:val="-120"/>
          <w:w w:val="100"/>
        </w:rPr>
        <w:t>》</w:t>
      </w:r>
      <w:r>
        <w:rPr>
          <w:w w:val="100"/>
        </w:rPr>
        <w:t>（</w:t>
      </w:r>
      <w:r>
        <w:rPr>
          <w:spacing w:val="-3"/>
          <w:w w:val="100"/>
        </w:rPr>
        <w:t>发</w:t>
      </w:r>
      <w:r>
        <w:rPr>
          <w:w w:val="100"/>
        </w:rPr>
        <w:t>改</w:t>
      </w:r>
      <w:r>
        <w:rPr>
          <w:spacing w:val="-3"/>
          <w:w w:val="100"/>
        </w:rPr>
        <w:t>价</w:t>
      </w:r>
      <w:r>
        <w:rPr>
          <w:spacing w:val="-15"/>
          <w:w w:val="100"/>
        </w:rPr>
        <w:t>格</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7</w:t>
      </w:r>
      <w:r>
        <w:rPr>
          <w:spacing w:val="-17"/>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43</w:t>
      </w:r>
      <w:r>
        <w:rPr>
          <w:rFonts w:ascii="Times New Roman" w:hAnsi="Times New Roman" w:cs="Times New Roman" w:eastAsia="Times New Roman" w:hint="default"/>
          <w:spacing w:val="-10"/>
        </w:rPr>
        <w:t> </w:t>
      </w:r>
      <w:r>
        <w:rPr>
          <w:spacing w:val="-3"/>
          <w:w w:val="100"/>
        </w:rPr>
        <w:t>号</w:t>
      </w:r>
      <w:r>
        <w:rPr>
          <w:spacing w:val="-15"/>
          <w:w w:val="100"/>
        </w:rPr>
        <w:t>，</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1"/>
          <w:w w:val="100"/>
        </w:rPr>
        <w:t>“</w:t>
      </w:r>
      <w:r>
        <w:rPr>
          <w:spacing w:val="-3"/>
          <w:w w:val="100"/>
        </w:rPr>
        <w:t>通</w:t>
      </w:r>
      <w:r>
        <w:rPr>
          <w:w w:val="100"/>
        </w:rPr>
        <w:t>知</w:t>
      </w:r>
      <w:r>
        <w:rPr>
          <w:rFonts w:ascii="Times New Roman" w:hAnsi="Times New Roman" w:cs="Times New Roman" w:eastAsia="Times New Roman" w:hint="default"/>
          <w:spacing w:val="-1"/>
          <w:w w:val="100"/>
        </w:rPr>
        <w:t>”</w:t>
      </w:r>
      <w:r>
        <w:rPr>
          <w:spacing w:val="-106"/>
          <w:w w:val="100"/>
        </w:rPr>
        <w:t>）</w:t>
      </w:r>
      <w:r>
        <w:rPr>
          <w:spacing w:val="-17"/>
          <w:w w:val="100"/>
        </w:rPr>
        <w:t>，</w:t>
      </w:r>
      <w:r>
        <w:rPr>
          <w:w w:val="100"/>
        </w:rPr>
        <w:t>根据</w:t>
      </w:r>
      <w:r>
        <w:rPr>
          <w:spacing w:val="-3"/>
          <w:w w:val="100"/>
        </w:rPr>
        <w:t>通</w:t>
      </w:r>
      <w:r>
        <w:rPr>
          <w:w w:val="100"/>
        </w:rPr>
        <w:t>知</w:t>
      </w:r>
      <w:r>
        <w:rPr>
          <w:spacing w:val="-3"/>
          <w:w w:val="100"/>
        </w:rPr>
        <w:t>内</w:t>
      </w:r>
      <w:r>
        <w:rPr>
          <w:w w:val="100"/>
        </w:rPr>
        <w:t>容</w:t>
      </w:r>
      <w:r>
        <w:rPr>
          <w:spacing w:val="-17"/>
          <w:w w:val="100"/>
        </w:rPr>
        <w:t>，</w:t>
      </w:r>
      <w:r>
        <w:rPr>
          <w:w w:val="100"/>
        </w:rPr>
        <w:t>自</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2"/>
        </w:rPr>
        <w:t> </w:t>
      </w:r>
      <w:r>
        <w:rPr>
          <w:w w:val="100"/>
        </w:rPr>
        <w:t>年</w:t>
      </w:r>
      <w:r>
        <w:rPr>
          <w:spacing w:val="-55"/>
        </w:rPr>
        <w:t> </w:t>
      </w:r>
      <w:r>
        <w:rPr>
          <w:rFonts w:ascii="Times New Roman" w:hAnsi="Times New Roman" w:cs="Times New Roman" w:eastAsia="Times New Roman" w:hint="default"/>
          <w:w w:val="100"/>
        </w:rPr>
        <w:t>8</w:t>
      </w:r>
    </w:p>
    <w:p>
      <w:pPr>
        <w:pStyle w:val="BodyText"/>
        <w:spacing w:line="398" w:lineRule="auto" w:before="177"/>
        <w:ind w:right="146"/>
        <w:jc w:val="both"/>
      </w:pPr>
      <w:r>
        <w:rPr/>
        <w:t>月</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日起将对增值税税控系统产品（金税盘、税控盘和报税盘）及维护服务价格进行调整，对于这次价格</w:t>
      </w:r>
      <w:r>
        <w:rPr>
          <w:w w:val="100"/>
        </w:rPr>
        <w:t> </w:t>
      </w:r>
      <w:r>
        <w:rPr>
          <w:spacing w:val="-2"/>
        </w:rPr>
        <w:t>调整，公司已采取相应措施，通过产品技术的不断创新和基于四网合一的服务体系，持续提升客户体验和</w:t>
      </w:r>
      <w:r>
        <w:rPr>
          <w:spacing w:val="-43"/>
        </w:rPr>
        <w:t> </w:t>
      </w:r>
      <w:r>
        <w:rPr>
          <w:spacing w:val="-43"/>
        </w:rPr>
      </w:r>
      <w:r>
        <w:rPr/>
        <w:t>服务质量并有效降低成本，从多方面开源节流，以减少这次价格调整对公司经营业绩带来的影响。</w:t>
      </w:r>
    </w:p>
    <w:p>
      <w:pPr>
        <w:spacing w:line="240" w:lineRule="auto" w:before="4"/>
        <w:rPr>
          <w:rFonts w:ascii="宋体" w:hAnsi="宋体" w:cs="宋体" w:eastAsia="宋体" w:hint="default"/>
          <w:sz w:val="14"/>
          <w:szCs w:val="14"/>
        </w:rPr>
      </w:pPr>
    </w:p>
    <w:p>
      <w:pPr>
        <w:pStyle w:val="Heading3"/>
        <w:spacing w:line="240" w:lineRule="auto"/>
        <w:ind w:right="0"/>
        <w:jc w:val="both"/>
      </w:pPr>
      <w:r>
        <w:rPr>
          <w:rFonts w:ascii="Times New Roman" w:hAnsi="Times New Roman" w:cs="Times New Roman" w:eastAsia="Times New Roman" w:hint="default"/>
        </w:rPr>
        <w:t>4</w:t>
      </w:r>
      <w:r>
        <w:rPr/>
        <w:t>、董、监事会换届选举</w:t>
      </w:r>
    </w:p>
    <w:p>
      <w:pPr>
        <w:spacing w:line="240" w:lineRule="auto" w:before="1"/>
        <w:rPr>
          <w:rFonts w:ascii="黑体" w:hAnsi="黑体" w:cs="黑体" w:eastAsia="黑体" w:hint="default"/>
          <w:sz w:val="24"/>
          <w:szCs w:val="24"/>
        </w:rPr>
      </w:pPr>
    </w:p>
    <w:p>
      <w:pPr>
        <w:pStyle w:val="BodyText"/>
        <w:spacing w:line="403" w:lineRule="auto"/>
        <w:ind w:right="146" w:firstLine="420"/>
        <w:jc w:val="both"/>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日召开第三届董事会第五十四次会议，审议通过了《关于董事会换届选举暨提</w:t>
      </w:r>
      <w:r>
        <w:rPr>
          <w:w w:val="100"/>
        </w:rPr>
        <w:t> </w:t>
      </w:r>
      <w:r>
        <w:rPr>
          <w:spacing w:val="-2"/>
        </w:rPr>
        <w:t>名第四届董事会非独立董事候选人的议案》及《关于董事会换届选举暨提名第四届董事会独立董事候选人</w:t>
      </w:r>
      <w:r>
        <w:rPr>
          <w:spacing w:val="-44"/>
        </w:rPr>
        <w:t> </w:t>
      </w:r>
      <w:r>
        <w:rPr>
          <w:spacing w:val="-44"/>
        </w:rPr>
      </w:r>
      <w:r>
        <w:rPr>
          <w:spacing w:val="-2"/>
          <w:w w:val="100"/>
        </w:rPr>
        <w:t>的议案》，公司第三届董事会已任期届满，公司董事会提名了非独立董事候选人、独立董事候选人。公司</w:t>
      </w:r>
      <w:r>
        <w:rPr>
          <w:spacing w:val="-94"/>
          <w:w w:val="100"/>
        </w:rPr>
        <w:t> </w:t>
      </w:r>
      <w:r>
        <w:rPr>
          <w:spacing w:val="-94"/>
          <w:w w:val="100"/>
        </w:rPr>
      </w:r>
      <w:r>
        <w:rPr>
          <w:spacing w:val="-2"/>
        </w:rPr>
        <w:t>于同日召开第三届监事会第二十五次会议，审议通过了《关于监事会换届选举暨提名第四届监事会非职工</w:t>
      </w:r>
      <w:r>
        <w:rPr>
          <w:spacing w:val="-44"/>
        </w:rPr>
        <w:t> </w:t>
      </w:r>
      <w:r>
        <w:rPr>
          <w:spacing w:val="-44"/>
        </w:rPr>
      </w:r>
      <w:r>
        <w:rPr>
          <w:spacing w:val="-5"/>
          <w:w w:val="100"/>
        </w:rPr>
        <w:t>代表监事候选人的议案》，公司监事会提名了非职工代表监事候选人。</w:t>
      </w:r>
    </w:p>
    <w:p>
      <w:pPr>
        <w:pStyle w:val="BodyText"/>
        <w:spacing w:line="403" w:lineRule="auto" w:before="151"/>
        <w:ind w:right="146"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日，经公司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年第二次临时股东大会审议通过，</w:t>
      </w:r>
      <w:r>
        <w:rPr>
          <w:spacing w:val="-27"/>
        </w:rPr>
        <w:t> </w:t>
      </w:r>
      <w:r>
        <w:rPr/>
        <w:t>选举陈江涛先生、刘明先生、蔡厚</w:t>
      </w:r>
      <w:r>
        <w:rPr>
          <w:w w:val="100"/>
        </w:rPr>
        <w:t> </w:t>
      </w:r>
      <w:r>
        <w:rPr>
          <w:spacing w:val="-2"/>
        </w:rPr>
        <w:t>富先生、熊焰先生为公司第四届董事会非独立董事，于明先生、李绍滨先生、李景辉女士为公司第四届董</w:t>
      </w:r>
      <w:r>
        <w:rPr>
          <w:spacing w:val="-47"/>
        </w:rPr>
        <w:t> </w:t>
      </w:r>
      <w:r>
        <w:rPr>
          <w:spacing w:val="-47"/>
        </w:rPr>
      </w:r>
      <w:r>
        <w:rPr>
          <w:spacing w:val="-2"/>
        </w:rPr>
        <w:t>事会独立董事；邹卫明先生、颜小品女士为公司第四届监事会非职工代表监事。同日，公司召开第四届董</w:t>
      </w:r>
      <w:r>
        <w:rPr>
          <w:spacing w:val="-47"/>
        </w:rPr>
        <w:t> </w:t>
      </w:r>
      <w:r>
        <w:rPr>
          <w:spacing w:val="-47"/>
        </w:rPr>
      </w:r>
      <w:r>
        <w:rPr>
          <w:spacing w:val="-2"/>
        </w:rPr>
        <w:t>事会第一次会议，董事会同意公司聘任刘明先生担任公司总经理兼财务负责人；聘任蔡厚富先生、黄海涛</w:t>
      </w:r>
      <w:r>
        <w:rPr>
          <w:spacing w:val="-43"/>
        </w:rPr>
        <w:t> </w:t>
      </w:r>
      <w:r>
        <w:rPr>
          <w:spacing w:val="-43"/>
        </w:rPr>
      </w:r>
      <w:r>
        <w:rPr>
          <w:spacing w:val="-2"/>
        </w:rPr>
        <w:t>女士、谢军伟先生、赵庭荣先生、周翔先生担任公司副总经理；聘任黄海涛女士担任公司董事会秘书；聘</w:t>
      </w:r>
    </w:p>
    <w:p>
      <w:pPr>
        <w:spacing w:after="0" w:line="403" w:lineRule="auto"/>
        <w:jc w:val="both"/>
        <w:sectPr>
          <w:footerReference w:type="default" r:id="rId40"/>
          <w:pgSz w:w="11910" w:h="16840"/>
          <w:pgMar w:footer="1132" w:header="882" w:top="1280" w:bottom="1320" w:left="980" w:right="980"/>
          <w:pgNumType w:start="87"/>
        </w:sectPr>
      </w:pPr>
    </w:p>
    <w:p>
      <w:pPr>
        <w:spacing w:line="240" w:lineRule="auto" w:before="5"/>
        <w:rPr>
          <w:rFonts w:ascii="宋体" w:hAnsi="宋体" w:cs="宋体" w:eastAsia="宋体" w:hint="default"/>
          <w:sz w:val="13"/>
          <w:szCs w:val="13"/>
        </w:rPr>
      </w:pPr>
    </w:p>
    <w:p>
      <w:pPr>
        <w:pStyle w:val="BodyText"/>
        <w:spacing w:line="386" w:lineRule="auto" w:before="36"/>
        <w:ind w:right="146"/>
        <w:jc w:val="both"/>
      </w:pPr>
      <w:r>
        <w:rPr>
          <w:spacing w:val="-5"/>
        </w:rPr>
        <w:t>任颜小品女士担任公司证券事务代表。上述人员任期三年，自</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日至第四届董事会任期届满之</w:t>
      </w:r>
      <w:r>
        <w:rPr>
          <w:spacing w:val="-103"/>
        </w:rPr>
        <w:t> </w:t>
      </w:r>
      <w:r>
        <w:rPr>
          <w:spacing w:val="-103"/>
        </w:rPr>
      </w:r>
      <w:r>
        <w:rPr/>
        <w:t>日止。</w:t>
      </w:r>
    </w:p>
    <w:p>
      <w:pPr>
        <w:spacing w:line="240" w:lineRule="auto" w:before="8"/>
        <w:rPr>
          <w:rFonts w:ascii="宋体" w:hAnsi="宋体" w:cs="宋体" w:eastAsia="宋体" w:hint="default"/>
          <w:sz w:val="26"/>
          <w:szCs w:val="26"/>
        </w:rPr>
      </w:pPr>
    </w:p>
    <w:p>
      <w:pPr>
        <w:pStyle w:val="Heading2"/>
        <w:spacing w:line="240" w:lineRule="auto" w:before="0"/>
        <w:ind w:right="0"/>
        <w:jc w:val="both"/>
      </w:pPr>
      <w:r>
        <w:rPr/>
        <w:t>十九、公司子公司重大事项</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1</w:t>
      </w:r>
      <w:r>
        <w:rPr/>
        <w:t>、泰豪智能参与设立产业投资基金</w:t>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日召开第三届董事会第四十九次会议，审议通过了《关于全资子公司参与设立</w:t>
      </w:r>
    </w:p>
    <w:p>
      <w:pPr>
        <w:pStyle w:val="BodyText"/>
        <w:spacing w:line="398" w:lineRule="auto" w:before="177"/>
        <w:ind w:right="148"/>
        <w:jc w:val="both"/>
      </w:pPr>
      <w:r>
        <w:rPr>
          <w:w w:val="100"/>
        </w:rPr>
        <w:t>产业</w:t>
      </w:r>
      <w:r>
        <w:rPr>
          <w:spacing w:val="-3"/>
          <w:w w:val="100"/>
        </w:rPr>
        <w:t>投</w:t>
      </w:r>
      <w:r>
        <w:rPr>
          <w:w w:val="100"/>
        </w:rPr>
        <w:t>资</w:t>
      </w:r>
      <w:r>
        <w:rPr>
          <w:spacing w:val="-3"/>
          <w:w w:val="100"/>
        </w:rPr>
        <w:t>基</w:t>
      </w:r>
      <w:r>
        <w:rPr>
          <w:w w:val="100"/>
        </w:rPr>
        <w:t>金</w:t>
      </w:r>
      <w:r>
        <w:rPr>
          <w:spacing w:val="-3"/>
          <w:w w:val="100"/>
        </w:rPr>
        <w:t>的</w:t>
      </w:r>
      <w:r>
        <w:rPr>
          <w:w w:val="100"/>
        </w:rPr>
        <w:t>议</w:t>
      </w:r>
      <w:r>
        <w:rPr>
          <w:spacing w:val="-3"/>
          <w:w w:val="100"/>
        </w:rPr>
        <w:t>案</w:t>
      </w:r>
      <w:r>
        <w:rPr>
          <w:spacing w:val="-108"/>
          <w:w w:val="100"/>
        </w:rPr>
        <w:t>》</w:t>
      </w:r>
      <w:r>
        <w:rPr>
          <w:spacing w:val="-32"/>
          <w:w w:val="100"/>
        </w:rPr>
        <w:t>，</w:t>
      </w:r>
      <w:r>
        <w:rPr>
          <w:spacing w:val="-3"/>
          <w:w w:val="100"/>
        </w:rPr>
        <w:t>同</w:t>
      </w:r>
      <w:r>
        <w:rPr>
          <w:w w:val="100"/>
        </w:rPr>
        <w:t>意泰</w:t>
      </w:r>
      <w:r>
        <w:rPr>
          <w:spacing w:val="-3"/>
          <w:w w:val="100"/>
        </w:rPr>
        <w:t>豪</w:t>
      </w:r>
      <w:r>
        <w:rPr>
          <w:w w:val="100"/>
        </w:rPr>
        <w:t>智</w:t>
      </w:r>
      <w:r>
        <w:rPr>
          <w:spacing w:val="-3"/>
          <w:w w:val="100"/>
        </w:rPr>
        <w:t>能</w:t>
      </w:r>
      <w:r>
        <w:rPr>
          <w:w w:val="100"/>
        </w:rPr>
        <w:t>以</w:t>
      </w:r>
      <w:r>
        <w:rPr>
          <w:spacing w:val="-3"/>
          <w:w w:val="100"/>
        </w:rPr>
        <w:t>自</w:t>
      </w:r>
      <w:r>
        <w:rPr>
          <w:w w:val="100"/>
        </w:rPr>
        <w:t>有</w:t>
      </w:r>
      <w:r>
        <w:rPr>
          <w:spacing w:val="-3"/>
          <w:w w:val="100"/>
        </w:rPr>
        <w:t>资</w:t>
      </w:r>
      <w:r>
        <w:rPr>
          <w:w w:val="100"/>
        </w:rPr>
        <w:t>金</w:t>
      </w:r>
      <w:r>
        <w:rPr>
          <w:spacing w:val="-3"/>
          <w:w w:val="100"/>
        </w:rPr>
        <w:t>出</w:t>
      </w:r>
      <w:r>
        <w:rPr>
          <w:w w:val="100"/>
        </w:rPr>
        <w:t>资</w:t>
      </w:r>
      <w:r>
        <w:rPr>
          <w:spacing w:val="-52"/>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w w:val="100"/>
        </w:rPr>
        <w:t>万</w:t>
      </w:r>
      <w:r>
        <w:rPr>
          <w:spacing w:val="-3"/>
          <w:w w:val="100"/>
        </w:rPr>
        <w:t>元</w:t>
      </w:r>
      <w:r>
        <w:rPr>
          <w:w w:val="100"/>
        </w:rPr>
        <w:t>作</w:t>
      </w:r>
      <w:r>
        <w:rPr>
          <w:spacing w:val="-3"/>
          <w:w w:val="100"/>
        </w:rPr>
        <w:t>为</w:t>
      </w:r>
      <w:r>
        <w:rPr>
          <w:w w:val="100"/>
        </w:rPr>
        <w:t>有</w:t>
      </w:r>
      <w:r>
        <w:rPr>
          <w:spacing w:val="-3"/>
          <w:w w:val="100"/>
        </w:rPr>
        <w:t>限合</w:t>
      </w:r>
      <w:r>
        <w:rPr>
          <w:w w:val="100"/>
        </w:rPr>
        <w:t>伙</w:t>
      </w:r>
      <w:r>
        <w:rPr>
          <w:spacing w:val="-3"/>
          <w:w w:val="100"/>
        </w:rPr>
        <w:t>人</w:t>
      </w:r>
      <w:r>
        <w:rPr>
          <w:spacing w:val="-32"/>
          <w:w w:val="100"/>
        </w:rPr>
        <w:t>，</w:t>
      </w:r>
      <w:r>
        <w:rPr>
          <w:spacing w:val="-3"/>
          <w:w w:val="100"/>
        </w:rPr>
        <w:t>与</w:t>
      </w:r>
      <w:r>
        <w:rPr>
          <w:w w:val="100"/>
        </w:rPr>
        <w:t>厦</w:t>
      </w:r>
      <w:r>
        <w:rPr>
          <w:spacing w:val="-3"/>
          <w:w w:val="100"/>
        </w:rPr>
        <w:t>门</w:t>
      </w:r>
      <w:r>
        <w:rPr>
          <w:w w:val="100"/>
        </w:rPr>
        <w:t>清</w:t>
      </w:r>
      <w:r>
        <w:rPr>
          <w:spacing w:val="-3"/>
          <w:w w:val="100"/>
        </w:rPr>
        <w:t>创</w:t>
      </w:r>
      <w:r>
        <w:rPr>
          <w:w w:val="100"/>
        </w:rPr>
        <w:t>华</w:t>
      </w:r>
      <w:r>
        <w:rPr>
          <w:spacing w:val="-3"/>
          <w:w w:val="100"/>
        </w:rPr>
        <w:t>元投</w:t>
      </w:r>
      <w:r>
        <w:rPr>
          <w:w w:val="100"/>
        </w:rPr>
        <w:t>资合</w:t>
      </w:r>
      <w:r>
        <w:rPr>
          <w:w w:val="100"/>
        </w:rPr>
        <w:t> </w:t>
      </w:r>
      <w:r>
        <w:rPr>
          <w:spacing w:val="2"/>
          <w:w w:val="100"/>
        </w:rPr>
        <w:t>伙</w:t>
      </w:r>
      <w:r>
        <w:rPr>
          <w:w w:val="100"/>
        </w:rPr>
        <w:t>企业（</w:t>
      </w:r>
      <w:r>
        <w:rPr>
          <w:spacing w:val="2"/>
          <w:w w:val="100"/>
        </w:rPr>
        <w:t>有</w:t>
      </w:r>
      <w:r>
        <w:rPr>
          <w:w w:val="100"/>
        </w:rPr>
        <w:t>限合</w:t>
      </w:r>
      <w:r>
        <w:rPr>
          <w:spacing w:val="2"/>
          <w:w w:val="100"/>
        </w:rPr>
        <w:t>伙</w:t>
      </w:r>
      <w:r>
        <w:rPr>
          <w:spacing w:val="-106"/>
          <w:w w:val="100"/>
        </w:rPr>
        <w:t>）</w:t>
      </w:r>
      <w:r>
        <w:rPr>
          <w:w w:val="100"/>
        </w:rPr>
        <w:t>、</w:t>
      </w:r>
      <w:r>
        <w:rPr>
          <w:spacing w:val="2"/>
          <w:w w:val="100"/>
        </w:rPr>
        <w:t>厦</w:t>
      </w:r>
      <w:r>
        <w:rPr>
          <w:w w:val="100"/>
        </w:rPr>
        <w:t>门</w:t>
      </w:r>
      <w:r>
        <w:rPr>
          <w:spacing w:val="2"/>
          <w:w w:val="100"/>
        </w:rPr>
        <w:t>海</w:t>
      </w:r>
      <w:r>
        <w:rPr>
          <w:w w:val="100"/>
        </w:rPr>
        <w:t>峡研究</w:t>
      </w:r>
      <w:r>
        <w:rPr>
          <w:spacing w:val="2"/>
          <w:w w:val="100"/>
        </w:rPr>
        <w:t>院</w:t>
      </w:r>
      <w:r>
        <w:rPr>
          <w:w w:val="100"/>
        </w:rPr>
        <w:t>发展基</w:t>
      </w:r>
      <w:r>
        <w:rPr>
          <w:spacing w:val="2"/>
          <w:w w:val="100"/>
        </w:rPr>
        <w:t>金</w:t>
      </w:r>
      <w:r>
        <w:rPr>
          <w:w w:val="100"/>
        </w:rPr>
        <w:t>会、</w:t>
      </w:r>
      <w:r>
        <w:rPr>
          <w:spacing w:val="2"/>
          <w:w w:val="100"/>
        </w:rPr>
        <w:t>厦</w:t>
      </w:r>
      <w:r>
        <w:rPr>
          <w:w w:val="100"/>
        </w:rPr>
        <w:t>门象屿</w:t>
      </w:r>
      <w:r>
        <w:rPr>
          <w:spacing w:val="2"/>
          <w:w w:val="100"/>
        </w:rPr>
        <w:t>创</w:t>
      </w:r>
      <w:r>
        <w:rPr>
          <w:w w:val="100"/>
        </w:rPr>
        <w:t>业投资</w:t>
      </w:r>
      <w:r>
        <w:rPr>
          <w:spacing w:val="2"/>
          <w:w w:val="100"/>
        </w:rPr>
        <w:t>管</w:t>
      </w:r>
      <w:r>
        <w:rPr>
          <w:w w:val="100"/>
        </w:rPr>
        <w:t>理有</w:t>
      </w:r>
      <w:r>
        <w:rPr>
          <w:spacing w:val="2"/>
          <w:w w:val="100"/>
        </w:rPr>
        <w:t>限</w:t>
      </w:r>
      <w:r>
        <w:rPr>
          <w:w w:val="100"/>
        </w:rPr>
        <w:t>公司、</w:t>
      </w:r>
      <w:r>
        <w:rPr>
          <w:spacing w:val="2"/>
          <w:w w:val="100"/>
        </w:rPr>
        <w:t>刘</w:t>
      </w:r>
      <w:r>
        <w:rPr>
          <w:w w:val="100"/>
        </w:rPr>
        <w:t>国超共</w:t>
      </w:r>
      <w:r>
        <w:rPr>
          <w:spacing w:val="2"/>
          <w:w w:val="100"/>
        </w:rPr>
        <w:t>同</w:t>
      </w:r>
      <w:r>
        <w:rPr>
          <w:w w:val="100"/>
        </w:rPr>
        <w:t>发起设</w:t>
      </w:r>
      <w:r>
        <w:rPr>
          <w:w w:val="100"/>
        </w:rPr>
        <w:t> 立厦</w:t>
      </w:r>
      <w:r>
        <w:rPr>
          <w:spacing w:val="-3"/>
          <w:w w:val="100"/>
        </w:rPr>
        <w:t>门</w:t>
      </w:r>
      <w:r>
        <w:rPr>
          <w:w w:val="100"/>
        </w:rPr>
        <w:t>蓝</w:t>
      </w:r>
      <w:r>
        <w:rPr>
          <w:spacing w:val="-3"/>
          <w:w w:val="100"/>
        </w:rPr>
        <w:t>图</w:t>
      </w:r>
      <w:r>
        <w:rPr>
          <w:w w:val="100"/>
        </w:rPr>
        <w:t>清</w:t>
      </w:r>
      <w:r>
        <w:rPr>
          <w:spacing w:val="-3"/>
          <w:w w:val="100"/>
        </w:rPr>
        <w:t>创</w:t>
      </w:r>
      <w:r>
        <w:rPr>
          <w:w w:val="100"/>
        </w:rPr>
        <w:t>投</w:t>
      </w:r>
      <w:r>
        <w:rPr>
          <w:spacing w:val="-3"/>
          <w:w w:val="100"/>
        </w:rPr>
        <w:t>资</w:t>
      </w:r>
      <w:r>
        <w:rPr>
          <w:w w:val="100"/>
        </w:rPr>
        <w:t>管</w:t>
      </w:r>
      <w:r>
        <w:rPr>
          <w:spacing w:val="-3"/>
          <w:w w:val="100"/>
        </w:rPr>
        <w:t>理</w:t>
      </w:r>
      <w:r>
        <w:rPr>
          <w:w w:val="100"/>
        </w:rPr>
        <w:t>合伙</w:t>
      </w:r>
      <w:r>
        <w:rPr>
          <w:spacing w:val="-3"/>
          <w:w w:val="100"/>
        </w:rPr>
        <w:t>企</w:t>
      </w:r>
      <w:r>
        <w:rPr>
          <w:w w:val="100"/>
        </w:rPr>
        <w:t>业</w:t>
      </w:r>
      <w:r>
        <w:rPr>
          <w:spacing w:val="-3"/>
          <w:w w:val="100"/>
        </w:rPr>
        <w:t>（</w:t>
      </w:r>
      <w:r>
        <w:rPr>
          <w:w w:val="100"/>
        </w:rPr>
        <w:t>有</w:t>
      </w:r>
      <w:r>
        <w:rPr>
          <w:spacing w:val="-3"/>
          <w:w w:val="100"/>
        </w:rPr>
        <w:t>限</w:t>
      </w:r>
      <w:r>
        <w:rPr>
          <w:w w:val="100"/>
        </w:rPr>
        <w:t>合</w:t>
      </w:r>
      <w:r>
        <w:rPr>
          <w:spacing w:val="-3"/>
          <w:w w:val="100"/>
        </w:rPr>
        <w:t>伙</w:t>
      </w:r>
      <w:r>
        <w:rPr>
          <w:spacing w:val="-106"/>
          <w:w w:val="100"/>
        </w:rPr>
        <w:t>）</w:t>
      </w:r>
      <w:r>
        <w:rPr>
          <w:spacing w:val="-3"/>
          <w:w w:val="100"/>
        </w:rPr>
        <w:t>，出</w:t>
      </w:r>
      <w:r>
        <w:rPr>
          <w:w w:val="100"/>
        </w:rPr>
        <w:t>资后</w:t>
      </w:r>
      <w:r>
        <w:rPr>
          <w:spacing w:val="-3"/>
          <w:w w:val="100"/>
        </w:rPr>
        <w:t>泰</w:t>
      </w:r>
      <w:r>
        <w:rPr>
          <w:w w:val="100"/>
        </w:rPr>
        <w:t>豪</w:t>
      </w:r>
      <w:r>
        <w:rPr>
          <w:spacing w:val="-3"/>
          <w:w w:val="100"/>
        </w:rPr>
        <w:t>智</w:t>
      </w:r>
      <w:r>
        <w:rPr>
          <w:w w:val="100"/>
        </w:rPr>
        <w:t>能</w:t>
      </w:r>
      <w:r>
        <w:rPr>
          <w:spacing w:val="-3"/>
          <w:w w:val="100"/>
        </w:rPr>
        <w:t>直</w:t>
      </w:r>
      <w:r>
        <w:rPr>
          <w:w w:val="100"/>
        </w:rPr>
        <w:t>接</w:t>
      </w:r>
      <w:r>
        <w:rPr>
          <w:spacing w:val="-3"/>
          <w:w w:val="100"/>
        </w:rPr>
        <w:t>持</w:t>
      </w:r>
      <w:r>
        <w:rPr>
          <w:w w:val="100"/>
        </w:rPr>
        <w:t>有</w:t>
      </w:r>
      <w:r>
        <w:rPr>
          <w:spacing w:val="-3"/>
          <w:w w:val="100"/>
        </w:rPr>
        <w:t>蓝</w:t>
      </w:r>
      <w:r>
        <w:rPr>
          <w:w w:val="100"/>
        </w:rPr>
        <w:t>图</w:t>
      </w:r>
      <w:r>
        <w:rPr>
          <w:spacing w:val="-3"/>
          <w:w w:val="100"/>
        </w:rPr>
        <w:t>清</w:t>
      </w:r>
      <w:r>
        <w:rPr>
          <w:w w:val="100"/>
        </w:rPr>
        <w:t>创</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spacing w:val="-1"/>
          <w:w w:val="100"/>
        </w:rPr>
        <w:t>%</w:t>
      </w:r>
      <w:r>
        <w:rPr>
          <w:spacing w:val="-3"/>
          <w:w w:val="100"/>
        </w:rPr>
        <w:t>股</w:t>
      </w:r>
      <w:r>
        <w:rPr>
          <w:w w:val="100"/>
        </w:rPr>
        <w:t>权。</w:t>
      </w:r>
    </w:p>
    <w:p>
      <w:pPr>
        <w:pStyle w:val="BodyText"/>
        <w:spacing w:line="386" w:lineRule="auto" w:before="124"/>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日召开第三届董事会第四十九次会议，审议通过了《关于全资子公司受让产业</w:t>
      </w:r>
      <w:r>
        <w:rPr>
          <w:w w:val="100"/>
        </w:rPr>
        <w:t> </w:t>
      </w:r>
      <w:r>
        <w:rPr>
          <w:spacing w:val="-2"/>
          <w:w w:val="100"/>
        </w:rPr>
        <w:t>投资基金普通合伙人部分股权的议案》，同意泰豪智能受让刘国超先生持有的厦门清创华元投资合伙企业</w:t>
      </w:r>
    </w:p>
    <w:p>
      <w:pPr>
        <w:pStyle w:val="BodyText"/>
        <w:spacing w:line="386" w:lineRule="auto" w:before="65"/>
        <w:ind w:right="148"/>
        <w:jc w:val="both"/>
      </w:pPr>
      <w:r>
        <w:rPr>
          <w:spacing w:val="-2"/>
        </w:rPr>
        <w:t>（有限合伙）</w:t>
      </w:r>
      <w:r>
        <w:rPr>
          <w:rFonts w:ascii="Times New Roman" w:hAnsi="Times New Roman" w:cs="Times New Roman" w:eastAsia="Times New Roman" w:hint="default"/>
          <w:spacing w:val="-2"/>
        </w:rPr>
        <w:t>5%</w:t>
      </w:r>
      <w:r>
        <w:rPr>
          <w:spacing w:val="-2"/>
        </w:rPr>
        <w:t>股权。由于刘国超先生持有的</w:t>
      </w:r>
      <w:r>
        <w:rPr/>
        <w:t> </w:t>
      </w:r>
      <w:r>
        <w:rPr>
          <w:rFonts w:ascii="Times New Roman" w:hAnsi="Times New Roman" w:cs="Times New Roman" w:eastAsia="Times New Roman" w:hint="default"/>
          <w:spacing w:val="-2"/>
        </w:rPr>
        <w:t>5%</w:t>
      </w:r>
      <w:r>
        <w:rPr>
          <w:spacing w:val="-2"/>
        </w:rPr>
        <w:t>股权并未实缴出资，本次公司受让此部分股权的交易价</w:t>
      </w:r>
      <w:r>
        <w:rPr>
          <w:spacing w:val="-80"/>
        </w:rPr>
        <w:t> </w:t>
      </w:r>
      <w:r>
        <w:rPr>
          <w:spacing w:val="-80"/>
        </w:rPr>
      </w:r>
      <w:r>
        <w:rPr/>
        <w:t>格为</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3"/>
        </w:rPr>
        <w:t>元。</w:t>
      </w:r>
      <w:r>
        <w:rPr/>
      </w:r>
    </w:p>
    <w:p>
      <w:pPr>
        <w:pStyle w:val="BodyText"/>
        <w:spacing w:line="240" w:lineRule="auto" w:before="134"/>
        <w:ind w:left="573" w:right="11"/>
        <w:jc w:val="left"/>
      </w:pPr>
      <w:r>
        <w:rPr>
          <w:rFonts w:ascii="Times New Roman" w:hAnsi="Times New Roman" w:cs="Times New Roman" w:eastAsia="Times New Roman" w:hint="default"/>
        </w:rPr>
        <w:t>2</w:t>
      </w:r>
      <w:r>
        <w:rPr/>
        <w:t>、泰豪智能湘潭</w:t>
      </w:r>
      <w:r>
        <w:rPr>
          <w:spacing w:val="-55"/>
        </w:rPr>
        <w:t> </w:t>
      </w:r>
      <w:r>
        <w:rPr>
          <w:rFonts w:ascii="Times New Roman" w:hAnsi="Times New Roman" w:cs="Times New Roman" w:eastAsia="Times New Roman" w:hint="default"/>
        </w:rPr>
        <w:t>PPP</w:t>
      </w:r>
      <w:r>
        <w:rPr>
          <w:rFonts w:ascii="Times New Roman" w:hAnsi="Times New Roman" w:cs="Times New Roman" w:eastAsia="Times New Roman" w:hint="default"/>
          <w:spacing w:val="-10"/>
        </w:rPr>
        <w:t> </w:t>
      </w:r>
      <w:r>
        <w:rPr/>
        <w:t>项目情况</w:t>
      </w:r>
    </w:p>
    <w:p>
      <w:pPr>
        <w:spacing w:line="240" w:lineRule="auto" w:before="3"/>
        <w:rPr>
          <w:rFonts w:ascii="宋体" w:hAnsi="宋体" w:cs="宋体" w:eastAsia="宋体" w:hint="default"/>
          <w:sz w:val="21"/>
          <w:szCs w:val="21"/>
        </w:rPr>
      </w:pPr>
    </w:p>
    <w:p>
      <w:pPr>
        <w:pStyle w:val="BodyText"/>
        <w:spacing w:line="386" w:lineRule="auto"/>
        <w:ind w:right="14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33"/>
        </w:rPr>
        <w:t> </w:t>
      </w:r>
      <w:r>
        <w:rPr>
          <w:rFonts w:ascii="Times New Roman" w:hAnsi="Times New Roman" w:cs="Times New Roman" w:eastAsia="Times New Roman" w:hint="default"/>
        </w:rPr>
        <w:t>4 </w:t>
      </w:r>
      <w:r>
        <w:rPr/>
        <w:t>月</w:t>
      </w:r>
      <w:r>
        <w:rPr>
          <w:spacing w:val="-3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日，公司全资子公司泰豪智能收到湘潭市政府政务服务中心的成交通知书（湖南国联</w:t>
      </w:r>
      <w:r>
        <w:rPr>
          <w:w w:val="100"/>
        </w:rPr>
        <w:t> </w:t>
      </w:r>
      <w:r>
        <w:rPr>
          <w:spacing w:val="-8"/>
          <w:w w:val="100"/>
        </w:rPr>
        <w:t>中【</w:t>
      </w:r>
      <w:r>
        <w:rPr>
          <w:rFonts w:ascii="Times New Roman" w:hAnsi="Times New Roman" w:cs="Times New Roman" w:eastAsia="Times New Roman" w:hint="default"/>
          <w:spacing w:val="-8"/>
          <w:w w:val="100"/>
        </w:rPr>
        <w:t>2016</w:t>
      </w:r>
      <w:r>
        <w:rPr>
          <w:spacing w:val="-8"/>
          <w:w w:val="100"/>
        </w:rPr>
        <w:t>】（</w:t>
      </w:r>
      <w:r>
        <w:rPr>
          <w:rFonts w:ascii="Times New Roman" w:hAnsi="Times New Roman" w:cs="Times New Roman" w:eastAsia="Times New Roman" w:hint="default"/>
          <w:spacing w:val="-8"/>
          <w:w w:val="100"/>
        </w:rPr>
        <w:t>III</w:t>
      </w:r>
      <w:r>
        <w:rPr>
          <w:spacing w:val="-8"/>
          <w:w w:val="100"/>
        </w:rPr>
        <w:t>）</w:t>
      </w:r>
      <w:r>
        <w:rPr>
          <w:rFonts w:ascii="Times New Roman" w:hAnsi="Times New Roman" w:cs="Times New Roman" w:eastAsia="Times New Roman" w:hint="default"/>
          <w:spacing w:val="-8"/>
          <w:w w:val="100"/>
        </w:rPr>
        <w:t>418</w:t>
      </w:r>
      <w:r>
        <w:rPr>
          <w:rFonts w:ascii="Times New Roman" w:hAnsi="Times New Roman" w:cs="Times New Roman" w:eastAsia="Times New Roman" w:hint="default"/>
          <w:spacing w:val="-4"/>
          <w:w w:val="100"/>
        </w:rPr>
        <w:t> </w:t>
      </w:r>
      <w:r>
        <w:rPr>
          <w:spacing w:val="-7"/>
          <w:w w:val="100"/>
        </w:rPr>
        <w:t>号），确认泰豪智能为湘潭市新型智慧城市建设</w:t>
      </w:r>
      <w:r>
        <w:rPr>
          <w:spacing w:val="-35"/>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4"/>
          <w:w w:val="100"/>
        </w:rPr>
        <w:t> </w:t>
      </w:r>
      <w:r>
        <w:rPr>
          <w:spacing w:val="-2"/>
          <w:w w:val="100"/>
        </w:rPr>
        <w:t>项目的成交供应商（成交社会资</w:t>
      </w:r>
      <w:r>
        <w:rPr>
          <w:spacing w:val="-102"/>
          <w:w w:val="100"/>
        </w:rPr>
        <w:t> </w:t>
      </w:r>
      <w:r>
        <w:rPr>
          <w:spacing w:val="-102"/>
          <w:w w:val="100"/>
        </w:rPr>
      </w:r>
      <w:r>
        <w:rPr>
          <w:spacing w:val="-36"/>
          <w:w w:val="100"/>
        </w:rPr>
        <w:t>本）。</w:t>
      </w:r>
    </w:p>
    <w:p>
      <w:pPr>
        <w:pStyle w:val="BodyText"/>
        <w:spacing w:line="386" w:lineRule="auto" w:before="166"/>
        <w:ind w:right="147"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6"/>
        </w:rPr>
        <w:t>日，泰豪智能与湘潭市政府政务服务中心、湘潭产业投资发展集团有限公司签订了《湘</w:t>
      </w:r>
      <w:r>
        <w:rPr>
          <w:w w:val="100"/>
        </w:rPr>
        <w:t> </w:t>
      </w:r>
      <w:r>
        <w:rPr>
          <w:spacing w:val="-2"/>
          <w:w w:val="100"/>
        </w:rPr>
        <w:t>潭市新型智慧城市建设</w:t>
      </w:r>
      <w:r>
        <w:rPr>
          <w:spacing w:val="-52"/>
          <w:w w:val="100"/>
        </w:rPr>
        <w:t> </w:t>
      </w:r>
      <w:r>
        <w:rPr>
          <w:rFonts w:ascii="Times New Roman" w:hAnsi="Times New Roman" w:cs="Times New Roman" w:eastAsia="Times New Roman" w:hint="default"/>
          <w:spacing w:val="-1"/>
          <w:w w:val="100"/>
        </w:rPr>
        <w:t>PPP</w:t>
      </w:r>
      <w:r>
        <w:rPr>
          <w:rFonts w:ascii="Times New Roman" w:hAnsi="Times New Roman" w:cs="Times New Roman" w:eastAsia="Times New Roman" w:hint="default"/>
          <w:spacing w:val="-7"/>
          <w:w w:val="100"/>
        </w:rPr>
        <w:t> </w:t>
      </w:r>
      <w:r>
        <w:rPr>
          <w:spacing w:val="-2"/>
          <w:w w:val="100"/>
        </w:rPr>
        <w:t>项目</w:t>
      </w:r>
      <w:r>
        <w:rPr>
          <w:spacing w:val="-50"/>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7"/>
          <w:w w:val="100"/>
        </w:rPr>
        <w:t> </w:t>
      </w:r>
      <w:r>
        <w:rPr>
          <w:spacing w:val="-7"/>
          <w:w w:val="100"/>
        </w:rPr>
        <w:t>合同》，一期项目未含建设期利息的项目总投资为</w:t>
      </w:r>
      <w:r>
        <w:rPr>
          <w:spacing w:val="-49"/>
          <w:w w:val="100"/>
        </w:rPr>
        <w:t> </w:t>
      </w:r>
      <w:r>
        <w:rPr>
          <w:rFonts w:ascii="Times New Roman" w:hAnsi="Times New Roman" w:cs="Times New Roman" w:eastAsia="Times New Roman" w:hint="default"/>
          <w:spacing w:val="-1"/>
          <w:w w:val="100"/>
        </w:rPr>
        <w:t>155,900</w:t>
      </w:r>
      <w:r>
        <w:rPr>
          <w:rFonts w:ascii="Times New Roman" w:hAnsi="Times New Roman" w:cs="Times New Roman" w:eastAsia="Times New Roman" w:hint="default"/>
          <w:spacing w:val="-9"/>
          <w:w w:val="100"/>
        </w:rPr>
        <w:t> </w:t>
      </w:r>
      <w:r>
        <w:rPr>
          <w:spacing w:val="-1"/>
          <w:w w:val="100"/>
        </w:rPr>
        <w:t>万元。</w:t>
      </w:r>
    </w:p>
    <w:p>
      <w:pPr>
        <w:pStyle w:val="BodyText"/>
        <w:spacing w:line="386" w:lineRule="auto" w:before="134"/>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日召开第三届董事会第四十八次会议，审议通过了《关于全资子公司对外投资</w:t>
      </w:r>
      <w:r>
        <w:rPr>
          <w:w w:val="100"/>
        </w:rPr>
        <w:t> </w:t>
      </w:r>
      <w:r>
        <w:rPr>
          <w:spacing w:val="-2"/>
          <w:w w:val="100"/>
        </w:rPr>
        <w:t>设立湘潭市新型智慧城市建设</w:t>
      </w:r>
      <w:r>
        <w:rPr>
          <w:spacing w:val="-26"/>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5"/>
          <w:w w:val="100"/>
        </w:rPr>
        <w:t> </w:t>
      </w:r>
      <w:r>
        <w:rPr>
          <w:spacing w:val="-7"/>
          <w:w w:val="100"/>
        </w:rPr>
        <w:t>项目公司的议案》，同意泰豪智能以自有资金出资</w:t>
      </w:r>
      <w:r>
        <w:rPr>
          <w:spacing w:val="-26"/>
          <w:w w:val="100"/>
        </w:rPr>
        <w:t> </w:t>
      </w:r>
      <w:r>
        <w:rPr>
          <w:rFonts w:ascii="Times New Roman" w:hAnsi="Times New Roman" w:cs="Times New Roman" w:eastAsia="Times New Roman" w:hint="default"/>
          <w:spacing w:val="-1"/>
          <w:w w:val="100"/>
        </w:rPr>
        <w:t>33,204.6</w:t>
      </w:r>
      <w:r>
        <w:rPr>
          <w:rFonts w:ascii="Times New Roman" w:hAnsi="Times New Roman" w:cs="Times New Roman" w:eastAsia="Times New Roman" w:hint="default"/>
          <w:spacing w:val="8"/>
          <w:w w:val="100"/>
        </w:rPr>
        <w:t> </w:t>
      </w:r>
      <w:r>
        <w:rPr>
          <w:spacing w:val="-2"/>
          <w:w w:val="100"/>
        </w:rPr>
        <w:t>万元与湘潭</w:t>
      </w:r>
      <w:r>
        <w:rPr>
          <w:spacing w:val="-103"/>
          <w:w w:val="100"/>
        </w:rPr>
        <w:t> </w:t>
      </w:r>
      <w:r>
        <w:rPr>
          <w:spacing w:val="-103"/>
          <w:w w:val="100"/>
        </w:rPr>
      </w:r>
      <w:r>
        <w:rPr>
          <w:spacing w:val="-3"/>
        </w:rPr>
        <w:t>产投合资成立项目公司共同完成项目建设。项目公司成立后，泰豪智能持有其</w:t>
      </w:r>
      <w:r>
        <w:rPr>
          <w:spacing w:val="37"/>
        </w:rPr>
        <w:t> </w:t>
      </w:r>
      <w:r>
        <w:rPr>
          <w:rFonts w:ascii="Times New Roman" w:hAnsi="Times New Roman" w:cs="Times New Roman" w:eastAsia="Times New Roman" w:hint="default"/>
          <w:spacing w:val="-3"/>
        </w:rPr>
        <w:t>66%</w:t>
      </w:r>
      <w:r>
        <w:rPr>
          <w:spacing w:val="-3"/>
        </w:rPr>
        <w:t>股权。同时审议通过了</w:t>
      </w:r>
    </w:p>
    <w:p>
      <w:pPr>
        <w:pStyle w:val="BodyText"/>
        <w:spacing w:line="408" w:lineRule="auto" w:before="35"/>
        <w:ind w:right="146"/>
        <w:jc w:val="both"/>
      </w:pPr>
      <w:r>
        <w:rPr>
          <w:spacing w:val="-2"/>
          <w:w w:val="100"/>
        </w:rPr>
        <w:t>《关于下属公司参与投资设立湘潭创新智慧私募股权基金的议案》，同意泰豪智能子公司北京泰豪智慧技</w:t>
      </w:r>
      <w:r>
        <w:rPr>
          <w:spacing w:val="-94"/>
          <w:w w:val="100"/>
        </w:rPr>
        <w:t> </w:t>
      </w:r>
      <w:r>
        <w:rPr>
          <w:spacing w:val="-94"/>
          <w:w w:val="100"/>
        </w:rPr>
      </w:r>
      <w:r>
        <w:rPr>
          <w:spacing w:val="-2"/>
        </w:rPr>
        <w:t>术有限公司以自有资金出资</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7"/>
        </w:rPr>
        <w:t> </w:t>
      </w:r>
      <w:r>
        <w:rPr>
          <w:spacing w:val="-2"/>
        </w:rPr>
        <w:t>万元人民币，作为普通合伙人之一与湘潭中星电子有限公司瑾泰资本管理</w:t>
      </w:r>
    </w:p>
    <w:p>
      <w:pPr>
        <w:pStyle w:val="BodyText"/>
        <w:spacing w:line="408" w:lineRule="auto" w:before="14"/>
        <w:ind w:right="154"/>
        <w:jc w:val="both"/>
      </w:pPr>
      <w:r>
        <w:rPr>
          <w:spacing w:val="-2"/>
          <w:w w:val="100"/>
        </w:rPr>
        <w:t>（北京）有限公司、北京介直投资有限公司共同成立湘潭创新智慧私募股权基金（有限合伙），成立后泰</w:t>
      </w:r>
      <w:r>
        <w:rPr>
          <w:spacing w:val="-94"/>
          <w:w w:val="100"/>
        </w:rPr>
        <w:t> </w:t>
      </w:r>
      <w:r>
        <w:rPr>
          <w:spacing w:val="-94"/>
          <w:w w:val="100"/>
        </w:rPr>
      </w:r>
      <w:r>
        <w:rPr/>
        <w:t>豪智慧占湘潭创新基金</w:t>
      </w:r>
      <w:r>
        <w:rPr>
          <w:spacing w:val="-57"/>
        </w:rPr>
        <w:t> </w:t>
      </w:r>
      <w:r>
        <w:rPr>
          <w:rFonts w:ascii="Times New Roman" w:hAnsi="Times New Roman" w:cs="Times New Roman" w:eastAsia="Times New Roman" w:hint="default"/>
        </w:rPr>
        <w:t>0.54%</w:t>
      </w:r>
      <w:r>
        <w:rPr/>
        <w:t>股权。</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386" w:lineRule="auto" w:before="36"/>
        <w:ind w:right="146" w:firstLine="420"/>
        <w:jc w:val="both"/>
      </w:pPr>
      <w:r>
        <w:rPr>
          <w:rFonts w:ascii="Times New Roman" w:hAnsi="Times New Roman" w:cs="Times New Roman" w:eastAsia="Times New Roman" w:hint="default"/>
        </w:rPr>
        <w:t>2017 </w:t>
      </w:r>
      <w:r>
        <w:rPr/>
        <w:t>年</w:t>
      </w:r>
      <w:r>
        <w:rPr>
          <w:spacing w:val="-3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31"/>
        </w:rPr>
        <w:t> </w:t>
      </w:r>
      <w:r>
        <w:rPr>
          <w:rFonts w:ascii="Times New Roman" w:hAnsi="Times New Roman" w:cs="Times New Roman" w:eastAsia="Times New Roman" w:hint="default"/>
        </w:rPr>
        <w:t>14 </w:t>
      </w:r>
      <w:r>
        <w:rPr/>
        <w:t>日，</w:t>
      </w:r>
      <w:r>
        <w:rPr>
          <w:rFonts w:ascii="Times New Roman" w:hAnsi="Times New Roman" w:cs="Times New Roman" w:eastAsia="Times New Roman" w:hint="default"/>
        </w:rPr>
        <w:t>PPP</w:t>
      </w:r>
      <w:r>
        <w:rPr>
          <w:rFonts w:ascii="Times New Roman" w:hAnsi="Times New Roman" w:cs="Times New Roman" w:eastAsia="Times New Roman" w:hint="default"/>
          <w:spacing w:val="-2"/>
        </w:rPr>
        <w:t> </w:t>
      </w:r>
      <w:r>
        <w:rPr/>
        <w:t>项目公司完成了相关工商变更登记手续，并领取了湘潭市工商行政管理局发</w:t>
      </w:r>
      <w:r>
        <w:rPr>
          <w:w w:val="100"/>
        </w:rPr>
        <w:t> </w:t>
      </w:r>
      <w:r>
        <w:rPr>
          <w:spacing w:val="-10"/>
          <w:w w:val="100"/>
        </w:rPr>
        <w:t>放的《企业法人营业执照》。</w:t>
      </w:r>
    </w:p>
    <w:p>
      <w:pPr>
        <w:pStyle w:val="BodyText"/>
        <w:spacing w:line="386" w:lineRule="auto" w:before="166"/>
        <w:ind w:right="14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日，经公司第三届董事会第五十一次会议审议通过，董事会同意泰豪智能拟将持有的</w:t>
      </w:r>
      <w:r>
        <w:rPr>
          <w:w w:val="100"/>
        </w:rPr>
        <w:t> </w:t>
      </w:r>
      <w:r>
        <w:rPr>
          <w:spacing w:val="-1"/>
          <w:w w:val="100"/>
        </w:rPr>
        <w:t>项目公司</w:t>
      </w:r>
      <w:r>
        <w:rPr>
          <w:w w:val="100"/>
        </w:rPr>
        <w:t> </w:t>
      </w:r>
      <w:r>
        <w:rPr>
          <w:rFonts w:ascii="Times New Roman" w:hAnsi="Times New Roman" w:cs="Times New Roman" w:eastAsia="Times New Roman" w:hint="default"/>
          <w:spacing w:val="-5"/>
          <w:w w:val="100"/>
        </w:rPr>
        <w:t>20%</w:t>
      </w:r>
      <w:r>
        <w:rPr>
          <w:spacing w:val="-5"/>
          <w:w w:val="100"/>
        </w:rPr>
        <w:t>股权转让给中星电子股份有限公司（以下简称</w:t>
      </w:r>
      <w:r>
        <w:rPr>
          <w:rFonts w:ascii="Times New Roman" w:hAnsi="Times New Roman" w:cs="Times New Roman" w:eastAsia="Times New Roman" w:hint="default"/>
          <w:spacing w:val="-5"/>
          <w:w w:val="100"/>
        </w:rPr>
        <w:t>“</w:t>
      </w:r>
      <w:r>
        <w:rPr>
          <w:spacing w:val="-5"/>
          <w:w w:val="100"/>
        </w:rPr>
        <w:t>中星电子</w:t>
      </w:r>
      <w:r>
        <w:rPr>
          <w:rFonts w:ascii="Times New Roman" w:hAnsi="Times New Roman" w:cs="Times New Roman" w:eastAsia="Times New Roman" w:hint="default"/>
          <w:spacing w:val="-5"/>
          <w:w w:val="100"/>
        </w:rPr>
        <w:t>”</w:t>
      </w:r>
      <w:r>
        <w:rPr>
          <w:spacing w:val="-5"/>
          <w:w w:val="100"/>
        </w:rPr>
        <w:t>）；将持有的项目公司</w:t>
      </w:r>
      <w:r>
        <w:rPr>
          <w:w w:val="100"/>
        </w:rPr>
        <w:t> </w:t>
      </w:r>
      <w:r>
        <w:rPr>
          <w:rFonts w:ascii="Times New Roman" w:hAnsi="Times New Roman" w:cs="Times New Roman" w:eastAsia="Times New Roman" w:hint="default"/>
          <w:spacing w:val="-3"/>
          <w:w w:val="100"/>
        </w:rPr>
        <w:t>36%</w:t>
      </w:r>
      <w:r>
        <w:rPr>
          <w:spacing w:val="-3"/>
          <w:w w:val="100"/>
        </w:rPr>
        <w:t>股权转</w:t>
      </w:r>
      <w:r>
        <w:rPr>
          <w:spacing w:val="-97"/>
          <w:w w:val="100"/>
        </w:rPr>
        <w:t> </w:t>
      </w:r>
      <w:r>
        <w:rPr>
          <w:spacing w:val="-6"/>
          <w:w w:val="100"/>
        </w:rPr>
        <w:t>让给湘潭创新智慧私募股权基金企业（以下简称</w:t>
      </w:r>
      <w:r>
        <w:rPr>
          <w:rFonts w:ascii="Times New Roman" w:hAnsi="Times New Roman" w:cs="Times New Roman" w:eastAsia="Times New Roman" w:hint="default"/>
          <w:spacing w:val="-6"/>
          <w:w w:val="100"/>
        </w:rPr>
        <w:t>“</w:t>
      </w:r>
      <w:r>
        <w:rPr>
          <w:spacing w:val="-6"/>
          <w:w w:val="100"/>
        </w:rPr>
        <w:t>湘潭创新</w:t>
      </w:r>
      <w:r>
        <w:rPr>
          <w:rFonts w:ascii="Times New Roman" w:hAnsi="Times New Roman" w:cs="Times New Roman" w:eastAsia="Times New Roman" w:hint="default"/>
          <w:spacing w:val="-6"/>
          <w:w w:val="100"/>
        </w:rPr>
        <w:t>”</w:t>
      </w:r>
      <w:r>
        <w:rPr>
          <w:spacing w:val="-6"/>
          <w:w w:val="100"/>
        </w:rPr>
        <w:t>），泰豪智能原持有的本部分股权未完成注册资</w:t>
      </w:r>
      <w:r>
        <w:rPr>
          <w:spacing w:val="-91"/>
          <w:w w:val="100"/>
        </w:rPr>
        <w:t> </w:t>
      </w:r>
      <w:r>
        <w:rPr>
          <w:spacing w:val="-91"/>
          <w:w w:val="100"/>
        </w:rPr>
      </w:r>
      <w:r>
        <w:rPr>
          <w:spacing w:val="-1"/>
          <w:w w:val="100"/>
        </w:rPr>
        <w:t>本实缴（合计</w:t>
      </w:r>
      <w:r>
        <w:rPr>
          <w:spacing w:val="12"/>
          <w:w w:val="100"/>
        </w:rPr>
        <w:t> </w:t>
      </w:r>
      <w:r>
        <w:rPr>
          <w:rFonts w:ascii="Times New Roman" w:hAnsi="Times New Roman" w:cs="Times New Roman" w:eastAsia="Times New Roman" w:hint="default"/>
          <w:spacing w:val="-4"/>
          <w:w w:val="100"/>
        </w:rPr>
        <w:t>56%</w:t>
      </w:r>
      <w:r>
        <w:rPr>
          <w:spacing w:val="-4"/>
          <w:w w:val="100"/>
        </w:rPr>
        <w:t>），中星电子、湘潭创新将受让泰豪智能的认缴义务完成注册资本出资，其中中星电子</w:t>
      </w:r>
      <w:r>
        <w:rPr>
          <w:spacing w:val="-103"/>
          <w:w w:val="100"/>
        </w:rPr>
        <w:t> </w:t>
      </w:r>
      <w:r>
        <w:rPr>
          <w:spacing w:val="-103"/>
          <w:w w:val="100"/>
        </w:rPr>
      </w:r>
      <w:r>
        <w:rPr/>
        <w:t>应出资</w:t>
      </w:r>
      <w:r>
        <w:rPr>
          <w:spacing w:val="-41"/>
        </w:rPr>
        <w:t> </w:t>
      </w:r>
      <w:r>
        <w:rPr>
          <w:rFonts w:ascii="Times New Roman" w:hAnsi="Times New Roman" w:cs="Times New Roman" w:eastAsia="Times New Roman" w:hint="default"/>
        </w:rPr>
        <w:t>10,062</w:t>
      </w:r>
      <w:r>
        <w:rPr>
          <w:rFonts w:ascii="Times New Roman" w:hAnsi="Times New Roman" w:cs="Times New Roman" w:eastAsia="Times New Roman" w:hint="default"/>
          <w:spacing w:val="-3"/>
        </w:rPr>
        <w:t> </w:t>
      </w:r>
      <w:r>
        <w:rPr>
          <w:spacing w:val="-3"/>
        </w:rPr>
        <w:t>万元，湘潭创新应出资</w:t>
      </w:r>
      <w:r>
        <w:rPr>
          <w:spacing w:val="-42"/>
        </w:rPr>
        <w:t> </w:t>
      </w:r>
      <w:r>
        <w:rPr>
          <w:rFonts w:ascii="Times New Roman" w:hAnsi="Times New Roman" w:cs="Times New Roman" w:eastAsia="Times New Roman" w:hint="default"/>
          <w:spacing w:val="-3"/>
        </w:rPr>
        <w:t>18,111.6 </w:t>
      </w:r>
      <w:r>
        <w:rPr>
          <w:spacing w:val="-3"/>
        </w:rPr>
        <w:t>万元。转让完成后，泰豪智能持有项目公司</w:t>
      </w:r>
      <w:r>
        <w:rPr>
          <w:spacing w:val="-41"/>
        </w:rPr>
        <w:t> </w:t>
      </w:r>
      <w:r>
        <w:rPr>
          <w:rFonts w:ascii="Times New Roman" w:hAnsi="Times New Roman" w:cs="Times New Roman" w:eastAsia="Times New Roman" w:hint="default"/>
          <w:spacing w:val="-3"/>
        </w:rPr>
        <w:t>10%</w:t>
      </w:r>
      <w:r>
        <w:rPr>
          <w:spacing w:val="-3"/>
        </w:rPr>
        <w:t>股权。</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日，湘潭市新型智慧城市建设</w:t>
      </w:r>
      <w:r>
        <w:rPr>
          <w:spacing w:val="-5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1"/>
        </w:rPr>
        <w:t> </w:t>
      </w:r>
      <w:r>
        <w:rPr/>
        <w:t>项目公司完成股权变更。</w:t>
      </w:r>
    </w:p>
    <w:p>
      <w:pPr>
        <w:pStyle w:val="BodyText"/>
        <w:spacing w:line="400" w:lineRule="auto" w:before="134"/>
        <w:ind w:right="146"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日，湘潭创新智慧私募股权基金（有限合伙）完成了相关工商变更登记手续，并领取</w:t>
      </w:r>
      <w:r>
        <w:rPr>
          <w:w w:val="100"/>
        </w:rPr>
        <w:t> </w:t>
      </w:r>
      <w:r>
        <w:rPr>
          <w:spacing w:val="-2"/>
          <w:w w:val="100"/>
        </w:rPr>
        <w:t>了湘潭市工商行政管理局发放的《企业法人营业执照》；随后其根据《证券投资基金法》和《私募投资基</w:t>
      </w:r>
      <w:r>
        <w:rPr>
          <w:spacing w:val="-94"/>
          <w:w w:val="100"/>
        </w:rPr>
        <w:t> </w:t>
      </w:r>
      <w:r>
        <w:rPr>
          <w:spacing w:val="-94"/>
          <w:w w:val="100"/>
        </w:rPr>
      </w:r>
      <w:r>
        <w:rPr>
          <w:spacing w:val="-2"/>
        </w:rPr>
        <w:t>金监督管理暂行办法》在中国证券投资基金业协会完成了私募投资基金备案手续，并领取了《私募投资基</w:t>
      </w:r>
      <w:r>
        <w:rPr>
          <w:spacing w:val="-45"/>
        </w:rPr>
        <w:t> </w:t>
      </w:r>
      <w:r>
        <w:rPr>
          <w:spacing w:val="-45"/>
        </w:rPr>
      </w:r>
      <w:r>
        <w:rPr>
          <w:spacing w:val="-16"/>
          <w:w w:val="100"/>
        </w:rPr>
        <w:t>金备案证明》。</w:t>
      </w:r>
    </w:p>
    <w:p>
      <w:pPr>
        <w:pStyle w:val="BodyText"/>
        <w:spacing w:line="240" w:lineRule="auto" w:before="153"/>
        <w:ind w:left="573" w:right="11"/>
        <w:jc w:val="left"/>
      </w:pPr>
      <w:r>
        <w:rPr>
          <w:rFonts w:ascii="Times New Roman" w:hAnsi="Times New Roman" w:cs="Times New Roman" w:eastAsia="Times New Roman" w:hint="default"/>
        </w:rPr>
        <w:t>3</w:t>
      </w:r>
      <w:r>
        <w:rPr/>
        <w:t>、担保情况</w:t>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t>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日召开第三届董事会第三十次会议，审议通过了《关于为全资子公司申请政府</w:t>
      </w:r>
    </w:p>
    <w:p>
      <w:pPr>
        <w:pStyle w:val="BodyText"/>
        <w:spacing w:line="240" w:lineRule="auto" w:before="177"/>
        <w:ind w:right="11"/>
        <w:jc w:val="left"/>
      </w:pPr>
      <w:r>
        <w:rPr>
          <w:w w:val="100"/>
        </w:rPr>
        <w:t>财政</w:t>
      </w:r>
      <w:r>
        <w:rPr>
          <w:spacing w:val="-3"/>
          <w:w w:val="100"/>
        </w:rPr>
        <w:t>扶</w:t>
      </w:r>
      <w:r>
        <w:rPr>
          <w:w w:val="100"/>
        </w:rPr>
        <w:t>持</w:t>
      </w:r>
      <w:r>
        <w:rPr>
          <w:spacing w:val="-3"/>
          <w:w w:val="100"/>
        </w:rPr>
        <w:t>资</w:t>
      </w:r>
      <w:r>
        <w:rPr>
          <w:w w:val="100"/>
        </w:rPr>
        <w:t>金</w:t>
      </w:r>
      <w:r>
        <w:rPr>
          <w:spacing w:val="-3"/>
          <w:w w:val="100"/>
        </w:rPr>
        <w:t>提</w:t>
      </w:r>
      <w:r>
        <w:rPr>
          <w:w w:val="100"/>
        </w:rPr>
        <w:t>供</w:t>
      </w:r>
      <w:r>
        <w:rPr>
          <w:spacing w:val="-3"/>
          <w:w w:val="100"/>
        </w:rPr>
        <w:t>担</w:t>
      </w:r>
      <w:r>
        <w:rPr>
          <w:w w:val="100"/>
        </w:rPr>
        <w:t>保</w:t>
      </w:r>
      <w:r>
        <w:rPr>
          <w:spacing w:val="-3"/>
          <w:w w:val="100"/>
        </w:rPr>
        <w:t>的</w:t>
      </w:r>
      <w:r>
        <w:rPr>
          <w:w w:val="100"/>
        </w:rPr>
        <w:t>议案</w:t>
      </w:r>
      <w:r>
        <w:rPr>
          <w:spacing w:val="-108"/>
          <w:w w:val="100"/>
        </w:rPr>
        <w:t>》</w:t>
      </w:r>
      <w:r>
        <w:rPr>
          <w:w w:val="100"/>
        </w:rPr>
        <w:t>，</w:t>
      </w:r>
      <w:r>
        <w:rPr>
          <w:spacing w:val="-3"/>
          <w:w w:val="100"/>
        </w:rPr>
        <w:t>同</w:t>
      </w:r>
      <w:r>
        <w:rPr>
          <w:w w:val="100"/>
        </w:rPr>
        <w:t>意</w:t>
      </w:r>
      <w:r>
        <w:rPr>
          <w:spacing w:val="-3"/>
          <w:w w:val="100"/>
        </w:rPr>
        <w:t>公</w:t>
      </w:r>
      <w:r>
        <w:rPr>
          <w:w w:val="100"/>
        </w:rPr>
        <w:t>司</w:t>
      </w:r>
      <w:r>
        <w:rPr>
          <w:spacing w:val="-3"/>
          <w:w w:val="100"/>
        </w:rPr>
        <w:t>为</w:t>
      </w:r>
      <w:r>
        <w:rPr>
          <w:w w:val="100"/>
        </w:rPr>
        <w:t>西</w:t>
      </w:r>
      <w:r>
        <w:rPr>
          <w:spacing w:val="-3"/>
          <w:w w:val="100"/>
        </w:rPr>
        <w:t>安西</w:t>
      </w:r>
      <w:r>
        <w:rPr>
          <w:w w:val="100"/>
        </w:rPr>
        <w:t>谷申请</w:t>
      </w:r>
      <w:r>
        <w:rPr>
          <w:spacing w:val="-23"/>
        </w:rPr>
        <w:t> </w:t>
      </w:r>
      <w:r>
        <w:rPr>
          <w:rFonts w:ascii="Times New Roman" w:hAnsi="Times New Roman" w:cs="Times New Roman" w:eastAsia="Times New Roman" w:hint="default"/>
          <w:w w:val="100"/>
        </w:rPr>
        <w:t>500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万</w:t>
      </w:r>
      <w:r>
        <w:rPr>
          <w:spacing w:val="-3"/>
          <w:w w:val="100"/>
        </w:rPr>
        <w:t>元</w:t>
      </w:r>
      <w:r>
        <w:rPr>
          <w:w w:val="100"/>
        </w:rPr>
        <w:t>政</w:t>
      </w:r>
      <w:r>
        <w:rPr>
          <w:spacing w:val="-3"/>
          <w:w w:val="100"/>
        </w:rPr>
        <w:t>府</w:t>
      </w:r>
      <w:r>
        <w:rPr>
          <w:w w:val="100"/>
        </w:rPr>
        <w:t>财</w:t>
      </w:r>
      <w:r>
        <w:rPr>
          <w:spacing w:val="-3"/>
          <w:w w:val="100"/>
        </w:rPr>
        <w:t>政</w:t>
      </w:r>
      <w:r>
        <w:rPr>
          <w:w w:val="100"/>
        </w:rPr>
        <w:t>扶持</w:t>
      </w:r>
      <w:r>
        <w:rPr>
          <w:spacing w:val="-3"/>
          <w:w w:val="100"/>
        </w:rPr>
        <w:t>资</w:t>
      </w:r>
      <w:r>
        <w:rPr>
          <w:w w:val="100"/>
        </w:rPr>
        <w:t>金</w:t>
      </w:r>
      <w:r>
        <w:rPr>
          <w:spacing w:val="-3"/>
          <w:w w:val="100"/>
        </w:rPr>
        <w:t>提</w:t>
      </w:r>
      <w:r>
        <w:rPr>
          <w:w w:val="100"/>
        </w:rPr>
        <w:t>供</w:t>
      </w:r>
      <w:r>
        <w:rPr>
          <w:spacing w:val="-3"/>
          <w:w w:val="100"/>
        </w:rPr>
        <w:t>担</w:t>
      </w:r>
      <w:r>
        <w:rPr>
          <w:w w:val="100"/>
        </w:rPr>
        <w:t>保；</w:t>
      </w:r>
    </w:p>
    <w:p>
      <w:pPr>
        <w:spacing w:line="240" w:lineRule="auto" w:before="1"/>
        <w:rPr>
          <w:rFonts w:ascii="宋体" w:hAnsi="宋体" w:cs="宋体" w:eastAsia="宋体" w:hint="default"/>
          <w:sz w:val="21"/>
          <w:szCs w:val="21"/>
        </w:rPr>
      </w:pPr>
    </w:p>
    <w:p>
      <w:pPr>
        <w:pStyle w:val="BodyText"/>
        <w:spacing w:line="398" w:lineRule="auto"/>
        <w:ind w:right="146" w:firstLine="420"/>
        <w:jc w:val="both"/>
      </w:pPr>
      <w:r>
        <w:rPr/>
        <w:t>公司于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6 </w:t>
      </w:r>
      <w:r>
        <w:rPr>
          <w:spacing w:val="-5"/>
        </w:rPr>
        <w:t>日召开第三届董事会第三十八次会议，审议通过了《关于为全资子公司申请银行</w:t>
      </w:r>
      <w:r>
        <w:rPr>
          <w:w w:val="100"/>
        </w:rPr>
        <w:t> </w:t>
      </w:r>
      <w:r>
        <w:rPr>
          <w:spacing w:val="-2"/>
          <w:w w:val="100"/>
        </w:rPr>
        <w:t>综合授信提供担保的议案》，同意公司为全资子公司北京泰豪智能工程有限公司向宁波银行股份有限公司</w:t>
      </w:r>
      <w:r>
        <w:rPr>
          <w:spacing w:val="-94"/>
          <w:w w:val="100"/>
        </w:rPr>
        <w:t> </w:t>
      </w:r>
      <w:r>
        <w:rPr>
          <w:spacing w:val="-94"/>
          <w:w w:val="100"/>
        </w:rPr>
      </w:r>
      <w:r>
        <w:rPr/>
        <w:t>北京分行申请人民币</w:t>
      </w:r>
      <w:r>
        <w:rPr>
          <w:spacing w:val="-3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万元的</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年期综合授信业务、向招商银行股份有限公司西三环支行申请人民币</w:t>
      </w:r>
    </w:p>
    <w:p>
      <w:pPr>
        <w:pStyle w:val="BodyText"/>
        <w:spacing w:line="386" w:lineRule="auto" w:before="24"/>
        <w:ind w:right="11"/>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万元的</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年期综合授信业务、向民生银行股份有限公司北京分行申请人民币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万元的</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年期综合</w:t>
      </w:r>
      <w:r>
        <w:rPr>
          <w:spacing w:val="-102"/>
        </w:rPr>
        <w:t> </w:t>
      </w:r>
      <w:r>
        <w:rPr/>
        <w:t>授信业务提供连带责任保证担保；</w:t>
      </w:r>
    </w:p>
    <w:p>
      <w:pPr>
        <w:pStyle w:val="BodyText"/>
        <w:spacing w:line="398" w:lineRule="auto" w:before="166"/>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日召开第三届董事会第三十九次会议，审议通过了《关于为全资子公司申请银</w:t>
      </w:r>
      <w:r>
        <w:rPr>
          <w:w w:val="100"/>
        </w:rPr>
        <w:t> </w:t>
      </w:r>
      <w:r>
        <w:rPr>
          <w:spacing w:val="-2"/>
          <w:w w:val="100"/>
        </w:rPr>
        <w:t>行综合授信提供担保的议案》，同意公司为全资子公司北京泰豪智能工程有限公司向北京银行股份有限公</w:t>
      </w:r>
      <w:r>
        <w:rPr>
          <w:spacing w:val="-92"/>
          <w:w w:val="100"/>
        </w:rPr>
        <w:t> </w:t>
      </w:r>
      <w:r>
        <w:rPr>
          <w:spacing w:val="-92"/>
          <w:w w:val="100"/>
        </w:rPr>
      </w:r>
      <w:r>
        <w:rPr/>
        <w:t>司翠微路支行申请人民币</w:t>
      </w:r>
      <w:r>
        <w:rPr>
          <w:spacing w:val="-5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万元的</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年期综合授信业务提供连带责任保证担保；</w:t>
      </w:r>
    </w:p>
    <w:p>
      <w:pPr>
        <w:pStyle w:val="BodyText"/>
        <w:spacing w:line="391" w:lineRule="auto" w:before="124"/>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日召开第三届董事会第四十次会议，审议通过了《关于全资子公司为其子公司</w:t>
      </w:r>
      <w:r>
        <w:rPr>
          <w:w w:val="100"/>
        </w:rPr>
        <w:t> </w:t>
      </w:r>
      <w:r>
        <w:rPr>
          <w:spacing w:val="-2"/>
          <w:w w:val="100"/>
        </w:rPr>
        <w:t>申请银行综合授信提供担保的议案》，公司全资子公司北京泰豪智能工程有限公司为其控股子公司上海信</w:t>
      </w:r>
      <w:r>
        <w:rPr>
          <w:spacing w:val="-94"/>
          <w:w w:val="100"/>
        </w:rPr>
        <w:t> </w:t>
      </w:r>
      <w:r>
        <w:rPr>
          <w:spacing w:val="-94"/>
          <w:w w:val="100"/>
        </w:rPr>
      </w:r>
      <w:r>
        <w:rPr/>
        <w:t>业智能科技股份有限公司向招商银行上海延西支行申请人民币</w:t>
      </w:r>
      <w:r>
        <w:rPr>
          <w:spacing w:val="-3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万元的</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年期综合授信业务提供连带</w:t>
      </w:r>
      <w:r>
        <w:rPr>
          <w:w w:val="100"/>
        </w:rPr>
        <w:t> </w:t>
      </w:r>
      <w:r>
        <w:rPr>
          <w:spacing w:val="-2"/>
        </w:rPr>
        <w:t>责任保证担保，上海信业其他股东按照持股比例</w:t>
      </w:r>
      <w:r>
        <w:rPr/>
        <w:t> </w:t>
      </w:r>
      <w:r>
        <w:rPr>
          <w:rFonts w:ascii="Times New Roman" w:hAnsi="Times New Roman" w:cs="Times New Roman" w:eastAsia="Times New Roman" w:hint="default"/>
          <w:spacing w:val="-2"/>
        </w:rPr>
        <w:t>5.86%</w:t>
      </w:r>
      <w:r>
        <w:rPr>
          <w:spacing w:val="-2"/>
        </w:rPr>
        <w:t>为本次授信提供反担保。目前上海信业已成为泰豪</w:t>
      </w:r>
      <w:r>
        <w:rPr>
          <w:spacing w:val="-59"/>
        </w:rPr>
        <w:t> </w:t>
      </w:r>
      <w:r>
        <w:rPr>
          <w:spacing w:val="-59"/>
        </w:rPr>
      </w:r>
      <w:r>
        <w:rPr/>
        <w:t>智能全资子公司，其少数股东的反担保义务终止；</w:t>
      </w:r>
    </w:p>
    <w:p>
      <w:pPr>
        <w:spacing w:after="0" w:line="391"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398" w:lineRule="auto" w:before="36"/>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日召开第三届董事会第四十一次会议，审议通过了《关于全资子公司为其子公</w:t>
      </w:r>
      <w:r>
        <w:rPr>
          <w:w w:val="100"/>
        </w:rPr>
        <w:t> </w:t>
      </w:r>
      <w:r>
        <w:rPr>
          <w:spacing w:val="-2"/>
          <w:w w:val="100"/>
        </w:rPr>
        <w:t>司申请银行综合授信提供担保的议案》，同意公司为全资子公司泰豪智能向中国建设银行北京隆庆街支行</w:t>
      </w:r>
      <w:r>
        <w:rPr>
          <w:spacing w:val="-94"/>
          <w:w w:val="100"/>
        </w:rPr>
        <w:t> </w:t>
      </w:r>
      <w:r>
        <w:rPr>
          <w:spacing w:val="-94"/>
          <w:w w:val="100"/>
        </w:rPr>
      </w:r>
      <w:r>
        <w:rPr/>
        <w:t>申请人民币</w:t>
      </w:r>
      <w:r>
        <w:rPr>
          <w:spacing w:val="-49"/>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1"/>
        </w:rPr>
        <w:t> </w:t>
      </w:r>
      <w:r>
        <w:rPr/>
        <w:t>万元的</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年期综合授信业务、向北京银行翠微路支行申请追加人民币</w:t>
      </w:r>
      <w:r>
        <w:rPr>
          <w:spacing w:val="-48"/>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3"/>
        </w:rPr>
        <w:t> </w:t>
      </w:r>
      <w:r>
        <w:rPr/>
        <w:t>万元的</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年</w:t>
      </w:r>
    </w:p>
    <w:p>
      <w:pPr>
        <w:pStyle w:val="BodyText"/>
        <w:spacing w:line="386" w:lineRule="auto" w:before="24"/>
        <w:ind w:right="100"/>
        <w:jc w:val="left"/>
      </w:pPr>
      <w:r>
        <w:rPr>
          <w:spacing w:val="-4"/>
        </w:rPr>
        <w:t>期综合授信业务、向盛京银行股份有限公司北京五棵松支行申请人民币</w:t>
      </w:r>
      <w:r>
        <w:rPr>
          <w:spacing w:val="-3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t>万元的</w:t>
      </w:r>
      <w:r>
        <w:rPr>
          <w:spacing w:val="-41"/>
        </w:rPr>
        <w:t> </w:t>
      </w:r>
      <w:r>
        <w:rPr>
          <w:rFonts w:ascii="Times New Roman" w:hAnsi="Times New Roman" w:cs="Times New Roman" w:eastAsia="Times New Roman" w:hint="default"/>
        </w:rPr>
        <w:t>2 </w:t>
      </w:r>
      <w:r>
        <w:rPr/>
        <w:t>年期综合授信业务</w:t>
      </w:r>
      <w:r>
        <w:rPr>
          <w:spacing w:val="-99"/>
        </w:rPr>
        <w:t> </w:t>
      </w:r>
      <w:r>
        <w:rPr>
          <w:spacing w:val="-99"/>
        </w:rPr>
      </w:r>
      <w:r>
        <w:rPr/>
        <w:t>提供连带责任保证担保；</w:t>
      </w:r>
    </w:p>
    <w:p>
      <w:pPr>
        <w:pStyle w:val="BodyText"/>
        <w:spacing w:line="398" w:lineRule="auto" w:before="166"/>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日召开第三届董事会第四十三次会议，审议通过了《关于全资子公司为其子公</w:t>
      </w:r>
      <w:r>
        <w:rPr>
          <w:w w:val="100"/>
        </w:rPr>
        <w:t> </w:t>
      </w:r>
      <w:r>
        <w:rPr>
          <w:spacing w:val="-2"/>
          <w:w w:val="100"/>
        </w:rPr>
        <w:t>司申请银行综合授信提供担保的议案》，同意公司为全资子公司北京泰豪智能工程有限公司向渤海银行北</w:t>
      </w:r>
      <w:r>
        <w:rPr>
          <w:spacing w:val="-94"/>
          <w:w w:val="100"/>
        </w:rPr>
        <w:t> </w:t>
      </w:r>
      <w:r>
        <w:rPr>
          <w:spacing w:val="-94"/>
          <w:w w:val="100"/>
        </w:rPr>
      </w:r>
      <w:r>
        <w:rPr/>
        <w:t>京经济技术开发区支行申请人民币</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2"/>
        </w:rPr>
        <w:t> </w:t>
      </w:r>
      <w:r>
        <w:rPr/>
        <w:t>万元的</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年期综合授信业务提供连带责任保证担保；</w:t>
      </w:r>
    </w:p>
    <w:p>
      <w:pPr>
        <w:pStyle w:val="BodyText"/>
        <w:spacing w:line="398" w:lineRule="auto" w:before="122"/>
        <w:ind w:right="209" w:firstLine="420"/>
        <w:jc w:val="both"/>
      </w:pPr>
      <w:r>
        <w:rPr/>
        <w:t>公司于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7 </w:t>
      </w:r>
      <w:r>
        <w:rPr>
          <w:spacing w:val="-5"/>
        </w:rPr>
        <w:t>日召开第三届董事会第四十六次会议，审议通过了《关于为全资子公司申请银行</w:t>
      </w:r>
      <w:r>
        <w:rPr>
          <w:w w:val="100"/>
        </w:rPr>
        <w:t> </w:t>
      </w:r>
      <w:r>
        <w:rPr>
          <w:spacing w:val="-2"/>
          <w:w w:val="100"/>
        </w:rPr>
        <w:t>综合授信提供担保的议案》，同意公司为全资子公司北京泰豪智能工程有限公司向广发银行股份有限公司</w:t>
      </w:r>
      <w:r>
        <w:rPr>
          <w:spacing w:val="-94"/>
          <w:w w:val="100"/>
        </w:rPr>
        <w:t> </w:t>
      </w:r>
      <w:r>
        <w:rPr>
          <w:spacing w:val="-94"/>
          <w:w w:val="100"/>
        </w:rPr>
      </w:r>
      <w:r>
        <w:rPr/>
        <w:t>北京分行申请人民币</w:t>
      </w:r>
      <w:r>
        <w:rPr>
          <w:spacing w:val="-5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1"/>
        </w:rPr>
        <w:t> </w:t>
      </w:r>
      <w:r>
        <w:rPr/>
        <w:t>万元的</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年期综合授信业务提供连带责任保证担保；</w:t>
      </w:r>
    </w:p>
    <w:p>
      <w:pPr>
        <w:pStyle w:val="BodyText"/>
        <w:spacing w:line="398" w:lineRule="auto" w:before="124"/>
        <w:ind w:right="208" w:firstLine="420"/>
        <w:jc w:val="both"/>
      </w:pPr>
      <w:r>
        <w:rPr/>
        <w:t>公司于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7 </w:t>
      </w:r>
      <w:r>
        <w:rPr>
          <w:spacing w:val="-5"/>
        </w:rPr>
        <w:t>日召开第三届董事会第四十六次会议，审议通过了《关于全资子公司为其全资子</w:t>
      </w:r>
      <w:r>
        <w:rPr>
          <w:w w:val="100"/>
        </w:rPr>
        <w:t> </w:t>
      </w:r>
      <w:r>
        <w:rPr>
          <w:spacing w:val="-2"/>
          <w:w w:val="100"/>
        </w:rPr>
        <w:t>公司申请银行综合授信提供担保的议案》，同意全资子泰豪智能为其全资子公司北京泰豪太阳能电源技术</w:t>
      </w:r>
      <w:r>
        <w:rPr>
          <w:spacing w:val="-94"/>
          <w:w w:val="100"/>
        </w:rPr>
        <w:t> </w:t>
      </w:r>
      <w:r>
        <w:rPr>
          <w:spacing w:val="-94"/>
          <w:w w:val="100"/>
        </w:rPr>
      </w:r>
      <w:r>
        <w:rPr/>
        <w:t>有限公司向北京银行翠微路支行申请人民币</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万元的</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年期综合授信业务提供连带责任保证担保。</w:t>
      </w:r>
    </w:p>
    <w:p>
      <w:pPr>
        <w:pStyle w:val="BodyText"/>
        <w:spacing w:line="398" w:lineRule="auto" w:before="124"/>
        <w:ind w:right="208" w:firstLine="420"/>
        <w:jc w:val="both"/>
      </w:pPr>
      <w:r>
        <w:rPr/>
        <w:t>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日召开第三届董事会第五十次会议，审议通过了《关于为全资子公司申请银行</w:t>
      </w:r>
      <w:r>
        <w:rPr>
          <w:w w:val="100"/>
        </w:rPr>
        <w:t> </w:t>
      </w:r>
      <w:r>
        <w:rPr>
          <w:spacing w:val="-2"/>
          <w:w w:val="100"/>
        </w:rPr>
        <w:t>综合授信提供担保的议案》，同意公司为全资子泰豪智能向江苏银行股份有限公司北京中关村西区支行申</w:t>
      </w:r>
      <w:r>
        <w:rPr>
          <w:spacing w:val="-94"/>
          <w:w w:val="100"/>
        </w:rPr>
        <w:t> </w:t>
      </w:r>
      <w:r>
        <w:rPr>
          <w:spacing w:val="-94"/>
          <w:w w:val="100"/>
        </w:rPr>
      </w:r>
      <w:r>
        <w:rPr/>
        <w:t>请人民币</w:t>
      </w:r>
      <w:r>
        <w:rPr>
          <w:spacing w:val="-54"/>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1"/>
        </w:rPr>
        <w:t> </w:t>
      </w:r>
      <w:r>
        <w:rPr/>
        <w:t>万元的</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年期综合授信业务提供连带责任保证担保。</w:t>
      </w:r>
    </w:p>
    <w:p>
      <w:pPr>
        <w:pStyle w:val="BodyText"/>
        <w:spacing w:line="386" w:lineRule="auto" w:before="122"/>
        <w:ind w:right="100" w:firstLine="420"/>
        <w:jc w:val="left"/>
      </w:pPr>
      <w:r>
        <w:rPr>
          <w:rFonts w:ascii="Times New Roman" w:hAnsi="Times New Roman" w:cs="Times New Roman" w:eastAsia="Times New Roman" w:hint="default"/>
          <w:spacing w:val="-7"/>
          <w:w w:val="100"/>
        </w:rPr>
        <w:t>4</w:t>
      </w:r>
      <w:r>
        <w:rPr>
          <w:spacing w:val="-7"/>
          <w:w w:val="100"/>
        </w:rPr>
        <w:t>、公司全资子公司北京泰豪智能工程有限公司取得国家保密局颁发的《涉密信息系统集成资质证书》，</w:t>
      </w:r>
      <w:r>
        <w:rPr>
          <w:w w:val="100"/>
        </w:rPr>
        <w:t> </w:t>
      </w:r>
      <w:r>
        <w:rPr/>
        <w:t>详见公司于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日在巨潮资讯网披露的《关于全资子公司取得涉密信息系统集成双甲级资质证</w:t>
      </w:r>
      <w:r>
        <w:rPr>
          <w:w w:val="100"/>
        </w:rPr>
        <w:t> </w:t>
      </w:r>
      <w:r>
        <w:rPr/>
        <w:t>书的公告</w:t>
      </w:r>
      <w:r>
        <w:rPr>
          <w:spacing w:val="-17"/>
        </w:rPr>
        <w:t> </w:t>
      </w:r>
      <w:r>
        <w:rPr>
          <w:spacing w:val="-108"/>
        </w:rPr>
        <w:t>》。</w:t>
      </w:r>
      <w:r>
        <w:rPr/>
      </w:r>
    </w:p>
    <w:p>
      <w:pPr>
        <w:pStyle w:val="BodyText"/>
        <w:spacing w:line="386" w:lineRule="auto" w:before="166"/>
        <w:ind w:right="211" w:firstLine="420"/>
        <w:jc w:val="both"/>
      </w:pPr>
      <w:r>
        <w:rPr>
          <w:rFonts w:ascii="Times New Roman" w:hAnsi="Times New Roman" w:cs="Times New Roman" w:eastAsia="Times New Roman" w:hint="default"/>
        </w:rPr>
        <w:t>5</w:t>
      </w:r>
      <w:r>
        <w:rPr/>
        <w:t>、为满足公司全资子公司北京泰豪智能工程有限公司经营发展需要，公司控股股东、实际控制人陈</w:t>
      </w:r>
      <w:r>
        <w:rPr>
          <w:w w:val="100"/>
        </w:rPr>
        <w:t> </w:t>
      </w:r>
      <w:r>
        <w:rPr/>
        <w:t>江涛先生为泰豪智能提供</w:t>
      </w:r>
      <w:r>
        <w:rPr>
          <w:spacing w:val="-56"/>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0"/>
        </w:rPr>
        <w:t> </w:t>
      </w:r>
      <w:r>
        <w:rPr/>
        <w:t>万元的无偿财务资助，期限自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日，用</w:t>
      </w:r>
    </w:p>
    <w:p>
      <w:pPr>
        <w:pStyle w:val="BodyText"/>
        <w:spacing w:line="386" w:lineRule="auto" w:before="35"/>
        <w:ind w:right="100"/>
        <w:jc w:val="left"/>
      </w:pPr>
      <w:r>
        <w:rPr/>
        <w:t>于泰豪智能的日常经营。详见公司于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日在巨潮资讯网披露的《关于控股股东为公司全资子</w:t>
      </w:r>
      <w:r>
        <w:rPr>
          <w:w w:val="100"/>
        </w:rPr>
        <w:t> </w:t>
      </w:r>
      <w:r>
        <w:rPr>
          <w:spacing w:val="-2"/>
          <w:w w:val="100"/>
        </w:rPr>
        <w:t>公司无偿提供财务资助的公告</w:t>
      </w:r>
      <w:r>
        <w:rPr>
          <w:spacing w:val="1"/>
          <w:w w:val="100"/>
        </w:rPr>
        <w:t> </w:t>
      </w:r>
      <w:r>
        <w:rPr>
          <w:spacing w:val="-6"/>
          <w:w w:val="100"/>
        </w:rPr>
        <w:t>》。截止本报告披露日，泰豪智能已及时归还该笔借款。</w:t>
      </w:r>
    </w:p>
    <w:p>
      <w:pPr>
        <w:spacing w:after="0" w:line="386"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pStyle w:val="Heading1"/>
        <w:spacing w:line="240" w:lineRule="auto"/>
        <w:ind w:left="121" w:right="235"/>
        <w:jc w:val="center"/>
      </w:pPr>
      <w:bookmarkStart w:name="_bookmark5" w:id="6"/>
      <w:bookmarkEnd w:id="6"/>
      <w:r>
        <w:rPr/>
      </w:r>
      <w:r>
        <w:rPr/>
        <w:t>第六节</w:t>
      </w:r>
      <w:r>
        <w:rPr>
          <w:spacing w:val="-2"/>
        </w:rPr>
        <w:t> </w:t>
      </w:r>
      <w:r>
        <w:rPr/>
        <w:t>股份变动及股东情况</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left="140" w:right="8264"/>
        <w:jc w:val="left"/>
      </w:pPr>
      <w:r>
        <w:rPr/>
        <w:t>一、股份变动情况</w:t>
      </w:r>
    </w:p>
    <w:p>
      <w:pPr>
        <w:spacing w:line="240" w:lineRule="auto" w:before="10"/>
        <w:rPr>
          <w:rFonts w:ascii="黑体" w:hAnsi="黑体" w:cs="黑体" w:eastAsia="黑体" w:hint="default"/>
          <w:sz w:val="35"/>
          <w:szCs w:val="35"/>
        </w:rPr>
      </w:pPr>
    </w:p>
    <w:p>
      <w:pPr>
        <w:pStyle w:val="Heading3"/>
        <w:spacing w:line="240" w:lineRule="auto"/>
        <w:ind w:left="140" w:right="8264"/>
        <w:jc w:val="left"/>
      </w:pPr>
      <w:r>
        <w:rPr>
          <w:rFonts w:ascii="Times New Roman" w:hAnsi="Times New Roman" w:cs="Times New Roman" w:eastAsia="Times New Roman" w:hint="default"/>
        </w:rPr>
        <w:t>1</w:t>
      </w:r>
      <w:r>
        <w:rPr/>
        <w:t>、股份变动情况</w:t>
      </w:r>
    </w:p>
    <w:p>
      <w:pPr>
        <w:spacing w:line="240" w:lineRule="auto" w:before="6"/>
        <w:rPr>
          <w:rFonts w:ascii="黑体" w:hAnsi="黑体" w:cs="黑体" w:eastAsia="黑体" w:hint="default"/>
          <w:sz w:val="21"/>
          <w:szCs w:val="21"/>
        </w:rPr>
      </w:pPr>
    </w:p>
    <w:p>
      <w:pPr>
        <w:pStyle w:val="BodyText"/>
        <w:spacing w:line="240" w:lineRule="auto" w:before="36"/>
        <w:ind w:left="0" w:right="251"/>
        <w:jc w:val="right"/>
      </w:pPr>
      <w:r>
        <w:rPr>
          <w:spacing w:val="-1"/>
        </w:rPr>
        <w:t>单位：股</w:t>
      </w:r>
    </w:p>
    <w:p>
      <w:pPr>
        <w:spacing w:line="240" w:lineRule="auto" w:before="7"/>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238"/>
        <w:gridCol w:w="1220"/>
        <w:gridCol w:w="1205"/>
        <w:gridCol w:w="1205"/>
        <w:gridCol w:w="1202"/>
        <w:gridCol w:w="1200"/>
        <w:gridCol w:w="1203"/>
        <w:gridCol w:w="1205"/>
        <w:gridCol w:w="1164"/>
        <w:gridCol w:w="1164"/>
      </w:tblGrid>
      <w:tr>
        <w:trPr>
          <w:trHeight w:val="259" w:hRule="exact"/>
        </w:trPr>
        <w:tc>
          <w:tcPr>
            <w:tcW w:w="3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76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0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3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7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50" w:hRule="exact"/>
        </w:trPr>
        <w:tc>
          <w:tcPr>
            <w:tcW w:w="3238" w:type="dxa"/>
            <w:vMerge w:val="restart"/>
            <w:tcBorders>
              <w:top w:val="nil" w:sz="6" w:space="0" w:color="auto"/>
              <w:left w:val="single" w:sz="4" w:space="0" w:color="000000"/>
              <w:right w:val="single" w:sz="4" w:space="0" w:color="000000"/>
            </w:tcBorders>
            <w:shd w:val="clear" w:color="auto" w:fill="D2D2D2"/>
          </w:tcPr>
          <w:p>
            <w:pPr/>
          </w:p>
        </w:tc>
        <w:tc>
          <w:tcPr>
            <w:tcW w:w="2425" w:type="dxa"/>
            <w:gridSpan w:val="2"/>
            <w:vMerge/>
            <w:tcBorders>
              <w:left w:val="single" w:sz="4" w:space="0" w:color="000000"/>
              <w:bottom w:val="single" w:sz="4" w:space="0" w:color="000000"/>
              <w:right w:val="single" w:sz="4" w:space="0" w:color="000000"/>
            </w:tcBorders>
            <w:shd w:val="clear" w:color="auto" w:fill="D2D2D2"/>
          </w:tcPr>
          <w:p>
            <w:pPr/>
          </w:p>
        </w:tc>
        <w:tc>
          <w:tcPr>
            <w:tcW w:w="6015" w:type="dxa"/>
            <w:gridSpan w:val="5"/>
            <w:vMerge/>
            <w:tcBorders>
              <w:left w:val="single" w:sz="4" w:space="0" w:color="000000"/>
              <w:bottom w:val="single" w:sz="4" w:space="0" w:color="000000"/>
              <w:right w:val="single" w:sz="4" w:space="0" w:color="000000"/>
            </w:tcBorders>
            <w:shd w:val="clear" w:color="auto" w:fill="D2D2D2"/>
          </w:tcPr>
          <w:p>
            <w:pPr/>
          </w:p>
        </w:tc>
        <w:tc>
          <w:tcPr>
            <w:tcW w:w="2328" w:type="dxa"/>
            <w:gridSpan w:val="2"/>
            <w:vMerge/>
            <w:tcBorders>
              <w:left w:val="single" w:sz="4" w:space="0" w:color="000000"/>
              <w:bottom w:val="single" w:sz="4" w:space="0" w:color="000000"/>
              <w:right w:val="single" w:sz="4" w:space="0" w:color="000000"/>
            </w:tcBorders>
            <w:shd w:val="clear" w:color="auto" w:fill="D2D2D2"/>
          </w:tcPr>
          <w:p>
            <w:pPr/>
          </w:p>
        </w:tc>
      </w:tr>
      <w:tr>
        <w:trPr>
          <w:trHeight w:val="247" w:hRule="exact"/>
        </w:trPr>
        <w:tc>
          <w:tcPr>
            <w:tcW w:w="3238" w:type="dxa"/>
            <w:vMerge/>
            <w:tcBorders>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59" w:hRule="exact"/>
        </w:trPr>
        <w:tc>
          <w:tcPr>
            <w:tcW w:w="3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578,074,265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22,860,000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-106,283,414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-83,423,414</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494,650,851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42.20%</w:t>
            </w: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6"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578,074,265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22,860,000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-106,283,414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-83,423,414</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494,650,851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42.20%</w:t>
            </w: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150,254,938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13.06%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-58,558,558</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-58,558,558</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91,696,380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7.82%</w:t>
            </w:r>
          </w:p>
        </w:tc>
      </w:tr>
      <w:tr>
        <w:trPr>
          <w:trHeight w:val="506"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41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427,819,327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37.19%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22,860,000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-47,724,856</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w w:val="95"/>
                <w:sz w:val="18"/>
              </w:rPr>
              <w:t>-24,864,856</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402,954,471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34.38%</w:t>
            </w: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6"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41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882" w:footer="1132" w:top="1100" w:bottom="1320" w:left="1300" w:right="1280"/>
          <w:pgNumType w:start="91"/>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62"/>
        <w:gridCol w:w="1208"/>
        <w:gridCol w:w="1205"/>
        <w:gridCol w:w="1205"/>
        <w:gridCol w:w="1202"/>
        <w:gridCol w:w="1200"/>
        <w:gridCol w:w="1203"/>
        <w:gridCol w:w="1205"/>
        <w:gridCol w:w="1164"/>
        <w:gridCol w:w="1164"/>
      </w:tblGrid>
      <w:tr>
        <w:trPr>
          <w:trHeight w:val="521" w:hRule="exact"/>
        </w:trPr>
        <w:tc>
          <w:tcPr>
            <w:tcW w:w="32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572,146,889</w:t>
            </w:r>
          </w:p>
        </w:tc>
        <w:tc>
          <w:tcPr>
            <w:tcW w:w="12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49.74%</w:t>
            </w:r>
          </w:p>
        </w:tc>
        <w:tc>
          <w:tcPr>
            <w:tcW w:w="12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105,398,455</w:t>
            </w:r>
          </w:p>
        </w:tc>
        <w:tc>
          <w:tcPr>
            <w:tcW w:w="12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105,398,455</w:t>
            </w:r>
          </w:p>
        </w:tc>
        <w:tc>
          <w:tcPr>
            <w:tcW w:w="11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677,545,344</w:t>
            </w:r>
          </w:p>
        </w:tc>
        <w:tc>
          <w:tcPr>
            <w:tcW w:w="11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57.80%</w:t>
            </w:r>
          </w:p>
        </w:tc>
      </w:tr>
      <w:tr>
        <w:trPr>
          <w:trHeight w:val="50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572,146,889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49.74%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105,398,455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105,398,455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677,545,344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57.80%</w:t>
            </w:r>
          </w:p>
        </w:tc>
      </w:tr>
      <w:tr>
        <w:trPr>
          <w:trHeight w:val="506"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r>
      <w:tr>
        <w:trPr>
          <w:trHeight w:val="50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1,150,221,154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22,860,000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-884,959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21,975,041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1,172,196,195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32" w:top="1100" w:bottom="1320" w:left="1300" w:right="1280"/>
        </w:sectPr>
      </w:pPr>
    </w:p>
    <w:p>
      <w:pPr>
        <w:spacing w:line="240" w:lineRule="auto" w:before="2"/>
        <w:rPr>
          <w:rFonts w:ascii="Times New Roman" w:hAnsi="Times New Roman" w:cs="Times New Roman" w:eastAsia="Times New Roman" w:hint="default"/>
          <w:sz w:val="15"/>
          <w:szCs w:val="15"/>
        </w:rPr>
      </w:pPr>
    </w:p>
    <w:p>
      <w:pPr>
        <w:pStyle w:val="BodyText"/>
        <w:spacing w:line="240" w:lineRule="auto" w:before="36"/>
        <w:ind w:left="573" w:right="100"/>
        <w:jc w:val="left"/>
      </w:pPr>
      <w:r>
        <w:rPr/>
        <w:t>股份变动的原因</w:t>
      </w:r>
    </w:p>
    <w:p>
      <w:pPr>
        <w:spacing w:line="240" w:lineRule="auto" w:before="6"/>
        <w:rPr>
          <w:rFonts w:ascii="宋体" w:hAnsi="宋体" w:cs="宋体" w:eastAsia="宋体" w:hint="default"/>
          <w:sz w:val="22"/>
          <w:szCs w:val="22"/>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日，高管锁定股年初共计解锁</w:t>
      </w:r>
      <w:r>
        <w:rPr>
          <w:spacing w:val="-52"/>
        </w:rPr>
        <w:t> </w:t>
      </w:r>
      <w:r>
        <w:rPr>
          <w:rFonts w:ascii="Times New Roman" w:hAnsi="Times New Roman" w:cs="Times New Roman" w:eastAsia="Times New Roman" w:hint="default"/>
        </w:rPr>
        <w:t>6,785,633</w:t>
      </w:r>
      <w:r>
        <w:rPr>
          <w:rFonts w:ascii="Times New Roman" w:hAnsi="Times New Roman" w:cs="Times New Roman" w:eastAsia="Times New Roman" w:hint="default"/>
          <w:spacing w:val="-11"/>
        </w:rPr>
        <w:t> </w:t>
      </w:r>
      <w:r>
        <w:rPr/>
        <w:t>股。公司有限售条件股份减少</w:t>
      </w:r>
      <w:r>
        <w:rPr>
          <w:spacing w:val="-52"/>
        </w:rPr>
        <w:t> </w:t>
      </w:r>
      <w:r>
        <w:rPr>
          <w:rFonts w:ascii="Times New Roman" w:hAnsi="Times New Roman" w:cs="Times New Roman" w:eastAsia="Times New Roman" w:hint="default"/>
        </w:rPr>
        <w:t>6,785,633</w:t>
      </w:r>
      <w:r>
        <w:rPr>
          <w:rFonts w:ascii="Times New Roman" w:hAnsi="Times New Roman" w:cs="Times New Roman" w:eastAsia="Times New Roman" w:hint="default"/>
          <w:spacing w:val="-9"/>
        </w:rPr>
        <w:t> </w:t>
      </w:r>
      <w:r>
        <w:rPr/>
        <w:t>股，</w:t>
      </w:r>
    </w:p>
    <w:p>
      <w:pPr>
        <w:pStyle w:val="BodyText"/>
        <w:spacing w:line="240" w:lineRule="auto" w:before="177"/>
        <w:ind w:right="100"/>
        <w:jc w:val="left"/>
      </w:pPr>
      <w:r>
        <w:rPr/>
        <w:t>无限售条件股份增加</w:t>
      </w:r>
      <w:r>
        <w:rPr>
          <w:spacing w:val="-55"/>
        </w:rPr>
        <w:t> </w:t>
      </w:r>
      <w:r>
        <w:rPr>
          <w:rFonts w:ascii="Times New Roman" w:hAnsi="Times New Roman" w:cs="Times New Roman" w:eastAsia="Times New Roman" w:hint="default"/>
        </w:rPr>
        <w:t>6,785,633</w:t>
      </w:r>
      <w:r>
        <w:rPr>
          <w:rFonts w:ascii="Times New Roman" w:hAnsi="Times New Roman" w:cs="Times New Roman" w:eastAsia="Times New Roman" w:hint="default"/>
          <w:spacing w:val="-14"/>
        </w:rPr>
        <w:t> </w:t>
      </w:r>
      <w:r>
        <w:rPr/>
        <w:t>股，股份总数不变。</w:t>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日，公司回购注销不符合解锁条件的激励对象已获授但尚未解锁的限制性股票事项</w:t>
      </w:r>
    </w:p>
    <w:p>
      <w:pPr>
        <w:pStyle w:val="BodyText"/>
        <w:spacing w:line="240" w:lineRule="auto" w:before="177"/>
        <w:ind w:right="100"/>
        <w:jc w:val="left"/>
      </w:pPr>
      <w:r>
        <w:rPr/>
        <w:t>已完成，共计回购注销</w:t>
      </w:r>
      <w:r>
        <w:rPr>
          <w:spacing w:val="-39"/>
        </w:rPr>
        <w:t> </w:t>
      </w:r>
      <w:r>
        <w:rPr>
          <w:rFonts w:ascii="Times New Roman" w:hAnsi="Times New Roman" w:cs="Times New Roman" w:eastAsia="Times New Roman" w:hint="default"/>
        </w:rPr>
        <w:t>884,959</w:t>
      </w:r>
      <w:r>
        <w:rPr>
          <w:rFonts w:ascii="Times New Roman" w:hAnsi="Times New Roman" w:cs="Times New Roman" w:eastAsia="Times New Roman" w:hint="default"/>
          <w:spacing w:val="-8"/>
        </w:rPr>
        <w:t> </w:t>
      </w:r>
      <w:r>
        <w:rPr/>
        <w:t>股。公司有限售条件股份减少</w:t>
      </w:r>
      <w:r>
        <w:rPr>
          <w:spacing w:val="-39"/>
        </w:rPr>
        <w:t> </w:t>
      </w:r>
      <w:r>
        <w:rPr>
          <w:rFonts w:ascii="Times New Roman" w:hAnsi="Times New Roman" w:cs="Times New Roman" w:eastAsia="Times New Roman" w:hint="default"/>
        </w:rPr>
        <w:t>884,959</w:t>
      </w:r>
      <w:r>
        <w:rPr>
          <w:rFonts w:ascii="Times New Roman" w:hAnsi="Times New Roman" w:cs="Times New Roman" w:eastAsia="Times New Roman" w:hint="default"/>
          <w:spacing w:val="-6"/>
        </w:rPr>
        <w:t> </w:t>
      </w:r>
      <w:r>
        <w:rPr/>
        <w:t>股，股份总数由</w:t>
      </w:r>
      <w:r>
        <w:rPr>
          <w:spacing w:val="-39"/>
        </w:rPr>
        <w:t> </w:t>
      </w:r>
      <w:r>
        <w:rPr>
          <w:rFonts w:ascii="Times New Roman" w:hAnsi="Times New Roman" w:cs="Times New Roman" w:eastAsia="Times New Roman" w:hint="default"/>
        </w:rPr>
        <w:t>1,150,221,154</w:t>
      </w:r>
      <w:r>
        <w:rPr>
          <w:rFonts w:ascii="Times New Roman" w:hAnsi="Times New Roman" w:cs="Times New Roman" w:eastAsia="Times New Roman" w:hint="default"/>
          <w:spacing w:val="-6"/>
        </w:rPr>
        <w:t> </w:t>
      </w:r>
      <w:r>
        <w:rPr>
          <w:spacing w:val="-3"/>
        </w:rPr>
        <w:t>股减</w:t>
      </w:r>
      <w:r>
        <w:rPr/>
      </w:r>
    </w:p>
    <w:p>
      <w:pPr>
        <w:pStyle w:val="BodyText"/>
        <w:spacing w:line="386" w:lineRule="auto" w:before="178"/>
        <w:ind w:right="205"/>
        <w:jc w:val="left"/>
      </w:pPr>
      <w:r>
        <w:rPr/>
        <w:t>少至</w:t>
      </w:r>
      <w:r>
        <w:rPr>
          <w:spacing w:val="-53"/>
        </w:rPr>
        <w:t> </w:t>
      </w:r>
      <w:r>
        <w:rPr>
          <w:rFonts w:ascii="Times New Roman" w:hAnsi="Times New Roman" w:cs="Times New Roman" w:eastAsia="Times New Roman" w:hint="default"/>
        </w:rPr>
        <w:t>1,149,336,195</w:t>
      </w:r>
      <w:r>
        <w:rPr>
          <w:rFonts w:ascii="Times New Roman" w:hAnsi="Times New Roman" w:cs="Times New Roman" w:eastAsia="Times New Roman" w:hint="default"/>
          <w:spacing w:val="-13"/>
        </w:rPr>
        <w:t> </w:t>
      </w:r>
      <w:r>
        <w:rPr>
          <w:spacing w:val="-4"/>
        </w:rPr>
        <w:t>股。详见公司于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日在巨潮资讯网披露的《关于部分限制性股票回购注销</w:t>
      </w:r>
      <w:r>
        <w:rPr>
          <w:w w:val="100"/>
        </w:rPr>
        <w:t> </w:t>
      </w:r>
      <w:r>
        <w:rPr>
          <w:spacing w:val="-16"/>
          <w:w w:val="100"/>
        </w:rPr>
        <w:t>完成的公告》。</w:t>
      </w:r>
    </w:p>
    <w:p>
      <w:pPr>
        <w:pStyle w:val="BodyText"/>
        <w:spacing w:line="240" w:lineRule="auto" w:before="166"/>
        <w:ind w:left="573" w:right="100"/>
        <w:jc w:val="left"/>
        <w:rPr>
          <w:rFonts w:ascii="Times New Roman" w:hAnsi="Times New Roman" w:cs="Times New Roman" w:eastAsia="Times New Roman" w:hint="default"/>
        </w:rPr>
      </w:pPr>
      <w:r>
        <w:rPr>
          <w:rFonts w:ascii="Times New Roman" w:hAnsi="Times New Roman" w:cs="Times New Roman" w:eastAsia="Times New Roman" w:hint="default"/>
          <w:w w:val="100"/>
        </w:rPr>
        <w:t>3</w:t>
      </w:r>
      <w:r>
        <w:rPr>
          <w:spacing w:val="-106"/>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9"/>
        </w:rPr>
        <w:t> </w:t>
      </w:r>
      <w:r>
        <w:rPr>
          <w:w w:val="100"/>
        </w:rPr>
        <w:t>年</w:t>
      </w:r>
      <w:r>
        <w:rPr>
          <w:spacing w:val="-69"/>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9"/>
        </w:rPr>
        <w:t> </w:t>
      </w:r>
      <w:r>
        <w:rPr>
          <w:w w:val="100"/>
        </w:rPr>
        <w:t>月</w:t>
      </w:r>
      <w:r>
        <w:rPr>
          <w:spacing w:val="-67"/>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9"/>
        </w:rPr>
        <w:t> </w:t>
      </w:r>
      <w:r>
        <w:rPr>
          <w:spacing w:val="-3"/>
          <w:w w:val="100"/>
        </w:rPr>
        <w:t>日</w:t>
      </w:r>
      <w:r>
        <w:rPr>
          <w:spacing w:val="-106"/>
          <w:w w:val="100"/>
        </w:rPr>
        <w:t>，</w:t>
      </w:r>
      <w:r>
        <w:rPr>
          <w:spacing w:val="-3"/>
          <w:w w:val="100"/>
        </w:rPr>
        <w:t>公司</w:t>
      </w:r>
      <w:r>
        <w:rPr>
          <w:w w:val="100"/>
        </w:rPr>
        <w:t>原监</w:t>
      </w:r>
      <w:r>
        <w:rPr>
          <w:spacing w:val="-3"/>
          <w:w w:val="100"/>
        </w:rPr>
        <w:t>事</w:t>
      </w:r>
      <w:r>
        <w:rPr>
          <w:w w:val="100"/>
        </w:rPr>
        <w:t>会</w:t>
      </w:r>
      <w:r>
        <w:rPr>
          <w:spacing w:val="-3"/>
          <w:w w:val="100"/>
        </w:rPr>
        <w:t>主</w:t>
      </w:r>
      <w:r>
        <w:rPr>
          <w:w w:val="100"/>
        </w:rPr>
        <w:t>席</w:t>
      </w:r>
      <w:r>
        <w:rPr>
          <w:spacing w:val="-3"/>
          <w:w w:val="100"/>
        </w:rPr>
        <w:t>李</w:t>
      </w:r>
      <w:r>
        <w:rPr>
          <w:w w:val="100"/>
        </w:rPr>
        <w:t>居</w:t>
      </w:r>
      <w:r>
        <w:rPr>
          <w:spacing w:val="-3"/>
          <w:w w:val="100"/>
        </w:rPr>
        <w:t>庸</w:t>
      </w:r>
      <w:r>
        <w:rPr>
          <w:w w:val="100"/>
        </w:rPr>
        <w:t>先</w:t>
      </w:r>
      <w:r>
        <w:rPr>
          <w:spacing w:val="-3"/>
          <w:w w:val="100"/>
        </w:rPr>
        <w:t>生</w:t>
      </w:r>
      <w:r>
        <w:rPr>
          <w:w w:val="100"/>
        </w:rPr>
        <w:t>离任</w:t>
      </w:r>
      <w:r>
        <w:rPr>
          <w:spacing w:val="-3"/>
          <w:w w:val="100"/>
        </w:rPr>
        <w:t>已</w:t>
      </w:r>
      <w:r>
        <w:rPr>
          <w:w w:val="100"/>
        </w:rPr>
        <w:t>满</w:t>
      </w:r>
      <w:r>
        <w:rPr>
          <w:spacing w:val="-67"/>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9"/>
        </w:rPr>
        <w:t> </w:t>
      </w:r>
      <w:r>
        <w:rPr>
          <w:spacing w:val="-3"/>
          <w:w w:val="100"/>
        </w:rPr>
        <w:t>个</w:t>
      </w:r>
      <w:r>
        <w:rPr>
          <w:w w:val="100"/>
        </w:rPr>
        <w:t>月</w:t>
      </w:r>
      <w:r>
        <w:rPr>
          <w:spacing w:val="-106"/>
          <w:w w:val="100"/>
        </w:rPr>
        <w:t>，</w:t>
      </w:r>
      <w:r>
        <w:rPr>
          <w:spacing w:val="-3"/>
          <w:w w:val="100"/>
        </w:rPr>
        <w:t>其</w:t>
      </w:r>
      <w:r>
        <w:rPr>
          <w:w w:val="100"/>
        </w:rPr>
        <w:t>持</w:t>
      </w:r>
      <w:r>
        <w:rPr>
          <w:spacing w:val="-3"/>
          <w:w w:val="100"/>
        </w:rPr>
        <w:t>有的</w:t>
      </w:r>
      <w:r>
        <w:rPr>
          <w:w w:val="100"/>
        </w:rPr>
        <w:t>股票</w:t>
      </w:r>
      <w:r>
        <w:rPr>
          <w:spacing w:val="-3"/>
          <w:w w:val="100"/>
        </w:rPr>
        <w:t>共</w:t>
      </w:r>
      <w:r>
        <w:rPr>
          <w:w w:val="100"/>
        </w:rPr>
        <w:t>计</w:t>
      </w:r>
      <w:r>
        <w:rPr>
          <w:spacing w:val="-3"/>
          <w:w w:val="100"/>
        </w:rPr>
        <w:t>解</w:t>
      </w:r>
      <w:r>
        <w:rPr>
          <w:w w:val="100"/>
        </w:rPr>
        <w:t>锁</w:t>
      </w:r>
      <w:r>
        <w:rPr>
          <w:spacing w:val="-6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56</w:t>
      </w:r>
    </w:p>
    <w:p>
      <w:pPr>
        <w:pStyle w:val="BodyText"/>
        <w:spacing w:line="240" w:lineRule="auto" w:before="177"/>
        <w:ind w:right="100"/>
        <w:jc w:val="left"/>
      </w:pPr>
      <w:r>
        <w:rPr/>
        <w:t>股。公司有限售条件股份减少</w:t>
      </w:r>
      <w:r>
        <w:rPr>
          <w:spacing w:val="-56"/>
        </w:rPr>
        <w:t> </w:t>
      </w:r>
      <w:r>
        <w:rPr>
          <w:rFonts w:ascii="Times New Roman" w:hAnsi="Times New Roman" w:cs="Times New Roman" w:eastAsia="Times New Roman" w:hint="default"/>
        </w:rPr>
        <w:t>10,584,656</w:t>
      </w:r>
      <w:r>
        <w:rPr>
          <w:rFonts w:ascii="Times New Roman" w:hAnsi="Times New Roman" w:cs="Times New Roman" w:eastAsia="Times New Roman" w:hint="default"/>
          <w:spacing w:val="-13"/>
        </w:rPr>
        <w:t> </w:t>
      </w:r>
      <w:r>
        <w:rPr/>
        <w:t>股，无限售条件股份增加</w:t>
      </w:r>
      <w:r>
        <w:rPr>
          <w:spacing w:val="-57"/>
        </w:rPr>
        <w:t> </w:t>
      </w:r>
      <w:r>
        <w:rPr>
          <w:rFonts w:ascii="Times New Roman" w:hAnsi="Times New Roman" w:cs="Times New Roman" w:eastAsia="Times New Roman" w:hint="default"/>
        </w:rPr>
        <w:t>10,584,656</w:t>
      </w:r>
      <w:r>
        <w:rPr>
          <w:rFonts w:ascii="Times New Roman" w:hAnsi="Times New Roman" w:cs="Times New Roman" w:eastAsia="Times New Roman" w:hint="default"/>
          <w:spacing w:val="-13"/>
        </w:rPr>
        <w:t> </w:t>
      </w:r>
      <w:r>
        <w:rPr/>
        <w:t>股，股份总数不变。</w:t>
      </w:r>
    </w:p>
    <w:p>
      <w:pPr>
        <w:spacing w:line="240" w:lineRule="auto" w:before="1"/>
        <w:rPr>
          <w:rFonts w:ascii="宋体" w:hAnsi="宋体" w:cs="宋体" w:eastAsia="宋体" w:hint="default"/>
          <w:sz w:val="21"/>
          <w:szCs w:val="21"/>
        </w:rPr>
      </w:pPr>
    </w:p>
    <w:p>
      <w:pPr>
        <w:pStyle w:val="BodyText"/>
        <w:spacing w:line="240" w:lineRule="auto"/>
        <w:ind w:left="573" w:right="10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日，公司</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年限制性股票激励计划预留限制性股票第二期解锁事项已完成，可</w:t>
      </w:r>
    </w:p>
    <w:p>
      <w:pPr>
        <w:pStyle w:val="BodyText"/>
        <w:spacing w:line="240" w:lineRule="auto" w:before="177"/>
        <w:ind w:right="100"/>
        <w:jc w:val="left"/>
      </w:pPr>
      <w:r>
        <w:rPr/>
        <w:t>解锁数量 </w:t>
      </w:r>
      <w:r>
        <w:rPr>
          <w:rFonts w:ascii="Times New Roman" w:hAnsi="Times New Roman" w:cs="Times New Roman" w:eastAsia="Times New Roman" w:hint="default"/>
        </w:rPr>
        <w:t>1,094,710</w:t>
      </w:r>
      <w:r>
        <w:rPr>
          <w:rFonts w:ascii="Times New Roman" w:hAnsi="Times New Roman" w:cs="Times New Roman" w:eastAsia="Times New Roman" w:hint="default"/>
          <w:spacing w:val="22"/>
        </w:rPr>
        <w:t> </w:t>
      </w:r>
      <w:r>
        <w:rPr/>
        <w:t>股，同时由于股票解锁的激励对象黄海涛、陈为群为公司董事、高级管理人员或其关</w:t>
      </w:r>
    </w:p>
    <w:p>
      <w:pPr>
        <w:pStyle w:val="BodyText"/>
        <w:spacing w:line="240" w:lineRule="auto" w:before="177"/>
        <w:ind w:right="100"/>
        <w:jc w:val="left"/>
      </w:pPr>
      <w:r>
        <w:rPr/>
        <w:t>联方，其持有的共计 </w:t>
      </w:r>
      <w:r>
        <w:rPr>
          <w:rFonts w:ascii="Times New Roman" w:hAnsi="Times New Roman" w:cs="Times New Roman" w:eastAsia="Times New Roman" w:hint="default"/>
        </w:rPr>
        <w:t>535,368 </w:t>
      </w:r>
      <w:r>
        <w:rPr/>
        <w:t>股纳入高管锁定股，并未上市流通。公司有限售条件股份减少 </w:t>
      </w:r>
      <w:r>
        <w:rPr>
          <w:rFonts w:ascii="Times New Roman" w:hAnsi="Times New Roman" w:cs="Times New Roman" w:eastAsia="Times New Roman" w:hint="default"/>
        </w:rPr>
        <w:t>559,342</w:t>
      </w:r>
      <w:r>
        <w:rPr>
          <w:rFonts w:ascii="Times New Roman" w:hAnsi="Times New Roman" w:cs="Times New Roman" w:eastAsia="Times New Roman" w:hint="default"/>
          <w:spacing w:val="-30"/>
        </w:rPr>
        <w:t> </w:t>
      </w:r>
      <w:r>
        <w:rPr>
          <w:spacing w:val="-3"/>
        </w:rPr>
        <w:t>股，</w:t>
      </w:r>
      <w:r>
        <w:rPr/>
      </w:r>
    </w:p>
    <w:p>
      <w:pPr>
        <w:pStyle w:val="BodyText"/>
        <w:spacing w:line="386" w:lineRule="auto" w:before="177"/>
        <w:ind w:right="100"/>
        <w:jc w:val="left"/>
      </w:pPr>
      <w:r>
        <w:rPr/>
        <w:t>无限售条件股份增加</w:t>
      </w:r>
      <w:r>
        <w:rPr>
          <w:spacing w:val="-39"/>
        </w:rPr>
        <w:t> </w:t>
      </w:r>
      <w:r>
        <w:rPr>
          <w:rFonts w:ascii="Times New Roman" w:hAnsi="Times New Roman" w:cs="Times New Roman" w:eastAsia="Times New Roman" w:hint="default"/>
        </w:rPr>
        <w:t>559,342</w:t>
      </w:r>
      <w:r>
        <w:rPr>
          <w:rFonts w:ascii="Times New Roman" w:hAnsi="Times New Roman" w:cs="Times New Roman" w:eastAsia="Times New Roman" w:hint="default"/>
          <w:spacing w:val="-8"/>
        </w:rPr>
        <w:t> </w:t>
      </w:r>
      <w:r>
        <w:rPr/>
        <w:t>股，股份总数不变。详见公司于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日在巨潮资讯网披露的《关</w:t>
      </w:r>
      <w:r>
        <w:rPr>
          <w:w w:val="100"/>
        </w:rPr>
        <w:t> </w:t>
      </w:r>
      <w:r>
        <w:rPr/>
        <w:t>于限制性股票激励计划预留限制性股票第二期解锁股份上市流通的提示性公告</w:t>
      </w:r>
      <w:r>
        <w:rPr>
          <w:spacing w:val="-23"/>
        </w:rPr>
        <w:t> </w:t>
      </w:r>
      <w:r>
        <w:rPr>
          <w:spacing w:val="-106"/>
        </w:rPr>
        <w:t>》。</w:t>
      </w:r>
      <w:r>
        <w:rPr/>
      </w:r>
    </w:p>
    <w:p>
      <w:pPr>
        <w:pStyle w:val="BodyText"/>
        <w:spacing w:line="240" w:lineRule="auto" w:before="166"/>
        <w:ind w:left="573" w:right="100"/>
        <w:jc w:val="left"/>
        <w:rPr>
          <w:rFonts w:ascii="Times New Roman" w:hAnsi="Times New Roman" w:cs="Times New Roman" w:eastAsia="Times New Roman" w:hint="default"/>
        </w:rPr>
      </w:pP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2017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9"/>
        </w:rPr>
        <w:t>日，公司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3"/>
        </w:rPr>
        <w:t>年限制性股票授予事项已完成，公司有限售条件股份增加</w:t>
      </w:r>
      <w:r>
        <w:rPr>
          <w:spacing w:val="-45"/>
        </w:rPr>
        <w:t> </w:t>
      </w:r>
      <w:r>
        <w:rPr>
          <w:rFonts w:ascii="Times New Roman" w:hAnsi="Times New Roman" w:cs="Times New Roman" w:eastAsia="Times New Roman" w:hint="default"/>
        </w:rPr>
        <w:t>22,860,000</w:t>
      </w:r>
    </w:p>
    <w:p>
      <w:pPr>
        <w:pStyle w:val="BodyText"/>
        <w:spacing w:line="386" w:lineRule="auto" w:before="177"/>
        <w:ind w:right="100"/>
        <w:jc w:val="left"/>
      </w:pPr>
      <w:r>
        <w:rPr>
          <w:spacing w:val="-7"/>
        </w:rPr>
        <w:t>股，股份总数由</w:t>
      </w:r>
      <w:r>
        <w:rPr>
          <w:spacing w:val="-50"/>
        </w:rPr>
        <w:t> </w:t>
      </w:r>
      <w:r>
        <w:rPr>
          <w:rFonts w:ascii="Times New Roman" w:hAnsi="Times New Roman" w:cs="Times New Roman" w:eastAsia="Times New Roman" w:hint="default"/>
        </w:rPr>
        <w:t>1,149,336,195</w:t>
      </w:r>
      <w:r>
        <w:rPr>
          <w:rFonts w:ascii="Times New Roman" w:hAnsi="Times New Roman" w:cs="Times New Roman" w:eastAsia="Times New Roman" w:hint="default"/>
          <w:spacing w:val="-11"/>
        </w:rPr>
        <w:t> </w:t>
      </w:r>
      <w:r>
        <w:rPr/>
        <w:t>股增加至</w:t>
      </w:r>
      <w:r>
        <w:rPr>
          <w:spacing w:val="-53"/>
        </w:rPr>
        <w:t> </w:t>
      </w:r>
      <w:r>
        <w:rPr>
          <w:rFonts w:ascii="Times New Roman" w:hAnsi="Times New Roman" w:cs="Times New Roman" w:eastAsia="Times New Roman" w:hint="default"/>
        </w:rPr>
        <w:t>1,172,196,195</w:t>
      </w:r>
      <w:r>
        <w:rPr>
          <w:rFonts w:ascii="Times New Roman" w:hAnsi="Times New Roman" w:cs="Times New Roman" w:eastAsia="Times New Roman" w:hint="default"/>
          <w:spacing w:val="-8"/>
        </w:rPr>
        <w:t> </w:t>
      </w:r>
      <w:r>
        <w:rPr>
          <w:spacing w:val="-7"/>
        </w:rPr>
        <w:t>股。详见公司于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日在巨潮资讯网披露</w:t>
      </w:r>
      <w:r>
        <w:rPr>
          <w:w w:val="100"/>
        </w:rPr>
        <w:t> </w:t>
      </w:r>
      <w:r>
        <w:rPr/>
        <w:t>的《</w:t>
      </w:r>
      <w:r>
        <w:rPr>
          <w:rFonts w:ascii="Times New Roman" w:hAnsi="Times New Roman" w:cs="Times New Roman" w:eastAsia="Times New Roman" w:hint="default"/>
        </w:rPr>
        <w:t>2017 </w:t>
      </w:r>
      <w:r>
        <w:rPr/>
        <w:t>年限制性股票授予完成公告</w:t>
      </w:r>
      <w:r>
        <w:rPr>
          <w:spacing w:val="-33"/>
        </w:rPr>
        <w:t> </w:t>
      </w:r>
      <w:r>
        <w:rPr>
          <w:spacing w:val="-106"/>
        </w:rPr>
        <w:t>》。</w:t>
      </w:r>
      <w:r>
        <w:rPr/>
      </w:r>
    </w:p>
    <w:p>
      <w:pPr>
        <w:pStyle w:val="BodyText"/>
        <w:spacing w:line="240" w:lineRule="auto" w:before="136"/>
        <w:ind w:left="573" w:right="10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日，公司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年限制性股票激励计划首次授予限制性股票第三期解锁事项已完成，</w:t>
      </w:r>
    </w:p>
    <w:p>
      <w:pPr>
        <w:pStyle w:val="BodyText"/>
        <w:spacing w:line="240" w:lineRule="auto" w:before="178"/>
        <w:ind w:right="100"/>
        <w:jc w:val="left"/>
      </w:pPr>
      <w:r>
        <w:rPr/>
        <w:t>可解锁数量 </w:t>
      </w:r>
      <w:r>
        <w:rPr>
          <w:rFonts w:ascii="Times New Roman" w:hAnsi="Times New Roman" w:cs="Times New Roman" w:eastAsia="Times New Roman" w:hint="default"/>
        </w:rPr>
        <w:t>7,440,231</w:t>
      </w:r>
      <w:r>
        <w:rPr>
          <w:rFonts w:ascii="Times New Roman" w:hAnsi="Times New Roman" w:cs="Times New Roman" w:eastAsia="Times New Roman" w:hint="default"/>
          <w:spacing w:val="22"/>
        </w:rPr>
        <w:t> </w:t>
      </w:r>
      <w:r>
        <w:rPr/>
        <w:t>股，同时由于股票解锁的激励对象黄海涛、蔡厚富、赵庭荣、陈为群为公司董事、</w:t>
      </w:r>
    </w:p>
    <w:p>
      <w:pPr>
        <w:pStyle w:val="BodyText"/>
        <w:spacing w:line="240" w:lineRule="auto" w:before="177"/>
        <w:ind w:right="100"/>
        <w:jc w:val="left"/>
      </w:pPr>
      <w:r>
        <w:rPr/>
        <w:t>高级管理人员或其关联方，其持有的共计 </w:t>
      </w:r>
      <w:r>
        <w:rPr>
          <w:rFonts w:ascii="Times New Roman" w:hAnsi="Times New Roman" w:cs="Times New Roman" w:eastAsia="Times New Roman" w:hint="default"/>
        </w:rPr>
        <w:t>1,940,673</w:t>
      </w:r>
      <w:r>
        <w:rPr>
          <w:rFonts w:ascii="Times New Roman" w:hAnsi="Times New Roman" w:cs="Times New Roman" w:eastAsia="Times New Roman" w:hint="default"/>
          <w:spacing w:val="22"/>
        </w:rPr>
        <w:t> </w:t>
      </w:r>
      <w:r>
        <w:rPr/>
        <w:t>股纳入高管锁定股，未上市流通。公司有限售条件股</w:t>
      </w:r>
    </w:p>
    <w:p>
      <w:pPr>
        <w:pStyle w:val="BodyText"/>
        <w:spacing w:line="240" w:lineRule="auto" w:before="177"/>
        <w:ind w:right="100"/>
        <w:jc w:val="left"/>
      </w:pPr>
      <w:r>
        <w:rPr/>
        <w:t>份减少</w:t>
      </w:r>
      <w:r>
        <w:rPr>
          <w:spacing w:val="-48"/>
        </w:rPr>
        <w:t> </w:t>
      </w:r>
      <w:r>
        <w:rPr>
          <w:rFonts w:ascii="Times New Roman" w:hAnsi="Times New Roman" w:cs="Times New Roman" w:eastAsia="Times New Roman" w:hint="default"/>
        </w:rPr>
        <w:t>5,499,558</w:t>
      </w:r>
      <w:r>
        <w:rPr>
          <w:rFonts w:ascii="Times New Roman" w:hAnsi="Times New Roman" w:cs="Times New Roman" w:eastAsia="Times New Roman" w:hint="default"/>
          <w:spacing w:val="-9"/>
        </w:rPr>
        <w:t> </w:t>
      </w:r>
      <w:r>
        <w:rPr>
          <w:spacing w:val="-4"/>
        </w:rPr>
        <w:t>股，无限售条件股份增加</w:t>
      </w:r>
      <w:r>
        <w:rPr>
          <w:spacing w:val="-48"/>
        </w:rPr>
        <w:t> </w:t>
      </w:r>
      <w:r>
        <w:rPr>
          <w:rFonts w:ascii="Times New Roman" w:hAnsi="Times New Roman" w:cs="Times New Roman" w:eastAsia="Times New Roman" w:hint="default"/>
        </w:rPr>
        <w:t>5,499,558</w:t>
      </w:r>
      <w:r>
        <w:rPr>
          <w:rFonts w:ascii="Times New Roman" w:hAnsi="Times New Roman" w:cs="Times New Roman" w:eastAsia="Times New Roman" w:hint="default"/>
          <w:spacing w:val="-9"/>
        </w:rPr>
        <w:t> </w:t>
      </w:r>
      <w:r>
        <w:rPr>
          <w:spacing w:val="-5"/>
        </w:rPr>
        <w:t>股，股份总数不变。详见公司于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3"/>
        </w:rPr>
        <w:t>日在巨</w:t>
      </w:r>
      <w:r>
        <w:rPr/>
      </w:r>
    </w:p>
    <w:p>
      <w:pPr>
        <w:pStyle w:val="BodyText"/>
        <w:spacing w:line="386" w:lineRule="auto" w:before="177"/>
        <w:ind w:right="205"/>
        <w:jc w:val="left"/>
      </w:pPr>
      <w:r>
        <w:rPr/>
        <w:t>潮资讯网披露的《关于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年限制性股票激励计划首次授予限制性股票第三期解锁股份上市流通的提示</w:t>
      </w:r>
      <w:r>
        <w:rPr>
          <w:w w:val="100"/>
        </w:rPr>
        <w:t> </w:t>
      </w:r>
      <w:r>
        <w:rPr>
          <w:spacing w:val="-22"/>
          <w:w w:val="100"/>
        </w:rPr>
        <w:t>性公告》。</w:t>
      </w:r>
    </w:p>
    <w:p>
      <w:pPr>
        <w:pStyle w:val="BodyText"/>
        <w:spacing w:line="240" w:lineRule="auto" w:before="163"/>
        <w:ind w:left="573" w:right="10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日，公司</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年发行股份及支付现金购买资产及</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年发行股份购买资产并募</w:t>
      </w:r>
    </w:p>
    <w:p>
      <w:pPr>
        <w:pStyle w:val="BodyText"/>
        <w:spacing w:line="240" w:lineRule="auto" w:before="177"/>
        <w:ind w:right="100"/>
        <w:jc w:val="left"/>
      </w:pPr>
      <w:r>
        <w:rPr>
          <w:spacing w:val="-2"/>
        </w:rPr>
        <w:t>集配套资金暨关联交易的</w:t>
      </w:r>
      <w:r>
        <w:rPr/>
        <w:t> </w:t>
      </w:r>
      <w:r>
        <w:rPr>
          <w:rFonts w:ascii="Times New Roman" w:hAnsi="Times New Roman" w:cs="Times New Roman" w:eastAsia="Times New Roman" w:hint="default"/>
          <w:spacing w:val="-1"/>
        </w:rPr>
        <w:t>42,522,544</w:t>
      </w:r>
      <w:r>
        <w:rPr>
          <w:rFonts w:ascii="Times New Roman" w:hAnsi="Times New Roman" w:cs="Times New Roman" w:eastAsia="Times New Roman" w:hint="default"/>
          <w:spacing w:val="6"/>
        </w:rPr>
        <w:t> </w:t>
      </w:r>
      <w:r>
        <w:rPr>
          <w:spacing w:val="-2"/>
        </w:rPr>
        <w:t>股限售股锁定期已满并上市流通，其中股东白巍先生为公司监事，王</w:t>
      </w:r>
    </w:p>
    <w:p>
      <w:pPr>
        <w:pStyle w:val="BodyText"/>
        <w:spacing w:line="240" w:lineRule="auto" w:before="177"/>
        <w:ind w:right="100"/>
        <w:jc w:val="left"/>
      </w:pPr>
      <w:r>
        <w:rPr/>
        <w:t>益民先生为公司监事会主席，其持有的共计</w:t>
      </w:r>
      <w:r>
        <w:rPr>
          <w:spacing w:val="-43"/>
        </w:rPr>
        <w:t> </w:t>
      </w:r>
      <w:r>
        <w:rPr>
          <w:rFonts w:ascii="Times New Roman" w:hAnsi="Times New Roman" w:cs="Times New Roman" w:eastAsia="Times New Roman" w:hint="default"/>
          <w:spacing w:val="-3"/>
        </w:rPr>
        <w:t>19,111,836</w:t>
      </w:r>
      <w:r>
        <w:rPr>
          <w:rFonts w:ascii="Times New Roman" w:hAnsi="Times New Roman" w:cs="Times New Roman" w:eastAsia="Times New Roman" w:hint="default"/>
          <w:spacing w:val="-11"/>
        </w:rPr>
        <w:t> </w:t>
      </w:r>
      <w:r>
        <w:rPr/>
        <w:t>股纳入高管锁定股，未上市流通。公司有条件限售</w:t>
      </w:r>
    </w:p>
    <w:p>
      <w:pPr>
        <w:pStyle w:val="BodyText"/>
        <w:spacing w:line="240" w:lineRule="auto" w:before="177"/>
        <w:ind w:right="100"/>
        <w:jc w:val="left"/>
        <w:rPr>
          <w:rFonts w:ascii="Times New Roman" w:hAnsi="Times New Roman" w:cs="Times New Roman" w:eastAsia="Times New Roman" w:hint="default"/>
        </w:rPr>
      </w:pPr>
      <w:r>
        <w:rPr/>
        <w:t>股份减少</w:t>
      </w:r>
      <w:r>
        <w:rPr>
          <w:spacing w:val="-47"/>
        </w:rPr>
        <w:t> </w:t>
      </w:r>
      <w:r>
        <w:rPr>
          <w:rFonts w:ascii="Times New Roman" w:hAnsi="Times New Roman" w:cs="Times New Roman" w:eastAsia="Times New Roman" w:hint="default"/>
        </w:rPr>
        <w:t>23,410,708</w:t>
      </w:r>
      <w:r>
        <w:rPr>
          <w:rFonts w:ascii="Times New Roman" w:hAnsi="Times New Roman" w:cs="Times New Roman" w:eastAsia="Times New Roman" w:hint="default"/>
          <w:spacing w:val="-6"/>
        </w:rPr>
        <w:t> </w:t>
      </w:r>
      <w:r>
        <w:rPr>
          <w:spacing w:val="-3"/>
        </w:rPr>
        <w:t>股，无限售条件股份增加</w:t>
      </w:r>
      <w:r>
        <w:rPr>
          <w:spacing w:val="-48"/>
        </w:rPr>
        <w:t> </w:t>
      </w:r>
      <w:r>
        <w:rPr>
          <w:rFonts w:ascii="Times New Roman" w:hAnsi="Times New Roman" w:cs="Times New Roman" w:eastAsia="Times New Roman" w:hint="default"/>
        </w:rPr>
        <w:t>23,410,708</w:t>
      </w:r>
      <w:r>
        <w:rPr>
          <w:rFonts w:ascii="Times New Roman" w:hAnsi="Times New Roman" w:cs="Times New Roman" w:eastAsia="Times New Roman" w:hint="default"/>
          <w:spacing w:val="-6"/>
        </w:rPr>
        <w:t> </w:t>
      </w:r>
      <w:r>
        <w:rPr>
          <w:spacing w:val="-3"/>
        </w:rPr>
        <w:t>股，股份总数不变。详见公司于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headerReference w:type="default" r:id="rId43"/>
          <w:footerReference w:type="default" r:id="rId44"/>
          <w:pgSz w:w="11910" w:h="16840"/>
          <w:pgMar w:header="882" w:footer="1132" w:top="1280" w:bottom="1320" w:left="980" w:right="920"/>
          <w:pgNumType w:start="93"/>
        </w:sectPr>
      </w:pPr>
    </w:p>
    <w:p>
      <w:pPr>
        <w:spacing w:line="240" w:lineRule="auto" w:before="2"/>
        <w:rPr>
          <w:rFonts w:ascii="Times New Roman" w:hAnsi="Times New Roman" w:cs="Times New Roman" w:eastAsia="Times New Roman" w:hint="default"/>
          <w:sz w:val="15"/>
          <w:szCs w:val="15"/>
        </w:rPr>
      </w:pPr>
    </w:p>
    <w:p>
      <w:pPr>
        <w:pStyle w:val="BodyText"/>
        <w:spacing w:line="240" w:lineRule="auto" w:before="36"/>
        <w:ind w:right="0"/>
        <w:jc w:val="both"/>
      </w:pPr>
      <w:r>
        <w:rPr/>
        <w:t>日在巨潮资讯网披露的《关于发行股份及支付现金购买资产部分股份上市流通的提示性公告</w:t>
      </w:r>
      <w:r>
        <w:rPr>
          <w:spacing w:val="-24"/>
        </w:rPr>
        <w:t> </w:t>
      </w:r>
      <w:r>
        <w:rPr>
          <w:spacing w:val="-106"/>
        </w:rPr>
        <w:t>》。</w:t>
      </w:r>
      <w:r>
        <w:rPr/>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日，公司</w:t>
      </w:r>
      <w:r>
        <w:rPr>
          <w:spacing w:val="-3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年发行股份购买资产并募集配套资金的</w:t>
      </w:r>
      <w:r>
        <w:rPr>
          <w:spacing w:val="-40"/>
        </w:rPr>
        <w:t> </w:t>
      </w:r>
      <w:r>
        <w:rPr>
          <w:rFonts w:ascii="Times New Roman" w:hAnsi="Times New Roman" w:cs="Times New Roman" w:eastAsia="Times New Roman" w:hint="default"/>
        </w:rPr>
        <w:t>58,558,558</w:t>
      </w:r>
      <w:r>
        <w:rPr>
          <w:rFonts w:ascii="Times New Roman" w:hAnsi="Times New Roman" w:cs="Times New Roman" w:eastAsia="Times New Roman" w:hint="default"/>
          <w:spacing w:val="-7"/>
        </w:rPr>
        <w:t> </w:t>
      </w:r>
      <w:r>
        <w:rPr/>
        <w:t>股限售股锁定期</w:t>
      </w:r>
    </w:p>
    <w:p>
      <w:pPr>
        <w:pStyle w:val="BodyText"/>
        <w:spacing w:line="240" w:lineRule="auto" w:before="177"/>
        <w:ind w:right="0"/>
        <w:jc w:val="both"/>
      </w:pPr>
      <w:r>
        <w:rPr/>
        <w:t>已满并上市流通，公司有条件限售股份减少</w:t>
      </w:r>
      <w:r>
        <w:rPr>
          <w:spacing w:val="-57"/>
        </w:rPr>
        <w:t> </w:t>
      </w:r>
      <w:r>
        <w:rPr>
          <w:rFonts w:ascii="Times New Roman" w:hAnsi="Times New Roman" w:cs="Times New Roman" w:eastAsia="Times New Roman" w:hint="default"/>
        </w:rPr>
        <w:t>58,558,558</w:t>
      </w:r>
      <w:r>
        <w:rPr>
          <w:rFonts w:ascii="Times New Roman" w:hAnsi="Times New Roman" w:cs="Times New Roman" w:eastAsia="Times New Roman" w:hint="default"/>
          <w:spacing w:val="-16"/>
        </w:rPr>
        <w:t> </w:t>
      </w:r>
      <w:r>
        <w:rPr/>
        <w:t>股，无限售条件股份增加</w:t>
      </w:r>
      <w:r>
        <w:rPr>
          <w:spacing w:val="-58"/>
        </w:rPr>
        <w:t> </w:t>
      </w:r>
      <w:r>
        <w:rPr>
          <w:rFonts w:ascii="Times New Roman" w:hAnsi="Times New Roman" w:cs="Times New Roman" w:eastAsia="Times New Roman" w:hint="default"/>
        </w:rPr>
        <w:t>58,558,558</w:t>
      </w:r>
      <w:r>
        <w:rPr>
          <w:rFonts w:ascii="Times New Roman" w:hAnsi="Times New Roman" w:cs="Times New Roman" w:eastAsia="Times New Roman" w:hint="default"/>
          <w:spacing w:val="-13"/>
        </w:rPr>
        <w:t> </w:t>
      </w:r>
      <w:r>
        <w:rPr/>
        <w:t>股，股份总数</w:t>
      </w:r>
    </w:p>
    <w:p>
      <w:pPr>
        <w:pStyle w:val="BodyText"/>
        <w:spacing w:line="386" w:lineRule="auto" w:before="177"/>
        <w:ind w:right="146"/>
        <w:jc w:val="both"/>
      </w:pPr>
      <w:r>
        <w:rPr/>
        <w:t>不变。详见公司于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日在巨潮资讯网披露的《关于发行股份及支付现金购买资产部分股份上</w:t>
      </w:r>
      <w:r>
        <w:rPr>
          <w:w w:val="100"/>
        </w:rPr>
        <w:t> </w:t>
      </w:r>
      <w:r>
        <w:rPr/>
        <w:t>市流通的提示性公告</w:t>
      </w:r>
      <w:r>
        <w:rPr>
          <w:spacing w:val="-20"/>
        </w:rPr>
        <w:t> </w:t>
      </w:r>
      <w:r>
        <w:rPr>
          <w:spacing w:val="-106"/>
        </w:rPr>
        <w:t>》。</w:t>
      </w:r>
      <w:r>
        <w:rPr/>
      </w:r>
    </w:p>
    <w:p>
      <w:pPr>
        <w:pStyle w:val="BodyText"/>
        <w:spacing w:line="240" w:lineRule="auto" w:before="163"/>
        <w:ind w:left="573" w:right="11"/>
        <w:jc w:val="left"/>
      </w:pPr>
      <w:r>
        <w:rPr/>
        <w:t>股份变动的批准情况</w:t>
      </w:r>
    </w:p>
    <w:p>
      <w:pPr>
        <w:spacing w:line="240" w:lineRule="auto" w:before="7"/>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1"/>
          <w:szCs w:val="21"/>
        </w:rPr>
      </w:pPr>
    </w:p>
    <w:p>
      <w:pPr>
        <w:pStyle w:val="BodyText"/>
        <w:spacing w:line="400" w:lineRule="auto"/>
        <w:ind w:right="146"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3"/>
        </w:rPr>
        <w:t> </w:t>
      </w:r>
      <w:r>
        <w:rPr/>
        <w:t>日，公司召开第三届董事会第二十八次会议和第三届监事会第十四次会议，审议</w:t>
      </w:r>
      <w:r>
        <w:rPr>
          <w:w w:val="100"/>
        </w:rPr>
        <w:t> </w:t>
      </w:r>
      <w:r>
        <w:rPr>
          <w:spacing w:val="-2"/>
        </w:rPr>
        <w:t>通过了《关于限制性股票激励计划首次授予的限制性股票第二次解锁期可解锁的议案》及《关于回购注销</w:t>
      </w:r>
      <w:r>
        <w:rPr>
          <w:spacing w:val="-43"/>
        </w:rPr>
        <w:t> </w:t>
      </w:r>
      <w:r>
        <w:rPr>
          <w:spacing w:val="-43"/>
        </w:rPr>
      </w:r>
      <w:r>
        <w:rPr>
          <w:spacing w:val="-2"/>
          <w:w w:val="100"/>
        </w:rPr>
        <w:t>不符合解锁条件的激励对象已获授但尚未解锁的限制性股票的议案》，同意公司按照《限制性股票激励计</w:t>
      </w:r>
      <w:r>
        <w:rPr>
          <w:spacing w:val="-94"/>
          <w:w w:val="100"/>
        </w:rPr>
        <w:t> </w:t>
      </w:r>
      <w:r>
        <w:rPr>
          <w:spacing w:val="-94"/>
          <w:w w:val="100"/>
        </w:rPr>
      </w:r>
      <w:r>
        <w:rPr>
          <w:spacing w:val="1"/>
          <w:w w:val="100"/>
        </w:rPr>
        <w:t>划（草案）》的相关规定办理限制性股票第二期解锁事宜。本次可解锁激励对象</w:t>
      </w:r>
      <w:r>
        <w:rPr>
          <w:w w:val="100"/>
        </w:rPr>
        <w:t> </w:t>
      </w:r>
      <w:r>
        <w:rPr>
          <w:rFonts w:ascii="Times New Roman" w:hAnsi="Times New Roman" w:cs="Times New Roman" w:eastAsia="Times New Roman" w:hint="default"/>
          <w:spacing w:val="-2"/>
          <w:w w:val="100"/>
        </w:rPr>
        <w:t>88</w:t>
      </w:r>
      <w:r>
        <w:rPr>
          <w:rFonts w:ascii="Times New Roman" w:hAnsi="Times New Roman" w:cs="Times New Roman" w:eastAsia="Times New Roman" w:hint="default"/>
          <w:w w:val="100"/>
        </w:rPr>
        <w:t> </w:t>
      </w:r>
      <w:r>
        <w:rPr>
          <w:rFonts w:ascii="Times New Roman" w:hAnsi="Times New Roman" w:cs="Times New Roman" w:eastAsia="Times New Roman" w:hint="default"/>
          <w:spacing w:val="36"/>
          <w:w w:val="100"/>
        </w:rPr>
        <w:t> </w:t>
      </w:r>
      <w:r>
        <w:rPr>
          <w:spacing w:val="4"/>
          <w:w w:val="100"/>
        </w:rPr>
        <w:t>人，解锁股份共计</w:t>
      </w:r>
    </w:p>
    <w:p>
      <w:pPr>
        <w:pStyle w:val="BodyText"/>
        <w:spacing w:line="386" w:lineRule="auto" w:before="21"/>
        <w:ind w:right="149"/>
        <w:jc w:val="both"/>
      </w:pPr>
      <w:r>
        <w:rPr>
          <w:rFonts w:ascii="Times New Roman" w:hAnsi="Times New Roman" w:cs="Times New Roman" w:eastAsia="Times New Roman" w:hint="default"/>
        </w:rPr>
        <w:t>5,227,448</w:t>
      </w:r>
      <w:r>
        <w:rPr>
          <w:rFonts w:ascii="Times New Roman" w:hAnsi="Times New Roman" w:cs="Times New Roman" w:eastAsia="Times New Roman" w:hint="default"/>
          <w:spacing w:val="51"/>
        </w:rPr>
        <w:t> </w:t>
      </w:r>
      <w:r>
        <w:rPr>
          <w:spacing w:val="-4"/>
        </w:rPr>
        <w:t>股，回购注销不符合解锁条件的股份</w:t>
      </w:r>
      <w:r>
        <w:rPr>
          <w:spacing w:val="-41"/>
        </w:rPr>
        <w:t> </w:t>
      </w:r>
      <w:r>
        <w:rPr>
          <w:rFonts w:ascii="Times New Roman" w:hAnsi="Times New Roman" w:cs="Times New Roman" w:eastAsia="Times New Roman" w:hint="default"/>
        </w:rPr>
        <w:t>884,959</w:t>
      </w:r>
      <w:r>
        <w:rPr>
          <w:rFonts w:ascii="Times New Roman" w:hAnsi="Times New Roman" w:cs="Times New Roman" w:eastAsia="Times New Roman" w:hint="default"/>
          <w:spacing w:val="49"/>
        </w:rPr>
        <w:t> </w:t>
      </w:r>
      <w:r>
        <w:rPr>
          <w:spacing w:val="-4"/>
        </w:rPr>
        <w:t>股。公司独立董事对此发表了独立意见，律师出具</w:t>
      </w:r>
      <w:r>
        <w:rPr>
          <w:spacing w:val="-100"/>
        </w:rPr>
        <w:t> </w:t>
      </w:r>
      <w:r>
        <w:rPr>
          <w:spacing w:val="-100"/>
        </w:rPr>
      </w:r>
      <w:r>
        <w:rPr/>
        <w:t>了法律意见书。</w:t>
      </w:r>
    </w:p>
    <w:p>
      <w:pPr>
        <w:pStyle w:val="BodyText"/>
        <w:spacing w:line="240" w:lineRule="auto" w:before="164"/>
        <w:ind w:left="573" w:right="1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3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日，公司召开第三届董事会第四十四会议和第三届监事会第二十一次会议，审议通</w:t>
      </w:r>
    </w:p>
    <w:p>
      <w:pPr>
        <w:pStyle w:val="BodyText"/>
        <w:spacing w:line="405" w:lineRule="auto" w:before="177"/>
        <w:ind w:right="125"/>
        <w:jc w:val="both"/>
      </w:pPr>
      <w:r>
        <w:rPr>
          <w:spacing w:val="-3"/>
          <w:w w:val="100"/>
        </w:rPr>
        <w:t>过了《关于</w:t>
      </w:r>
      <w:r>
        <w:rPr>
          <w:spacing w:val="-40"/>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3"/>
          <w:w w:val="100"/>
        </w:rPr>
        <w:t> </w:t>
      </w:r>
      <w:r>
        <w:rPr>
          <w:spacing w:val="-5"/>
          <w:w w:val="100"/>
        </w:rPr>
        <w:t>年限制性股票激励计划预留限制性股票第二期解锁条件成就的议案》。董事会认为公司限</w:t>
      </w:r>
      <w:r>
        <w:rPr>
          <w:spacing w:val="-95"/>
          <w:w w:val="100"/>
        </w:rPr>
        <w:t> </w:t>
      </w:r>
      <w:r>
        <w:rPr>
          <w:spacing w:val="-95"/>
          <w:w w:val="100"/>
        </w:rPr>
      </w:r>
      <w:r>
        <w:rPr>
          <w:spacing w:val="-2"/>
        </w:rPr>
        <w:t>制性股票激励计划预留限制性股票第二个解锁期的解锁条件已经成就，同意按照《激励计划》的相关规定</w:t>
      </w:r>
      <w:r>
        <w:rPr>
          <w:spacing w:val="-42"/>
        </w:rPr>
        <w:t> </w:t>
      </w:r>
      <w:r>
        <w:rPr>
          <w:spacing w:val="-42"/>
        </w:rPr>
      </w:r>
      <w:r>
        <w:rPr>
          <w:spacing w:val="-2"/>
        </w:rPr>
        <w:t>办理预留限制性股票第二期解锁事宜。监事会对限制性股票激励计划预留限制性股票第二期解锁的激励对</w:t>
      </w:r>
      <w:r>
        <w:rPr>
          <w:spacing w:val="-43"/>
        </w:rPr>
        <w:t> </w:t>
      </w:r>
      <w:r>
        <w:rPr>
          <w:spacing w:val="-43"/>
        </w:rPr>
      </w:r>
      <w:r>
        <w:rPr>
          <w:spacing w:val="-6"/>
          <w:w w:val="100"/>
        </w:rPr>
        <w:t>象名单进行了核查后认为：本次可解锁的激励对象资格符合《上市公司股权激励管理办法》、《激励计划》</w:t>
      </w:r>
      <w:r>
        <w:rPr>
          <w:spacing w:val="-98"/>
          <w:w w:val="100"/>
        </w:rPr>
        <w:t> </w:t>
      </w:r>
      <w:r>
        <w:rPr>
          <w:spacing w:val="-98"/>
          <w:w w:val="100"/>
        </w:rPr>
      </w:r>
      <w:r>
        <w:rPr>
          <w:spacing w:val="-2"/>
        </w:rPr>
        <w:t>等相关规定，在考核年度内个人工作绩效考核结果均达到解锁标准，其主体资格合法、有效，且公司业绩</w:t>
      </w:r>
      <w:r>
        <w:rPr>
          <w:spacing w:val="-47"/>
        </w:rPr>
        <w:t> </w:t>
      </w:r>
      <w:r>
        <w:rPr>
          <w:spacing w:val="-47"/>
        </w:rPr>
      </w:r>
      <w:r>
        <w:rPr>
          <w:spacing w:val="-2"/>
        </w:rPr>
        <w:t>指标等其他解锁条件已达成，满足公司限制性股票激励计划预留限制性股票第二期的解锁条件，同意公司</w:t>
      </w:r>
      <w:r>
        <w:rPr>
          <w:spacing w:val="-43"/>
        </w:rPr>
        <w:t> </w:t>
      </w:r>
      <w:r>
        <w:rPr>
          <w:spacing w:val="-43"/>
        </w:rPr>
      </w:r>
      <w:r>
        <w:rPr>
          <w:spacing w:val="-2"/>
        </w:rPr>
        <w:t>办理限制性股票激励计划预留限制性股票第二期解锁事宜。公司独立董事对此发表了独立意见，律师出具</w:t>
      </w:r>
      <w:r>
        <w:rPr>
          <w:spacing w:val="-43"/>
        </w:rPr>
        <w:t> </w:t>
      </w:r>
      <w:r>
        <w:rPr>
          <w:spacing w:val="-43"/>
        </w:rPr>
      </w:r>
      <w:r>
        <w:rPr/>
        <w:t>了法律意见书。</w:t>
      </w:r>
    </w:p>
    <w:p>
      <w:pPr>
        <w:pStyle w:val="BodyText"/>
        <w:spacing w:line="386" w:lineRule="auto" w:before="149"/>
        <w:ind w:right="146"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3"/>
        </w:rPr>
        <w:t>日，公司召开了第三届董事会第四十次会议和第三届监事会第十七次会议，审议并</w:t>
      </w:r>
      <w:r>
        <w:rPr>
          <w:w w:val="100"/>
        </w:rPr>
        <w:t> </w:t>
      </w:r>
      <w:r>
        <w:rPr>
          <w:spacing w:val="-1"/>
          <w:w w:val="100"/>
        </w:rPr>
        <w:t>通过了《关于公司</w:t>
      </w:r>
      <w:r>
        <w:rPr>
          <w:rFonts w:ascii="Times New Roman" w:hAnsi="Times New Roman" w:cs="Times New Roman" w:eastAsia="Times New Roman" w:hint="default"/>
          <w:spacing w:val="-1"/>
          <w:w w:val="100"/>
        </w:rPr>
        <w:t>&lt;2017</w:t>
      </w:r>
      <w:r>
        <w:rPr>
          <w:rFonts w:ascii="Times New Roman" w:hAnsi="Times New Roman" w:cs="Times New Roman" w:eastAsia="Times New Roman" w:hint="default"/>
          <w:w w:val="100"/>
        </w:rPr>
        <w:t> </w:t>
      </w:r>
      <w:r>
        <w:rPr>
          <w:spacing w:val="-4"/>
          <w:w w:val="100"/>
        </w:rPr>
        <w:t>年限制性股票激励计划</w:t>
      </w:r>
      <w:r>
        <w:rPr>
          <w:rFonts w:ascii="Times New Roman" w:hAnsi="Times New Roman" w:cs="Times New Roman" w:eastAsia="Times New Roman" w:hint="default"/>
          <w:spacing w:val="-4"/>
          <w:w w:val="100"/>
        </w:rPr>
        <w:t>(</w:t>
      </w:r>
      <w:r>
        <w:rPr>
          <w:spacing w:val="-4"/>
          <w:w w:val="100"/>
        </w:rPr>
        <w:t>草案</w:t>
      </w:r>
      <w:r>
        <w:rPr>
          <w:rFonts w:ascii="Times New Roman" w:hAnsi="Times New Roman" w:cs="Times New Roman" w:eastAsia="Times New Roman" w:hint="default"/>
          <w:spacing w:val="-4"/>
          <w:w w:val="100"/>
        </w:rPr>
        <w:t>)&gt;</w:t>
      </w:r>
      <w:r>
        <w:rPr>
          <w:spacing w:val="-4"/>
          <w:w w:val="100"/>
        </w:rPr>
        <w:t>及摘要的议案》，公司独立董事对此发表了独立意</w:t>
      </w:r>
      <w:r>
        <w:rPr>
          <w:spacing w:val="-87"/>
          <w:w w:val="100"/>
        </w:rPr>
        <w:t> </w:t>
      </w:r>
      <w:r>
        <w:rPr>
          <w:spacing w:val="-87"/>
          <w:w w:val="100"/>
        </w:rPr>
      </w:r>
      <w:r>
        <w:rPr/>
        <w:t>见，律师出具了相应报告。</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日，公司召开第三届董事会第四十一次会议，审议通过了《关</w:t>
      </w:r>
      <w:r>
        <w:rPr>
          <w:w w:val="100"/>
        </w:rPr>
        <w:t> </w:t>
      </w:r>
      <w:r>
        <w:rPr>
          <w:spacing w:val="-1"/>
          <w:w w:val="100"/>
        </w:rPr>
        <w:t>于调整</w:t>
      </w:r>
      <w:r>
        <w:rPr>
          <w:w w:val="100"/>
        </w:rPr>
        <w:t> </w:t>
      </w:r>
      <w:r>
        <w:rPr>
          <w:rFonts w:ascii="Times New Roman" w:hAnsi="Times New Roman" w:cs="Times New Roman" w:eastAsia="Times New Roman" w:hint="default"/>
          <w:w w:val="100"/>
        </w:rPr>
        <w:t>2017 </w:t>
      </w:r>
      <w:r>
        <w:rPr>
          <w:spacing w:val="-9"/>
          <w:w w:val="100"/>
        </w:rPr>
        <w:t>年限制性股票激励计划激励对象及授予数量的议案》、《</w:t>
      </w:r>
      <w:r>
        <w:rPr>
          <w:rFonts w:ascii="Times New Roman" w:hAnsi="Times New Roman" w:cs="Times New Roman" w:eastAsia="Times New Roman" w:hint="default"/>
          <w:spacing w:val="-9"/>
          <w:w w:val="100"/>
        </w:rPr>
        <w:t>&lt;2017</w:t>
      </w:r>
      <w:r>
        <w:rPr>
          <w:rFonts w:ascii="Times New Roman" w:hAnsi="Times New Roman" w:cs="Times New Roman" w:eastAsia="Times New Roman" w:hint="default"/>
          <w:spacing w:val="48"/>
          <w:w w:val="100"/>
        </w:rPr>
        <w:t> </w:t>
      </w:r>
      <w:r>
        <w:rPr>
          <w:spacing w:val="-2"/>
          <w:w w:val="100"/>
        </w:rPr>
        <w:t>年限制性股票激励计划</w:t>
      </w:r>
      <w:r>
        <w:rPr>
          <w:rFonts w:ascii="Times New Roman" w:hAnsi="Times New Roman" w:cs="Times New Roman" w:eastAsia="Times New Roman" w:hint="default"/>
          <w:spacing w:val="-2"/>
          <w:w w:val="100"/>
        </w:rPr>
        <w:t>(</w:t>
      </w:r>
      <w:r>
        <w:rPr>
          <w:spacing w:val="-2"/>
          <w:w w:val="100"/>
        </w:rPr>
        <w:t>草案</w:t>
      </w:r>
      <w:r>
        <w:rPr>
          <w:rFonts w:ascii="Times New Roman" w:hAnsi="Times New Roman" w:cs="Times New Roman" w:eastAsia="Times New Roman" w:hint="default"/>
          <w:spacing w:val="-2"/>
          <w:w w:val="100"/>
        </w:rPr>
        <w:t>)&gt;</w:t>
      </w:r>
      <w:r>
        <w:rPr>
          <w:rFonts w:ascii="Times New Roman" w:hAnsi="Times New Roman" w:cs="Times New Roman" w:eastAsia="Times New Roman" w:hint="default"/>
          <w:w w:val="100"/>
        </w:rPr>
      </w:r>
    </w:p>
    <w:p>
      <w:pPr>
        <w:pStyle w:val="BodyText"/>
        <w:spacing w:line="408" w:lineRule="auto" w:before="35"/>
        <w:ind w:right="148"/>
        <w:jc w:val="both"/>
        <w:rPr>
          <w:rFonts w:ascii="Times New Roman" w:hAnsi="Times New Roman" w:cs="Times New Roman" w:eastAsia="Times New Roman" w:hint="default"/>
        </w:rPr>
      </w:pPr>
      <w:r>
        <w:rPr>
          <w:spacing w:val="-2"/>
          <w:w w:val="100"/>
        </w:rPr>
        <w:t>（修订稿）及摘要的议案》，并于当日召开了第三届监事会第十八次会议，对公司授予的激励对象名单进</w:t>
      </w:r>
      <w:r>
        <w:rPr>
          <w:spacing w:val="-89"/>
          <w:w w:val="100"/>
        </w:rPr>
        <w:t> </w:t>
      </w:r>
      <w:r>
        <w:rPr>
          <w:spacing w:val="-89"/>
          <w:w w:val="100"/>
        </w:rPr>
      </w:r>
      <w:r>
        <w:rPr>
          <w:spacing w:val="-6"/>
        </w:rPr>
        <w:t>行了核实。公司独立董事对此发表了独立意见，律师出具了法律意见书。</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10"/>
        </w:rPr>
        <w:t>日，公司召开</w:t>
      </w:r>
      <w:r>
        <w:rPr>
          <w:spacing w:val="-41"/>
        </w:rPr>
        <w:t> </w:t>
      </w:r>
      <w:r>
        <w:rPr>
          <w:rFonts w:ascii="Times New Roman" w:hAnsi="Times New Roman" w:cs="Times New Roman" w:eastAsia="Times New Roman" w:hint="default"/>
        </w:rPr>
        <w:t>2016</w:t>
      </w:r>
    </w:p>
    <w:p>
      <w:pPr>
        <w:spacing w:after="0" w:line="408" w:lineRule="auto"/>
        <w:jc w:val="both"/>
        <w:rPr>
          <w:rFonts w:ascii="Times New Roman" w:hAnsi="Times New Roman" w:cs="Times New Roman" w:eastAsia="Times New Roman" w:hint="default"/>
        </w:rPr>
        <w:sectPr>
          <w:footerReference w:type="default" r:id="rId45"/>
          <w:pgSz w:w="11910" w:h="16840"/>
          <w:pgMar w:footer="1132" w:header="882" w:top="1280" w:bottom="1320" w:left="980" w:right="980"/>
          <w:pgNumType w:start="94"/>
        </w:sectPr>
      </w:pPr>
    </w:p>
    <w:p>
      <w:pPr>
        <w:spacing w:line="240" w:lineRule="auto" w:before="2"/>
        <w:rPr>
          <w:rFonts w:ascii="Times New Roman" w:hAnsi="Times New Roman" w:cs="Times New Roman" w:eastAsia="Times New Roman" w:hint="default"/>
          <w:sz w:val="15"/>
          <w:szCs w:val="15"/>
        </w:rPr>
      </w:pPr>
    </w:p>
    <w:p>
      <w:pPr>
        <w:pStyle w:val="BodyText"/>
        <w:spacing w:line="240" w:lineRule="auto" w:before="36"/>
        <w:ind w:right="0"/>
        <w:jc w:val="both"/>
      </w:pPr>
      <w:r>
        <w:rPr>
          <w:w w:val="100"/>
        </w:rPr>
        <w:t>年年</w:t>
      </w:r>
      <w:r>
        <w:rPr>
          <w:spacing w:val="-3"/>
          <w:w w:val="100"/>
        </w:rPr>
        <w:t>度</w:t>
      </w:r>
      <w:r>
        <w:rPr>
          <w:w w:val="100"/>
        </w:rPr>
        <w:t>股</w:t>
      </w:r>
      <w:r>
        <w:rPr>
          <w:spacing w:val="-3"/>
          <w:w w:val="100"/>
        </w:rPr>
        <w:t>东</w:t>
      </w:r>
      <w:r>
        <w:rPr>
          <w:w w:val="100"/>
        </w:rPr>
        <w:t>大</w:t>
      </w:r>
      <w:r>
        <w:rPr>
          <w:spacing w:val="-3"/>
          <w:w w:val="100"/>
        </w:rPr>
        <w:t>会</w:t>
      </w:r>
      <w:r>
        <w:rPr>
          <w:spacing w:val="-51"/>
          <w:w w:val="100"/>
        </w:rPr>
        <w:t>，</w:t>
      </w:r>
      <w:r>
        <w:rPr>
          <w:spacing w:val="-3"/>
          <w:w w:val="100"/>
        </w:rPr>
        <w:t>审</w:t>
      </w:r>
      <w:r>
        <w:rPr>
          <w:w w:val="100"/>
        </w:rPr>
        <w:t>议</w:t>
      </w:r>
      <w:r>
        <w:rPr>
          <w:spacing w:val="-3"/>
          <w:w w:val="100"/>
        </w:rPr>
        <w:t>通</w:t>
      </w:r>
      <w:r>
        <w:rPr>
          <w:w w:val="100"/>
        </w:rPr>
        <w:t>过了</w:t>
      </w:r>
      <w:r>
        <w:rPr>
          <w:spacing w:val="-3"/>
          <w:w w:val="100"/>
        </w:rPr>
        <w:t>关</w:t>
      </w:r>
      <w:r>
        <w:rPr>
          <w:w w:val="100"/>
        </w:rPr>
        <w:t>于</w:t>
      </w:r>
      <w:r>
        <w:rPr>
          <w:spacing w:val="-3"/>
          <w:w w:val="100"/>
        </w:rPr>
        <w:t>公</w:t>
      </w:r>
      <w:r>
        <w:rPr>
          <w:spacing w:val="-51"/>
          <w:w w:val="100"/>
        </w:rPr>
        <w:t>司</w:t>
      </w:r>
      <w:r>
        <w:rPr>
          <w:spacing w:val="-2"/>
          <w:w w:val="100"/>
        </w:rPr>
        <w:t>《</w:t>
      </w:r>
      <w:r>
        <w:rPr>
          <w:rFonts w:ascii="Times New Roman" w:hAnsi="Times New Roman" w:cs="Times New Roman" w:eastAsia="Times New Roman" w:hint="default"/>
          <w:w w:val="100"/>
        </w:rPr>
        <w:t>&lt;2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2"/>
        </w:rPr>
        <w:t> </w:t>
      </w:r>
      <w:r>
        <w:rPr>
          <w:w w:val="100"/>
        </w:rPr>
        <w:t>年</w:t>
      </w:r>
      <w:r>
        <w:rPr>
          <w:spacing w:val="-3"/>
          <w:w w:val="100"/>
        </w:rPr>
        <w:t>限</w:t>
      </w:r>
      <w:r>
        <w:rPr>
          <w:w w:val="100"/>
        </w:rPr>
        <w:t>制性</w:t>
      </w:r>
      <w:r>
        <w:rPr>
          <w:spacing w:val="-3"/>
          <w:w w:val="100"/>
        </w:rPr>
        <w:t>股</w:t>
      </w:r>
      <w:r>
        <w:rPr>
          <w:w w:val="100"/>
        </w:rPr>
        <w:t>票</w:t>
      </w:r>
      <w:r>
        <w:rPr>
          <w:spacing w:val="-3"/>
          <w:w w:val="100"/>
        </w:rPr>
        <w:t>激</w:t>
      </w:r>
      <w:r>
        <w:rPr>
          <w:w w:val="100"/>
        </w:rPr>
        <w:t>励</w:t>
      </w:r>
      <w:r>
        <w:rPr>
          <w:spacing w:val="-3"/>
          <w:w w:val="100"/>
        </w:rPr>
        <w:t>计</w:t>
      </w:r>
      <w:r>
        <w:rPr>
          <w:spacing w:val="-51"/>
          <w:w w:val="100"/>
        </w:rPr>
        <w:t>划</w:t>
      </w:r>
      <w:r>
        <w:rPr>
          <w:spacing w:val="-3"/>
          <w:w w:val="100"/>
        </w:rPr>
        <w:t>（</w:t>
      </w:r>
      <w:r>
        <w:rPr>
          <w:w w:val="100"/>
        </w:rPr>
        <w:t>草</w:t>
      </w:r>
      <w:r>
        <w:rPr>
          <w:spacing w:val="-3"/>
          <w:w w:val="100"/>
        </w:rPr>
        <w:t>案</w:t>
      </w:r>
      <w:r>
        <w:rPr>
          <w:spacing w:val="-53"/>
          <w:w w:val="100"/>
        </w:rPr>
        <w:t>）</w:t>
      </w:r>
      <w:r>
        <w:rPr>
          <w:rFonts w:ascii="Times New Roman" w:hAnsi="Times New Roman" w:cs="Times New Roman" w:eastAsia="Times New Roman" w:hint="default"/>
          <w:spacing w:val="-50"/>
          <w:w w:val="100"/>
        </w:rPr>
        <w:t>&gt;</w:t>
      </w:r>
      <w:r>
        <w:rPr>
          <w:spacing w:val="-3"/>
          <w:w w:val="100"/>
        </w:rPr>
        <w:t>（</w:t>
      </w:r>
      <w:r>
        <w:rPr>
          <w:w w:val="100"/>
        </w:rPr>
        <w:t>修</w:t>
      </w:r>
      <w:r>
        <w:rPr>
          <w:spacing w:val="-3"/>
          <w:w w:val="100"/>
        </w:rPr>
        <w:t>订</w:t>
      </w:r>
      <w:r>
        <w:rPr>
          <w:w w:val="100"/>
        </w:rPr>
        <w:t>稿</w:t>
      </w:r>
      <w:r>
        <w:rPr>
          <w:spacing w:val="-51"/>
          <w:w w:val="100"/>
        </w:rPr>
        <w:t>）</w:t>
      </w:r>
      <w:r>
        <w:rPr>
          <w:spacing w:val="-3"/>
          <w:w w:val="100"/>
        </w:rPr>
        <w:t>及</w:t>
      </w:r>
      <w:r>
        <w:rPr>
          <w:w w:val="100"/>
        </w:rPr>
        <w:t>摘</w:t>
      </w:r>
      <w:r>
        <w:rPr>
          <w:spacing w:val="-3"/>
          <w:w w:val="100"/>
        </w:rPr>
        <w:t>要</w:t>
      </w:r>
      <w:r>
        <w:rPr>
          <w:w w:val="100"/>
        </w:rPr>
        <w:t>的</w:t>
      </w:r>
      <w:r>
        <w:rPr>
          <w:spacing w:val="-3"/>
          <w:w w:val="100"/>
        </w:rPr>
        <w:t>议</w:t>
      </w:r>
      <w:r>
        <w:rPr>
          <w:w w:val="100"/>
        </w:rPr>
        <w:t>案</w:t>
      </w:r>
      <w:r>
        <w:rPr>
          <w:spacing w:val="-108"/>
          <w:w w:val="100"/>
        </w:rPr>
        <w:t>》</w:t>
      </w:r>
      <w:r>
        <w:rPr>
          <w:w w:val="100"/>
        </w:rPr>
        <w:t>、</w:t>
      </w:r>
    </w:p>
    <w:p>
      <w:pPr>
        <w:pStyle w:val="BodyText"/>
        <w:spacing w:line="386" w:lineRule="auto" w:before="177"/>
        <w:ind w:right="223"/>
        <w:jc w:val="both"/>
      </w:pPr>
      <w:r>
        <w:rPr>
          <w:w w:val="100"/>
        </w:rPr>
        <w:t>《关</w:t>
      </w:r>
      <w:r>
        <w:rPr>
          <w:spacing w:val="-3"/>
          <w:w w:val="100"/>
        </w:rPr>
        <w:t>于</w:t>
      </w:r>
      <w:r>
        <w:rPr>
          <w:w w:val="100"/>
        </w:rPr>
        <w:t>公</w:t>
      </w:r>
      <w:r>
        <w:rPr>
          <w:spacing w:val="-3"/>
          <w:w w:val="100"/>
        </w:rPr>
        <w:t>司</w:t>
      </w:r>
      <w:r>
        <w:rPr>
          <w:rFonts w:ascii="Times New Roman" w:hAnsi="Times New Roman" w:cs="Times New Roman" w:eastAsia="Times New Roman" w:hint="default"/>
          <w:w w:val="100"/>
        </w:rPr>
        <w:t>&lt;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年</w:t>
      </w:r>
      <w:r>
        <w:rPr>
          <w:w w:val="100"/>
        </w:rPr>
        <w:t>限</w:t>
      </w:r>
      <w:r>
        <w:rPr>
          <w:spacing w:val="-3"/>
          <w:w w:val="100"/>
        </w:rPr>
        <w:t>制</w:t>
      </w:r>
      <w:r>
        <w:rPr>
          <w:w w:val="100"/>
        </w:rPr>
        <w:t>性股</w:t>
      </w:r>
      <w:r>
        <w:rPr>
          <w:spacing w:val="-3"/>
          <w:w w:val="100"/>
        </w:rPr>
        <w:t>票</w:t>
      </w:r>
      <w:r>
        <w:rPr>
          <w:w w:val="100"/>
        </w:rPr>
        <w:t>激</w:t>
      </w:r>
      <w:r>
        <w:rPr>
          <w:spacing w:val="-3"/>
          <w:w w:val="100"/>
        </w:rPr>
        <w:t>励</w:t>
      </w:r>
      <w:r>
        <w:rPr>
          <w:w w:val="100"/>
        </w:rPr>
        <w:t>计</w:t>
      </w:r>
      <w:r>
        <w:rPr>
          <w:spacing w:val="-3"/>
          <w:w w:val="100"/>
        </w:rPr>
        <w:t>划</w:t>
      </w:r>
      <w:r>
        <w:rPr>
          <w:w w:val="100"/>
        </w:rPr>
        <w:t>实</w:t>
      </w:r>
      <w:r>
        <w:rPr>
          <w:spacing w:val="-3"/>
          <w:w w:val="100"/>
        </w:rPr>
        <w:t>施</w:t>
      </w:r>
      <w:r>
        <w:rPr>
          <w:w w:val="100"/>
        </w:rPr>
        <w:t>考</w:t>
      </w:r>
      <w:r>
        <w:rPr>
          <w:spacing w:val="-3"/>
          <w:w w:val="100"/>
        </w:rPr>
        <w:t>核</w:t>
      </w:r>
      <w:r>
        <w:rPr>
          <w:w w:val="100"/>
        </w:rPr>
        <w:t>管理</w:t>
      </w:r>
      <w:r>
        <w:rPr>
          <w:spacing w:val="-3"/>
          <w:w w:val="100"/>
        </w:rPr>
        <w:t>办</w:t>
      </w:r>
      <w:r>
        <w:rPr>
          <w:spacing w:val="-2"/>
          <w:w w:val="100"/>
        </w:rPr>
        <w:t>法</w:t>
      </w:r>
      <w:r>
        <w:rPr>
          <w:rFonts w:ascii="Times New Roman" w:hAnsi="Times New Roman" w:cs="Times New Roman" w:eastAsia="Times New Roman" w:hint="default"/>
          <w:w w:val="100"/>
        </w:rPr>
        <w:t>&gt;</w:t>
      </w:r>
      <w:r>
        <w:rPr>
          <w:spacing w:val="-3"/>
          <w:w w:val="100"/>
        </w:rPr>
        <w:t>的</w:t>
      </w:r>
      <w:r>
        <w:rPr>
          <w:w w:val="100"/>
        </w:rPr>
        <w:t>议案</w:t>
      </w:r>
      <w:r>
        <w:rPr>
          <w:spacing w:val="-108"/>
          <w:w w:val="100"/>
        </w:rPr>
        <w:t>》</w:t>
      </w:r>
      <w:r>
        <w:rPr>
          <w:spacing w:val="-197"/>
          <w:w w:val="100"/>
        </w:rPr>
        <w:t>、</w:t>
      </w:r>
      <w:r>
        <w:rPr>
          <w:w w:val="100"/>
        </w:rPr>
        <w:t>《</w:t>
      </w:r>
      <w:r>
        <w:rPr>
          <w:spacing w:val="-3"/>
          <w:w w:val="100"/>
        </w:rPr>
        <w:t>关于</w:t>
      </w:r>
      <w:r>
        <w:rPr>
          <w:w w:val="100"/>
        </w:rPr>
        <w:t>提请</w:t>
      </w:r>
      <w:r>
        <w:rPr>
          <w:spacing w:val="-3"/>
          <w:w w:val="100"/>
        </w:rPr>
        <w:t>股</w:t>
      </w:r>
      <w:r>
        <w:rPr>
          <w:w w:val="100"/>
        </w:rPr>
        <w:t>东</w:t>
      </w:r>
      <w:r>
        <w:rPr>
          <w:spacing w:val="-3"/>
          <w:w w:val="100"/>
        </w:rPr>
        <w:t>大</w:t>
      </w:r>
      <w:r>
        <w:rPr>
          <w:w w:val="100"/>
        </w:rPr>
        <w:t>会</w:t>
      </w:r>
      <w:r>
        <w:rPr>
          <w:spacing w:val="-3"/>
          <w:w w:val="100"/>
        </w:rPr>
        <w:t>授</w:t>
      </w:r>
      <w:r>
        <w:rPr>
          <w:w w:val="100"/>
        </w:rPr>
        <w:t>权</w:t>
      </w:r>
      <w:r>
        <w:rPr>
          <w:spacing w:val="-3"/>
          <w:w w:val="100"/>
        </w:rPr>
        <w:t>董</w:t>
      </w:r>
      <w:r>
        <w:rPr>
          <w:w w:val="100"/>
        </w:rPr>
        <w:t>事</w:t>
      </w:r>
      <w:r>
        <w:rPr>
          <w:spacing w:val="-3"/>
          <w:w w:val="100"/>
        </w:rPr>
        <w:t>会</w:t>
      </w:r>
      <w:r>
        <w:rPr>
          <w:w w:val="100"/>
        </w:rPr>
        <w:t>办理</w:t>
      </w:r>
      <w:r>
        <w:rPr>
          <w:w w:val="100"/>
        </w:rPr>
        <w:t> 公司</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相关</w:t>
      </w:r>
      <w:r>
        <w:rPr>
          <w:spacing w:val="-3"/>
          <w:w w:val="100"/>
        </w:rPr>
        <w:t>事</w:t>
      </w:r>
      <w:r>
        <w:rPr>
          <w:w w:val="100"/>
        </w:rPr>
        <w:t>宜</w:t>
      </w:r>
      <w:r>
        <w:rPr>
          <w:spacing w:val="-3"/>
          <w:w w:val="100"/>
        </w:rPr>
        <w:t>的</w:t>
      </w:r>
      <w:r>
        <w:rPr>
          <w:w w:val="100"/>
        </w:rPr>
        <w:t>议</w:t>
      </w:r>
      <w:r>
        <w:rPr>
          <w:spacing w:val="-3"/>
          <w:w w:val="100"/>
        </w:rPr>
        <w:t>案</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2"/>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w w:val="100"/>
        </w:rPr>
        <w:t>月</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10"/>
        </w:rPr>
        <w:t> </w:t>
      </w:r>
      <w:r>
        <w:rPr>
          <w:spacing w:val="-3"/>
          <w:w w:val="100"/>
        </w:rPr>
        <w:t>日</w:t>
      </w:r>
      <w:r>
        <w:rPr>
          <w:w w:val="100"/>
        </w:rPr>
        <w:t>，</w:t>
      </w:r>
      <w:r>
        <w:rPr>
          <w:spacing w:val="-3"/>
          <w:w w:val="100"/>
        </w:rPr>
        <w:t>公</w:t>
      </w:r>
      <w:r>
        <w:rPr>
          <w:w w:val="100"/>
        </w:rPr>
        <w:t>司</w:t>
      </w:r>
      <w:r>
        <w:rPr>
          <w:spacing w:val="-3"/>
          <w:w w:val="100"/>
        </w:rPr>
        <w:t>召</w:t>
      </w:r>
      <w:r>
        <w:rPr>
          <w:w w:val="100"/>
        </w:rPr>
        <w:t>开</w:t>
      </w:r>
      <w:r>
        <w:rPr>
          <w:spacing w:val="-3"/>
          <w:w w:val="100"/>
        </w:rPr>
        <w:t>第</w:t>
      </w:r>
      <w:r>
        <w:rPr>
          <w:w w:val="100"/>
        </w:rPr>
        <w:t>三届</w:t>
      </w:r>
      <w:r>
        <w:rPr>
          <w:spacing w:val="-3"/>
          <w:w w:val="100"/>
        </w:rPr>
        <w:t>董</w:t>
      </w:r>
      <w:r>
        <w:rPr>
          <w:w w:val="100"/>
        </w:rPr>
        <w:t>事</w:t>
      </w:r>
      <w:r>
        <w:rPr>
          <w:spacing w:val="-3"/>
          <w:w w:val="100"/>
        </w:rPr>
        <w:t>会</w:t>
      </w:r>
      <w:r>
        <w:rPr>
          <w:w w:val="100"/>
        </w:rPr>
        <w:t>第</w:t>
      </w:r>
      <w:r>
        <w:rPr>
          <w:spacing w:val="-3"/>
          <w:w w:val="100"/>
        </w:rPr>
        <w:t>四</w:t>
      </w:r>
      <w:r>
        <w:rPr>
          <w:w w:val="100"/>
        </w:rPr>
        <w:t>十</w:t>
      </w:r>
      <w:r>
        <w:rPr>
          <w:spacing w:val="-3"/>
          <w:w w:val="100"/>
        </w:rPr>
        <w:t>五</w:t>
      </w:r>
      <w:r>
        <w:rPr>
          <w:w w:val="100"/>
        </w:rPr>
        <w:t>次</w:t>
      </w:r>
      <w:r>
        <w:rPr>
          <w:spacing w:val="-3"/>
          <w:w w:val="100"/>
        </w:rPr>
        <w:t>会</w:t>
      </w:r>
      <w:r>
        <w:rPr>
          <w:w w:val="100"/>
        </w:rPr>
        <w:t>议，</w:t>
      </w:r>
    </w:p>
    <w:p>
      <w:pPr>
        <w:pStyle w:val="BodyText"/>
        <w:spacing w:line="398" w:lineRule="auto" w:before="35"/>
        <w:ind w:right="266"/>
        <w:jc w:val="both"/>
      </w:pPr>
      <w:r>
        <w:rPr>
          <w:spacing w:val="-2"/>
          <w:w w:val="100"/>
        </w:rPr>
        <w:t>审议通过了《关于调整</w:t>
      </w:r>
      <w:r>
        <w:rPr>
          <w:spacing w:val="8"/>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40"/>
          <w:w w:val="100"/>
        </w:rPr>
        <w:t> </w:t>
      </w:r>
      <w:r>
        <w:rPr>
          <w:spacing w:val="-8"/>
          <w:w w:val="100"/>
        </w:rPr>
        <w:t>年限制性股票激励计划授予价格、激励对象及授予数量的议案》、《关于向激</w:t>
      </w:r>
      <w:r>
        <w:rPr>
          <w:spacing w:val="-104"/>
          <w:w w:val="100"/>
        </w:rPr>
        <w:t> </w:t>
      </w:r>
      <w:r>
        <w:rPr>
          <w:spacing w:val="-104"/>
          <w:w w:val="100"/>
        </w:rPr>
      </w:r>
      <w:r>
        <w:rPr>
          <w:spacing w:val="-2"/>
          <w:w w:val="100"/>
        </w:rPr>
        <w:t>励对象授予限制性股票的议案》，并于当日召开了第三届监事会第二十二次会议，对公司授予的激励对象</w:t>
      </w:r>
      <w:r>
        <w:rPr>
          <w:spacing w:val="-94"/>
          <w:w w:val="100"/>
        </w:rPr>
        <w:t> </w:t>
      </w:r>
      <w:r>
        <w:rPr>
          <w:spacing w:val="-94"/>
          <w:w w:val="100"/>
        </w:rPr>
      </w:r>
      <w:r>
        <w:rPr>
          <w:spacing w:val="-2"/>
        </w:rPr>
        <w:t>名单进行了核实。公司独立董事对此发表了独立意见，律师出具了法律意见书。公司向</w:t>
      </w:r>
      <w:r>
        <w:rPr/>
        <w:t> </w:t>
      </w:r>
      <w:r>
        <w:rPr>
          <w:rFonts w:ascii="Times New Roman" w:hAnsi="Times New Roman" w:cs="Times New Roman" w:eastAsia="Times New Roman" w:hint="default"/>
          <w:spacing w:val="-1"/>
        </w:rPr>
        <w:t>402</w:t>
      </w:r>
      <w:r>
        <w:rPr>
          <w:rFonts w:ascii="Times New Roman" w:hAnsi="Times New Roman" w:cs="Times New Roman" w:eastAsia="Times New Roman" w:hint="default"/>
          <w:spacing w:val="3"/>
        </w:rPr>
        <w:t> </w:t>
      </w:r>
      <w:r>
        <w:rPr>
          <w:spacing w:val="-1"/>
        </w:rPr>
        <w:t>名激励对象授</w:t>
      </w:r>
    </w:p>
    <w:p>
      <w:pPr>
        <w:pStyle w:val="BodyText"/>
        <w:spacing w:line="240" w:lineRule="auto" w:before="24"/>
        <w:ind w:right="0"/>
        <w:jc w:val="both"/>
      </w:pPr>
      <w:r>
        <w:rPr/>
        <w:t>予限制性股票</w:t>
      </w:r>
      <w:r>
        <w:rPr>
          <w:spacing w:val="-52"/>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12"/>
        </w:rPr>
        <w:t> </w:t>
      </w:r>
      <w:r>
        <w:rPr/>
        <w:t>万股。</w:t>
      </w:r>
    </w:p>
    <w:p>
      <w:pPr>
        <w:spacing w:line="240" w:lineRule="auto" w:before="4"/>
        <w:rPr>
          <w:rFonts w:ascii="宋体" w:hAnsi="宋体" w:cs="宋体" w:eastAsia="宋体" w:hint="default"/>
          <w:sz w:val="21"/>
          <w:szCs w:val="21"/>
        </w:rPr>
      </w:pPr>
    </w:p>
    <w:p>
      <w:pPr>
        <w:pStyle w:val="BodyText"/>
        <w:spacing w:line="240" w:lineRule="auto"/>
        <w:ind w:left="57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2"/>
        </w:rPr>
        <w:t> </w:t>
      </w:r>
      <w:r>
        <w:rPr/>
        <w:t>日，公司召开第三届董事会第四十九次会议和第三届监事会第二十三次会议，审</w:t>
      </w:r>
    </w:p>
    <w:p>
      <w:pPr>
        <w:pStyle w:val="BodyText"/>
        <w:spacing w:line="398" w:lineRule="auto" w:before="177"/>
        <w:ind w:right="266"/>
        <w:jc w:val="both"/>
      </w:pPr>
      <w:r>
        <w:rPr/>
        <w:t>议通过了《关于 </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年限制性股票激励计划首次授予限制性股票第三次解锁期可解锁的议案》及《关于</w:t>
      </w:r>
      <w:r>
        <w:rPr>
          <w:w w:val="100"/>
        </w:rPr>
        <w:t> </w:t>
      </w:r>
      <w:r>
        <w:rPr>
          <w:spacing w:val="-2"/>
          <w:w w:val="100"/>
        </w:rPr>
        <w:t>回购注销不符合解锁条件的激励对象已获授但尚未解锁的限制性股票的议案》。董事会认为公司限制性股</w:t>
      </w:r>
      <w:r>
        <w:rPr>
          <w:spacing w:val="-94"/>
          <w:w w:val="100"/>
        </w:rPr>
        <w:t> </w:t>
      </w:r>
      <w:r>
        <w:rPr>
          <w:spacing w:val="-94"/>
          <w:w w:val="100"/>
        </w:rPr>
      </w:r>
      <w:r>
        <w:rPr>
          <w:spacing w:val="-2"/>
        </w:rPr>
        <w:t>票第三个解锁期的解锁条件已经成就，同意公司按照《激励计划》的相关规定办理限制性股票第三期解锁</w:t>
      </w:r>
      <w:r>
        <w:rPr>
          <w:spacing w:val="-44"/>
        </w:rPr>
        <w:t> </w:t>
      </w:r>
      <w:r>
        <w:rPr>
          <w:spacing w:val="-44"/>
        </w:rPr>
      </w:r>
      <w:r>
        <w:rPr/>
        <w:t>事宜。监事会对激励对象名单进行审慎核查后认为，公司 </w:t>
      </w:r>
      <w:r>
        <w:rPr>
          <w:rFonts w:ascii="Times New Roman" w:hAnsi="Times New Roman" w:cs="Times New Roman" w:eastAsia="Times New Roman" w:hint="default"/>
        </w:rPr>
        <w:t>89</w:t>
      </w:r>
      <w:r>
        <w:rPr>
          <w:rFonts w:ascii="Times New Roman" w:hAnsi="Times New Roman" w:cs="Times New Roman" w:eastAsia="Times New Roman" w:hint="default"/>
          <w:spacing w:val="24"/>
        </w:rPr>
        <w:t> </w:t>
      </w:r>
      <w:r>
        <w:rPr/>
        <w:t>名激励对象解锁资格合法有效，满足公司限</w:t>
      </w:r>
      <w:r>
        <w:rPr>
          <w:w w:val="100"/>
        </w:rPr>
        <w:t> </w:t>
      </w:r>
      <w:r>
        <w:rPr>
          <w:spacing w:val="-2"/>
        </w:rPr>
        <w:t>制性股票激励计划首次授予限制性股票设定的第三个解锁期解锁条件，可以根据其任务完成情况解锁全部</w:t>
      </w:r>
      <w:r>
        <w:rPr>
          <w:spacing w:val="-43"/>
        </w:rPr>
        <w:t> </w:t>
      </w:r>
      <w:r>
        <w:rPr>
          <w:spacing w:val="-43"/>
        </w:rPr>
      </w:r>
      <w:r>
        <w:rPr>
          <w:spacing w:val="-2"/>
        </w:rPr>
        <w:t>或部分限制性股票。同时，公司对于部分激励对象因个人考核结果不达标无法解锁的部分限制性股票予以</w:t>
      </w:r>
      <w:r>
        <w:rPr>
          <w:spacing w:val="-43"/>
        </w:rPr>
        <w:t> </w:t>
      </w:r>
      <w:r>
        <w:rPr>
          <w:spacing w:val="-43"/>
        </w:rPr>
      </w:r>
      <w:r>
        <w:rPr>
          <w:spacing w:val="-4"/>
        </w:rPr>
        <w:t>回购注销。公司独立董事对此发表了独立意见，律师出具了法律意见书。</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5"/>
        </w:rPr>
        <w:t>日，公司召开</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年第二次临时股东大会，审议通过了上述议案。</w:t>
      </w:r>
    </w:p>
    <w:p>
      <w:pPr>
        <w:pStyle w:val="BodyText"/>
        <w:spacing w:line="240" w:lineRule="auto" w:before="153"/>
        <w:ind w:left="573" w:right="0"/>
        <w:jc w:val="left"/>
      </w:pPr>
      <w:r>
        <w:rPr/>
        <w:t>股份变动的过户情况</w:t>
      </w:r>
    </w:p>
    <w:p>
      <w:pPr>
        <w:spacing w:line="240" w:lineRule="auto" w:before="6"/>
        <w:rPr>
          <w:rFonts w:ascii="宋体" w:hAnsi="宋体" w:cs="宋体" w:eastAsia="宋体" w:hint="default"/>
          <w:sz w:val="22"/>
          <w:szCs w:val="22"/>
        </w:rPr>
      </w:pPr>
    </w:p>
    <w:p>
      <w:pPr>
        <w:pStyle w:val="BodyText"/>
        <w:spacing w:line="47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股份变动对最近一年和最近一期基本每股收益和稀释每股收益、归属于公司普通股股东的每股净资产</w:t>
      </w:r>
    </w:p>
    <w:p>
      <w:pPr>
        <w:pStyle w:val="BodyText"/>
        <w:spacing w:line="266" w:lineRule="exact"/>
        <w:ind w:right="0"/>
        <w:jc w:val="both"/>
      </w:pPr>
      <w:r>
        <w:rPr/>
        <w:t>等财务指标的影响</w:t>
      </w:r>
    </w:p>
    <w:p>
      <w:pPr>
        <w:spacing w:line="240" w:lineRule="auto" w:before="4"/>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2130"/>
        <w:gridCol w:w="2266"/>
        <w:gridCol w:w="1844"/>
        <w:gridCol w:w="1985"/>
        <w:gridCol w:w="1560"/>
      </w:tblGrid>
      <w:tr>
        <w:trPr>
          <w:trHeight w:val="521" w:hRule="exact"/>
        </w:trPr>
        <w:tc>
          <w:tcPr>
            <w:tcW w:w="2130"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指标</w:t>
            </w:r>
            <w:r>
              <w:rPr>
                <w:rFonts w:ascii="宋体" w:hAnsi="宋体" w:cs="宋体" w:eastAsia="宋体" w:hint="default"/>
                <w:sz w:val="18"/>
                <w:szCs w:val="18"/>
              </w:rPr>
            </w:r>
          </w:p>
        </w:tc>
        <w:tc>
          <w:tcPr>
            <w:tcW w:w="4110" w:type="dxa"/>
            <w:gridSpan w:val="2"/>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545" w:type="dxa"/>
            <w:gridSpan w:val="2"/>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23" w:hRule="exact"/>
        </w:trPr>
        <w:tc>
          <w:tcPr>
            <w:tcW w:w="2130" w:type="dxa"/>
            <w:tcBorders>
              <w:top w:val="single" w:sz="6" w:space="0" w:color="000000"/>
              <w:left w:val="single" w:sz="4" w:space="0" w:color="000000"/>
              <w:bottom w:val="single" w:sz="6" w:space="0" w:color="000000"/>
              <w:right w:val="single" w:sz="6" w:space="0" w:color="000000"/>
            </w:tcBorders>
            <w:shd w:val="clear" w:color="auto" w:fill="D9D9D9"/>
          </w:tcPr>
          <w:p>
            <w:pP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r>
        <w:trPr>
          <w:trHeight w:val="528" w:hRule="exact"/>
        </w:trPr>
        <w:tc>
          <w:tcPr>
            <w:tcW w:w="2130"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22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0.3384</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0.3387</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0.3726</w:t>
            </w:r>
          </w:p>
        </w:tc>
        <w:tc>
          <w:tcPr>
            <w:tcW w:w="1560" w:type="dxa"/>
            <w:tcBorders>
              <w:top w:val="single" w:sz="10" w:space="0" w:color="000000"/>
              <w:left w:val="single" w:sz="6" w:space="0" w:color="000000"/>
              <w:bottom w:val="single" w:sz="6"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0.3726</w:t>
            </w:r>
          </w:p>
        </w:tc>
      </w:tr>
      <w:tr>
        <w:trPr>
          <w:trHeight w:val="523" w:hRule="exact"/>
        </w:trPr>
        <w:tc>
          <w:tcPr>
            <w:tcW w:w="2130"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0.3384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0.3387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0.3726</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0.3726</w:t>
            </w:r>
          </w:p>
        </w:tc>
      </w:tr>
      <w:tr>
        <w:trPr>
          <w:trHeight w:val="523" w:hRule="exact"/>
        </w:trPr>
        <w:tc>
          <w:tcPr>
            <w:tcW w:w="2130" w:type="dxa"/>
            <w:tcBorders>
              <w:top w:val="single" w:sz="6" w:space="0" w:color="000000"/>
              <w:left w:val="single" w:sz="4" w:space="0" w:color="000000"/>
              <w:bottom w:val="single" w:sz="6" w:space="0" w:color="000000"/>
              <w:right w:val="single" w:sz="6" w:space="0" w:color="000000"/>
            </w:tcBorders>
            <w:shd w:val="clear" w:color="auto" w:fill="D9D9D9"/>
          </w:tcPr>
          <w:p>
            <w:pPr/>
          </w:p>
        </w:tc>
        <w:tc>
          <w:tcPr>
            <w:tcW w:w="4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3545"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10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524" w:hRule="exact"/>
        </w:trPr>
        <w:tc>
          <w:tcPr>
            <w:tcW w:w="2130" w:type="dxa"/>
            <w:tcBorders>
              <w:top w:val="single" w:sz="6" w:space="0" w:color="000000"/>
              <w:left w:val="single" w:sz="4" w:space="0" w:color="000000"/>
              <w:bottom w:val="single" w:sz="6" w:space="0" w:color="000000"/>
              <w:right w:val="single" w:sz="6" w:space="0" w:color="000000"/>
            </w:tcBorders>
            <w:shd w:val="clear" w:color="auto" w:fill="D9D9D9"/>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860"/>
        </w:sectPr>
      </w:pPr>
    </w:p>
    <w:p>
      <w:pPr>
        <w:spacing w:line="240" w:lineRule="auto" w:before="1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132"/>
        <w:gridCol w:w="2269"/>
        <w:gridCol w:w="1844"/>
        <w:gridCol w:w="1985"/>
        <w:gridCol w:w="1560"/>
      </w:tblGrid>
      <w:tr>
        <w:trPr>
          <w:trHeight w:val="836" w:hRule="exact"/>
        </w:trPr>
        <w:tc>
          <w:tcPr>
            <w:tcW w:w="2132" w:type="dxa"/>
            <w:tcBorders>
              <w:top w:val="nil" w:sz="6" w:space="0" w:color="auto"/>
              <w:left w:val="single" w:sz="4" w:space="0" w:color="000000"/>
              <w:bottom w:val="single" w:sz="4" w:space="0" w:color="000000"/>
              <w:right w:val="single" w:sz="6" w:space="0" w:color="000000"/>
            </w:tcBorders>
            <w:shd w:val="clear" w:color="auto" w:fill="D9D9D9"/>
          </w:tcPr>
          <w:p>
            <w:pPr>
              <w:pStyle w:val="TableParagraph"/>
              <w:spacing w:line="316" w:lineRule="auto" w:before="111"/>
              <w:ind w:left="701" w:right="61" w:hanging="632"/>
              <w:jc w:val="left"/>
              <w:rPr>
                <w:rFonts w:ascii="宋体" w:hAnsi="宋体" w:cs="宋体" w:eastAsia="宋体" w:hint="default"/>
                <w:sz w:val="18"/>
                <w:szCs w:val="18"/>
              </w:rPr>
            </w:pPr>
            <w:r>
              <w:rPr>
                <w:rFonts w:ascii="宋体" w:hAnsi="宋体" w:cs="宋体" w:eastAsia="宋体" w:hint="default"/>
                <w:b/>
                <w:bCs/>
                <w:sz w:val="18"/>
                <w:szCs w:val="18"/>
              </w:rPr>
              <w:t>归属于上市公司股东的每</w:t>
            </w:r>
            <w:r>
              <w:rPr>
                <w:rFonts w:ascii="宋体" w:hAnsi="宋体" w:cs="宋体" w:eastAsia="宋体" w:hint="default"/>
                <w:b/>
                <w:bCs/>
                <w:w w:val="99"/>
                <w:sz w:val="18"/>
                <w:szCs w:val="18"/>
              </w:rPr>
              <w:t> </w:t>
            </w:r>
            <w:r>
              <w:rPr>
                <w:rFonts w:ascii="宋体" w:hAnsi="宋体" w:cs="宋体" w:eastAsia="宋体" w:hint="default"/>
                <w:b/>
                <w:bCs/>
                <w:sz w:val="18"/>
                <w:szCs w:val="18"/>
              </w:rPr>
              <w:t>股净资产</w:t>
            </w:r>
            <w:r>
              <w:rPr>
                <w:rFonts w:ascii="宋体" w:hAnsi="宋体" w:cs="宋体" w:eastAsia="宋体" w:hint="default"/>
                <w:sz w:val="18"/>
                <w:szCs w:val="18"/>
              </w:rPr>
            </w:r>
          </w:p>
        </w:tc>
        <w:tc>
          <w:tcPr>
            <w:tcW w:w="226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54"/>
              <w:ind w:left="3" w:right="0"/>
              <w:jc w:val="center"/>
              <w:rPr>
                <w:rFonts w:ascii="Times New Roman" w:hAnsi="Times New Roman" w:cs="Times New Roman" w:eastAsia="Times New Roman" w:hint="default"/>
                <w:sz w:val="18"/>
                <w:szCs w:val="18"/>
              </w:rPr>
            </w:pPr>
            <w:r>
              <w:rPr>
                <w:rFonts w:ascii="Times New Roman"/>
                <w:sz w:val="18"/>
              </w:rPr>
              <w:t>4.5240</w:t>
            </w:r>
          </w:p>
        </w:tc>
        <w:tc>
          <w:tcPr>
            <w:tcW w:w="184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4.4392</w:t>
            </w:r>
          </w:p>
        </w:tc>
        <w:tc>
          <w:tcPr>
            <w:tcW w:w="19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54"/>
              <w:ind w:left="2" w:right="0"/>
              <w:jc w:val="center"/>
              <w:rPr>
                <w:rFonts w:ascii="Times New Roman" w:hAnsi="Times New Roman" w:cs="Times New Roman" w:eastAsia="Times New Roman" w:hint="default"/>
                <w:sz w:val="18"/>
                <w:szCs w:val="18"/>
              </w:rPr>
            </w:pPr>
            <w:r>
              <w:rPr>
                <w:rFonts w:ascii="Times New Roman"/>
                <w:sz w:val="18"/>
              </w:rPr>
              <w:t>4.2017</w:t>
            </w:r>
          </w:p>
        </w:tc>
        <w:tc>
          <w:tcPr>
            <w:tcW w:w="1560"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4.2017</w:t>
            </w:r>
          </w:p>
        </w:tc>
      </w:tr>
    </w:tbl>
    <w:p>
      <w:pPr>
        <w:spacing w:line="240" w:lineRule="auto" w:before="11"/>
        <w:rPr>
          <w:rFonts w:ascii="宋体" w:hAnsi="宋体" w:cs="宋体" w:eastAsia="宋体" w:hint="default"/>
          <w:sz w:val="9"/>
          <w:szCs w:val="9"/>
        </w:rPr>
      </w:pPr>
    </w:p>
    <w:p>
      <w:pPr>
        <w:pStyle w:val="BodyText"/>
        <w:spacing w:line="240" w:lineRule="auto" w:before="36"/>
        <w:ind w:left="573" w:right="0"/>
        <w:jc w:val="left"/>
      </w:pPr>
      <w:r>
        <w:rPr/>
        <w:pict>
          <v:group style="position:absolute;margin-left:56.16pt;margin-top:-48.476322pt;width:107.3pt;height:41.55pt;mso-position-horizontal-relative:page;mso-position-vertical-relative:paragraph;z-index:-1196776" coordorigin="1123,-970" coordsize="2146,831">
            <v:group style="position:absolute;left:1140;top:-965;width:2120;height:2" coordorigin="1140,-965" coordsize="2120,2">
              <v:shape style="position:absolute;left:1140;top:-965;width:2120;height:2" coordorigin="1140,-965" coordsize="2120,0" path="m1140,-965l3260,-965e" filled="false" stroked="true" strokeweight=".48pt" strokecolor="#d9d9d9">
                <v:path arrowok="t"/>
              </v:shape>
            </v:group>
            <v:group style="position:absolute;left:1142;top:-960;width:2;height:812" coordorigin="1142,-960" coordsize="2,812">
              <v:shape style="position:absolute;left:1142;top:-960;width:2;height:812" coordorigin="1142,-960" coordsize="0,812" path="m1142,-960l1142,-148e" filled="false" stroked="true" strokeweight=".24pt" strokecolor="#d9d9d9">
                <v:path arrowok="t"/>
              </v:shape>
            </v:group>
            <v:group style="position:absolute;left:3258;top:-960;width:2;height:812" coordorigin="3258,-960" coordsize="2,812">
              <v:shape style="position:absolute;left:3258;top:-960;width:2;height:812" coordorigin="3258,-960" coordsize="0,812" path="m3258,-960l3258,-148e" filled="false" stroked="true" strokeweight=".12001pt" strokecolor="#d9d9d9">
                <v:path arrowok="t"/>
              </v:shape>
            </v:group>
            <v:group style="position:absolute;left:1140;top:-144;width:2120;height:2" coordorigin="1140,-144" coordsize="2120,2">
              <v:shape style="position:absolute;left:1140;top:-144;width:2120;height:2" coordorigin="1140,-144" coordsize="2120,0" path="m1140,-144l3260,-144e" filled="false" stroked="true" strokeweight=".48pt" strokecolor="#d9d9d9">
                <v:path arrowok="t"/>
              </v:shape>
            </v:group>
            <v:group style="position:absolute;left:1145;top:-960;width:2113;height:407" coordorigin="1145,-960" coordsize="2113,407">
              <v:shape style="position:absolute;left:1145;top:-960;width:2113;height:407" coordorigin="1145,-960" coordsize="2113,407" path="m1145,-554l3257,-554,3257,-960,1145,-960,1145,-554xe" filled="true" fillcolor="#d9d9d9" stroked="false">
                <v:path arrowok="t"/>
                <v:fill type="solid"/>
              </v:shape>
            </v:group>
            <v:group style="position:absolute;left:1145;top:-554;width:2113;height:406" coordorigin="1145,-554" coordsize="2113,406">
              <v:shape style="position:absolute;left:1145;top:-554;width:2113;height:406" coordorigin="1145,-554" coordsize="2113,406" path="m1145,-148l3257,-148,3257,-554,1145,-554,1145,-148xe" filled="true" fillcolor="#d9d9d9" stroked="false">
                <v:path arrowok="t"/>
                <v:fill type="solid"/>
              </v:shape>
            </v:group>
            <v:group style="position:absolute;left:1128;top:-965;width:2130;height:2" coordorigin="1128,-965" coordsize="2130,2">
              <v:shape style="position:absolute;left:1128;top:-965;width:2130;height:2" coordorigin="1128,-965" coordsize="2130,0" path="m1128,-965l3257,-965e" filled="false" stroked="true" strokeweight=".48pt" strokecolor="#d9d9d9">
                <v:path arrowok="t"/>
              </v:shape>
            </v:group>
            <v:group style="position:absolute;left:1133;top:-144;width:2132;height:2" coordorigin="1133,-144" coordsize="2132,2">
              <v:shape style="position:absolute;left:1133;top:-144;width:2132;height:2" coordorigin="1133,-144" coordsize="2132,0" path="m1133,-144l3264,-144e" filled="false" stroked="true" strokeweight=".48pt" strokecolor="#d9d9d9">
                <v:path arrowok="t"/>
              </v:shape>
            </v:group>
            <w10:wrap type="none"/>
          </v:group>
        </w:pict>
      </w:r>
      <w:r>
        <w:rPr/>
        <w:t>公司认为必要或证券监管机构要求披露的其他内容</w:t>
      </w:r>
    </w:p>
    <w:p>
      <w:pPr>
        <w:spacing w:line="240" w:lineRule="auto" w:before="4"/>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left="134" w:right="7612"/>
        <w:jc w:val="center"/>
      </w:pPr>
      <w:r>
        <w:rPr>
          <w:rFonts w:ascii="Times New Roman" w:hAnsi="Times New Roman" w:cs="Times New Roman" w:eastAsia="Times New Roman" w:hint="default"/>
        </w:rPr>
        <w:t>2</w:t>
      </w:r>
      <w:r>
        <w:rPr/>
        <w:t>、限售股份变动情况</w:t>
      </w:r>
    </w:p>
    <w:p>
      <w:pPr>
        <w:spacing w:line="240" w:lineRule="auto" w:before="1"/>
        <w:rPr>
          <w:rFonts w:ascii="黑体" w:hAnsi="黑体" w:cs="黑体" w:eastAsia="黑体" w:hint="default"/>
          <w:sz w:val="24"/>
          <w:szCs w:val="24"/>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8"/>
          <w:szCs w:val="18"/>
        </w:rPr>
      </w:pPr>
    </w:p>
    <w:p>
      <w:pPr>
        <w:pStyle w:val="BodyText"/>
        <w:spacing w:line="240" w:lineRule="auto" w:before="36"/>
        <w:ind w:left="0" w:right="268"/>
        <w:jc w:val="right"/>
      </w:pPr>
      <w:r>
        <w:rPr>
          <w:spacing w:val="-1"/>
        </w:rPr>
        <w:t>单位：股</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818"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8"/>
              <w:jc w:val="left"/>
              <w:rPr>
                <w:rFonts w:ascii="宋体" w:hAnsi="宋体" w:cs="宋体" w:eastAsia="宋体" w:hint="default"/>
                <w:sz w:val="18"/>
                <w:szCs w:val="18"/>
              </w:rPr>
            </w:pPr>
            <w:r>
              <w:rPr>
                <w:rFonts w:ascii="宋体" w:hAnsi="宋体" w:cs="宋体" w:eastAsia="宋体" w:hint="default"/>
                <w:spacing w:val="7"/>
                <w:sz w:val="18"/>
                <w:szCs w:val="18"/>
              </w:rPr>
              <w:t>本期解除限售股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7"/>
                <w:sz w:val="18"/>
                <w:szCs w:val="18"/>
              </w:rPr>
              <w:t>本期增加限售股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295,011,174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-2,271,378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292,739,796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按照资产重组承</w:t>
            </w:r>
            <w:r>
              <w:rPr>
                <w:rFonts w:ascii="宋体" w:hAnsi="宋体" w:cs="宋体" w:eastAsia="宋体" w:hint="default"/>
                <w:spacing w:val="7"/>
                <w:sz w:val="18"/>
                <w:szCs w:val="18"/>
              </w:rPr>
              <w:t> </w:t>
            </w:r>
            <w:r>
              <w:rPr>
                <w:rFonts w:ascii="宋体" w:hAnsi="宋体" w:cs="宋体" w:eastAsia="宋体" w:hint="default"/>
                <w:sz w:val="18"/>
                <w:szCs w:val="18"/>
              </w:rPr>
              <w:t>诺解限</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16,139,776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-2,250,000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4,715,000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18,604,776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按照公司股权激</w:t>
            </w:r>
            <w:r>
              <w:rPr>
                <w:rFonts w:ascii="宋体" w:hAnsi="宋体" w:cs="宋体" w:eastAsia="宋体" w:hint="default"/>
                <w:spacing w:val="7"/>
                <w:sz w:val="18"/>
                <w:szCs w:val="18"/>
              </w:rPr>
              <w:t> </w:t>
            </w:r>
            <w:r>
              <w:rPr>
                <w:rFonts w:ascii="宋体" w:hAnsi="宋体" w:cs="宋体" w:eastAsia="宋体" w:hint="default"/>
                <w:sz w:val="18"/>
                <w:szCs w:val="18"/>
              </w:rPr>
              <w:t>励计划规定解限</w:t>
            </w:r>
          </w:p>
        </w:tc>
      </w:tr>
      <w:tr>
        <w:trPr>
          <w:trHeight w:val="8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18,027,548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18,027,547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82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李居庸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10,584,656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-10,584,656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高管离任后股份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10,597,900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-3,077,655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1,388,831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8,909,076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按照公司股权激</w:t>
            </w:r>
            <w:r>
              <w:rPr>
                <w:rFonts w:ascii="宋体" w:hAnsi="宋体" w:cs="宋体" w:eastAsia="宋体" w:hint="default"/>
                <w:spacing w:val="7"/>
                <w:sz w:val="18"/>
                <w:szCs w:val="18"/>
              </w:rPr>
              <w:t> </w:t>
            </w:r>
            <w:r>
              <w:rPr>
                <w:rFonts w:ascii="宋体" w:hAnsi="宋体" w:cs="宋体" w:eastAsia="宋体" w:hint="default"/>
                <w:sz w:val="18"/>
                <w:szCs w:val="18"/>
              </w:rPr>
              <w:t>励计划规定解限</w:t>
            </w:r>
          </w:p>
        </w:tc>
      </w:tr>
      <w:tr>
        <w:trPr>
          <w:trHeight w:val="144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陈为群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5,106,874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-646,438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4,547,538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9,007,974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按照公司股权激</w:t>
            </w:r>
            <w:r>
              <w:rPr>
                <w:rFonts w:ascii="宋体" w:hAnsi="宋体" w:cs="宋体" w:eastAsia="宋体" w:hint="default"/>
                <w:spacing w:val="7"/>
                <w:sz w:val="18"/>
                <w:szCs w:val="18"/>
              </w:rPr>
              <w:t> </w:t>
            </w:r>
            <w:r>
              <w:rPr>
                <w:rFonts w:ascii="宋体" w:hAnsi="宋体" w:cs="宋体" w:eastAsia="宋体" w:hint="default"/>
                <w:sz w:val="18"/>
                <w:szCs w:val="18"/>
              </w:rPr>
              <w:t>励计划规定解限</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赵庭荣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335,604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-237,799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1,022,799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1,120,604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按照公司股权激</w:t>
            </w:r>
            <w:r>
              <w:rPr>
                <w:rFonts w:ascii="宋体" w:hAnsi="宋体" w:cs="宋体" w:eastAsia="宋体" w:hint="default"/>
                <w:spacing w:val="7"/>
                <w:sz w:val="18"/>
                <w:szCs w:val="18"/>
              </w:rPr>
              <w:t> </w:t>
            </w:r>
            <w:r>
              <w:rPr>
                <w:rFonts w:ascii="宋体" w:hAnsi="宋体" w:cs="宋体" w:eastAsia="宋体" w:hint="default"/>
                <w:sz w:val="18"/>
                <w:szCs w:val="18"/>
              </w:rPr>
              <w:t>励计划规定解限</w:t>
            </w:r>
          </w:p>
        </w:tc>
      </w:tr>
    </w:tbl>
    <w:p>
      <w:pPr>
        <w:spacing w:after="0" w:line="312" w:lineRule="auto"/>
        <w:jc w:val="both"/>
        <w:rPr>
          <w:rFonts w:ascii="宋体" w:hAnsi="宋体" w:cs="宋体" w:eastAsia="宋体" w:hint="default"/>
          <w:sz w:val="18"/>
          <w:szCs w:val="18"/>
        </w:rPr>
        <w:sectPr>
          <w:pgSz w:w="11910" w:h="16840"/>
          <w:pgMar w:header="882" w:footer="1132" w:top="1280" w:bottom="1320" w:left="980" w:right="86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2,553,416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-802,973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3,028,473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4,778,916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高管锁定，股权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2"/>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按照高管锁定每 </w:t>
            </w:r>
            <w:r>
              <w:rPr>
                <w:rFonts w:ascii="宋体" w:hAnsi="宋体" w:cs="宋体" w:eastAsia="宋体" w:hint="default"/>
                <w:sz w:val="18"/>
                <w:szCs w:val="18"/>
              </w:rPr>
              <w:t>年可解除</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w:t>
            </w:r>
            <w:r>
              <w:rPr>
                <w:rFonts w:ascii="宋体" w:hAnsi="宋体" w:cs="宋体" w:eastAsia="宋体" w:hint="default"/>
                <w:spacing w:val="7"/>
                <w:sz w:val="18"/>
                <w:szCs w:val="18"/>
              </w:rPr>
              <w:t>按照公司股权激</w:t>
            </w:r>
            <w:r>
              <w:rPr>
                <w:rFonts w:ascii="宋体" w:hAnsi="宋体" w:cs="宋体" w:eastAsia="宋体" w:hint="default"/>
                <w:spacing w:val="7"/>
                <w:sz w:val="18"/>
                <w:szCs w:val="18"/>
              </w:rPr>
              <w:t> </w:t>
            </w:r>
            <w:r>
              <w:rPr>
                <w:rFonts w:ascii="宋体" w:hAnsi="宋体" w:cs="宋体" w:eastAsia="宋体" w:hint="default"/>
                <w:sz w:val="18"/>
                <w:szCs w:val="18"/>
              </w:rPr>
              <w:t>励计划规定解限</w:t>
            </w:r>
          </w:p>
        </w:tc>
      </w:tr>
      <w:tr>
        <w:trPr>
          <w:trHeight w:val="8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谢军伟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按照公司股权激 </w:t>
            </w:r>
            <w:r>
              <w:rPr>
                <w:rFonts w:ascii="宋体" w:hAnsi="宋体" w:cs="宋体" w:eastAsia="宋体" w:hint="default"/>
                <w:sz w:val="18"/>
                <w:szCs w:val="18"/>
              </w:rPr>
              <w:t>励计划规定解限</w:t>
            </w:r>
          </w:p>
        </w:tc>
      </w:tr>
      <w:tr>
        <w:trPr>
          <w:trHeight w:val="82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1,933,000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按照公司股权激 </w:t>
            </w:r>
            <w:r>
              <w:rPr>
                <w:rFonts w:ascii="宋体" w:hAnsi="宋体" w:cs="宋体" w:eastAsia="宋体" w:hint="default"/>
                <w:sz w:val="18"/>
                <w:szCs w:val="18"/>
              </w:rPr>
              <w:t>励计划规定解限</w:t>
            </w:r>
          </w:p>
        </w:tc>
      </w:tr>
      <w:tr>
        <w:trPr>
          <w:trHeight w:val="17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7"/>
              <w:jc w:val="both"/>
              <w:rPr>
                <w:rFonts w:ascii="宋体" w:hAnsi="宋体" w:cs="宋体" w:eastAsia="宋体" w:hint="default"/>
                <w:sz w:val="18"/>
                <w:szCs w:val="18"/>
              </w:rPr>
            </w:pPr>
            <w:r>
              <w:rPr>
                <w:rFonts w:ascii="宋体" w:hAnsi="宋体" w:cs="宋体" w:eastAsia="宋体" w:hint="default"/>
                <w:spacing w:val="7"/>
                <w:sz w:val="18"/>
                <w:szCs w:val="18"/>
              </w:rPr>
              <w:t>公司中层管理人 员、核心业务、 技术、管理骨干 人员等其他激励 </w:t>
            </w:r>
            <w:r>
              <w:rPr>
                <w:rFonts w:ascii="宋体" w:hAnsi="宋体" w:cs="宋体" w:eastAsia="宋体" w:hint="default"/>
                <w:sz w:val="18"/>
                <w:szCs w:val="18"/>
              </w:rPr>
              <w:t>对象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7,070,628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-6,919,289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7,750,400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7,901,739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按照公司股权激 </w:t>
            </w:r>
            <w:r>
              <w:rPr>
                <w:rFonts w:ascii="宋体" w:hAnsi="宋体" w:cs="宋体" w:eastAsia="宋体" w:hint="default"/>
                <w:sz w:val="18"/>
                <w:szCs w:val="18"/>
              </w:rPr>
              <w:t>励计划规定解限</w:t>
            </w:r>
          </w:p>
        </w:tc>
      </w:tr>
      <w:tr>
        <w:trPr>
          <w:trHeight w:val="8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14,378,920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-14,378,920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10,784,190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10,784,190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按照重大资产重 </w:t>
            </w:r>
            <w:r>
              <w:rPr>
                <w:rFonts w:ascii="宋体" w:hAnsi="宋体" w:cs="宋体" w:eastAsia="宋体" w:hint="default"/>
                <w:sz w:val="18"/>
                <w:szCs w:val="18"/>
              </w:rPr>
              <w:t>组承诺解限</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赵尔君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8,627,354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-8,627,354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资产重组承诺，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按照重大资产重 组承诺解限及按 照公司股权激励 </w:t>
            </w:r>
            <w:r>
              <w:rPr>
                <w:rFonts w:ascii="宋体" w:hAnsi="宋体" w:cs="宋体" w:eastAsia="宋体" w:hint="default"/>
                <w:sz w:val="18"/>
                <w:szCs w:val="18"/>
              </w:rPr>
              <w:t>计划规定解限</w:t>
            </w:r>
          </w:p>
        </w:tc>
      </w:tr>
      <w:tr>
        <w:trPr>
          <w:trHeight w:val="14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杨宏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5,751,566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-5,751,566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7"/>
                <w:sz w:val="18"/>
                <w:szCs w:val="18"/>
              </w:rPr>
              <w:t>资产重组承诺，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股权激励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按照重大资产重 组承诺解限及按 照公司股权激励 </w:t>
            </w:r>
            <w:r>
              <w:rPr>
                <w:rFonts w:ascii="宋体" w:hAnsi="宋体" w:cs="宋体" w:eastAsia="宋体" w:hint="default"/>
                <w:sz w:val="18"/>
                <w:szCs w:val="18"/>
              </w:rPr>
              <w:t>计划规定解限</w:t>
            </w:r>
          </w:p>
        </w:tc>
      </w:tr>
      <w:tr>
        <w:trPr>
          <w:trHeight w:val="81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20,947,441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-8,327,646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8,327,646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20,947,441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按照重大资产重 </w:t>
            </w:r>
            <w:r>
              <w:rPr>
                <w:rFonts w:ascii="宋体" w:hAnsi="宋体" w:cs="宋体" w:eastAsia="宋体" w:hint="default"/>
                <w:sz w:val="18"/>
                <w:szCs w:val="18"/>
              </w:rPr>
              <w:t>组承诺解限</w:t>
            </w:r>
          </w:p>
        </w:tc>
      </w:tr>
      <w:tr>
        <w:trPr>
          <w:trHeight w:val="82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董月芳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12,686,470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-5,437,058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7,249,412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按照重大资产重 </w:t>
            </w:r>
            <w:r>
              <w:rPr>
                <w:rFonts w:ascii="宋体" w:hAnsi="宋体" w:cs="宋体" w:eastAsia="宋体" w:hint="default"/>
                <w:sz w:val="18"/>
                <w:szCs w:val="18"/>
              </w:rPr>
              <w:t>组承诺解限</w:t>
            </w:r>
          </w:p>
        </w:tc>
      </w:tr>
      <w:tr>
        <w:trPr>
          <w:trHeight w:val="331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7"/>
              <w:jc w:val="both"/>
              <w:rPr>
                <w:rFonts w:ascii="宋体" w:hAnsi="宋体" w:cs="宋体" w:eastAsia="宋体" w:hint="default"/>
                <w:sz w:val="18"/>
                <w:szCs w:val="18"/>
              </w:rPr>
            </w:pPr>
            <w:r>
              <w:rPr>
                <w:rFonts w:ascii="宋体" w:hAnsi="宋体" w:cs="宋体" w:eastAsia="宋体" w:hint="default"/>
                <w:spacing w:val="7"/>
                <w:sz w:val="18"/>
                <w:szCs w:val="18"/>
              </w:rPr>
              <w:t>北京汇达高新投 资基金中心（有 </w:t>
            </w:r>
            <w:r>
              <w:rPr>
                <w:rFonts w:ascii="宋体" w:hAnsi="宋体" w:cs="宋体" w:eastAsia="宋体" w:hint="default"/>
                <w:spacing w:val="-17"/>
                <w:sz w:val="18"/>
                <w:szCs w:val="18"/>
              </w:rPr>
              <w:t>限合伙）、西藏泰</w:t>
            </w:r>
            <w:r>
              <w:rPr>
                <w:rFonts w:ascii="宋体" w:hAnsi="宋体" w:cs="宋体" w:eastAsia="宋体" w:hint="default"/>
                <w:sz w:val="18"/>
                <w:szCs w:val="18"/>
              </w:rPr>
              <w:t> </w:t>
            </w:r>
            <w:r>
              <w:rPr>
                <w:rFonts w:ascii="宋体" w:hAnsi="宋体" w:cs="宋体" w:eastAsia="宋体" w:hint="default"/>
                <w:spacing w:val="7"/>
                <w:sz w:val="18"/>
                <w:szCs w:val="18"/>
              </w:rPr>
              <w:t>豪智能技术有限</w:t>
            </w:r>
            <w:r>
              <w:rPr>
                <w:rFonts w:ascii="宋体" w:hAnsi="宋体" w:cs="宋体" w:eastAsia="宋体" w:hint="default"/>
                <w:spacing w:val="7"/>
                <w:sz w:val="18"/>
                <w:szCs w:val="18"/>
              </w:rPr>
              <w:t> 公司、新疆恒通 达泰股权投资合 伙企业（有限合 </w:t>
            </w:r>
            <w:r>
              <w:rPr>
                <w:rFonts w:ascii="宋体" w:hAnsi="宋体" w:cs="宋体" w:eastAsia="宋体" w:hint="default"/>
                <w:spacing w:val="-17"/>
                <w:sz w:val="18"/>
                <w:szCs w:val="18"/>
              </w:rPr>
              <w:t>伙）、新余京达投</w:t>
            </w:r>
            <w:r>
              <w:rPr>
                <w:rFonts w:ascii="宋体" w:hAnsi="宋体" w:cs="宋体" w:eastAsia="宋体" w:hint="default"/>
                <w:sz w:val="18"/>
                <w:szCs w:val="18"/>
              </w:rPr>
              <w:t> </w:t>
            </w:r>
            <w:r>
              <w:rPr>
                <w:rFonts w:ascii="宋体" w:hAnsi="宋体" w:cs="宋体" w:eastAsia="宋体" w:hint="default"/>
                <w:spacing w:val="7"/>
                <w:sz w:val="18"/>
                <w:szCs w:val="18"/>
              </w:rPr>
              <w:t>资管理中心（有</w:t>
            </w:r>
            <w:r>
              <w:rPr>
                <w:rFonts w:ascii="宋体" w:hAnsi="宋体" w:cs="宋体" w:eastAsia="宋体" w:hint="default"/>
                <w:spacing w:val="7"/>
                <w:sz w:val="18"/>
                <w:szCs w:val="18"/>
              </w:rPr>
              <w:t> </w:t>
            </w:r>
            <w:r>
              <w:rPr>
                <w:rFonts w:ascii="宋体" w:hAnsi="宋体" w:cs="宋体" w:eastAsia="宋体" w:hint="default"/>
                <w:sz w:val="18"/>
                <w:szCs w:val="18"/>
              </w:rPr>
              <w:t>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91,696,380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91,696,380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4"/>
              <w:jc w:val="left"/>
              <w:rPr>
                <w:rFonts w:ascii="宋体" w:hAnsi="宋体" w:cs="宋体" w:eastAsia="宋体" w:hint="default"/>
                <w:sz w:val="18"/>
                <w:szCs w:val="18"/>
              </w:rPr>
            </w:pPr>
            <w:r>
              <w:rPr>
                <w:rFonts w:ascii="宋体" w:hAnsi="宋体" w:cs="宋体" w:eastAsia="宋体" w:hint="default"/>
                <w:spacing w:val="7"/>
                <w:sz w:val="18"/>
                <w:szCs w:val="18"/>
              </w:rPr>
              <w:t>按照重大资产重 </w:t>
            </w:r>
            <w:r>
              <w:rPr>
                <w:rFonts w:ascii="宋体" w:hAnsi="宋体" w:cs="宋体" w:eastAsia="宋体" w:hint="default"/>
                <w:sz w:val="18"/>
                <w:szCs w:val="18"/>
              </w:rPr>
              <w:t>组承诺解限</w:t>
            </w:r>
          </w:p>
        </w:tc>
      </w:tr>
    </w:tbl>
    <w:p>
      <w:pPr>
        <w:spacing w:after="0" w:line="316"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331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7"/>
              <w:jc w:val="both"/>
              <w:rPr>
                <w:rFonts w:ascii="宋体" w:hAnsi="宋体" w:cs="宋体" w:eastAsia="宋体" w:hint="default"/>
                <w:sz w:val="18"/>
                <w:szCs w:val="18"/>
              </w:rPr>
            </w:pPr>
            <w:r>
              <w:rPr>
                <w:rFonts w:ascii="宋体" w:hAnsi="宋体" w:cs="宋体" w:eastAsia="宋体" w:hint="default"/>
                <w:spacing w:val="7"/>
                <w:sz w:val="18"/>
                <w:szCs w:val="18"/>
              </w:rPr>
              <w:t>北信瑞丰基金管 理有限公司、汇 添富基金管理股 份有限公司、鹏 华资产管理（深 圳）有限公司、 新华基金管理股 份有限公司、浙 江浙商证券资产 </w:t>
            </w:r>
            <w:r>
              <w:rPr>
                <w:rFonts w:ascii="宋体" w:hAnsi="宋体" w:cs="宋体" w:eastAsia="宋体" w:hint="default"/>
                <w:sz w:val="18"/>
                <w:szCs w:val="18"/>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58,558,558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-58,558,558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
              <w:jc w:val="both"/>
              <w:rPr>
                <w:rFonts w:ascii="宋体" w:hAnsi="宋体" w:cs="宋体" w:eastAsia="宋体" w:hint="default"/>
                <w:sz w:val="18"/>
                <w:szCs w:val="18"/>
              </w:rPr>
            </w:pPr>
            <w:r>
              <w:rPr>
                <w:rFonts w:ascii="宋体" w:hAnsi="宋体" w:cs="宋体" w:eastAsia="宋体" w:hint="default"/>
                <w:spacing w:val="7"/>
                <w:sz w:val="18"/>
                <w:szCs w:val="18"/>
              </w:rPr>
              <w:t>按照重大资产重 组配套融资承诺 </w:t>
            </w:r>
            <w:r>
              <w:rPr>
                <w:rFonts w:ascii="宋体" w:hAnsi="宋体" w:cs="宋体" w:eastAsia="宋体" w:hint="default"/>
                <w:sz w:val="18"/>
                <w:szCs w:val="18"/>
              </w:rPr>
              <w:t>解限</w:t>
            </w:r>
          </w:p>
        </w:tc>
      </w:tr>
      <w:tr>
        <w:trPr>
          <w:trHeight w:val="507"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578,074,265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-127,871,291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44,447,877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494,650,851</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28"/>
          <w:szCs w:val="28"/>
        </w:rPr>
      </w:pPr>
    </w:p>
    <w:p>
      <w:pPr>
        <w:pStyle w:val="Heading2"/>
        <w:spacing w:line="240" w:lineRule="auto"/>
        <w:ind w:right="11"/>
        <w:jc w:val="left"/>
      </w:pPr>
      <w:r>
        <w:rPr/>
        <w:t>二、证券发行与上市情况</w:t>
      </w:r>
    </w:p>
    <w:p>
      <w:pPr>
        <w:spacing w:line="240" w:lineRule="auto" w:before="12"/>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、报告期内证券发行（不含优先股）情况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025"/>
        <w:gridCol w:w="1294"/>
        <w:gridCol w:w="1651"/>
        <w:gridCol w:w="1561"/>
        <w:gridCol w:w="1063"/>
      </w:tblGrid>
      <w:tr>
        <w:trPr>
          <w:trHeight w:val="820"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5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436" w:right="74"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50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509"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41"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7" w:right="0"/>
              <w:jc w:val="left"/>
              <w:rPr>
                <w:rFonts w:ascii="Times New Roman" w:hAnsi="Times New Roman" w:cs="Times New Roman" w:eastAsia="Times New Roman" w:hint="default"/>
                <w:sz w:val="18"/>
                <w:szCs w:val="18"/>
              </w:rPr>
            </w:pPr>
            <w:r>
              <w:rPr>
                <w:rFonts w:ascii="Times New Roman"/>
                <w:sz w:val="18"/>
              </w:rPr>
              <w:t>10.52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22,860,000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22,860,000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50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报告期内证券发行（不含优先股）情况的说明</w:t>
      </w:r>
    </w:p>
    <w:p>
      <w:pPr>
        <w:spacing w:line="240" w:lineRule="auto" w:before="7"/>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日，公司召开</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年年度股东大会，审议通过了关于公司</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年股权激励计划相关</w:t>
      </w:r>
    </w:p>
    <w:p>
      <w:pPr>
        <w:pStyle w:val="BodyText"/>
        <w:spacing w:line="240" w:lineRule="auto" w:before="177"/>
        <w:ind w:right="11"/>
        <w:jc w:val="left"/>
        <w:rPr>
          <w:rFonts w:ascii="Times New Roman" w:hAnsi="Times New Roman" w:cs="Times New Roman" w:eastAsia="Times New Roman" w:hint="default"/>
        </w:rPr>
      </w:pPr>
      <w:r>
        <w:rPr/>
        <w:t>事项，公司向</w:t>
      </w:r>
      <w:r>
        <w:rPr>
          <w:spacing w:val="-26"/>
        </w:rPr>
        <w:t> </w:t>
      </w:r>
      <w:r>
        <w:rPr>
          <w:rFonts w:ascii="Times New Roman" w:hAnsi="Times New Roman" w:cs="Times New Roman" w:eastAsia="Times New Roman" w:hint="default"/>
        </w:rPr>
        <w:t>402</w:t>
      </w:r>
      <w:r>
        <w:rPr>
          <w:rFonts w:ascii="Times New Roman" w:hAnsi="Times New Roman" w:cs="Times New Roman" w:eastAsia="Times New Roman" w:hint="default"/>
          <w:spacing w:val="5"/>
        </w:rPr>
        <w:t> </w:t>
      </w:r>
      <w:r>
        <w:rPr/>
        <w:t>名激励对象授予限制性股票数量</w:t>
      </w:r>
      <w:r>
        <w:rPr>
          <w:spacing w:val="-28"/>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5"/>
        </w:rPr>
        <w:t> </w:t>
      </w:r>
      <w:r>
        <w:rPr/>
        <w:t>万股</w:t>
      </w:r>
      <w:r>
        <w:rPr>
          <w:rFonts w:ascii="Times New Roman" w:hAnsi="Times New Roman" w:cs="Times New Roman" w:eastAsia="Times New Roman" w:hint="default"/>
        </w:rPr>
        <w:t>,</w:t>
      </w:r>
      <w:r>
        <w:rPr/>
        <w:t>，授予价格为</w:t>
      </w:r>
      <w:r>
        <w:rPr>
          <w:spacing w:val="-26"/>
        </w:rPr>
        <w:t> </w:t>
      </w:r>
      <w:r>
        <w:rPr>
          <w:rFonts w:ascii="Times New Roman" w:hAnsi="Times New Roman" w:cs="Times New Roman" w:eastAsia="Times New Roman" w:hint="default"/>
        </w:rPr>
        <w:t>10.52/</w:t>
      </w:r>
      <w:r>
        <w:rPr/>
        <w:t>股，授予日为</w:t>
      </w:r>
      <w:r>
        <w:rPr>
          <w:spacing w:val="-26"/>
        </w:rPr>
        <w:t> </w:t>
      </w:r>
      <w:r>
        <w:rPr>
          <w:rFonts w:ascii="Times New Roman" w:hAnsi="Times New Roman" w:cs="Times New Roman" w:eastAsia="Times New Roman" w:hint="default"/>
        </w:rPr>
        <w:t>2017</w:t>
      </w:r>
    </w:p>
    <w:p>
      <w:pPr>
        <w:pStyle w:val="BodyText"/>
        <w:spacing w:line="240" w:lineRule="auto" w:before="177"/>
        <w:ind w:right="11"/>
        <w:jc w:val="left"/>
      </w:pP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spacing w:val="-3"/>
        </w:rPr>
        <w:t>日。</w:t>
      </w:r>
      <w:r>
        <w:rPr/>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2</w:t>
      </w:r>
      <w:r>
        <w:rPr/>
        <w:t>、公司股份总数及股东结构的变动、公司资产和负债结构的变动情况说明</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BodyText"/>
        <w:spacing w:line="386" w:lineRule="auto"/>
        <w:ind w:right="144" w:firstLine="420"/>
        <w:jc w:val="left"/>
      </w:pPr>
      <w:r>
        <w:rPr/>
        <w:t>报告期内，公司完成 </w:t>
      </w:r>
      <w:r>
        <w:rPr>
          <w:rFonts w:ascii="Times New Roman" w:hAnsi="Times New Roman" w:cs="Times New Roman" w:eastAsia="Times New Roman" w:hint="default"/>
        </w:rPr>
        <w:t>2014 </w:t>
      </w:r>
      <w:r>
        <w:rPr/>
        <w:t>年限制性股票激励计划部分股票回购注销、</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年限制性股票授予事项，</w:t>
      </w:r>
      <w:r>
        <w:rPr>
          <w:w w:val="100"/>
        </w:rPr>
        <w:t> </w:t>
      </w:r>
      <w:r>
        <w:rPr/>
        <w:t>公司总股本由</w:t>
      </w:r>
      <w:r>
        <w:rPr>
          <w:spacing w:val="-54"/>
        </w:rPr>
        <w:t> </w:t>
      </w:r>
      <w:r>
        <w:rPr>
          <w:rFonts w:ascii="Times New Roman" w:hAnsi="Times New Roman" w:cs="Times New Roman" w:eastAsia="Times New Roman" w:hint="default"/>
        </w:rPr>
        <w:t>1,150,221,154</w:t>
      </w:r>
      <w:r>
        <w:rPr>
          <w:rFonts w:ascii="Times New Roman" w:hAnsi="Times New Roman" w:cs="Times New Roman" w:eastAsia="Times New Roman" w:hint="default"/>
          <w:spacing w:val="-11"/>
        </w:rPr>
        <w:t> </w:t>
      </w:r>
      <w:r>
        <w:rPr/>
        <w:t>股增至</w:t>
      </w:r>
      <w:r>
        <w:rPr>
          <w:spacing w:val="-57"/>
        </w:rPr>
        <w:t> </w:t>
      </w:r>
      <w:r>
        <w:rPr>
          <w:rFonts w:ascii="Times New Roman" w:hAnsi="Times New Roman" w:cs="Times New Roman" w:eastAsia="Times New Roman" w:hint="default"/>
        </w:rPr>
        <w:t>1,172,196,195</w:t>
      </w:r>
      <w:r>
        <w:rPr>
          <w:rFonts w:ascii="Times New Roman" w:hAnsi="Times New Roman" w:cs="Times New Roman" w:eastAsia="Times New Roman" w:hint="default"/>
          <w:spacing w:val="-11"/>
        </w:rPr>
        <w:t> </w:t>
      </w:r>
      <w:r>
        <w:rPr>
          <w:spacing w:val="-3"/>
        </w:rPr>
        <w:t>股。</w:t>
      </w:r>
      <w:r>
        <w:rPr/>
      </w:r>
    </w:p>
    <w:p>
      <w:pPr>
        <w:pStyle w:val="Heading3"/>
        <w:spacing w:line="240" w:lineRule="auto" w:before="168"/>
        <w:ind w:right="11"/>
        <w:jc w:val="left"/>
      </w:pPr>
      <w:r>
        <w:rPr>
          <w:rFonts w:ascii="Times New Roman" w:hAnsi="Times New Roman" w:cs="Times New Roman" w:eastAsia="Times New Roman" w:hint="default"/>
        </w:rPr>
        <w:t>3</w:t>
      </w:r>
      <w:r>
        <w:rPr/>
        <w:t>、现存的内部职工股情况</w:t>
      </w:r>
    </w:p>
    <w:p>
      <w:pPr>
        <w:spacing w:after="0" w:line="240" w:lineRule="auto"/>
        <w:jc w:val="left"/>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黑体" w:hAnsi="黑体" w:cs="黑体" w:eastAsia="黑体" w:hint="default"/>
          <w:sz w:val="2"/>
          <w:szCs w:val="2"/>
        </w:rPr>
      </w:r>
    </w:p>
    <w:p>
      <w:pPr>
        <w:pStyle w:val="BodyText"/>
        <w:spacing w:line="240" w:lineRule="auto" w:before="58"/>
        <w:ind w:left="560" w:right="82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2"/>
        <w:ind w:left="140" w:right="8264"/>
        <w:jc w:val="left"/>
      </w:pPr>
      <w:r>
        <w:rPr/>
        <w:t>三、股东和实际控制人情况</w:t>
      </w:r>
    </w:p>
    <w:p>
      <w:pPr>
        <w:spacing w:line="240" w:lineRule="auto" w:before="12"/>
        <w:rPr>
          <w:rFonts w:ascii="黑体" w:hAnsi="黑体" w:cs="黑体" w:eastAsia="黑体" w:hint="default"/>
          <w:sz w:val="35"/>
          <w:szCs w:val="35"/>
        </w:rPr>
      </w:pPr>
    </w:p>
    <w:p>
      <w:pPr>
        <w:pStyle w:val="Heading3"/>
        <w:spacing w:line="240" w:lineRule="auto"/>
        <w:ind w:left="140" w:right="8264"/>
        <w:jc w:val="left"/>
      </w:pPr>
      <w:r>
        <w:rPr>
          <w:rFonts w:ascii="Times New Roman" w:hAnsi="Times New Roman" w:cs="Times New Roman" w:eastAsia="Times New Roman" w:hint="default"/>
        </w:rPr>
        <w:t>1</w:t>
      </w:r>
      <w:r>
        <w:rPr/>
        <w:t>、公司股东数量及持股情况</w:t>
      </w:r>
    </w:p>
    <w:p>
      <w:pPr>
        <w:spacing w:line="240" w:lineRule="auto" w:before="7"/>
        <w:rPr>
          <w:rFonts w:ascii="黑体" w:hAnsi="黑体" w:cs="黑体" w:eastAsia="黑体" w:hint="default"/>
          <w:sz w:val="21"/>
          <w:szCs w:val="21"/>
        </w:rPr>
      </w:pPr>
    </w:p>
    <w:p>
      <w:pPr>
        <w:pStyle w:val="BodyText"/>
        <w:spacing w:line="240" w:lineRule="auto" w:before="36"/>
        <w:ind w:left="0" w:right="251"/>
        <w:jc w:val="right"/>
      </w:pPr>
      <w:r>
        <w:rPr/>
        <w:pict>
          <v:group style="position:absolute;margin-left:518.950012pt;margin-top:50.363663pt;width:76.350pt;height:25.95pt;mso-position-horizontal-relative:page;mso-position-vertical-relative:paragraph;z-index:-1196728" coordorigin="10379,1007" coordsize="1527,519">
            <v:group style="position:absolute;left:10390;top:1018;width:2;height:497" coordorigin="10390,1018" coordsize="2,497">
              <v:shape style="position:absolute;left:10390;top:1018;width:2;height:497" coordorigin="10390,1018" coordsize="0,497" path="m10390,1018l10390,1515e" filled="false" stroked="true" strokeweight="1.08pt" strokecolor="#ffffff">
                <v:path arrowok="t"/>
              </v:shape>
            </v:group>
            <v:group style="position:absolute;left:10401;top:1018;width:1506;height:497" coordorigin="10401,1018" coordsize="1506,497">
              <v:shape style="position:absolute;left:10401;top:1018;width:1506;height:497" coordorigin="10401,1018" coordsize="1506,497" path="m10401,1515l11906,1515,11906,1018,10401,1018,10401,1515xe" filled="true" fillcolor="#ffffff" stroked="false">
                <v:path arrowok="t"/>
                <v:fill type="solid"/>
              </v:shape>
            </v:group>
            <w10:wrap type="none"/>
          </v:group>
        </w:pict>
      </w:r>
      <w:r>
        <w:rPr>
          <w:spacing w:val="-1"/>
        </w:rPr>
        <w:t>单位：股</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954"/>
        <w:gridCol w:w="199"/>
        <w:gridCol w:w="967"/>
        <w:gridCol w:w="1097"/>
        <w:gridCol w:w="1044"/>
        <w:gridCol w:w="113"/>
        <w:gridCol w:w="1152"/>
        <w:gridCol w:w="500"/>
        <w:gridCol w:w="655"/>
        <w:gridCol w:w="1152"/>
        <w:gridCol w:w="118"/>
        <w:gridCol w:w="1114"/>
        <w:gridCol w:w="468"/>
        <w:gridCol w:w="1507"/>
        <w:gridCol w:w="418"/>
        <w:gridCol w:w="1560"/>
      </w:tblGrid>
      <w:tr>
        <w:trPr>
          <w:trHeight w:val="161" w:hRule="exact"/>
        </w:trPr>
        <w:tc>
          <w:tcPr>
            <w:tcW w:w="1954" w:type="dxa"/>
            <w:vMerge w:val="restart"/>
            <w:tcBorders>
              <w:top w:val="nil" w:sz="6" w:space="0" w:color="auto"/>
              <w:left w:val="nil" w:sz="6" w:space="0" w:color="auto"/>
              <w:right w:val="nil" w:sz="6" w:space="0" w:color="auto"/>
            </w:tcBorders>
            <w:shd w:val="clear" w:color="auto" w:fill="D2D2D2"/>
          </w:tcPr>
          <w:p>
            <w:pPr/>
          </w:p>
        </w:tc>
        <w:tc>
          <w:tcPr>
            <w:tcW w:w="116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24" w:right="0"/>
              <w:jc w:val="left"/>
              <w:rPr>
                <w:rFonts w:ascii="Times New Roman" w:hAnsi="Times New Roman" w:cs="Times New Roman" w:eastAsia="Times New Roman" w:hint="default"/>
                <w:sz w:val="18"/>
                <w:szCs w:val="18"/>
              </w:rPr>
            </w:pPr>
            <w:r>
              <w:rPr>
                <w:rFonts w:ascii="Times New Roman"/>
                <w:sz w:val="18"/>
              </w:rPr>
              <w:t>24,593</w:t>
            </w:r>
          </w:p>
        </w:tc>
        <w:tc>
          <w:tcPr>
            <w:tcW w:w="2141" w:type="dxa"/>
            <w:gridSpan w:val="2"/>
            <w:vMerge w:val="restart"/>
            <w:tcBorders>
              <w:top w:val="single" w:sz="4" w:space="0" w:color="000000"/>
              <w:left w:val="single" w:sz="4" w:space="0" w:color="000000"/>
              <w:right w:val="single" w:sz="4" w:space="0" w:color="000000"/>
            </w:tcBorders>
            <w:shd w:val="clear" w:color="auto" w:fill="D2D2D2"/>
          </w:tcPr>
          <w:p>
            <w:pPr/>
          </w:p>
        </w:tc>
        <w:tc>
          <w:tcPr>
            <w:tcW w:w="1764" w:type="dxa"/>
            <w:gridSpan w:val="3"/>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9"/>
              <w:jc w:val="center"/>
              <w:rPr>
                <w:rFonts w:ascii="Times New Roman" w:hAnsi="Times New Roman" w:cs="Times New Roman" w:eastAsia="Times New Roman" w:hint="default"/>
                <w:sz w:val="18"/>
                <w:szCs w:val="18"/>
              </w:rPr>
            </w:pPr>
            <w:r>
              <w:rPr>
                <w:rFonts w:ascii="Times New Roman"/>
                <w:sz w:val="18"/>
              </w:rPr>
              <w:t>27,734</w:t>
            </w:r>
          </w:p>
        </w:tc>
        <w:tc>
          <w:tcPr>
            <w:tcW w:w="192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nil" w:sz="6" w:space="0" w:color="auto"/>
            </w:tcBorders>
          </w:tcPr>
          <w:p>
            <w:pPr/>
          </w:p>
        </w:tc>
        <w:tc>
          <w:tcPr>
            <w:tcW w:w="468" w:type="dxa"/>
            <w:tcBorders>
              <w:top w:val="single" w:sz="4" w:space="0" w:color="000000"/>
              <w:left w:val="nil" w:sz="6" w:space="0" w:color="auto"/>
              <w:bottom w:val="nil" w:sz="6" w:space="0" w:color="auto"/>
              <w:right w:val="single" w:sz="10" w:space="0" w:color="D2D2D2"/>
            </w:tcBorders>
          </w:tcPr>
          <w:p>
            <w:pPr/>
          </w:p>
        </w:tc>
        <w:tc>
          <w:tcPr>
            <w:tcW w:w="19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 w:right="9"/>
              <w:jc w:val="both"/>
              <w:rPr>
                <w:rFonts w:ascii="宋体" w:hAnsi="宋体" w:cs="宋体" w:eastAsia="宋体" w:hint="default"/>
                <w:sz w:val="18"/>
                <w:szCs w:val="18"/>
              </w:rPr>
            </w:pPr>
            <w:r>
              <w:rPr>
                <w:rFonts w:ascii="宋体" w:hAnsi="宋体" w:cs="宋体" w:eastAsia="宋体" w:hint="default"/>
                <w:spacing w:val="8"/>
                <w:sz w:val="18"/>
                <w:szCs w:val="18"/>
              </w:rPr>
              <w:t>年度报告披露日前上一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月末表决权恢复的优先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股股东总数（如有）（参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6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954" w:type="dxa"/>
            <w:vMerge/>
            <w:tcBorders>
              <w:left w:val="nil" w:sz="6" w:space="0" w:color="auto"/>
              <w:bottom w:val="nil" w:sz="6" w:space="0" w:color="auto"/>
              <w:right w:val="nil" w:sz="6" w:space="0" w:color="auto"/>
            </w:tcBorders>
            <w:shd w:val="clear" w:color="auto" w:fill="D2D2D2"/>
          </w:tcPr>
          <w:p>
            <w:pPr/>
          </w:p>
        </w:tc>
        <w:tc>
          <w:tcPr>
            <w:tcW w:w="1166" w:type="dxa"/>
            <w:gridSpan w:val="2"/>
            <w:vMerge/>
            <w:tcBorders>
              <w:left w:val="single" w:sz="10" w:space="0" w:color="D2D2D2"/>
              <w:right w:val="single" w:sz="9" w:space="0" w:color="D2D2D2"/>
            </w:tcBorders>
          </w:tcPr>
          <w:p>
            <w:pPr/>
          </w:p>
        </w:tc>
        <w:tc>
          <w:tcPr>
            <w:tcW w:w="2141" w:type="dxa"/>
            <w:gridSpan w:val="2"/>
            <w:vMerge/>
            <w:tcBorders>
              <w:left w:val="single" w:sz="4" w:space="0" w:color="000000"/>
              <w:bottom w:val="nil" w:sz="6" w:space="0" w:color="auto"/>
              <w:right w:val="single" w:sz="4" w:space="0" w:color="000000"/>
            </w:tcBorders>
            <w:shd w:val="clear" w:color="auto" w:fill="D2D2D2"/>
          </w:tcPr>
          <w:p>
            <w:pPr/>
          </w:p>
        </w:tc>
        <w:tc>
          <w:tcPr>
            <w:tcW w:w="1764" w:type="dxa"/>
            <w:gridSpan w:val="3"/>
            <w:vMerge/>
            <w:tcBorders>
              <w:left w:val="single" w:sz="10" w:space="0" w:color="D2D2D2"/>
              <w:right w:val="single" w:sz="10" w:space="0" w:color="D2D2D2"/>
            </w:tcBorders>
          </w:tcPr>
          <w:p>
            <w:pPr/>
          </w:p>
        </w:tc>
        <w:tc>
          <w:tcPr>
            <w:tcW w:w="192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12" w:right="-44"/>
              <w:jc w:val="left"/>
              <w:rPr>
                <w:rFonts w:ascii="宋体" w:hAnsi="宋体" w:cs="宋体" w:eastAsia="宋体" w:hint="default"/>
                <w:sz w:val="18"/>
                <w:szCs w:val="18"/>
              </w:rPr>
            </w:pPr>
            <w:r>
              <w:rPr>
                <w:rFonts w:ascii="宋体" w:hAnsi="宋体" w:cs="宋体" w:eastAsia="宋体" w:hint="default"/>
                <w:spacing w:val="8"/>
                <w:sz w:val="18"/>
                <w:szCs w:val="18"/>
              </w:rPr>
              <w:t>报告期末表决权恢复的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优先股股东总数（如有）</w:t>
            </w:r>
            <w:r>
              <w:rPr>
                <w:rFonts w:ascii="宋体" w:hAnsi="宋体" w:cs="宋体" w:eastAsia="宋体" w:hint="default"/>
                <w:sz w:val="18"/>
                <w:szCs w:val="18"/>
              </w:rPr>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4" w:type="dxa"/>
            <w:tcBorders>
              <w:top w:val="nil" w:sz="6" w:space="0" w:color="auto"/>
              <w:left w:val="single" w:sz="13" w:space="0" w:color="D2D2D2"/>
              <w:bottom w:val="nil" w:sz="6" w:space="0" w:color="auto"/>
              <w:right w:val="nil" w:sz="6" w:space="0" w:color="auto"/>
            </w:tcBorders>
          </w:tcPr>
          <w:p>
            <w:pPr/>
          </w:p>
        </w:tc>
        <w:tc>
          <w:tcPr>
            <w:tcW w:w="468" w:type="dxa"/>
            <w:tcBorders>
              <w:top w:val="nil" w:sz="6" w:space="0" w:color="auto"/>
              <w:left w:val="nil" w:sz="6" w:space="0" w:color="auto"/>
              <w:bottom w:val="nil" w:sz="6" w:space="0" w:color="auto"/>
              <w:right w:val="single" w:sz="10" w:space="0" w:color="D2D2D2"/>
            </w:tcBorders>
          </w:tcPr>
          <w:p>
            <w:pPr/>
          </w:p>
        </w:tc>
        <w:tc>
          <w:tcPr>
            <w:tcW w:w="1925" w:type="dxa"/>
            <w:gridSpan w:val="2"/>
            <w:vMerge/>
            <w:tcBorders>
              <w:left w:val="single" w:sz="4" w:space="0" w:color="000000"/>
              <w:right w:val="single" w:sz="4" w:space="0" w:color="000000"/>
            </w:tcBorders>
            <w:shd w:val="clear" w:color="auto" w:fill="D2D2D2"/>
          </w:tcPr>
          <w:p>
            <w:pPr/>
          </w:p>
        </w:tc>
        <w:tc>
          <w:tcPr>
            <w:tcW w:w="1560" w:type="dxa"/>
            <w:vMerge/>
            <w:tcBorders>
              <w:left w:val="single" w:sz="13" w:space="0" w:color="D2D2D2"/>
              <w:right w:val="single" w:sz="4" w:space="0" w:color="000000"/>
            </w:tcBorders>
          </w:tcPr>
          <w:p>
            <w:pPr/>
          </w:p>
        </w:tc>
      </w:tr>
      <w:tr>
        <w:trPr>
          <w:trHeight w:val="809" w:hRule="exact"/>
        </w:trPr>
        <w:tc>
          <w:tcPr>
            <w:tcW w:w="19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1"/>
              <w:ind w:left="23" w:right="26"/>
              <w:jc w:val="left"/>
              <w:rPr>
                <w:rFonts w:ascii="宋体" w:hAnsi="宋体" w:cs="宋体" w:eastAsia="宋体" w:hint="default"/>
                <w:sz w:val="18"/>
                <w:szCs w:val="18"/>
              </w:rPr>
            </w:pPr>
            <w:r>
              <w:rPr>
                <w:rFonts w:ascii="宋体" w:hAnsi="宋体" w:cs="宋体" w:eastAsia="宋体" w:hint="default"/>
                <w:spacing w:val="8"/>
                <w:sz w:val="18"/>
                <w:szCs w:val="18"/>
              </w:rPr>
              <w:t>报告期末普通股股东总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1166" w:type="dxa"/>
            <w:gridSpan w:val="2"/>
            <w:vMerge/>
            <w:tcBorders>
              <w:left w:val="single" w:sz="10" w:space="0" w:color="D2D2D2"/>
              <w:right w:val="single" w:sz="9" w:space="0" w:color="D2D2D2"/>
            </w:tcBorders>
          </w:tcPr>
          <w:p>
            <w:pPr/>
          </w:p>
        </w:tc>
        <w:tc>
          <w:tcPr>
            <w:tcW w:w="214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1"/>
              <w:ind w:left="21" w:right="27"/>
              <w:jc w:val="left"/>
              <w:rPr>
                <w:rFonts w:ascii="宋体" w:hAnsi="宋体" w:cs="宋体" w:eastAsia="宋体" w:hint="default"/>
                <w:sz w:val="18"/>
                <w:szCs w:val="18"/>
              </w:rPr>
            </w:pPr>
            <w:r>
              <w:rPr>
                <w:rFonts w:ascii="宋体" w:hAnsi="宋体" w:cs="宋体" w:eastAsia="宋体" w:hint="default"/>
                <w:spacing w:val="8"/>
                <w:sz w:val="18"/>
                <w:szCs w:val="18"/>
              </w:rPr>
              <w:t>年度报告披露日前上一月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末普通股股东总数</w:t>
            </w:r>
          </w:p>
        </w:tc>
        <w:tc>
          <w:tcPr>
            <w:tcW w:w="1764" w:type="dxa"/>
            <w:gridSpan w:val="3"/>
            <w:vMerge/>
            <w:tcBorders>
              <w:left w:val="single" w:sz="10" w:space="0" w:color="D2D2D2"/>
              <w:right w:val="single" w:sz="10" w:space="0" w:color="D2D2D2"/>
            </w:tcBorders>
          </w:tcPr>
          <w:p>
            <w:pPr/>
          </w:p>
        </w:tc>
        <w:tc>
          <w:tcPr>
            <w:tcW w:w="1925" w:type="dxa"/>
            <w:gridSpan w:val="3"/>
            <w:vMerge/>
            <w:tcBorders>
              <w:left w:val="single" w:sz="4" w:space="0" w:color="000000"/>
              <w:right w:val="single" w:sz="4" w:space="0" w:color="000000"/>
            </w:tcBorders>
            <w:shd w:val="clear" w:color="auto" w:fill="D2D2D2"/>
          </w:tcPr>
          <w:p>
            <w:pPr/>
          </w:p>
        </w:tc>
        <w:tc>
          <w:tcPr>
            <w:tcW w:w="1114" w:type="dxa"/>
            <w:tcBorders>
              <w:top w:val="nil" w:sz="6" w:space="0" w:color="auto"/>
              <w:left w:val="single" w:sz="13" w:space="0" w:color="D2D2D2"/>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c>
          <w:tcPr>
            <w:tcW w:w="468" w:type="dxa"/>
            <w:tcBorders>
              <w:top w:val="nil" w:sz="6" w:space="0" w:color="auto"/>
              <w:left w:val="nil" w:sz="6" w:space="0" w:color="auto"/>
              <w:bottom w:val="nil" w:sz="6" w:space="0" w:color="auto"/>
              <w:right w:val="single" w:sz="10" w:space="0" w:color="D2D2D2"/>
            </w:tcBorders>
          </w:tcPr>
          <w:p>
            <w:pPr/>
          </w:p>
        </w:tc>
        <w:tc>
          <w:tcPr>
            <w:tcW w:w="1925" w:type="dxa"/>
            <w:gridSpan w:val="2"/>
            <w:vMerge/>
            <w:tcBorders>
              <w:left w:val="single" w:sz="4" w:space="0" w:color="000000"/>
              <w:right w:val="single" w:sz="4" w:space="0" w:color="000000"/>
            </w:tcBorders>
            <w:shd w:val="clear" w:color="auto" w:fill="D2D2D2"/>
          </w:tcPr>
          <w:p>
            <w:pPr/>
          </w:p>
        </w:tc>
        <w:tc>
          <w:tcPr>
            <w:tcW w:w="1560" w:type="dxa"/>
            <w:vMerge/>
            <w:tcBorders>
              <w:left w:val="single" w:sz="13" w:space="0" w:color="D2D2D2"/>
              <w:right w:val="single" w:sz="4" w:space="0" w:color="000000"/>
            </w:tcBorders>
          </w:tcPr>
          <w:p>
            <w:pPr/>
          </w:p>
        </w:tc>
      </w:tr>
      <w:tr>
        <w:trPr>
          <w:trHeight w:val="156" w:hRule="exact"/>
        </w:trPr>
        <w:tc>
          <w:tcPr>
            <w:tcW w:w="1954" w:type="dxa"/>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10" w:space="0" w:color="D2D2D2"/>
              <w:right w:val="single" w:sz="9" w:space="0" w:color="D2D2D2"/>
            </w:tcBorders>
          </w:tcPr>
          <w:p>
            <w:pPr/>
          </w:p>
        </w:tc>
        <w:tc>
          <w:tcPr>
            <w:tcW w:w="2141" w:type="dxa"/>
            <w:gridSpan w:val="2"/>
            <w:vMerge w:val="restart"/>
            <w:tcBorders>
              <w:top w:val="nil" w:sz="6" w:space="0" w:color="auto"/>
              <w:left w:val="single" w:sz="4" w:space="0" w:color="000000"/>
              <w:right w:val="single" w:sz="4" w:space="0" w:color="000000"/>
            </w:tcBorders>
            <w:shd w:val="clear" w:color="auto" w:fill="D2D2D2"/>
          </w:tcPr>
          <w:p>
            <w:pPr/>
          </w:p>
        </w:tc>
        <w:tc>
          <w:tcPr>
            <w:tcW w:w="1764" w:type="dxa"/>
            <w:gridSpan w:val="3"/>
            <w:vMerge/>
            <w:tcBorders>
              <w:left w:val="single" w:sz="10" w:space="0" w:color="D2D2D2"/>
              <w:right w:val="single" w:sz="10" w:space="0" w:color="D2D2D2"/>
            </w:tcBorders>
          </w:tcPr>
          <w:p>
            <w:pPr/>
          </w:p>
        </w:tc>
        <w:tc>
          <w:tcPr>
            <w:tcW w:w="1925" w:type="dxa"/>
            <w:gridSpan w:val="3"/>
            <w:vMerge/>
            <w:tcBorders>
              <w:left w:val="single" w:sz="4" w:space="0" w:color="000000"/>
              <w:bottom w:val="nil" w:sz="6" w:space="0" w:color="auto"/>
              <w:right w:val="single" w:sz="4" w:space="0" w:color="000000"/>
            </w:tcBorders>
            <w:shd w:val="clear" w:color="auto" w:fill="D2D2D2"/>
          </w:tcPr>
          <w:p>
            <w:pPr/>
          </w:p>
        </w:tc>
        <w:tc>
          <w:tcPr>
            <w:tcW w:w="1114" w:type="dxa"/>
            <w:tcBorders>
              <w:top w:val="nil" w:sz="6" w:space="0" w:color="auto"/>
              <w:left w:val="single" w:sz="13" w:space="0" w:color="D2D2D2"/>
              <w:bottom w:val="nil" w:sz="6" w:space="0" w:color="auto"/>
              <w:right w:val="nil" w:sz="6" w:space="0" w:color="auto"/>
            </w:tcBorders>
          </w:tcPr>
          <w:p>
            <w:pPr/>
          </w:p>
        </w:tc>
        <w:tc>
          <w:tcPr>
            <w:tcW w:w="468" w:type="dxa"/>
            <w:tcBorders>
              <w:top w:val="nil" w:sz="6" w:space="0" w:color="auto"/>
              <w:left w:val="nil" w:sz="6" w:space="0" w:color="auto"/>
              <w:bottom w:val="nil" w:sz="6" w:space="0" w:color="auto"/>
              <w:right w:val="single" w:sz="10" w:space="0" w:color="D2D2D2"/>
            </w:tcBorders>
          </w:tcPr>
          <w:p>
            <w:pPr/>
          </w:p>
        </w:tc>
        <w:tc>
          <w:tcPr>
            <w:tcW w:w="1925" w:type="dxa"/>
            <w:gridSpan w:val="2"/>
            <w:vMerge/>
            <w:tcBorders>
              <w:left w:val="single" w:sz="4" w:space="0" w:color="000000"/>
              <w:right w:val="single" w:sz="4" w:space="0" w:color="000000"/>
            </w:tcBorders>
            <w:shd w:val="clear" w:color="auto" w:fill="D2D2D2"/>
          </w:tcPr>
          <w:p>
            <w:pPr/>
          </w:p>
        </w:tc>
        <w:tc>
          <w:tcPr>
            <w:tcW w:w="1560" w:type="dxa"/>
            <w:vMerge/>
            <w:tcBorders>
              <w:left w:val="single" w:sz="13" w:space="0" w:color="D2D2D2"/>
              <w:right w:val="single" w:sz="4" w:space="0" w:color="000000"/>
            </w:tcBorders>
          </w:tcPr>
          <w:p>
            <w:pPr/>
          </w:p>
        </w:tc>
      </w:tr>
      <w:tr>
        <w:trPr>
          <w:trHeight w:val="168" w:hRule="exact"/>
        </w:trPr>
        <w:tc>
          <w:tcPr>
            <w:tcW w:w="1954" w:type="dxa"/>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10" w:space="0" w:color="D2D2D2"/>
              <w:bottom w:val="single" w:sz="4" w:space="0" w:color="000000"/>
              <w:right w:val="single" w:sz="9" w:space="0" w:color="D2D2D2"/>
            </w:tcBorders>
          </w:tcPr>
          <w:p>
            <w:pPr/>
          </w:p>
        </w:tc>
        <w:tc>
          <w:tcPr>
            <w:tcW w:w="2141" w:type="dxa"/>
            <w:gridSpan w:val="2"/>
            <w:vMerge/>
            <w:tcBorders>
              <w:left w:val="single" w:sz="4" w:space="0" w:color="000000"/>
              <w:bottom w:val="single" w:sz="4" w:space="0" w:color="000000"/>
              <w:right w:val="single" w:sz="4" w:space="0" w:color="000000"/>
            </w:tcBorders>
            <w:shd w:val="clear" w:color="auto" w:fill="D2D2D2"/>
          </w:tcPr>
          <w:p>
            <w:pPr/>
          </w:p>
        </w:tc>
        <w:tc>
          <w:tcPr>
            <w:tcW w:w="1764" w:type="dxa"/>
            <w:gridSpan w:val="3"/>
            <w:vMerge/>
            <w:tcBorders>
              <w:left w:val="single" w:sz="10" w:space="0" w:color="D2D2D2"/>
              <w:bottom w:val="single" w:sz="4" w:space="0" w:color="000000"/>
              <w:right w:val="single" w:sz="10" w:space="0" w:color="D2D2D2"/>
            </w:tcBorders>
          </w:tcPr>
          <w:p>
            <w:pPr/>
          </w:p>
        </w:tc>
        <w:tc>
          <w:tcPr>
            <w:tcW w:w="192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nil" w:sz="6" w:space="0" w:color="auto"/>
            </w:tcBorders>
          </w:tcPr>
          <w:p>
            <w:pPr/>
          </w:p>
        </w:tc>
        <w:tc>
          <w:tcPr>
            <w:tcW w:w="468" w:type="dxa"/>
            <w:tcBorders>
              <w:top w:val="nil" w:sz="6" w:space="0" w:color="auto"/>
              <w:left w:val="nil" w:sz="6" w:space="0" w:color="auto"/>
              <w:bottom w:val="single" w:sz="4" w:space="0" w:color="000000"/>
              <w:right w:val="single" w:sz="10" w:space="0" w:color="D2D2D2"/>
            </w:tcBorders>
          </w:tcPr>
          <w:p>
            <w:pPr/>
          </w:p>
        </w:tc>
        <w:tc>
          <w:tcPr>
            <w:tcW w:w="1925" w:type="dxa"/>
            <w:gridSpan w:val="2"/>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13" w:space="0" w:color="D2D2D2"/>
              <w:bottom w:val="single" w:sz="4" w:space="0" w:color="000000"/>
              <w:right w:val="single" w:sz="4" w:space="0" w:color="000000"/>
            </w:tcBorders>
          </w:tcPr>
          <w:p>
            <w:pPr/>
          </w:p>
        </w:tc>
      </w:tr>
      <w:tr>
        <w:trPr>
          <w:trHeight w:val="497" w:hRule="exact"/>
        </w:trPr>
        <w:tc>
          <w:tcPr>
            <w:tcW w:w="14018"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08" w:hRule="exact"/>
        </w:trPr>
        <w:tc>
          <w:tcPr>
            <w:tcW w:w="2153" w:type="dxa"/>
            <w:gridSpan w:val="2"/>
            <w:vMerge w:val="restart"/>
            <w:tcBorders>
              <w:top w:val="single" w:sz="4" w:space="0" w:color="000000"/>
              <w:left w:val="single" w:sz="4" w:space="0" w:color="000000"/>
              <w:right w:val="single" w:sz="4" w:space="0" w:color="000000"/>
            </w:tcBorders>
            <w:shd w:val="clear" w:color="auto" w:fill="D2D2D2"/>
          </w:tcPr>
          <w:p>
            <w:pPr/>
          </w:p>
        </w:tc>
        <w:tc>
          <w:tcPr>
            <w:tcW w:w="2065" w:type="dxa"/>
            <w:gridSpan w:val="2"/>
            <w:vMerge w:val="restart"/>
            <w:tcBorders>
              <w:top w:val="single" w:sz="4" w:space="0" w:color="000000"/>
              <w:left w:val="single" w:sz="4" w:space="0" w:color="000000"/>
              <w:right w:val="single" w:sz="4" w:space="0" w:color="000000"/>
            </w:tcBorders>
            <w:shd w:val="clear" w:color="auto" w:fill="D2D2D2"/>
          </w:tcPr>
          <w:p>
            <w:pPr/>
          </w:p>
        </w:tc>
        <w:tc>
          <w:tcPr>
            <w:tcW w:w="1157" w:type="dxa"/>
            <w:gridSpan w:val="2"/>
            <w:vMerge w:val="restart"/>
            <w:tcBorders>
              <w:top w:val="single" w:sz="4" w:space="0" w:color="000000"/>
              <w:left w:val="single" w:sz="4" w:space="0" w:color="000000"/>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5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53" w:type="dxa"/>
            <w:gridSpan w:val="2"/>
            <w:vMerge/>
            <w:tcBorders>
              <w:left w:val="single" w:sz="4" w:space="0" w:color="000000"/>
              <w:bottom w:val="nil" w:sz="6" w:space="0" w:color="auto"/>
              <w:right w:val="single" w:sz="4" w:space="0" w:color="000000"/>
            </w:tcBorders>
            <w:shd w:val="clear" w:color="auto" w:fill="D2D2D2"/>
          </w:tcPr>
          <w:p>
            <w:pPr/>
          </w:p>
        </w:tc>
        <w:tc>
          <w:tcPr>
            <w:tcW w:w="2065" w:type="dxa"/>
            <w:gridSpan w:val="2"/>
            <w:vMerge/>
            <w:tcBorders>
              <w:left w:val="single" w:sz="4" w:space="0" w:color="000000"/>
              <w:bottom w:val="nil" w:sz="6" w:space="0" w:color="auto"/>
              <w:right w:val="single" w:sz="4" w:space="0" w:color="000000"/>
            </w:tcBorders>
            <w:shd w:val="clear" w:color="auto" w:fill="D2D2D2"/>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21" w:right="25"/>
              <w:jc w:val="left"/>
              <w:rPr>
                <w:rFonts w:ascii="宋体" w:hAnsi="宋体" w:cs="宋体" w:eastAsia="宋体" w:hint="default"/>
                <w:sz w:val="18"/>
                <w:szCs w:val="18"/>
              </w:rPr>
            </w:pPr>
            <w:r>
              <w:rPr>
                <w:rFonts w:ascii="宋体" w:hAnsi="宋体" w:cs="宋体" w:eastAsia="宋体" w:hint="default"/>
                <w:sz w:val="18"/>
                <w:szCs w:val="18"/>
              </w:rPr>
              <w:t>报告期末持股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数量</w:t>
            </w:r>
          </w:p>
        </w:tc>
        <w:tc>
          <w:tcPr>
            <w:tcW w:w="115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21" w:right="20"/>
              <w:jc w:val="left"/>
              <w:rPr>
                <w:rFonts w:ascii="宋体" w:hAnsi="宋体" w:cs="宋体" w:eastAsia="宋体" w:hint="default"/>
                <w:sz w:val="18"/>
                <w:szCs w:val="18"/>
              </w:rPr>
            </w:pPr>
            <w:r>
              <w:rPr>
                <w:rFonts w:ascii="宋体" w:hAnsi="宋体" w:cs="宋体" w:eastAsia="宋体" w:hint="default"/>
                <w:spacing w:val="3"/>
                <w:sz w:val="18"/>
                <w:szCs w:val="18"/>
              </w:rPr>
              <w:t>报告期内增减</w:t>
            </w:r>
            <w:r>
              <w:rPr>
                <w:rFonts w:ascii="宋体" w:hAnsi="宋体" w:cs="宋体" w:eastAsia="宋体" w:hint="default"/>
                <w:sz w:val="18"/>
                <w:szCs w:val="18"/>
              </w:rPr>
              <w:t> 变动情况</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23" w:right="19"/>
              <w:jc w:val="left"/>
              <w:rPr>
                <w:rFonts w:ascii="宋体" w:hAnsi="宋体" w:cs="宋体" w:eastAsia="宋体" w:hint="default"/>
                <w:sz w:val="18"/>
                <w:szCs w:val="18"/>
              </w:rPr>
            </w:pPr>
            <w:r>
              <w:rPr>
                <w:rFonts w:ascii="宋体" w:hAnsi="宋体" w:cs="宋体" w:eastAsia="宋体" w:hint="default"/>
                <w:spacing w:val="2"/>
                <w:sz w:val="18"/>
                <w:szCs w:val="18"/>
              </w:rPr>
              <w:t>持有有限售条 </w:t>
            </w:r>
            <w:r>
              <w:rPr>
                <w:rFonts w:ascii="宋体" w:hAnsi="宋体" w:cs="宋体" w:eastAsia="宋体" w:hint="default"/>
                <w:sz w:val="18"/>
                <w:szCs w:val="18"/>
              </w:rPr>
              <w:t>件的股份数量</w:t>
            </w:r>
          </w:p>
        </w:tc>
        <w:tc>
          <w:tcPr>
            <w:tcW w:w="12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2"/>
              <w:ind w:left="24" w:right="2"/>
              <w:jc w:val="left"/>
              <w:rPr>
                <w:rFonts w:ascii="宋体" w:hAnsi="宋体" w:cs="宋体" w:eastAsia="宋体" w:hint="default"/>
                <w:sz w:val="18"/>
                <w:szCs w:val="18"/>
              </w:rPr>
            </w:pPr>
            <w:r>
              <w:rPr>
                <w:rFonts w:ascii="宋体" w:hAnsi="宋体" w:cs="宋体" w:eastAsia="宋体" w:hint="default"/>
                <w:spacing w:val="15"/>
                <w:sz w:val="18"/>
                <w:szCs w:val="18"/>
              </w:rPr>
              <w:t>持有无限售条</w:t>
            </w:r>
            <w:r>
              <w:rPr>
                <w:rFonts w:ascii="宋体" w:hAnsi="宋体" w:cs="宋体" w:eastAsia="宋体" w:hint="default"/>
                <w:spacing w:val="-86"/>
                <w:sz w:val="18"/>
                <w:szCs w:val="18"/>
              </w:rPr>
              <w:t> </w:t>
            </w:r>
            <w:r>
              <w:rPr>
                <w:rFonts w:ascii="宋体" w:hAnsi="宋体" w:cs="宋体" w:eastAsia="宋体" w:hint="default"/>
                <w:sz w:val="18"/>
                <w:szCs w:val="18"/>
              </w:rPr>
              <w:t>件的股份数量</w:t>
            </w:r>
          </w:p>
        </w:tc>
        <w:tc>
          <w:tcPr>
            <w:tcW w:w="3953" w:type="dxa"/>
            <w:gridSpan w:val="4"/>
            <w:vMerge/>
            <w:tcBorders>
              <w:left w:val="single" w:sz="4" w:space="0" w:color="000000"/>
              <w:right w:val="single" w:sz="4" w:space="0" w:color="000000"/>
            </w:tcBorders>
            <w:shd w:val="clear" w:color="auto" w:fill="D2D2D2"/>
          </w:tcPr>
          <w:p>
            <w:pPr/>
          </w:p>
        </w:tc>
      </w:tr>
      <w:tr>
        <w:trPr>
          <w:trHeight w:val="245" w:hRule="exact"/>
        </w:trPr>
        <w:tc>
          <w:tcPr>
            <w:tcW w:w="21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06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2" w:type="dxa"/>
            <w:vMerge/>
            <w:tcBorders>
              <w:left w:val="single" w:sz="4" w:space="0" w:color="000000"/>
              <w:right w:val="single" w:sz="4" w:space="0" w:color="000000"/>
            </w:tcBorders>
            <w:shd w:val="clear" w:color="auto" w:fill="D2D2D2"/>
          </w:tcPr>
          <w:p>
            <w:pPr/>
          </w:p>
        </w:tc>
        <w:tc>
          <w:tcPr>
            <w:tcW w:w="1155" w:type="dxa"/>
            <w:gridSpan w:val="2"/>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232" w:type="dxa"/>
            <w:gridSpan w:val="2"/>
            <w:vMerge/>
            <w:tcBorders>
              <w:left w:val="single" w:sz="4" w:space="0" w:color="000000"/>
              <w:right w:val="single" w:sz="4" w:space="0" w:color="000000"/>
            </w:tcBorders>
            <w:shd w:val="clear" w:color="auto" w:fill="D2D2D2"/>
          </w:tcPr>
          <w:p>
            <w:pPr/>
          </w:p>
        </w:tc>
        <w:tc>
          <w:tcPr>
            <w:tcW w:w="3953" w:type="dxa"/>
            <w:gridSpan w:val="4"/>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2153" w:type="dxa"/>
            <w:gridSpan w:val="2"/>
            <w:vMerge/>
            <w:tcBorders>
              <w:left w:val="single" w:sz="4" w:space="0" w:color="000000"/>
              <w:bottom w:val="nil" w:sz="6" w:space="0" w:color="auto"/>
              <w:right w:val="single" w:sz="4" w:space="0" w:color="000000"/>
            </w:tcBorders>
            <w:shd w:val="clear" w:color="auto" w:fill="D2D2D2"/>
          </w:tcPr>
          <w:p>
            <w:pPr/>
          </w:p>
        </w:tc>
        <w:tc>
          <w:tcPr>
            <w:tcW w:w="2065" w:type="dxa"/>
            <w:gridSpan w:val="2"/>
            <w:vMerge/>
            <w:tcBorders>
              <w:left w:val="single" w:sz="4" w:space="0" w:color="000000"/>
              <w:bottom w:val="nil" w:sz="6" w:space="0" w:color="auto"/>
              <w:right w:val="single" w:sz="4" w:space="0" w:color="000000"/>
            </w:tcBorders>
            <w:shd w:val="clear" w:color="auto" w:fill="D2D2D2"/>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155" w:type="dxa"/>
            <w:gridSpan w:val="2"/>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232" w:type="dxa"/>
            <w:gridSpan w:val="2"/>
            <w:vMerge/>
            <w:tcBorders>
              <w:left w:val="single" w:sz="4" w:space="0" w:color="000000"/>
              <w:right w:val="single" w:sz="4" w:space="0" w:color="000000"/>
            </w:tcBorders>
            <w:shd w:val="clear" w:color="auto" w:fill="D2D2D2"/>
          </w:tcPr>
          <w:p>
            <w:pPr/>
          </w:p>
        </w:tc>
        <w:tc>
          <w:tcPr>
            <w:tcW w:w="19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9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57" w:hRule="exact"/>
        </w:trPr>
        <w:tc>
          <w:tcPr>
            <w:tcW w:w="21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06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155" w:type="dxa"/>
            <w:gridSpan w:val="2"/>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232" w:type="dxa"/>
            <w:gridSpan w:val="2"/>
            <w:vMerge/>
            <w:tcBorders>
              <w:left w:val="single" w:sz="4" w:space="0" w:color="000000"/>
              <w:bottom w:val="single" w:sz="4" w:space="0" w:color="000000"/>
              <w:right w:val="single" w:sz="4" w:space="0" w:color="000000"/>
            </w:tcBorders>
            <w:shd w:val="clear" w:color="auto" w:fill="D2D2D2"/>
          </w:tcPr>
          <w:p>
            <w:pPr/>
          </w:p>
        </w:tc>
        <w:tc>
          <w:tcPr>
            <w:tcW w:w="1975" w:type="dxa"/>
            <w:gridSpan w:val="2"/>
            <w:vMerge/>
            <w:tcBorders>
              <w:left w:val="single" w:sz="4" w:space="0" w:color="000000"/>
              <w:bottom w:val="single" w:sz="4" w:space="0" w:color="000000"/>
              <w:right w:val="single" w:sz="4" w:space="0" w:color="000000"/>
            </w:tcBorders>
            <w:shd w:val="clear" w:color="auto" w:fill="D2D2D2"/>
          </w:tcPr>
          <w:p>
            <w:pPr/>
          </w:p>
        </w:tc>
        <w:tc>
          <w:tcPr>
            <w:tcW w:w="1978" w:type="dxa"/>
            <w:gridSpan w:val="2"/>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68" w:right="0"/>
              <w:jc w:val="left"/>
              <w:rPr>
                <w:rFonts w:ascii="Times New Roman" w:hAnsi="Times New Roman" w:cs="Times New Roman" w:eastAsia="Times New Roman" w:hint="default"/>
                <w:sz w:val="18"/>
                <w:szCs w:val="18"/>
              </w:rPr>
            </w:pPr>
            <w:r>
              <w:rPr>
                <w:rFonts w:ascii="Times New Roman"/>
                <w:sz w:val="18"/>
              </w:rPr>
              <w:t>33.30%</w:t>
            </w:r>
          </w:p>
        </w:tc>
        <w:tc>
          <w:tcPr>
            <w:tcW w:w="1152" w:type="dxa"/>
            <w:tcBorders>
              <w:top w:val="single" w:sz="38"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390,319,728</w:t>
            </w:r>
          </w:p>
        </w:tc>
        <w:tc>
          <w:tcPr>
            <w:tcW w:w="1155" w:type="dxa"/>
            <w:gridSpan w:val="2"/>
            <w:tcBorders>
              <w:top w:val="single" w:sz="38" w:space="0" w:color="D2D2D2"/>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38" w:space="0" w:color="D2D2D2"/>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292,739,796</w:t>
            </w:r>
          </w:p>
        </w:tc>
        <w:tc>
          <w:tcPr>
            <w:tcW w:w="1232" w:type="dxa"/>
            <w:gridSpan w:val="2"/>
            <w:tcBorders>
              <w:top w:val="single" w:sz="38" w:space="0" w:color="D2D2D2"/>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97,579,932</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44" w:right="0"/>
              <w:jc w:val="left"/>
              <w:rPr>
                <w:rFonts w:ascii="Times New Roman" w:hAnsi="Times New Roman" w:cs="Times New Roman" w:eastAsia="Times New Roman" w:hint="default"/>
                <w:sz w:val="18"/>
                <w:szCs w:val="18"/>
              </w:rPr>
            </w:pPr>
            <w:r>
              <w:rPr>
                <w:rFonts w:ascii="Times New Roman"/>
                <w:sz w:val="18"/>
              </w:rPr>
              <w:t>276,465,300</w:t>
            </w:r>
          </w:p>
        </w:tc>
      </w:tr>
      <w:tr>
        <w:trPr>
          <w:trHeight w:val="821" w:hRule="exact"/>
        </w:trPr>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9"/>
                <w:sz w:val="18"/>
                <w:szCs w:val="18"/>
              </w:rPr>
              <w:t>西藏泰豪智能技术有限公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2.83%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33,115,231</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33,115,231</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32" w:right="0"/>
              <w:jc w:val="left"/>
              <w:rPr>
                <w:rFonts w:ascii="Times New Roman" w:hAnsi="Times New Roman" w:cs="Times New Roman" w:eastAsia="Times New Roman" w:hint="default"/>
                <w:sz w:val="18"/>
                <w:szCs w:val="18"/>
              </w:rPr>
            </w:pPr>
            <w:r>
              <w:rPr>
                <w:rFonts w:ascii="Times New Roman"/>
                <w:sz w:val="18"/>
              </w:rPr>
              <w:t>22,000,000</w:t>
            </w:r>
          </w:p>
        </w:tc>
      </w:tr>
      <w:tr>
        <w:trPr>
          <w:trHeight w:val="819" w:hRule="exact"/>
        </w:trPr>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left"/>
              <w:rPr>
                <w:rFonts w:ascii="宋体" w:hAnsi="宋体" w:cs="宋体" w:eastAsia="宋体" w:hint="default"/>
                <w:sz w:val="18"/>
                <w:szCs w:val="18"/>
              </w:rPr>
            </w:pPr>
            <w:r>
              <w:rPr>
                <w:rFonts w:ascii="宋体" w:hAnsi="宋体" w:cs="宋体" w:eastAsia="宋体" w:hint="default"/>
                <w:spacing w:val="9"/>
                <w:sz w:val="18"/>
                <w:szCs w:val="18"/>
              </w:rPr>
              <w:t>北京中天涌慧投资咨询有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2.67%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31,342,800</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31,342,800</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132" w:right="0"/>
              <w:jc w:val="left"/>
              <w:rPr>
                <w:rFonts w:ascii="Times New Roman" w:hAnsi="Times New Roman" w:cs="Times New Roman" w:eastAsia="Times New Roman" w:hint="default"/>
                <w:sz w:val="18"/>
                <w:szCs w:val="18"/>
              </w:rPr>
            </w:pPr>
            <w:r>
              <w:rPr>
                <w:rFonts w:ascii="Times New Roman"/>
                <w:sz w:val="18"/>
              </w:rPr>
              <w:t>31,342,800</w:t>
            </w:r>
          </w:p>
        </w:tc>
      </w:tr>
      <w:tr>
        <w:trPr>
          <w:trHeight w:val="509" w:hRule="exact"/>
        </w:trPr>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白巍</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7" w:right="0"/>
              <w:jc w:val="left"/>
              <w:rPr>
                <w:rFonts w:ascii="Times New Roman" w:hAnsi="Times New Roman" w:cs="Times New Roman" w:eastAsia="Times New Roman" w:hint="default"/>
                <w:sz w:val="18"/>
                <w:szCs w:val="18"/>
              </w:rPr>
            </w:pPr>
            <w:r>
              <w:rPr>
                <w:rFonts w:ascii="Times New Roman"/>
                <w:sz w:val="18"/>
              </w:rPr>
              <w:t>2.38%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27,929,922</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20,947,441</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0" w:right="0"/>
              <w:jc w:val="left"/>
              <w:rPr>
                <w:rFonts w:ascii="Times New Roman" w:hAnsi="Times New Roman" w:cs="Times New Roman" w:eastAsia="Times New Roman" w:hint="default"/>
                <w:sz w:val="18"/>
                <w:szCs w:val="18"/>
              </w:rPr>
            </w:pPr>
            <w:r>
              <w:rPr>
                <w:rFonts w:ascii="Times New Roman"/>
                <w:sz w:val="18"/>
              </w:rPr>
              <w:t>6,982,481</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24" w:right="0"/>
              <w:jc w:val="left"/>
              <w:rPr>
                <w:rFonts w:ascii="Times New Roman" w:hAnsi="Times New Roman" w:cs="Times New Roman" w:eastAsia="Times New Roman" w:hint="default"/>
                <w:sz w:val="18"/>
                <w:szCs w:val="18"/>
              </w:rPr>
            </w:pPr>
            <w:r>
              <w:rPr>
                <w:rFonts w:ascii="Times New Roman"/>
                <w:sz w:val="18"/>
              </w:rPr>
              <w:t>9,500,000</w:t>
            </w:r>
          </w:p>
        </w:tc>
      </w:tr>
      <w:tr>
        <w:trPr>
          <w:trHeight w:val="509" w:hRule="exact"/>
        </w:trPr>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57" w:right="0"/>
              <w:jc w:val="left"/>
              <w:rPr>
                <w:rFonts w:ascii="Times New Roman" w:hAnsi="Times New Roman" w:cs="Times New Roman" w:eastAsia="Times New Roman" w:hint="default"/>
                <w:sz w:val="18"/>
                <w:szCs w:val="18"/>
              </w:rPr>
            </w:pPr>
            <w:r>
              <w:rPr>
                <w:rFonts w:ascii="Times New Roman"/>
                <w:sz w:val="18"/>
              </w:rPr>
              <w:t>2.05%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24,036,730</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18,027,547</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0" w:right="0"/>
              <w:jc w:val="left"/>
              <w:rPr>
                <w:rFonts w:ascii="Times New Roman" w:hAnsi="Times New Roman" w:cs="Times New Roman" w:eastAsia="Times New Roman" w:hint="default"/>
                <w:sz w:val="18"/>
                <w:szCs w:val="18"/>
              </w:rPr>
            </w:pPr>
            <w:r>
              <w:rPr>
                <w:rFonts w:ascii="Times New Roman"/>
                <w:sz w:val="18"/>
              </w:rPr>
              <w:t>6,009,183</w:t>
            </w:r>
          </w:p>
        </w:tc>
        <w:tc>
          <w:tcPr>
            <w:tcW w:w="1975" w:type="dxa"/>
            <w:gridSpan w:val="2"/>
            <w:tcBorders>
              <w:top w:val="single" w:sz="4" w:space="0" w:color="000000"/>
              <w:left w:val="single" w:sz="4" w:space="0" w:color="000000"/>
              <w:bottom w:val="single" w:sz="4" w:space="0" w:color="000000"/>
              <w:right w:val="single" w:sz="4" w:space="0" w:color="000000"/>
            </w:tcBorders>
          </w:tcPr>
          <w:p>
            <w:pPr/>
          </w:p>
        </w:tc>
        <w:tc>
          <w:tcPr>
            <w:tcW w:w="197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6"/>
          <w:footerReference w:type="default" r:id="rId47"/>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153"/>
        <w:gridCol w:w="2065"/>
        <w:gridCol w:w="1157"/>
        <w:gridCol w:w="1152"/>
        <w:gridCol w:w="1155"/>
        <w:gridCol w:w="1152"/>
        <w:gridCol w:w="1232"/>
        <w:gridCol w:w="1975"/>
        <w:gridCol w:w="1978"/>
      </w:tblGrid>
      <w:tr>
        <w:trPr>
          <w:trHeight w:val="521" w:hRule="exact"/>
        </w:trPr>
        <w:tc>
          <w:tcPr>
            <w:tcW w:w="21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20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1.98%</w:t>
            </w:r>
          </w:p>
        </w:tc>
        <w:tc>
          <w:tcPr>
            <w:tcW w:w="11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23,234,702</w:t>
            </w:r>
          </w:p>
        </w:tc>
        <w:tc>
          <w:tcPr>
            <w:tcW w:w="11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4,715,000</w:t>
            </w:r>
          </w:p>
        </w:tc>
        <w:tc>
          <w:tcPr>
            <w:tcW w:w="11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18,604,776</w:t>
            </w:r>
          </w:p>
        </w:tc>
        <w:tc>
          <w:tcPr>
            <w:tcW w:w="12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4,629,926</w:t>
            </w:r>
          </w:p>
        </w:tc>
        <w:tc>
          <w:tcPr>
            <w:tcW w:w="19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9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6,150,000</w:t>
            </w:r>
          </w:p>
        </w:tc>
      </w:tr>
      <w:tr>
        <w:trPr>
          <w:trHeight w:val="113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both"/>
              <w:rPr>
                <w:rFonts w:ascii="宋体" w:hAnsi="宋体" w:cs="宋体" w:eastAsia="宋体" w:hint="default"/>
                <w:sz w:val="18"/>
                <w:szCs w:val="18"/>
              </w:rPr>
            </w:pPr>
            <w:r>
              <w:rPr>
                <w:rFonts w:ascii="宋体" w:hAnsi="宋体" w:cs="宋体" w:eastAsia="宋体" w:hint="default"/>
                <w:spacing w:val="9"/>
                <w:sz w:val="18"/>
                <w:szCs w:val="18"/>
              </w:rPr>
              <w:t>北京达麟投资管理有限公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司－新余京达投资管理中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心（有限合伙）</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20,870,096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20,870,096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7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王国珍</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1.75%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20,486,433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6,257,632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20,486,433</w:t>
            </w:r>
          </w:p>
        </w:tc>
        <w:tc>
          <w:tcPr>
            <w:tcW w:w="197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21"/>
              <w:jc w:val="both"/>
              <w:rPr>
                <w:rFonts w:ascii="宋体" w:hAnsi="宋体" w:cs="宋体" w:eastAsia="宋体" w:hint="default"/>
                <w:sz w:val="18"/>
                <w:szCs w:val="18"/>
              </w:rPr>
            </w:pPr>
            <w:r>
              <w:rPr>
                <w:rFonts w:ascii="宋体" w:hAnsi="宋体" w:cs="宋体" w:eastAsia="宋体" w:hint="default"/>
                <w:spacing w:val="9"/>
                <w:sz w:val="18"/>
                <w:szCs w:val="18"/>
              </w:rPr>
              <w:t>北京达麟投资管理有限公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司－北京汇达高新投资基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金中心（有限合伙）</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19,879,775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19,879,775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7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3" w:right="19"/>
              <w:jc w:val="both"/>
              <w:rPr>
                <w:rFonts w:ascii="宋体" w:hAnsi="宋体" w:cs="宋体" w:eastAsia="宋体" w:hint="default"/>
                <w:sz w:val="18"/>
                <w:szCs w:val="18"/>
              </w:rPr>
            </w:pPr>
            <w:r>
              <w:rPr>
                <w:rFonts w:ascii="宋体" w:hAnsi="宋体" w:cs="宋体" w:eastAsia="宋体" w:hint="default"/>
                <w:spacing w:val="9"/>
                <w:sz w:val="18"/>
                <w:szCs w:val="18"/>
              </w:rPr>
              <w:t>北方国际信托股份有限公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司－北方信托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恒升一号证 </w:t>
            </w:r>
            <w:r>
              <w:rPr>
                <w:rFonts w:ascii="宋体" w:hAnsi="宋体" w:cs="宋体" w:eastAsia="宋体" w:hint="default"/>
                <w:sz w:val="18"/>
                <w:szCs w:val="18"/>
              </w:rPr>
              <w:t>券投资单一资金信托</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19,296,008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19,296,008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19,296,008</w:t>
            </w:r>
          </w:p>
        </w:tc>
        <w:tc>
          <w:tcPr>
            <w:tcW w:w="197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42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 </w:t>
            </w:r>
            <w:r>
              <w:rPr>
                <w:rFonts w:ascii="宋体" w:hAnsi="宋体" w:cs="宋体" w:eastAsia="宋体" w:hint="default"/>
                <w:spacing w:val="-9"/>
                <w:sz w:val="18"/>
                <w:szCs w:val="18"/>
              </w:rPr>
              <w:t>的情况（如有）（参见注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801"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9" w:hRule="exact"/>
        </w:trPr>
        <w:tc>
          <w:tcPr>
            <w:tcW w:w="421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01" w:type="dxa"/>
            <w:gridSpan w:val="7"/>
            <w:vMerge w:val="restart"/>
            <w:tcBorders>
              <w:top w:val="single" w:sz="4" w:space="0" w:color="000000"/>
              <w:left w:val="single" w:sz="9" w:space="0" w:color="D2D2D2"/>
              <w:right w:val="single" w:sz="4" w:space="0" w:color="000000"/>
            </w:tcBorders>
          </w:tcPr>
          <w:p>
            <w:pPr>
              <w:pStyle w:val="TableParagraph"/>
              <w:spacing w:line="240" w:lineRule="auto" w:before="104"/>
              <w:ind w:left="18" w:right="0"/>
              <w:jc w:val="left"/>
              <w:rPr>
                <w:rFonts w:ascii="宋体" w:hAnsi="宋体" w:cs="宋体" w:eastAsia="宋体" w:hint="default"/>
                <w:sz w:val="18"/>
                <w:szCs w:val="18"/>
              </w:rPr>
            </w:pPr>
            <w:r>
              <w:rPr>
                <w:rFonts w:ascii="宋体" w:hAnsi="宋体" w:cs="宋体" w:eastAsia="宋体" w:hint="default"/>
                <w:spacing w:val="-2"/>
                <w:sz w:val="18"/>
                <w:szCs w:val="18"/>
              </w:rPr>
              <w:t>陈江涛与刘希平为夫妻关系。北京中天涌慧投资咨询有限公司为陈江涛及其夫人</w:t>
            </w:r>
            <w:r>
              <w:rPr>
                <w:rFonts w:ascii="宋体" w:hAnsi="宋体" w:cs="宋体" w:eastAsia="宋体" w:hint="default"/>
                <w:spacing w:val="-15"/>
                <w:sz w:val="18"/>
                <w:szCs w:val="18"/>
              </w:rPr>
              <w:t> </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控股公司。北京达麟投资管理有限公司</w:t>
            </w:r>
          </w:p>
          <w:p>
            <w:pPr>
              <w:pStyle w:val="TableParagraph"/>
              <w:spacing w:line="316" w:lineRule="auto" w:before="60"/>
              <w:ind w:left="18" w:right="23"/>
              <w:jc w:val="left"/>
              <w:rPr>
                <w:rFonts w:ascii="宋体" w:hAnsi="宋体" w:cs="宋体" w:eastAsia="宋体" w:hint="default"/>
                <w:sz w:val="18"/>
                <w:szCs w:val="18"/>
              </w:rPr>
            </w:pPr>
            <w:r>
              <w:rPr>
                <w:rFonts w:ascii="宋体" w:hAnsi="宋体" w:cs="宋体" w:eastAsia="宋体" w:hint="default"/>
                <w:spacing w:val="-3"/>
                <w:sz w:val="18"/>
                <w:szCs w:val="18"/>
              </w:rPr>
              <w:t>－新余京达投资管理中心（有限合伙）、北京达麟投资管理有限公司－北京汇达高新投资基金中心（有限合伙）为陈江涛一致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行动人。北方国际信托股份有限公司－北方信托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恒升一号证券投资单一资金信托为陈江涛增持公司股份的账户。</w:t>
            </w:r>
          </w:p>
        </w:tc>
      </w:tr>
      <w:tr>
        <w:trPr>
          <w:trHeight w:val="497" w:hRule="exact"/>
        </w:trPr>
        <w:tc>
          <w:tcPr>
            <w:tcW w:w="421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9801" w:type="dxa"/>
            <w:gridSpan w:val="7"/>
            <w:vMerge/>
            <w:tcBorders>
              <w:left w:val="single" w:sz="9" w:space="0" w:color="D2D2D2"/>
              <w:right w:val="single" w:sz="4" w:space="0" w:color="000000"/>
            </w:tcBorders>
          </w:tcPr>
          <w:p>
            <w:pPr/>
          </w:p>
        </w:tc>
      </w:tr>
      <w:tr>
        <w:trPr>
          <w:trHeight w:val="317" w:hRule="exact"/>
        </w:trPr>
        <w:tc>
          <w:tcPr>
            <w:tcW w:w="42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01" w:type="dxa"/>
            <w:gridSpan w:val="7"/>
            <w:vMerge/>
            <w:tcBorders>
              <w:left w:val="single" w:sz="9" w:space="0" w:color="D2D2D2"/>
              <w:bottom w:val="single" w:sz="4" w:space="0" w:color="000000"/>
              <w:right w:val="single" w:sz="4" w:space="0" w:color="000000"/>
            </w:tcBorders>
          </w:tcPr>
          <w:p>
            <w:pPr/>
          </w:p>
        </w:tc>
      </w:tr>
      <w:tr>
        <w:trPr>
          <w:trHeight w:val="509" w:hRule="exact"/>
        </w:trPr>
        <w:tc>
          <w:tcPr>
            <w:tcW w:w="1401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59" w:hRule="exact"/>
        </w:trPr>
        <w:tc>
          <w:tcPr>
            <w:tcW w:w="421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9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2" w:hRule="exact"/>
        </w:trPr>
        <w:tc>
          <w:tcPr>
            <w:tcW w:w="42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8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953" w:type="dxa"/>
            <w:gridSpan w:val="2"/>
            <w:vMerge/>
            <w:tcBorders>
              <w:left w:val="single" w:sz="4" w:space="0" w:color="000000"/>
              <w:bottom w:val="single" w:sz="4" w:space="0" w:color="000000"/>
              <w:right w:val="single" w:sz="4" w:space="0" w:color="000000"/>
            </w:tcBorders>
            <w:shd w:val="clear" w:color="auto" w:fill="D2D2D2"/>
          </w:tcPr>
          <w:p>
            <w:pPr/>
          </w:p>
        </w:tc>
      </w:tr>
      <w:tr>
        <w:trPr>
          <w:trHeight w:val="255" w:hRule="exact"/>
        </w:trPr>
        <w:tc>
          <w:tcPr>
            <w:tcW w:w="4218" w:type="dxa"/>
            <w:gridSpan w:val="2"/>
            <w:vMerge/>
            <w:tcBorders>
              <w:left w:val="single" w:sz="4" w:space="0" w:color="000000"/>
              <w:bottom w:val="nil" w:sz="6" w:space="0" w:color="auto"/>
              <w:right w:val="single" w:sz="4" w:space="0" w:color="000000"/>
            </w:tcBorders>
            <w:shd w:val="clear" w:color="auto" w:fill="D2D2D2"/>
          </w:tcPr>
          <w:p>
            <w:pPr/>
          </w:p>
        </w:tc>
        <w:tc>
          <w:tcPr>
            <w:tcW w:w="5847" w:type="dxa"/>
            <w:gridSpan w:val="5"/>
            <w:vMerge/>
            <w:tcBorders>
              <w:left w:val="single" w:sz="4" w:space="0" w:color="000000"/>
              <w:bottom w:val="nil" w:sz="6" w:space="0" w:color="auto"/>
              <w:right w:val="single" w:sz="4" w:space="0" w:color="000000"/>
            </w:tcBorders>
            <w:shd w:val="clear" w:color="auto" w:fill="D2D2D2"/>
          </w:tcPr>
          <w:p>
            <w:pPr/>
          </w:p>
        </w:tc>
        <w:tc>
          <w:tcPr>
            <w:tcW w:w="1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59" w:hRule="exact"/>
        </w:trPr>
        <w:tc>
          <w:tcPr>
            <w:tcW w:w="42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975" w:type="dxa"/>
            <w:vMerge/>
            <w:tcBorders>
              <w:left w:val="single" w:sz="4" w:space="0" w:color="000000"/>
              <w:bottom w:val="single" w:sz="4" w:space="0" w:color="000000"/>
              <w:right w:val="single" w:sz="4" w:space="0" w:color="000000"/>
            </w:tcBorders>
            <w:shd w:val="clear" w:color="auto" w:fill="D2D2D2"/>
          </w:tcPr>
          <w:p>
            <w:pPr/>
          </w:p>
        </w:tc>
        <w:tc>
          <w:tcPr>
            <w:tcW w:w="1978"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4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58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97,579,932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97,579,932</w:t>
            </w:r>
          </w:p>
        </w:tc>
      </w:tr>
      <w:tr>
        <w:trPr>
          <w:trHeight w:val="509" w:hRule="exact"/>
        </w:trPr>
        <w:tc>
          <w:tcPr>
            <w:tcW w:w="4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58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31,342,800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31,342,800</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6840" w:h="11910" w:orient="landscape"/>
          <w:pgMar w:footer="1132" w:header="88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218"/>
        <w:gridCol w:w="5847"/>
        <w:gridCol w:w="1975"/>
        <w:gridCol w:w="1978"/>
      </w:tblGrid>
      <w:tr>
        <w:trPr>
          <w:trHeight w:val="521" w:hRule="exact"/>
        </w:trPr>
        <w:tc>
          <w:tcPr>
            <w:tcW w:w="42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王国珍</w:t>
            </w:r>
          </w:p>
        </w:tc>
        <w:tc>
          <w:tcPr>
            <w:tcW w:w="58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20,486,433</w:t>
            </w:r>
          </w:p>
        </w:tc>
        <w:tc>
          <w:tcPr>
            <w:tcW w:w="19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20,486,433</w:t>
            </w:r>
          </w:p>
        </w:tc>
      </w:tr>
      <w:tr>
        <w:trPr>
          <w:trHeight w:val="82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8"/>
              <w:jc w:val="left"/>
              <w:rPr>
                <w:rFonts w:ascii="宋体" w:hAnsi="宋体" w:cs="宋体" w:eastAsia="宋体" w:hint="default"/>
                <w:sz w:val="18"/>
                <w:szCs w:val="18"/>
              </w:rPr>
            </w:pPr>
            <w:r>
              <w:rPr>
                <w:rFonts w:ascii="宋体" w:hAnsi="宋体" w:cs="宋体" w:eastAsia="宋体" w:hint="default"/>
                <w:spacing w:val="6"/>
                <w:sz w:val="18"/>
                <w:szCs w:val="18"/>
              </w:rPr>
              <w:t>北方国际信托股份有限公司－北方信托</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恒升一号证</w:t>
            </w:r>
            <w:r>
              <w:rPr>
                <w:rFonts w:ascii="宋体" w:hAnsi="宋体" w:cs="宋体" w:eastAsia="宋体" w:hint="default"/>
                <w:sz w:val="18"/>
                <w:szCs w:val="18"/>
              </w:rPr>
              <w:t> 券投资单一资金信托</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19,296,008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19,296,008</w:t>
            </w:r>
          </w:p>
        </w:tc>
      </w:tr>
      <w:tr>
        <w:trPr>
          <w:trHeight w:val="818"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4"/>
              <w:jc w:val="left"/>
              <w:rPr>
                <w:rFonts w:ascii="宋体" w:hAnsi="宋体" w:cs="宋体" w:eastAsia="宋体" w:hint="default"/>
                <w:sz w:val="18"/>
                <w:szCs w:val="18"/>
              </w:rPr>
            </w:pPr>
            <w:r>
              <w:rPr>
                <w:rFonts w:ascii="宋体" w:hAnsi="宋体" w:cs="宋体" w:eastAsia="宋体" w:hint="default"/>
                <w:sz w:val="18"/>
                <w:szCs w:val="18"/>
              </w:rPr>
              <w:t>新华基金－民生银行－上海爱建信托－爱建信托－深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圳煜信信托投资事务管理类单一资金信托</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16,216,216</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16,216,216</w:t>
            </w:r>
          </w:p>
        </w:tc>
      </w:tr>
      <w:tr>
        <w:trPr>
          <w:trHeight w:val="82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4"/>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兴业银行股份有限公司－中邮战略新兴产业混合型证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券投资基金</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16,062,982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16,062,982</w:t>
            </w:r>
          </w:p>
        </w:tc>
      </w:tr>
      <w:tr>
        <w:trPr>
          <w:trHeight w:val="509"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15,441,604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15,441,604</w:t>
            </w:r>
          </w:p>
        </w:tc>
      </w:tr>
      <w:tr>
        <w:trPr>
          <w:trHeight w:val="818"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4"/>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中国农业银行股份有限公司－中邮信息产业灵活配置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混合型证券投资基金</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14,336,448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14,336,448</w:t>
            </w:r>
          </w:p>
        </w:tc>
      </w:tr>
      <w:tr>
        <w:trPr>
          <w:trHeight w:val="509"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13,259,798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13,259,798</w:t>
            </w:r>
          </w:p>
        </w:tc>
      </w:tr>
      <w:tr>
        <w:trPr>
          <w:trHeight w:val="82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3" w:right="24"/>
              <w:jc w:val="left"/>
              <w:rPr>
                <w:rFonts w:ascii="宋体" w:hAnsi="宋体" w:cs="宋体" w:eastAsia="宋体" w:hint="default"/>
                <w:sz w:val="18"/>
                <w:szCs w:val="18"/>
              </w:rPr>
            </w:pPr>
            <w:r>
              <w:rPr>
                <w:rFonts w:ascii="宋体" w:hAnsi="宋体" w:cs="宋体" w:eastAsia="宋体" w:hint="default"/>
                <w:sz w:val="18"/>
                <w:szCs w:val="18"/>
              </w:rPr>
              <w:t>鹏华资产－招商银行－云南国际信托－云南国际信托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有限公司一村资本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11,711,711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11,711,711</w:t>
            </w:r>
          </w:p>
        </w:tc>
      </w:tr>
      <w:tr>
        <w:trPr>
          <w:trHeight w:val="1130" w:hRule="exact"/>
        </w:trPr>
        <w:tc>
          <w:tcPr>
            <w:tcW w:w="4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流通股股东和前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名股东之间关联关系或一致行动 的说明</w:t>
            </w:r>
          </w:p>
        </w:tc>
        <w:tc>
          <w:tcPr>
            <w:tcW w:w="9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北京中天涌慧投资咨询有限公司为陈江涛及其夫人</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控股公司。北方国际信托股份有限公司－北方信托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恒升一号证券投 资单一资金信托为陈江涛增持公司股份的账户。</w:t>
            </w:r>
          </w:p>
        </w:tc>
      </w:tr>
      <w:tr>
        <w:trPr>
          <w:trHeight w:val="509" w:hRule="exact"/>
        </w:trPr>
        <w:tc>
          <w:tcPr>
            <w:tcW w:w="4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9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Times New Roman" w:hAnsi="Times New Roman" w:cs="Times New Roman" w:eastAsia="Times New Roman" w:hint="default"/>
          <w:sz w:val="11"/>
          <w:szCs w:val="11"/>
        </w:rPr>
      </w:pPr>
    </w:p>
    <w:p>
      <w:pPr>
        <w:pStyle w:val="BodyText"/>
        <w:spacing w:line="240" w:lineRule="auto" w:before="36"/>
        <w:ind w:left="560"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spacing w:line="240" w:lineRule="auto" w:before="3"/>
        <w:rPr>
          <w:rFonts w:ascii="宋体" w:hAnsi="宋体" w:cs="宋体" w:eastAsia="宋体" w:hint="default"/>
          <w:sz w:val="21"/>
          <w:szCs w:val="21"/>
        </w:rPr>
      </w:pPr>
    </w:p>
    <w:p>
      <w:pPr>
        <w:pStyle w:val="BodyText"/>
        <w:spacing w:line="240" w:lineRule="auto"/>
        <w:ind w:left="560" w:right="826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21"/>
          <w:szCs w:val="21"/>
        </w:rPr>
      </w:pPr>
    </w:p>
    <w:p>
      <w:pPr>
        <w:pStyle w:val="BodyText"/>
        <w:spacing w:line="240" w:lineRule="auto"/>
        <w:ind w:left="560"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after="0" w:line="240" w:lineRule="auto"/>
        <w:jc w:val="left"/>
        <w:sectPr>
          <w:footerReference w:type="default" r:id="rId49"/>
          <w:pgSz w:w="16840" w:h="11910" w:orient="landscape"/>
          <w:pgMar w:footer="1132" w:header="882" w:top="1100" w:bottom="1320" w:left="1300" w:right="1280"/>
        </w:sectPr>
      </w:pPr>
    </w:p>
    <w:p>
      <w:pPr>
        <w:spacing w:line="240" w:lineRule="auto" w:before="8"/>
        <w:rPr>
          <w:rFonts w:ascii="宋体" w:hAnsi="宋体" w:cs="宋体" w:eastAsia="宋体" w:hint="default"/>
          <w:sz w:val="16"/>
          <w:szCs w:val="16"/>
        </w:rPr>
      </w:pPr>
    </w:p>
    <w:p>
      <w:pPr>
        <w:spacing w:line="482" w:lineRule="auto" w:before="26"/>
        <w:ind w:left="573" w:right="5647" w:hanging="421"/>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黑体" w:hAnsi="黑体" w:cs="黑体" w:eastAsia="黑体" w:hint="default"/>
          <w:sz w:val="24"/>
          <w:szCs w:val="24"/>
        </w:rPr>
        <w:t>、公司控股股东情况 </w:t>
      </w:r>
      <w:r>
        <w:rPr>
          <w:rFonts w:ascii="宋体" w:hAnsi="宋体" w:cs="宋体" w:eastAsia="宋体" w:hint="default"/>
          <w:spacing w:val="-2"/>
          <w:sz w:val="21"/>
          <w:szCs w:val="21"/>
        </w:rPr>
        <w:t>控股股东性质：自然人控股</w:t>
      </w:r>
      <w:r>
        <w:rPr>
          <w:rFonts w:ascii="宋体" w:hAnsi="宋体" w:cs="宋体" w:eastAsia="宋体" w:hint="default"/>
          <w:w w:val="100"/>
          <w:sz w:val="21"/>
          <w:szCs w:val="21"/>
        </w:rPr>
        <w:t> </w:t>
      </w:r>
      <w:r>
        <w:rPr>
          <w:rFonts w:ascii="宋体" w:hAnsi="宋体" w:cs="宋体" w:eastAsia="宋体" w:hint="default"/>
          <w:sz w:val="21"/>
          <w:szCs w:val="21"/>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50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控股股东姓名</w:t>
            </w:r>
            <w:r>
              <w:rPr>
                <w:rFonts w:ascii="宋体" w:hAnsi="宋体" w:cs="宋体" w:eastAsia="宋体" w:hint="default"/>
                <w:sz w:val="18"/>
                <w:szCs w:val="18"/>
              </w:rPr>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89" w:right="0"/>
              <w:jc w:val="left"/>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509"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主要职业及职务</w:t>
            </w:r>
            <w:r>
              <w:rPr>
                <w:rFonts w:ascii="宋体" w:hAnsi="宋体" w:cs="宋体" w:eastAsia="宋体" w:hint="default"/>
                <w:sz w:val="18"/>
                <w:szCs w:val="18"/>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w:t>
            </w:r>
          </w:p>
        </w:tc>
      </w:tr>
      <w:tr>
        <w:trPr>
          <w:trHeight w:val="819"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4" w:right="15"/>
              <w:jc w:val="left"/>
              <w:rPr>
                <w:rFonts w:ascii="宋体" w:hAnsi="宋体" w:cs="宋体" w:eastAsia="宋体" w:hint="default"/>
                <w:sz w:val="18"/>
                <w:szCs w:val="18"/>
              </w:rPr>
            </w:pPr>
            <w:r>
              <w:rPr>
                <w:rFonts w:ascii="宋体" w:hAnsi="宋体" w:cs="宋体" w:eastAsia="宋体" w:hint="default"/>
                <w:b/>
                <w:bCs/>
                <w:spacing w:val="6"/>
                <w:sz w:val="18"/>
                <w:szCs w:val="18"/>
              </w:rPr>
              <w:t>报告期内控股和参股的其他境内外上市公</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司的股权情况</w:t>
            </w:r>
            <w:r>
              <w:rPr>
                <w:rFonts w:ascii="宋体" w:hAnsi="宋体" w:cs="宋体" w:eastAsia="宋体" w:hint="default"/>
                <w:sz w:val="18"/>
                <w:szCs w:val="18"/>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1"/>
          <w:szCs w:val="11"/>
        </w:rPr>
      </w:pPr>
    </w:p>
    <w:p>
      <w:pPr>
        <w:pStyle w:val="BodyText"/>
        <w:spacing w:line="240" w:lineRule="auto" w:before="36"/>
        <w:ind w:left="573" w:right="11"/>
        <w:jc w:val="left"/>
      </w:pPr>
      <w:r>
        <w:rPr/>
        <w:t>控股股东报告期内变更</w:t>
      </w:r>
    </w:p>
    <w:p>
      <w:pPr>
        <w:spacing w:line="240" w:lineRule="auto" w:before="6"/>
        <w:rPr>
          <w:rFonts w:ascii="宋体" w:hAnsi="宋体" w:cs="宋体" w:eastAsia="宋体" w:hint="default"/>
          <w:sz w:val="22"/>
          <w:szCs w:val="22"/>
        </w:rPr>
      </w:pPr>
    </w:p>
    <w:p>
      <w:pPr>
        <w:pStyle w:val="BodyText"/>
        <w:spacing w:line="468" w:lineRule="auto"/>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482" w:lineRule="auto" w:before="126"/>
        <w:ind w:left="573" w:right="5647" w:hanging="421"/>
        <w:jc w:val="left"/>
        <w:rPr>
          <w:rFonts w:ascii="宋体" w:hAnsi="宋体" w:cs="宋体" w:eastAsia="宋体" w:hint="default"/>
          <w:sz w:val="21"/>
          <w:szCs w:val="21"/>
        </w:rPr>
      </w:pPr>
      <w:r>
        <w:rPr>
          <w:rFonts w:ascii="Times New Roman" w:hAnsi="Times New Roman" w:cs="Times New Roman" w:eastAsia="Times New Roman" w:hint="default"/>
          <w:sz w:val="24"/>
          <w:szCs w:val="24"/>
        </w:rPr>
        <w:t>3</w:t>
      </w:r>
      <w:r>
        <w:rPr>
          <w:rFonts w:ascii="黑体" w:hAnsi="黑体" w:cs="黑体" w:eastAsia="黑体" w:hint="default"/>
          <w:sz w:val="24"/>
          <w:szCs w:val="24"/>
        </w:rPr>
        <w:t>、公司实际控制人情况 </w:t>
      </w:r>
      <w:r>
        <w:rPr>
          <w:rFonts w:ascii="宋体" w:hAnsi="宋体" w:cs="宋体" w:eastAsia="宋体" w:hint="default"/>
          <w:spacing w:val="-2"/>
          <w:sz w:val="21"/>
          <w:szCs w:val="21"/>
        </w:rPr>
        <w:t>实际控制人性质：境内自然人</w:t>
      </w:r>
      <w:r>
        <w:rPr>
          <w:rFonts w:ascii="宋体" w:hAnsi="宋体" w:cs="宋体" w:eastAsia="宋体" w:hint="default"/>
          <w:w w:val="100"/>
          <w:sz w:val="21"/>
          <w:szCs w:val="21"/>
        </w:rPr>
        <w:t> </w:t>
      </w:r>
      <w:r>
        <w:rPr>
          <w:rFonts w:ascii="宋体" w:hAnsi="宋体" w:cs="宋体" w:eastAsia="宋体" w:hint="default"/>
          <w:sz w:val="21"/>
          <w:szCs w:val="21"/>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506"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0" w:right="0"/>
              <w:jc w:val="left"/>
              <w:rPr>
                <w:rFonts w:ascii="宋体" w:hAnsi="宋体" w:cs="宋体" w:eastAsia="宋体" w:hint="default"/>
                <w:sz w:val="18"/>
                <w:szCs w:val="18"/>
              </w:rPr>
            </w:pPr>
            <w:r>
              <w:rPr>
                <w:rFonts w:ascii="宋体" w:hAnsi="宋体" w:cs="宋体" w:eastAsia="宋体" w:hint="default"/>
                <w:b/>
                <w:bCs/>
                <w:sz w:val="18"/>
                <w:szCs w:val="18"/>
              </w:rPr>
              <w:t>实际控制人姓名</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18" w:right="0"/>
              <w:jc w:val="left"/>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50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主要职业及职务</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w:t>
            </w:r>
          </w:p>
        </w:tc>
      </w:tr>
      <w:tr>
        <w:trPr>
          <w:trHeight w:val="509"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b/>
                <w:bCs/>
                <w:sz w:val="18"/>
                <w:szCs w:val="18"/>
              </w:rPr>
              <w:t>过去</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年曾控股的境内外上市公司情况</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1"/>
          <w:szCs w:val="11"/>
        </w:rPr>
      </w:pPr>
    </w:p>
    <w:p>
      <w:pPr>
        <w:pStyle w:val="BodyText"/>
        <w:spacing w:line="240" w:lineRule="auto" w:before="36"/>
        <w:ind w:left="573" w:right="11"/>
        <w:jc w:val="left"/>
      </w:pPr>
      <w:r>
        <w:rPr/>
        <w:t>实际控制人报告期内变更</w:t>
      </w:r>
    </w:p>
    <w:p>
      <w:pPr>
        <w:spacing w:line="240" w:lineRule="auto" w:before="4"/>
        <w:rPr>
          <w:rFonts w:ascii="宋体" w:hAnsi="宋体" w:cs="宋体" w:eastAsia="宋体" w:hint="default"/>
          <w:sz w:val="22"/>
          <w:szCs w:val="22"/>
        </w:rPr>
      </w:pPr>
    </w:p>
    <w:p>
      <w:pPr>
        <w:pStyle w:val="BodyText"/>
        <w:spacing w:line="482" w:lineRule="auto"/>
        <w:ind w:left="573" w:right="45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after="0" w:line="482" w:lineRule="auto"/>
        <w:jc w:val="left"/>
        <w:sectPr>
          <w:headerReference w:type="default" r:id="rId50"/>
          <w:footerReference w:type="default" r:id="rId51"/>
          <w:pgSz w:w="11910" w:h="16840"/>
          <w:pgMar w:header="882" w:footer="1132" w:top="1280" w:bottom="1320" w:left="980" w:right="980"/>
          <w:pgNumType w:start="102"/>
        </w:sectPr>
      </w:pPr>
    </w:p>
    <w:p>
      <w:pPr>
        <w:spacing w:line="240" w:lineRule="auto" w:before="2"/>
        <w:rPr>
          <w:rFonts w:ascii="宋体" w:hAnsi="宋体" w:cs="宋体" w:eastAsia="宋体" w:hint="default"/>
          <w:sz w:val="20"/>
          <w:szCs w:val="20"/>
        </w:rPr>
      </w:pPr>
    </w:p>
    <w:p>
      <w:pPr>
        <w:spacing w:line="1731" w:lineRule="exact"/>
        <w:ind w:left="8320"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85.4pt;height:86.6pt;mso-position-horizontal-relative:char;mso-position-vertical-relative:line" coordorigin="0,0" coordsize="1708,1732">
            <v:group style="position:absolute;left:0;top:275;width:120;height:1457" coordorigin="0,275" coordsize="120,1457">
              <v:shape style="position:absolute;left:0;top:275;width:120;height:1457" coordorigin="0,275" coordsize="120,1457" path="m50,1612l0,1612,60,1732,105,1642,54,1642,50,1637,50,1612xe" filled="true" fillcolor="#000000" stroked="false">
                <v:path arrowok="t"/>
                <v:fill type="solid"/>
              </v:shape>
              <v:shape style="position:absolute;left:0;top:275;width:120;height:1457" coordorigin="0,275" coordsize="120,1457" path="m66,275l54,275,50,279,50,1637,54,1642,66,1642,70,1637,70,279,66,275xe" filled="true" fillcolor="#000000" stroked="false">
                <v:path arrowok="t"/>
                <v:fill type="solid"/>
              </v:shape>
              <v:shape style="position:absolute;left:0;top:275;width:120;height:1457" coordorigin="0,275" coordsize="120,1457" path="m120,1612l70,1612,70,1637,66,1642,105,1642,120,1612xe" filled="true" fillcolor="#000000" stroked="false">
                <v:path arrowok="t"/>
                <v:fill type="solid"/>
              </v:shape>
            </v:group>
            <v:group style="position:absolute;left:60;top:285;width:679;height:2" coordorigin="60,285" coordsize="679,2">
              <v:shape style="position:absolute;left:60;top:285;width:679;height:2" coordorigin="60,285" coordsize="679,0" path="m60,285l739,285e" filled="false" stroked="true" strokeweight=".75pt" strokecolor="#000000">
                <v:path arrowok="t"/>
              </v:shape>
            </v:group>
            <v:group style="position:absolute;left:739;top:8;width:961;height:596" coordorigin="739,8" coordsize="961,596">
              <v:shape style="position:absolute;left:739;top:8;width:961;height:596" coordorigin="739,8" coordsize="961,596" path="m739,603l1700,603,1700,8,739,8,739,603xe" filled="false" stroked="true" strokeweight=".75pt" strokecolor="#000000">
                <v:path arrowok="t"/>
              </v:shape>
              <v:shape style="position:absolute;left:739;top:8;width:961;height:596" type="#_x0000_t202" filled="false" stroked="false">
                <v:textbox inset="0,0,0,0">
                  <w:txbxContent>
                    <w:p>
                      <w:pPr>
                        <w:spacing w:line="240" w:lineRule="auto" w:before="10"/>
                        <w:rPr>
                          <w:rFonts w:ascii="宋体" w:hAnsi="宋体" w:cs="宋体" w:eastAsia="宋体" w:hint="default"/>
                          <w:sz w:val="12"/>
                          <w:szCs w:val="12"/>
                        </w:rPr>
                      </w:pPr>
                    </w:p>
                    <w:p>
                      <w:pPr>
                        <w:spacing w:before="0"/>
                        <w:ind w:left="155" w:right="0" w:firstLine="0"/>
                        <w:jc w:val="left"/>
                        <w:rPr>
                          <w:rFonts w:ascii="宋体" w:hAnsi="宋体" w:cs="宋体" w:eastAsia="宋体" w:hint="default"/>
                          <w:sz w:val="18"/>
                          <w:szCs w:val="18"/>
                        </w:rPr>
                      </w:pPr>
                      <w:r>
                        <w:rPr>
                          <w:rFonts w:ascii="宋体" w:hAnsi="宋体" w:cs="宋体" w:eastAsia="宋体" w:hint="default"/>
                          <w:sz w:val="18"/>
                          <w:szCs w:val="18"/>
                        </w:rPr>
                        <w:t>刘希平</w:t>
                      </w:r>
                    </w:p>
                  </w:txbxContent>
                </v:textbox>
                <w10:wrap type="none"/>
              </v:shape>
              <v:shape style="position:absolute;left:155;top:890;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11.11%</w:t>
                      </w:r>
                    </w:p>
                  </w:txbxContent>
                </v:textbox>
                <w10:wrap type="none"/>
              </v:shape>
            </v:group>
          </v:group>
        </w:pict>
      </w:r>
      <w:r>
        <w:rPr>
          <w:rFonts w:ascii="宋体" w:hAnsi="宋体" w:cs="宋体" w:eastAsia="宋体" w:hint="default"/>
          <w:position w:val="-3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0" w:right="1699" w:firstLine="0"/>
        <w:jc w:val="right"/>
        <w:rPr>
          <w:rFonts w:ascii="宋体" w:hAnsi="宋体" w:cs="宋体" w:eastAsia="宋体" w:hint="default"/>
          <w:sz w:val="18"/>
          <w:szCs w:val="18"/>
        </w:rPr>
      </w:pPr>
      <w:r>
        <w:rPr/>
        <w:pict>
          <v:group style="position:absolute;margin-left:32.25pt;margin-top:-160.933289pt;width:433.65pt;height:241.15pt;mso-position-horizontal-relative:page;mso-position-vertical-relative:paragraph;z-index:-1196320" coordorigin="645,-3219" coordsize="8673,4823">
            <v:group style="position:absolute;left:4906;top:-3211;width:1326;height:596" coordorigin="4906,-3211" coordsize="1326,596">
              <v:shape style="position:absolute;left:4906;top:-3211;width:1326;height:596" coordorigin="4906,-3211" coordsize="1326,596" path="m4906,-2615l6232,-2615,6232,-3211,4906,-3211,4906,-2615xe" filled="false" stroked="true" strokeweight=".75pt" strokecolor="#000000">
                <v:path arrowok="t"/>
              </v:shape>
            </v:group>
            <v:group style="position:absolute;left:6232;top:-2913;width:2321;height:14" coordorigin="6232,-2913" coordsize="2321,14">
              <v:shape style="position:absolute;left:6232;top:-2913;width:2321;height:14" coordorigin="6232,-2913" coordsize="2321,14" path="m6232,-2913l8553,-2899e" filled="false" stroked="true" strokeweight=".75pt" strokecolor="#000000">
                <v:path arrowok="t"/>
              </v:shape>
            </v:group>
            <v:group style="position:absolute;left:8474;top:-2920;width:120;height:1456" coordorigin="8474,-2920" coordsize="120,1456">
              <v:shape style="position:absolute;left:8474;top:-2920;width:120;height:1456" coordorigin="8474,-2920" coordsize="120,1456" path="m8524,-1584l8474,-1584,8534,-1464,8579,-1554,8529,-1554,8524,-1559,8524,-1584xe" filled="true" fillcolor="#000000" stroked="false">
                <v:path arrowok="t"/>
                <v:fill type="solid"/>
              </v:shape>
              <v:shape style="position:absolute;left:8474;top:-2920;width:120;height:1456" coordorigin="8474,-2920" coordsize="120,1456" path="m8542,-2920l8530,-2920,8526,-2916,8524,-1559,8529,-1554,8540,-1554,8544,-1559,8546,-2910,8546,-2916,8542,-2920xe" filled="true" fillcolor="#000000" stroked="false">
                <v:path arrowok="t"/>
                <v:fill type="solid"/>
              </v:shape>
              <v:shape style="position:absolute;left:8474;top:-2920;width:120;height:1456" coordorigin="8474,-2920" coordsize="120,1456" path="m8594,-1584l8544,-1584,8544,-1559,8540,-1554,8579,-1554,8594,-1584xe" filled="true" fillcolor="#000000" stroked="false">
                <v:path arrowok="t"/>
                <v:fill type="solid"/>
              </v:shape>
            </v:group>
            <v:group style="position:absolute;left:1161;top:-2947;width:3689;height:34" coordorigin="1161,-2947" coordsize="3689,34">
              <v:shape style="position:absolute;left:1161;top:-2947;width:3689;height:34" coordorigin="1161,-2947" coordsize="3689,34" path="m1161,-2947l4850,-2913e" filled="false" stroked="true" strokeweight=".75pt" strokecolor="#000000">
                <v:path arrowok="t"/>
              </v:shape>
            </v:group>
            <v:group style="position:absolute;left:4393;top:-2933;width:120;height:1090" coordorigin="4393,-2933" coordsize="120,1090">
              <v:shape style="position:absolute;left:4393;top:-2933;width:120;height:1090" coordorigin="4393,-2933" coordsize="120,1090" path="m4443,-1963l4393,-1963,4453,-1843,4498,-1933,4447,-1933,4443,-1938,4443,-1963xe" filled="true" fillcolor="#000000" stroked="false">
                <v:path arrowok="t"/>
                <v:fill type="solid"/>
              </v:shape>
              <v:shape style="position:absolute;left:4393;top:-2933;width:120;height:1090" coordorigin="4393,-2933" coordsize="120,1090" path="m4459,-2933l4447,-2933,4443,-2929,4443,-1938,4447,-1933,4459,-1933,4463,-1938,4463,-2929,4459,-2933xe" filled="true" fillcolor="#000000" stroked="false">
                <v:path arrowok="t"/>
                <v:fill type="solid"/>
              </v:shape>
              <v:shape style="position:absolute;left:4393;top:-2933;width:120;height:1090" coordorigin="4393,-2933" coordsize="120,1090" path="m4513,-1963l4463,-1963,4463,-1938,4459,-1933,4498,-1933,4513,-1963xe" filled="true" fillcolor="#000000" stroked="false">
                <v:path arrowok="t"/>
                <v:fill type="solid"/>
              </v:shape>
            </v:group>
            <v:group style="position:absolute;left:2726;top:-2909;width:120;height:1530" coordorigin="2726,-2909" coordsize="120,1530">
              <v:shape style="position:absolute;left:2726;top:-2909;width:120;height:1530" coordorigin="2726,-2909" coordsize="120,1530" path="m2776,-1499l2726,-1499,2786,-1379,2831,-1469,2780,-1469,2776,-1474,2776,-1499xe" filled="true" fillcolor="#000000" stroked="false">
                <v:path arrowok="t"/>
                <v:fill type="solid"/>
              </v:shape>
              <v:shape style="position:absolute;left:2726;top:-2909;width:120;height:1530" coordorigin="2726,-2909" coordsize="120,1530" path="m2791,-2909l2779,-2909,2775,-2905,2776,-1474,2780,-1469,2791,-1469,2796,-1474,2795,-2899,2795,-2905,2791,-2909xe" filled="true" fillcolor="#000000" stroked="false">
                <v:path arrowok="t"/>
                <v:fill type="solid"/>
              </v:shape>
              <v:shape style="position:absolute;left:2726;top:-2909;width:120;height:1530" coordorigin="2726,-2909" coordsize="120,1530" path="m2846,-1499l2796,-1499,2796,-1474,2791,-1469,2831,-1469,2846,-1499xe" filled="true" fillcolor="#000000" stroked="false">
                <v:path arrowok="t"/>
                <v:fill type="solid"/>
              </v:shape>
            </v:group>
            <v:group style="position:absolute;left:6902;top:-2929;width:120;height:1086" coordorigin="6902,-2929" coordsize="120,1086">
              <v:shape style="position:absolute;left:6902;top:-2929;width:120;height:1086" coordorigin="6902,-2929" coordsize="120,1086" path="m6952,-1963l6902,-1963,6962,-1843,7007,-1933,6956,-1933,6952,-1938,6952,-1963xe" filled="true" fillcolor="#000000" stroked="false">
                <v:path arrowok="t"/>
                <v:fill type="solid"/>
              </v:shape>
              <v:shape style="position:absolute;left:6902;top:-2929;width:120;height:1086" coordorigin="6902,-2929" coordsize="120,1086" path="m6968,-2929l6956,-2929,6952,-2925,6952,-1938,6956,-1933,6968,-1933,6972,-1938,6972,-2925,6968,-2929xe" filled="true" fillcolor="#000000" stroked="false">
                <v:path arrowok="t"/>
                <v:fill type="solid"/>
              </v:shape>
              <v:shape style="position:absolute;left:6902;top:-2929;width:120;height:1086" coordorigin="6902,-2929" coordsize="120,1086" path="m7022,-1963l6972,-1963,6972,-1938,6968,-1933,7007,-1933,7022,-1963xe" filled="true" fillcolor="#000000" stroked="false">
                <v:path arrowok="t"/>
                <v:fill type="solid"/>
              </v:shape>
            </v:group>
            <v:group style="position:absolute;left:1101;top:-2957;width:120;height:1489" coordorigin="1101,-2957" coordsize="120,1489">
              <v:shape style="position:absolute;left:1101;top:-2957;width:120;height:1489" coordorigin="1101,-2957" coordsize="120,1489" path="m1151,-1588l1101,-1588,1161,-1468,1206,-1558,1155,-1558,1151,-1563,1151,-1588xe" filled="true" fillcolor="#000000" stroked="false">
                <v:path arrowok="t"/>
                <v:fill type="solid"/>
              </v:shape>
              <v:shape style="position:absolute;left:1101;top:-2957;width:120;height:1489" coordorigin="1101,-2957" coordsize="120,1489" path="m1167,-2957l1155,-2957,1151,-2953,1151,-1563,1155,-1558,1167,-1558,1171,-1563,1171,-2953,1167,-2957xe" filled="true" fillcolor="#000000" stroked="false">
                <v:path arrowok="t"/>
                <v:fill type="solid"/>
              </v:shape>
              <v:shape style="position:absolute;left:1101;top:-2957;width:120;height:1489" coordorigin="1101,-2957" coordsize="120,1489" path="m1221,-1588l1171,-1588,1171,-1563,1167,-1558,1206,-1558,1221,-1588xe" filled="true" fillcolor="#000000" stroked="false">
                <v:path arrowok="t"/>
                <v:fill type="solid"/>
              </v:shape>
            </v:group>
            <v:group style="position:absolute;left:5625;top:-2625;width:120;height:3540" coordorigin="5625,-2625" coordsize="120,3540">
              <v:shape style="position:absolute;left:5625;top:-2625;width:120;height:3540" coordorigin="5625,-2625" coordsize="120,3540" path="m5675,795l5625,795,5685,915,5730,825,5679,825,5675,820,5675,795xe" filled="true" fillcolor="#000000" stroked="false">
                <v:path arrowok="t"/>
                <v:fill type="solid"/>
              </v:shape>
              <v:shape style="position:absolute;left:5625;top:-2625;width:120;height:3540" coordorigin="5625,-2625" coordsize="120,3540" path="m5691,-2625l5679,-2625,5675,-2621,5675,820,5679,825,5691,825,5695,820,5695,-2621,5691,-2625xe" filled="true" fillcolor="#000000" stroked="false">
                <v:path arrowok="t"/>
                <v:fill type="solid"/>
              </v:shape>
              <v:shape style="position:absolute;left:5625;top:-2625;width:120;height:3540" coordorigin="5625,-2625" coordsize="120,3540" path="m5745,795l5695,795,5695,820,5691,825,5730,825,5745,795xe" filled="true" fillcolor="#000000" stroked="false">
                <v:path arrowok="t"/>
                <v:fill type="solid"/>
              </v:shape>
              <v:shape style="position:absolute;left:4906;top:-3211;width:1326;height:596" type="#_x0000_t202" filled="false" stroked="false">
                <v:textbox inset="0,0,0,0">
                  <w:txbxContent>
                    <w:p>
                      <w:pPr>
                        <w:spacing w:line="240" w:lineRule="auto" w:before="11"/>
                        <w:rPr>
                          <w:rFonts w:ascii="宋体" w:hAnsi="宋体" w:cs="宋体" w:eastAsia="宋体" w:hint="default"/>
                          <w:sz w:val="12"/>
                          <w:szCs w:val="12"/>
                        </w:rPr>
                      </w:pPr>
                    </w:p>
                    <w:p>
                      <w:pPr>
                        <w:spacing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陈江涛</w:t>
                      </w:r>
                    </w:p>
                  </w:txbxContent>
                </v:textbox>
                <w10:wrap type="none"/>
              </v:shape>
              <v:shape style="position:absolute;left:5713;top:-2282;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33.30%</w:t>
                      </w:r>
                    </w:p>
                  </w:txbxContent>
                </v:textbox>
                <w10:wrap type="none"/>
              </v:shape>
              <v:shape style="position:absolute;left:7629;top:-2315;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88.89%</w:t>
                      </w:r>
                    </w:p>
                  </w:txbxContent>
                </v:textbox>
                <w10:wrap type="none"/>
              </v:shape>
              <v:shape style="position:absolute;left:1260;top:25;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1.70%</w:t>
                      </w:r>
                    </w:p>
                  </w:txbxContent>
                </v:textbox>
                <w10:wrap type="none"/>
              </v:shape>
              <v:shape style="position:absolute;left:2924;top:56;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1.78%</w:t>
                      </w:r>
                    </w:p>
                  </w:txbxContent>
                </v:textbox>
                <w10:wrap type="none"/>
              </v:shape>
              <v:shape style="position:absolute;left:4554;top:100;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0.16%</w:t>
                      </w:r>
                    </w:p>
                  </w:txbxContent>
                </v:textbox>
                <w10:wrap type="none"/>
              </v:shape>
              <v:shape style="position:absolute;left:6995;top:131;width:45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1.65%</w:t>
                      </w:r>
                    </w:p>
                  </w:txbxContent>
                </v:textbox>
                <w10:wrap type="none"/>
              </v:shape>
              <v:shape style="position:absolute;left:6026;top:-1843;width:1815;height:1381" type="#_x0000_t202" filled="false" stroked="true" strokeweight=".75pt" strokecolor="#000000">
                <v:textbox inset="0,0,0,0">
                  <w:txbxContent>
                    <w:p>
                      <w:pPr>
                        <w:spacing w:line="316" w:lineRule="auto" w:before="81"/>
                        <w:ind w:left="145" w:right="212" w:firstLine="0"/>
                        <w:jc w:val="both"/>
                        <w:rPr>
                          <w:rFonts w:ascii="宋体" w:hAnsi="宋体" w:cs="宋体" w:eastAsia="宋体" w:hint="default"/>
                          <w:sz w:val="18"/>
                          <w:szCs w:val="18"/>
                        </w:rPr>
                      </w:pPr>
                      <w:r>
                        <w:rPr>
                          <w:rFonts w:ascii="宋体" w:hAnsi="宋体" w:cs="宋体" w:eastAsia="宋体" w:hint="default"/>
                          <w:sz w:val="18"/>
                          <w:szCs w:val="18"/>
                        </w:rPr>
                        <w:t>北方国际信托股份 有限公司－北方信 托·恒升一号证券 投资单一资金信托</w:t>
                      </w:r>
                    </w:p>
                  </w:txbxContent>
                </v:textbox>
                <w10:wrap type="none"/>
              </v:shape>
              <v:shape style="position:absolute;left:3665;top:-1811;width:1742;height:1119" type="#_x0000_t202" filled="false" stroked="true" strokeweight=".75pt" strokecolor="#000000">
                <v:textbox inset="0,0,0,0">
                  <w:txbxContent>
                    <w:p>
                      <w:pPr>
                        <w:spacing w:line="316" w:lineRule="auto" w:before="80"/>
                        <w:ind w:left="144" w:right="320" w:firstLine="0"/>
                        <w:jc w:val="left"/>
                        <w:rPr>
                          <w:rFonts w:ascii="宋体" w:hAnsi="宋体" w:cs="宋体" w:eastAsia="宋体" w:hint="default"/>
                          <w:sz w:val="18"/>
                          <w:szCs w:val="18"/>
                        </w:rPr>
                      </w:pPr>
                      <w:r>
                        <w:rPr>
                          <w:rFonts w:ascii="宋体" w:hAnsi="宋体" w:cs="宋体" w:eastAsia="宋体" w:hint="default"/>
                          <w:sz w:val="18"/>
                          <w:szCs w:val="18"/>
                        </w:rPr>
                        <w:t>南华期货股份有 限公司华富</w:t>
                      </w:r>
                      <w:r>
                        <w:rPr>
                          <w:rFonts w:ascii="宋体" w:hAnsi="宋体" w:cs="宋体" w:eastAsia="宋体" w:hint="default"/>
                          <w:spacing w:val="1"/>
                          <w:sz w:val="18"/>
                          <w:szCs w:val="18"/>
                        </w:rPr>
                        <w:t> </w:t>
                      </w:r>
                      <w:r>
                        <w:rPr>
                          <w:rFonts w:ascii="宋体" w:hAnsi="宋体" w:cs="宋体" w:eastAsia="宋体" w:hint="default"/>
                          <w:sz w:val="18"/>
                          <w:szCs w:val="18"/>
                        </w:rPr>
                        <w:t>15 </w:t>
                      </w:r>
                      <w:r>
                        <w:rPr>
                          <w:rFonts w:ascii="宋体" w:hAnsi="宋体" w:cs="宋体" w:eastAsia="宋体" w:hint="default"/>
                          <w:sz w:val="18"/>
                          <w:szCs w:val="18"/>
                        </w:rPr>
                        <w:t>号资产管理计划</w:t>
                      </w:r>
                    </w:p>
                  </w:txbxContent>
                </v:textbox>
                <w10:wrap type="none"/>
              </v:shape>
              <v:shape style="position:absolute;left:645;top:-1464;width:1262;height:766" type="#_x0000_t202" filled="false" stroked="true" strokeweight=".75pt" strokecolor="#000000">
                <v:textbox inset="0,0,0,0">
                  <w:txbxContent>
                    <w:p>
                      <w:pPr>
                        <w:spacing w:before="144"/>
                        <w:ind w:left="144" w:right="0" w:firstLine="0"/>
                        <w:jc w:val="left"/>
                        <w:rPr>
                          <w:rFonts w:ascii="宋体" w:hAnsi="宋体" w:cs="宋体" w:eastAsia="宋体" w:hint="default"/>
                          <w:sz w:val="20"/>
                          <w:szCs w:val="20"/>
                        </w:rPr>
                      </w:pPr>
                      <w:r>
                        <w:rPr>
                          <w:rFonts w:ascii="宋体" w:hAnsi="宋体" w:cs="宋体" w:eastAsia="宋体" w:hint="default"/>
                          <w:sz w:val="18"/>
                          <w:szCs w:val="18"/>
                        </w:rPr>
                        <w:t>汇达基</w:t>
                      </w:r>
                      <w:r>
                        <w:rPr>
                          <w:rFonts w:ascii="宋体" w:hAnsi="宋体" w:cs="宋体" w:eastAsia="宋体" w:hint="default"/>
                          <w:sz w:val="20"/>
                          <w:szCs w:val="20"/>
                        </w:rPr>
                        <w:t>金</w:t>
                      </w:r>
                    </w:p>
                  </w:txbxContent>
                </v:textbox>
                <w10:wrap type="none"/>
              </v:shape>
              <v:shape style="position:absolute;left:2140;top:-1464;width:1305;height:772" type="#_x0000_t202" filled="false" stroked="true" strokeweight=".75pt" strokecolor="#000000">
                <v:textbox inset="0,0,0,0">
                  <w:txbxContent>
                    <w:p>
                      <w:pPr>
                        <w:spacing w:before="161"/>
                        <w:ind w:left="144" w:right="0" w:firstLine="0"/>
                        <w:jc w:val="left"/>
                        <w:rPr>
                          <w:rFonts w:ascii="宋体" w:hAnsi="宋体" w:cs="宋体" w:eastAsia="宋体" w:hint="default"/>
                          <w:sz w:val="18"/>
                          <w:szCs w:val="18"/>
                        </w:rPr>
                      </w:pPr>
                      <w:r>
                        <w:rPr>
                          <w:rFonts w:ascii="宋体" w:hAnsi="宋体" w:cs="宋体" w:eastAsia="宋体" w:hint="default"/>
                          <w:sz w:val="18"/>
                          <w:szCs w:val="18"/>
                        </w:rPr>
                        <w:t>新余京达</w:t>
                      </w:r>
                    </w:p>
                  </w:txbxContent>
                </v:textbox>
                <w10:wrap type="none"/>
              </v:shape>
              <v:shape style="position:absolute;left:8116;top:-1468;width:1202;height:716" type="#_x0000_t202" filled="false" stroked="true" strokeweight=".75pt" strokecolor="#000000">
                <v:textbox inset="0,0,0,0">
                  <w:txbxContent>
                    <w:p>
                      <w:pPr>
                        <w:spacing w:before="160"/>
                        <w:ind w:left="145" w:right="0" w:firstLine="0"/>
                        <w:jc w:val="left"/>
                        <w:rPr>
                          <w:rFonts w:ascii="宋体" w:hAnsi="宋体" w:cs="宋体" w:eastAsia="宋体" w:hint="default"/>
                          <w:sz w:val="18"/>
                          <w:szCs w:val="18"/>
                        </w:rPr>
                      </w:pPr>
                      <w:r>
                        <w:rPr>
                          <w:rFonts w:ascii="宋体" w:hAnsi="宋体" w:cs="宋体" w:eastAsia="宋体" w:hint="default"/>
                          <w:sz w:val="18"/>
                          <w:szCs w:val="18"/>
                        </w:rPr>
                        <w:t>中天涌慧</w:t>
                      </w:r>
                    </w:p>
                  </w:txbxContent>
                </v:textbox>
                <w10:wrap type="none"/>
              </v:shape>
              <v:shape style="position:absolute;left:941;top:915;width:7802;height:689" type="#_x0000_t202" filled="false" stroked="true" strokeweight=".75pt" strokecolor="#000000">
                <v:textbox inset="0,0,0,0">
                  <w:txbxContent>
                    <w:p>
                      <w:pPr>
                        <w:spacing w:before="161"/>
                        <w:ind w:left="359" w:right="0" w:firstLine="0"/>
                        <w:jc w:val="center"/>
                        <w:rPr>
                          <w:rFonts w:ascii="宋体" w:hAnsi="宋体" w:cs="宋体" w:eastAsia="宋体" w:hint="default"/>
                          <w:sz w:val="18"/>
                          <w:szCs w:val="18"/>
                        </w:rPr>
                      </w:pPr>
                      <w:r>
                        <w:rPr>
                          <w:rFonts w:ascii="宋体" w:hAnsi="宋体" w:cs="宋体" w:eastAsia="宋体" w:hint="default"/>
                          <w:sz w:val="18"/>
                          <w:szCs w:val="18"/>
                        </w:rPr>
                        <w:t>旋极信息</w:t>
                      </w:r>
                    </w:p>
                  </w:txbxContent>
                </v:textbox>
                <w10:wrap type="none"/>
              </v:shape>
            </v:group>
            <w10:wrap type="none"/>
          </v:group>
        </w:pict>
      </w:r>
      <w:r>
        <w:rPr/>
        <w:pict>
          <v:group style="position:absolute;margin-left:424.649994pt;margin-top:-35.408279pt;width:6pt;height:81.150pt;mso-position-horizontal-relative:page;mso-position-vertical-relative:paragraph;z-index:2632" coordorigin="8493,-708" coordsize="120,1623">
            <v:shape style="position:absolute;left:8493;top:-708;width:120;height:1623" coordorigin="8493,-708" coordsize="120,1623" path="m8543,795l8493,795,8553,915,8598,825,8547,825,8543,820,8543,795xe" filled="true" fillcolor="#000000" stroked="false">
              <v:path arrowok="t"/>
              <v:fill type="solid"/>
            </v:shape>
            <v:shape style="position:absolute;left:8493;top:-708;width:120;height:1623" coordorigin="8493,-708" coordsize="120,1623" path="m8558,-708l8546,-708,8542,-704,8543,820,8547,825,8558,825,8563,820,8562,-698,8562,-704,8558,-708xe" filled="true" fillcolor="#000000" stroked="false">
              <v:path arrowok="t"/>
              <v:fill type="solid"/>
            </v:shape>
            <v:shape style="position:absolute;left:8493;top:-708;width:120;height:1623" coordorigin="8493,-708" coordsize="120,1623" path="m8613,795l8563,795,8563,820,8558,825,8598,825,8613,795xe" filled="true" fillcolor="#000000" stroked="false">
              <v:path arrowok="t"/>
              <v:fill type="solid"/>
            </v:shape>
            <w10:wrap type="none"/>
          </v:group>
        </w:pict>
      </w:r>
      <w:r>
        <w:rPr/>
        <w:pict>
          <v:group style="position:absolute;margin-left:219.649994pt;margin-top:-35.10828pt;width:6pt;height:80.850pt;mso-position-horizontal-relative:page;mso-position-vertical-relative:paragraph;z-index:2656" coordorigin="4393,-702" coordsize="120,1617">
            <v:shape style="position:absolute;left:4393;top:-702;width:120;height:1617" coordorigin="4393,-702" coordsize="120,1617" path="m4443,795l4393,795,4453,915,4498,825,4447,825,4443,820,4443,795xe" filled="true" fillcolor="#000000" stroked="false">
              <v:path arrowok="t"/>
              <v:fill type="solid"/>
            </v:shape>
            <v:shape style="position:absolute;left:4393;top:-702;width:120;height:1617" coordorigin="4393,-702" coordsize="120,1617" path="m4459,-702l4447,-702,4443,-698,4443,820,4447,825,4459,825,4463,820,4463,-698,4459,-702xe" filled="true" fillcolor="#000000" stroked="false">
              <v:path arrowok="t"/>
              <v:fill type="solid"/>
            </v:shape>
            <v:shape style="position:absolute;left:4393;top:-702;width:120;height:1617" coordorigin="4393,-702" coordsize="120,1617" path="m4513,795l4463,795,4463,820,4459,825,4498,825,4513,795xe" filled="true" fillcolor="#000000" stroked="false">
              <v:path arrowok="t"/>
              <v:fill type="solid"/>
            </v:shape>
            <w10:wrap type="none"/>
          </v:group>
        </w:pict>
      </w:r>
      <w:r>
        <w:rPr/>
        <w:pict>
          <v:group style="position:absolute;margin-left:136.600006pt;margin-top:-35.10828pt;width:6pt;height:80.850pt;mso-position-horizontal-relative:page;mso-position-vertical-relative:paragraph;z-index:2680" coordorigin="2732,-702" coordsize="120,1617">
            <v:shape style="position:absolute;left:2732;top:-702;width:120;height:1617" coordorigin="2732,-702" coordsize="120,1617" path="m2782,795l2732,795,2792,915,2837,825,2786,825,2782,820,2782,795xe" filled="true" fillcolor="#000000" stroked="false">
              <v:path arrowok="t"/>
              <v:fill type="solid"/>
            </v:shape>
            <v:shape style="position:absolute;left:2732;top:-702;width:120;height:1617" coordorigin="2732,-702" coordsize="120,1617" path="m2798,-702l2786,-702,2782,-698,2782,820,2786,825,2798,825,2802,820,2802,-698,2798,-702xe" filled="true" fillcolor="#000000" stroked="false">
              <v:path arrowok="t"/>
              <v:fill type="solid"/>
            </v:shape>
            <v:shape style="position:absolute;left:2732;top:-702;width:120;height:1617" coordorigin="2732,-702" coordsize="120,1617" path="m2852,795l2802,795,2802,820,2798,825,2837,825,2852,795xe" filled="true" fillcolor="#000000" stroked="false">
              <v:path arrowok="t"/>
              <v:fill type="solid"/>
            </v:shape>
            <w10:wrap type="none"/>
          </v:group>
        </w:pict>
      </w:r>
      <w:r>
        <w:rPr/>
        <w:pict>
          <v:group style="position:absolute;margin-left:343.649994pt;margin-top:-23.608282pt;width:6pt;height:69.350pt;mso-position-horizontal-relative:page;mso-position-vertical-relative:paragraph;z-index:2704" coordorigin="6873,-472" coordsize="120,1387">
            <v:shape style="position:absolute;left:6873;top:-472;width:120;height:1387" coordorigin="6873,-472" coordsize="120,1387" path="m6923,795l6873,795,6933,915,6978,825,6927,825,6923,820,6923,795xe" filled="true" fillcolor="#000000" stroked="false">
              <v:path arrowok="t"/>
              <v:fill type="solid"/>
            </v:shape>
            <v:shape style="position:absolute;left:6873;top:-472;width:120;height:1387" coordorigin="6873,-472" coordsize="120,1387" path="m6939,-472l6927,-472,6923,-468,6923,820,6927,825,6939,825,6943,820,6943,-468,6939,-472xe" filled="true" fillcolor="#000000" stroked="false">
              <v:path arrowok="t"/>
              <v:fill type="solid"/>
            </v:shape>
            <v:shape style="position:absolute;left:6873;top:-472;width:120;height:1387" coordorigin="6873,-472" coordsize="120,1387" path="m6993,795l6943,795,6943,820,6939,825,6978,825,6993,795xe" filled="true" fillcolor="#000000" stroked="false">
              <v:path arrowok="t"/>
              <v:fill type="solid"/>
            </v:shape>
            <w10:wrap type="none"/>
          </v:group>
        </w:pict>
      </w:r>
      <w:r>
        <w:rPr/>
        <w:pict>
          <v:group style="position:absolute;margin-left:58.049999pt;margin-top:-35.408279pt;width:6pt;height:81.150pt;mso-position-horizontal-relative:page;mso-position-vertical-relative:paragraph;z-index:2728" coordorigin="1161,-708" coordsize="120,1623">
            <v:shape style="position:absolute;left:1161;top:-708;width:120;height:1623" coordorigin="1161,-708" coordsize="120,1623" path="m1211,795l1161,795,1221,915,1266,825,1215,825,1211,820,1211,795xe" filled="true" fillcolor="#000000" stroked="false">
              <v:path arrowok="t"/>
              <v:fill type="solid"/>
            </v:shape>
            <v:shape style="position:absolute;left:1161;top:-708;width:120;height:1623" coordorigin="1161,-708" coordsize="120,1623" path="m1227,-708l1215,-708,1211,-704,1211,820,1215,825,1227,825,1231,820,1231,-704,1227,-708xe" filled="true" fillcolor="#000000" stroked="false">
              <v:path arrowok="t"/>
              <v:fill type="solid"/>
            </v:shape>
            <v:shape style="position:absolute;left:1161;top:-708;width:120;height:1623" coordorigin="1161,-708" coordsize="120,1623" path="m1281,795l1231,795,1231,820,1227,825,1266,825,1281,795xe" filled="true" fillcolor="#000000" stroked="false">
              <v:path arrowok="t"/>
              <v:fill type="solid"/>
            </v:shape>
            <w10:wrap type="none"/>
          </v:group>
        </w:pict>
      </w:r>
      <w:r>
        <w:rPr>
          <w:rFonts w:ascii="宋体"/>
          <w:sz w:val="18"/>
        </w:rPr>
        <w:t>2.67%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36"/>
        <w:ind w:left="1033" w:right="0"/>
        <w:jc w:val="left"/>
      </w:pPr>
      <w:r>
        <w:rPr/>
        <w:t>实际控制人通过信托或其他资产管理方式控制公司</w:t>
      </w:r>
    </w:p>
    <w:p>
      <w:pPr>
        <w:spacing w:line="240" w:lineRule="auto" w:before="6"/>
        <w:rPr>
          <w:rFonts w:ascii="宋体" w:hAnsi="宋体" w:cs="宋体" w:eastAsia="宋体" w:hint="default"/>
          <w:sz w:val="22"/>
          <w:szCs w:val="22"/>
        </w:rPr>
      </w:pPr>
    </w:p>
    <w:p>
      <w:pPr>
        <w:pStyle w:val="BodyText"/>
        <w:spacing w:line="240" w:lineRule="auto"/>
        <w:ind w:left="10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left="612" w:right="0"/>
        <w:jc w:val="left"/>
      </w:pPr>
      <w:r>
        <w:rPr>
          <w:rFonts w:ascii="Times New Roman" w:hAnsi="Times New Roman" w:cs="Times New Roman" w:eastAsia="Times New Roman" w:hint="default"/>
        </w:rPr>
        <w:t>4</w:t>
      </w:r>
      <w:r>
        <w:rPr/>
        <w:t>、其他持股在</w:t>
      </w:r>
      <w:r>
        <w:rPr>
          <w:spacing w:val="-62"/>
        </w:rPr>
        <w:t> </w:t>
      </w:r>
      <w:r>
        <w:rPr>
          <w:rFonts w:ascii="Times New Roman" w:hAnsi="Times New Roman" w:cs="Times New Roman" w:eastAsia="Times New Roman" w:hint="default"/>
        </w:rPr>
        <w:t>10%</w:t>
      </w:r>
      <w:r>
        <w:rPr/>
        <w:t>以上的法人股东</w:t>
      </w:r>
    </w:p>
    <w:p>
      <w:pPr>
        <w:spacing w:line="240" w:lineRule="auto" w:before="4"/>
        <w:rPr>
          <w:rFonts w:ascii="黑体" w:hAnsi="黑体" w:cs="黑体" w:eastAsia="黑体" w:hint="default"/>
          <w:sz w:val="24"/>
          <w:szCs w:val="24"/>
        </w:rPr>
      </w:pPr>
    </w:p>
    <w:p>
      <w:pPr>
        <w:pStyle w:val="BodyText"/>
        <w:spacing w:line="240" w:lineRule="auto"/>
        <w:ind w:left="10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left="612" w:right="0"/>
        <w:jc w:val="left"/>
      </w:pPr>
      <w:r>
        <w:rPr>
          <w:rFonts w:ascii="Times New Roman" w:hAnsi="Times New Roman" w:cs="Times New Roman" w:eastAsia="Times New Roman" w:hint="default"/>
        </w:rPr>
        <w:t>5</w:t>
      </w:r>
      <w:r>
        <w:rPr/>
        <w:t>、控股股东、实际控制人、重组方及其他承诺主体股份限制减持情况</w:t>
      </w:r>
    </w:p>
    <w:p>
      <w:pPr>
        <w:spacing w:line="240" w:lineRule="auto" w:before="3"/>
        <w:rPr>
          <w:rFonts w:ascii="黑体" w:hAnsi="黑体" w:cs="黑体" w:eastAsia="黑体" w:hint="default"/>
          <w:sz w:val="24"/>
          <w:szCs w:val="24"/>
        </w:rPr>
      </w:pPr>
    </w:p>
    <w:p>
      <w:pPr>
        <w:pStyle w:val="BodyText"/>
        <w:spacing w:line="240" w:lineRule="auto"/>
        <w:ind w:left="10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52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3293" w:right="11"/>
        <w:jc w:val="left"/>
      </w:pPr>
      <w:bookmarkStart w:name="_bookmark6" w:id="7"/>
      <w:bookmarkEnd w:id="7"/>
      <w:r>
        <w:rPr/>
      </w:r>
      <w:r>
        <w:rPr/>
        <w:t>第七节</w:t>
      </w:r>
      <w:r>
        <w:rPr>
          <w:spacing w:val="-3"/>
        </w:rPr>
        <w:t> </w:t>
      </w:r>
      <w:r>
        <w:rPr/>
        <w:t>优先股相关情况</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4"/>
          <w:szCs w:val="24"/>
        </w:rPr>
      </w:pPr>
    </w:p>
    <w:p>
      <w:pPr>
        <w:pStyle w:val="BodyText"/>
        <w:spacing w:line="468" w:lineRule="auto" w:before="36"/>
        <w:ind w:left="573" w:right="56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468" w:lineRule="auto"/>
        <w:jc w:val="left"/>
        <w:sectPr>
          <w:pgSz w:w="11910" w:h="16840"/>
          <w:pgMar w:header="882" w:footer="1132" w:top="128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1691" w:right="11"/>
        <w:jc w:val="left"/>
      </w:pPr>
      <w:bookmarkStart w:name="_bookmark7" w:id="8"/>
      <w:bookmarkEnd w:id="8"/>
      <w:r>
        <w:rPr/>
      </w:r>
      <w:r>
        <w:rPr/>
        <w:t>第八节</w:t>
      </w:r>
      <w:r>
        <w:rPr>
          <w:spacing w:val="-4"/>
        </w:rPr>
        <w:t> </w:t>
      </w:r>
      <w:r>
        <w:rPr/>
        <w:t>董事、监事、高级管理人员和员工情况</w:t>
      </w:r>
    </w:p>
    <w:p>
      <w:pPr>
        <w:spacing w:line="240" w:lineRule="auto" w:before="0"/>
        <w:rPr>
          <w:rFonts w:ascii="黑体" w:hAnsi="黑体" w:cs="黑体" w:eastAsia="黑体" w:hint="default"/>
          <w:sz w:val="32"/>
          <w:szCs w:val="32"/>
        </w:rPr>
      </w:pPr>
    </w:p>
    <w:p>
      <w:pPr>
        <w:pStyle w:val="Heading2"/>
        <w:spacing w:line="240" w:lineRule="auto" w:before="219"/>
        <w:ind w:right="11"/>
        <w:jc w:val="left"/>
      </w:pPr>
      <w:r>
        <w:rPr/>
        <w:t>一、董事、监事和高级管理人员持股变动</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638"/>
        <w:gridCol w:w="850"/>
        <w:gridCol w:w="905"/>
        <w:gridCol w:w="797"/>
        <w:gridCol w:w="799"/>
        <w:gridCol w:w="797"/>
        <w:gridCol w:w="799"/>
        <w:gridCol w:w="797"/>
      </w:tblGrid>
      <w:tr>
        <w:trPr>
          <w:trHeight w:val="113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4" w:right="-1"/>
              <w:jc w:val="left"/>
              <w:rPr>
                <w:rFonts w:ascii="宋体" w:hAnsi="宋体" w:cs="宋体" w:eastAsia="宋体" w:hint="default"/>
                <w:sz w:val="18"/>
                <w:szCs w:val="18"/>
              </w:rPr>
            </w:pPr>
            <w:r>
              <w:rPr>
                <w:rFonts w:ascii="宋体" w:hAnsi="宋体" w:cs="宋体" w:eastAsia="宋体" w:hint="default"/>
                <w:spacing w:val="18"/>
                <w:sz w:val="18"/>
                <w:szCs w:val="18"/>
              </w:rPr>
              <w:t>任期起始</w:t>
            </w:r>
            <w:r>
              <w:rPr>
                <w:rFonts w:ascii="宋体" w:hAnsi="宋体" w:cs="宋体" w:eastAsia="宋体" w:hint="default"/>
                <w:spacing w:val="-66"/>
                <w:sz w:val="18"/>
                <w:szCs w:val="18"/>
              </w:rPr>
              <w:t> </w:t>
            </w:r>
            <w:r>
              <w:rPr>
                <w:rFonts w:ascii="宋体" w:hAnsi="宋体" w:cs="宋体" w:eastAsia="宋体" w:hint="default"/>
                <w:sz w:val="18"/>
                <w:szCs w:val="18"/>
              </w:rPr>
              <w:t>日期</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2"/>
                <w:sz w:val="18"/>
                <w:szCs w:val="18"/>
              </w:rPr>
              <w:t>任期终止</w:t>
            </w:r>
            <w:r>
              <w:rPr>
                <w:rFonts w:ascii="宋体" w:hAnsi="宋体" w:cs="宋体" w:eastAsia="宋体" w:hint="default"/>
                <w:spacing w:val="-47"/>
                <w:sz w:val="18"/>
                <w:szCs w:val="18"/>
              </w:rPr>
              <w:t> </w:t>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7"/>
                <w:sz w:val="18"/>
                <w:szCs w:val="18"/>
              </w:rPr>
              <w:t>期初持股 </w:t>
            </w:r>
            <w:r>
              <w:rPr>
                <w:rFonts w:ascii="宋体" w:hAnsi="宋体" w:cs="宋体" w:eastAsia="宋体" w:hint="default"/>
                <w:sz w:val="18"/>
                <w:szCs w:val="18"/>
              </w:rPr>
              <w:t>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本期增持 股份数量</w:t>
            </w:r>
            <w:r>
              <w:rPr>
                <w:rFonts w:ascii="宋体" w:hAnsi="宋体" w:cs="宋体" w:eastAsia="宋体" w:hint="default"/>
                <w:sz w:val="18"/>
                <w:szCs w:val="18"/>
              </w:rPr>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4"/>
              <w:jc w:val="left"/>
              <w:rPr>
                <w:rFonts w:ascii="宋体" w:hAnsi="宋体" w:cs="宋体" w:eastAsia="宋体" w:hint="default"/>
                <w:sz w:val="18"/>
                <w:szCs w:val="18"/>
              </w:rPr>
            </w:pPr>
            <w:r>
              <w:rPr>
                <w:rFonts w:ascii="宋体" w:hAnsi="宋体" w:cs="宋体" w:eastAsia="宋体" w:hint="default"/>
                <w:spacing w:val="7"/>
                <w:sz w:val="18"/>
                <w:szCs w:val="18"/>
              </w:rPr>
              <w:t>本期减持 股份数量</w:t>
            </w:r>
            <w:r>
              <w:rPr>
                <w:rFonts w:ascii="宋体" w:hAnsi="宋体" w:cs="宋体" w:eastAsia="宋体" w:hint="default"/>
                <w:sz w:val="18"/>
                <w:szCs w:val="18"/>
              </w:rPr>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4" w:right="-34"/>
              <w:jc w:val="left"/>
              <w:rPr>
                <w:rFonts w:ascii="宋体" w:hAnsi="宋体" w:cs="宋体" w:eastAsia="宋体" w:hint="default"/>
                <w:sz w:val="18"/>
                <w:szCs w:val="18"/>
              </w:rPr>
            </w:pPr>
            <w:r>
              <w:rPr>
                <w:rFonts w:ascii="宋体" w:hAnsi="宋体" w:cs="宋体" w:eastAsia="宋体" w:hint="default"/>
                <w:spacing w:val="7"/>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期末持股 </w:t>
            </w:r>
            <w:r>
              <w:rPr>
                <w:rFonts w:ascii="宋体" w:hAnsi="宋体" w:cs="宋体" w:eastAsia="宋体" w:hint="default"/>
                <w:sz w:val="18"/>
                <w:szCs w:val="18"/>
              </w:rPr>
              <w:t>数（股）</w:t>
            </w:r>
          </w:p>
        </w:tc>
      </w:tr>
      <w:tr>
        <w:trPr>
          <w:trHeight w:val="81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陈江涛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390,319,7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390,319,7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r>
      <w:tr>
        <w:trPr>
          <w:trHeight w:val="113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33" w:right="31" w:firstLine="64"/>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财 务负责人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18,519,70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4,715,000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蔡厚富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124" w:right="96" w:hanging="27"/>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3"/>
                <w:sz w:val="18"/>
              </w:rPr>
              <w:t>11,111,52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w w:val="95"/>
                <w:sz w:val="18"/>
              </w:rPr>
              <w:t>11,686,95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81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孙陶然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熊焰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李绍滨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李景辉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白巍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27,929,92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27,929,92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81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王益民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14,378,92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14,378,92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孙宝国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邹卫明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304" w:right="31"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638"/>
        <w:gridCol w:w="850"/>
        <w:gridCol w:w="905"/>
        <w:gridCol w:w="797"/>
        <w:gridCol w:w="799"/>
        <w:gridCol w:w="797"/>
        <w:gridCol w:w="799"/>
        <w:gridCol w:w="797"/>
      </w:tblGrid>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颜小品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1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33" w:right="31" w:firstLine="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3,404,556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5,630,056</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1,232,472</w:t>
            </w:r>
          </w:p>
        </w:tc>
      </w:tr>
      <w:tr>
        <w:trPr>
          <w:trHeight w:val="81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1,933,000</w:t>
            </w:r>
          </w:p>
        </w:tc>
      </w:tr>
      <w:tr>
        <w:trPr>
          <w:trHeight w:val="82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2"/>
                <w:sz w:val="18"/>
              </w:rPr>
              <w:t>466,111,8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w w:val="95"/>
                <w:sz w:val="18"/>
              </w:rPr>
              <w:t>11,058,50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477,145,7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bl>
    <w:p>
      <w:pPr>
        <w:spacing w:line="240" w:lineRule="auto" w:before="6"/>
        <w:rPr>
          <w:rFonts w:ascii="黑体" w:hAnsi="黑体" w:cs="黑体" w:eastAsia="黑体" w:hint="default"/>
          <w:sz w:val="25"/>
          <w:szCs w:val="25"/>
        </w:rPr>
      </w:pPr>
    </w:p>
    <w:p>
      <w:pPr>
        <w:pStyle w:val="Heading2"/>
        <w:spacing w:line="240" w:lineRule="auto"/>
        <w:ind w:right="11"/>
        <w:jc w:val="left"/>
      </w:pPr>
      <w:r>
        <w:rPr/>
        <w:t>二、公司董事、监事、高级管理人员变动情况</w:t>
      </w:r>
    </w:p>
    <w:p>
      <w:pPr>
        <w:spacing w:line="240" w:lineRule="auto" w:before="12"/>
        <w:rPr>
          <w:rFonts w:ascii="黑体" w:hAnsi="黑体" w:cs="黑体" w:eastAsia="黑体" w:hint="default"/>
          <w:sz w:val="37"/>
          <w:szCs w:val="37"/>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66"/>
        <w:gridCol w:w="3613"/>
      </w:tblGrid>
      <w:tr>
        <w:trPr>
          <w:trHeight w:val="50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5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孙陶然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50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5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王益民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5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50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邹卫明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5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颜小品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5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第三届、第四届董事会聘任</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三、任职情况</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w:t>
      </w:r>
      <w:r>
        <w:rPr/>
        <w:t>、董事会成员</w:t>
      </w:r>
    </w:p>
    <w:p>
      <w:pPr>
        <w:spacing w:line="240" w:lineRule="auto" w:before="4"/>
        <w:rPr>
          <w:rFonts w:ascii="黑体" w:hAnsi="黑体" w:cs="黑体" w:eastAsia="黑体" w:hint="default"/>
          <w:sz w:val="24"/>
          <w:szCs w:val="24"/>
        </w:rPr>
      </w:pPr>
    </w:p>
    <w:p>
      <w:pPr>
        <w:pStyle w:val="BodyText"/>
        <w:spacing w:line="240" w:lineRule="auto"/>
        <w:ind w:left="573" w:right="11"/>
        <w:jc w:val="left"/>
      </w:pPr>
      <w:r>
        <w:rPr/>
        <w:t>公司第四届董事会由</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人组成，其中独立董事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名，各成员全部由公司股东大会选举产生，无由关联</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70" w:lineRule="auto" w:before="36"/>
        <w:ind w:left="573" w:right="11" w:hanging="421"/>
        <w:jc w:val="left"/>
      </w:pPr>
      <w:r>
        <w:rPr/>
        <w:t>人直接或间接委派的情况，第四届董事会聘任期限为</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w:t>
      </w:r>
      <w:r>
        <w:rPr>
          <w:rFonts w:ascii="Times New Roman" w:hAnsi="Times New Roman" w:cs="Times New Roman" w:eastAsia="Times New Roman" w:hint="default"/>
        </w:rPr>
        <w:t>2021</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日。</w:t>
      </w:r>
      <w:r>
        <w:rPr>
          <w:spacing w:val="-3"/>
          <w:w w:val="100"/>
        </w:rPr>
        <w:t> </w:t>
      </w:r>
      <w:r>
        <w:rPr/>
        <w:t>公司董事基本情况如下：</w:t>
      </w:r>
    </w:p>
    <w:p>
      <w:pPr>
        <w:pStyle w:val="Heading3"/>
        <w:spacing w:line="240" w:lineRule="auto" w:before="122"/>
        <w:ind w:right="11"/>
        <w:jc w:val="left"/>
      </w:pPr>
      <w:r>
        <w:rPr/>
        <w:t>（</w:t>
      </w:r>
      <w:r>
        <w:rPr>
          <w:rFonts w:ascii="Times New Roman" w:hAnsi="Times New Roman" w:cs="Times New Roman" w:eastAsia="Times New Roman" w:hint="default"/>
        </w:rPr>
        <w:t>1</w:t>
      </w:r>
      <w:r>
        <w:rPr/>
        <w:t>）陈江涛</w:t>
      </w:r>
      <w:r>
        <w:rPr>
          <w:spacing w:val="71"/>
        </w:rPr>
        <w:t> </w:t>
      </w:r>
      <w:r>
        <w:rPr/>
        <w:t>董事长</w:t>
      </w:r>
    </w:p>
    <w:p>
      <w:pPr>
        <w:spacing w:line="240" w:lineRule="auto" w:before="3"/>
        <w:rPr>
          <w:rFonts w:ascii="黑体" w:hAnsi="黑体" w:cs="黑体" w:eastAsia="黑体" w:hint="default"/>
          <w:sz w:val="24"/>
          <w:szCs w:val="24"/>
        </w:rPr>
      </w:pPr>
    </w:p>
    <w:p>
      <w:pPr>
        <w:pStyle w:val="BodyText"/>
        <w:spacing w:line="386" w:lineRule="auto"/>
        <w:ind w:right="149" w:firstLine="420"/>
        <w:jc w:val="both"/>
      </w:pPr>
      <w:r>
        <w:rPr/>
        <w:t>男，</w:t>
      </w:r>
      <w:r>
        <w:rPr>
          <w:rFonts w:ascii="Times New Roman" w:hAnsi="Times New Roman" w:cs="Times New Roman" w:eastAsia="Times New Roman" w:hint="default"/>
        </w:rPr>
        <w:t>1961 </w:t>
      </w:r>
      <w:r>
        <w:rPr/>
        <w:t>年 </w:t>
      </w:r>
      <w:r>
        <w:rPr>
          <w:rFonts w:ascii="Times New Roman" w:hAnsi="Times New Roman" w:cs="Times New Roman" w:eastAsia="Times New Roman" w:hint="default"/>
          <w:spacing w:val="-4"/>
        </w:rPr>
        <w:t>11 </w:t>
      </w:r>
      <w:r>
        <w:rPr/>
        <w:t>月出生，中国国籍，无境外永久居留权，高级工程师。</w:t>
      </w:r>
      <w:r>
        <w:rPr>
          <w:rFonts w:ascii="Times New Roman" w:hAnsi="Times New Roman" w:cs="Times New Roman" w:eastAsia="Times New Roman" w:hint="default"/>
        </w:rPr>
        <w:t>1983</w:t>
      </w:r>
      <w:r>
        <w:rPr>
          <w:rFonts w:ascii="Times New Roman" w:hAnsi="Times New Roman" w:cs="Times New Roman" w:eastAsia="Times New Roman" w:hint="default"/>
          <w:spacing w:val="41"/>
        </w:rPr>
        <w:t> </w:t>
      </w:r>
      <w:r>
        <w:rPr/>
        <w:t>年毕业于南昌大学，获</w:t>
      </w:r>
      <w:r>
        <w:rPr>
          <w:w w:val="100"/>
        </w:rPr>
        <w:t> </w:t>
      </w:r>
      <w:r>
        <w:rPr/>
        <w:t>学士学位；</w:t>
      </w:r>
      <w:r>
        <w:rPr>
          <w:rFonts w:ascii="Times New Roman" w:hAnsi="Times New Roman" w:cs="Times New Roman" w:eastAsia="Times New Roman" w:hint="default"/>
        </w:rPr>
        <w:t>1989 </w:t>
      </w:r>
      <w:r>
        <w:rPr/>
        <w:t>年毕业于哈尔滨工业大学，获硕士学位。</w:t>
      </w:r>
      <w:r>
        <w:rPr>
          <w:rFonts w:ascii="Times New Roman" w:hAnsi="Times New Roman" w:cs="Times New Roman" w:eastAsia="Times New Roman" w:hint="default"/>
        </w:rPr>
        <w:t>1997</w:t>
      </w:r>
      <w:r>
        <w:rPr>
          <w:rFonts w:ascii="Times New Roman" w:hAnsi="Times New Roman" w:cs="Times New Roman" w:eastAsia="Times New Roman" w:hint="default"/>
          <w:spacing w:val="22"/>
        </w:rPr>
        <w:t> </w:t>
      </w:r>
      <w:r>
        <w:rPr/>
        <w:t>年创建北京旋极信息技术有限公司，现任</w:t>
      </w:r>
      <w:r>
        <w:rPr>
          <w:w w:val="100"/>
        </w:rPr>
        <w:t> </w:t>
      </w:r>
      <w:r>
        <w:rPr/>
        <w:t>公司董事长。</w:t>
      </w:r>
    </w:p>
    <w:p>
      <w:pPr>
        <w:spacing w:line="240" w:lineRule="auto" w:before="13"/>
        <w:rPr>
          <w:rFonts w:ascii="宋体" w:hAnsi="宋体" w:cs="宋体" w:eastAsia="宋体" w:hint="default"/>
          <w:sz w:val="14"/>
          <w:szCs w:val="14"/>
        </w:rPr>
      </w:pPr>
    </w:p>
    <w:p>
      <w:pPr>
        <w:pStyle w:val="Heading3"/>
        <w:spacing w:line="240" w:lineRule="auto"/>
        <w:ind w:right="11"/>
        <w:jc w:val="left"/>
      </w:pPr>
      <w:r>
        <w:rPr/>
        <w:t>（</w:t>
      </w:r>
      <w:r>
        <w:rPr>
          <w:rFonts w:ascii="Times New Roman" w:hAnsi="Times New Roman" w:cs="Times New Roman" w:eastAsia="Times New Roman" w:hint="default"/>
        </w:rPr>
        <w:t>2</w:t>
      </w:r>
      <w:r>
        <w:rPr/>
        <w:t>）刘明</w:t>
      </w:r>
      <w:r>
        <w:rPr>
          <w:spacing w:val="71"/>
        </w:rPr>
        <w:t> </w:t>
      </w:r>
      <w:r>
        <w:rPr/>
        <w:t>董事、总经理、财务负责人</w:t>
      </w:r>
    </w:p>
    <w:p>
      <w:pPr>
        <w:spacing w:line="240" w:lineRule="auto" w:before="3"/>
        <w:rPr>
          <w:rFonts w:ascii="黑体" w:hAnsi="黑体" w:cs="黑体" w:eastAsia="黑体" w:hint="default"/>
          <w:sz w:val="24"/>
          <w:szCs w:val="24"/>
        </w:rPr>
      </w:pPr>
    </w:p>
    <w:p>
      <w:pPr>
        <w:pStyle w:val="BodyText"/>
        <w:spacing w:line="386" w:lineRule="auto"/>
        <w:ind w:right="146" w:firstLine="420"/>
        <w:jc w:val="both"/>
      </w:pPr>
      <w:r>
        <w:rPr/>
        <w:t>男，</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1 </w:t>
      </w:r>
      <w:r>
        <w:rPr/>
        <w:t>月出生，中国国籍，无境外永久居留权。</w:t>
      </w:r>
      <w:r>
        <w:rPr>
          <w:rFonts w:ascii="Times New Roman" w:hAnsi="Times New Roman" w:cs="Times New Roman" w:eastAsia="Times New Roman" w:hint="default"/>
        </w:rPr>
        <w:t>1989</w:t>
      </w:r>
      <w:r>
        <w:rPr>
          <w:rFonts w:ascii="Times New Roman" w:hAnsi="Times New Roman" w:cs="Times New Roman" w:eastAsia="Times New Roman" w:hint="default"/>
          <w:spacing w:val="22"/>
        </w:rPr>
        <w:t> </w:t>
      </w:r>
      <w:r>
        <w:rPr/>
        <w:t>年毕业于清华大学，获学士学位。</w:t>
      </w:r>
      <w:r>
        <w:rPr>
          <w:rFonts w:ascii="Times New Roman" w:hAnsi="Times New Roman" w:cs="Times New Roman" w:eastAsia="Times New Roman" w:hint="default"/>
        </w:rPr>
        <w:t>1997</w:t>
      </w:r>
      <w:r>
        <w:rPr>
          <w:rFonts w:ascii="Times New Roman" w:hAnsi="Times New Roman" w:cs="Times New Roman" w:eastAsia="Times New Roman" w:hint="default"/>
          <w:w w:val="100"/>
        </w:rPr>
        <w:t> </w:t>
      </w:r>
      <w:r>
        <w:rPr/>
        <w:t>年至今，就职于北京旋极信息技术股份有限公司，现任公司董事、总经理及财务负责人。</w:t>
      </w:r>
    </w:p>
    <w:p>
      <w:pPr>
        <w:spacing w:line="240" w:lineRule="auto" w:before="12"/>
        <w:rPr>
          <w:rFonts w:ascii="宋体" w:hAnsi="宋体" w:cs="宋体" w:eastAsia="宋体" w:hint="default"/>
          <w:sz w:val="14"/>
          <w:szCs w:val="14"/>
        </w:rPr>
      </w:pPr>
    </w:p>
    <w:p>
      <w:pPr>
        <w:pStyle w:val="Heading3"/>
        <w:spacing w:line="240" w:lineRule="auto"/>
        <w:ind w:right="11"/>
        <w:jc w:val="left"/>
      </w:pPr>
      <w:r>
        <w:rPr/>
        <w:t>（</w:t>
      </w:r>
      <w:r>
        <w:rPr>
          <w:rFonts w:ascii="Times New Roman" w:hAnsi="Times New Roman" w:cs="Times New Roman" w:eastAsia="Times New Roman" w:hint="default"/>
        </w:rPr>
        <w:t>3</w:t>
      </w:r>
      <w:r>
        <w:rPr/>
        <w:t>）蔡厚富</w:t>
      </w:r>
      <w:r>
        <w:rPr>
          <w:spacing w:val="71"/>
        </w:rPr>
        <w:t> </w:t>
      </w:r>
      <w:r>
        <w:rPr/>
        <w:t>董事兼副总经理</w:t>
      </w:r>
    </w:p>
    <w:p>
      <w:pPr>
        <w:spacing w:line="240" w:lineRule="auto" w:before="3"/>
        <w:rPr>
          <w:rFonts w:ascii="黑体" w:hAnsi="黑体" w:cs="黑体" w:eastAsia="黑体" w:hint="default"/>
          <w:sz w:val="24"/>
          <w:szCs w:val="24"/>
        </w:rPr>
      </w:pPr>
    </w:p>
    <w:p>
      <w:pPr>
        <w:pStyle w:val="BodyText"/>
        <w:spacing w:line="386" w:lineRule="auto"/>
        <w:ind w:right="151" w:firstLine="420"/>
        <w:jc w:val="both"/>
      </w:pPr>
      <w:r>
        <w:rPr/>
        <w:t>男，</w:t>
      </w:r>
      <w:r>
        <w:rPr>
          <w:rFonts w:ascii="Times New Roman" w:hAnsi="Times New Roman" w:cs="Times New Roman" w:eastAsia="Times New Roman" w:hint="default"/>
        </w:rPr>
        <w:t>1975 </w:t>
      </w:r>
      <w:r>
        <w:rPr/>
        <w:t>年 </w:t>
      </w:r>
      <w:r>
        <w:rPr>
          <w:rFonts w:ascii="Times New Roman" w:hAnsi="Times New Roman" w:cs="Times New Roman" w:eastAsia="Times New Roman" w:hint="default"/>
        </w:rPr>
        <w:t>5 </w:t>
      </w:r>
      <w:r>
        <w:rPr/>
        <w:t>月出生，中国国籍，无境外永久居留权。毕业于武汉理工大学，本科学历。</w:t>
      </w:r>
      <w:r>
        <w:rPr>
          <w:rFonts w:ascii="Times New Roman" w:hAnsi="Times New Roman" w:cs="Times New Roman" w:eastAsia="Times New Roman" w:hint="default"/>
        </w:rPr>
        <w:t>1997</w:t>
      </w:r>
      <w:r>
        <w:rPr>
          <w:rFonts w:ascii="Times New Roman" w:hAnsi="Times New Roman" w:cs="Times New Roman" w:eastAsia="Times New Roman" w:hint="default"/>
          <w:spacing w:val="22"/>
        </w:rPr>
        <w:t> </w:t>
      </w:r>
      <w:r>
        <w:rPr>
          <w:spacing w:val="-3"/>
        </w:rPr>
        <w:t>年至</w:t>
      </w:r>
      <w:r>
        <w:rPr>
          <w:spacing w:val="-3"/>
          <w:w w:val="100"/>
        </w:rPr>
        <w:t> </w:t>
      </w:r>
      <w:r>
        <w:rPr/>
        <w:t>今，就职于北京旋极信息技术股份有限公司，现任公司董事、副总经理。</w:t>
      </w:r>
    </w:p>
    <w:p>
      <w:pPr>
        <w:spacing w:line="240" w:lineRule="auto" w:before="13"/>
        <w:rPr>
          <w:rFonts w:ascii="宋体" w:hAnsi="宋体" w:cs="宋体" w:eastAsia="宋体" w:hint="default"/>
          <w:sz w:val="14"/>
          <w:szCs w:val="14"/>
        </w:rPr>
      </w:pPr>
    </w:p>
    <w:p>
      <w:pPr>
        <w:pStyle w:val="Heading3"/>
        <w:spacing w:line="240" w:lineRule="auto"/>
        <w:ind w:right="11"/>
        <w:jc w:val="left"/>
      </w:pPr>
      <w:r>
        <w:rPr/>
        <w:t>（</w:t>
      </w:r>
      <w:r>
        <w:rPr>
          <w:rFonts w:ascii="Times New Roman" w:hAnsi="Times New Roman" w:cs="Times New Roman" w:eastAsia="Times New Roman" w:hint="default"/>
        </w:rPr>
        <w:t>4</w:t>
      </w:r>
      <w:r>
        <w:rPr/>
        <w:t>）熊焰</w:t>
      </w:r>
      <w:r>
        <w:rPr>
          <w:spacing w:val="-25"/>
        </w:rPr>
        <w:t> </w:t>
      </w:r>
      <w:r>
        <w:rPr/>
        <w:t>董事</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spacing w:val="-3"/>
        </w:rPr>
        <w:t>男，</w:t>
      </w:r>
      <w:r>
        <w:rPr>
          <w:rFonts w:ascii="Times New Roman" w:hAnsi="Times New Roman" w:cs="Times New Roman" w:eastAsia="Times New Roman" w:hint="default"/>
          <w:spacing w:val="-3"/>
        </w:rPr>
        <w:t>1956</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月出生，中国国籍，无境外永久居留权，硕士。毕业于哈尔滨工业大学。</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w:t>
      </w:r>
    </w:p>
    <w:p>
      <w:pPr>
        <w:pStyle w:val="BodyText"/>
        <w:spacing w:line="240" w:lineRule="auto" w:before="177"/>
        <w:ind w:right="1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月任北京金融资产交易所有限公司董事长，现任北京国富资本有限公司董事长。</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月至</w:t>
      </w:r>
    </w:p>
    <w:p>
      <w:pPr>
        <w:pStyle w:val="BodyText"/>
        <w:spacing w:line="240" w:lineRule="auto" w:before="177"/>
        <w:ind w:right="11"/>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月任公司独立董事，现任公司董事。</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5</w:t>
      </w:r>
      <w:r>
        <w:rPr/>
        <w:t>）于明</w:t>
      </w:r>
      <w:r>
        <w:rPr>
          <w:spacing w:val="71"/>
        </w:rPr>
        <w:t> </w:t>
      </w:r>
      <w:r>
        <w:rPr/>
        <w:t>独立董事</w:t>
      </w:r>
    </w:p>
    <w:p>
      <w:pPr>
        <w:spacing w:line="240" w:lineRule="auto" w:before="4"/>
        <w:rPr>
          <w:rFonts w:ascii="黑体" w:hAnsi="黑体" w:cs="黑体" w:eastAsia="黑体" w:hint="default"/>
          <w:sz w:val="24"/>
          <w:szCs w:val="24"/>
        </w:rPr>
      </w:pPr>
    </w:p>
    <w:p>
      <w:pPr>
        <w:pStyle w:val="BodyText"/>
        <w:spacing w:line="386" w:lineRule="auto"/>
        <w:ind w:right="146" w:firstLine="420"/>
        <w:jc w:val="both"/>
      </w:pPr>
      <w:r>
        <w:rPr>
          <w:spacing w:val="-10"/>
        </w:rPr>
        <w:t>男，</w:t>
      </w:r>
      <w:r>
        <w:rPr>
          <w:rFonts w:ascii="Times New Roman" w:hAnsi="Times New Roman" w:cs="Times New Roman" w:eastAsia="Times New Roman" w:hint="default"/>
          <w:spacing w:val="-10"/>
        </w:rPr>
        <w:t>1955 </w:t>
      </w:r>
      <w:r>
        <w:rPr/>
        <w:t>年 </w:t>
      </w:r>
      <w:r>
        <w:rPr>
          <w:rFonts w:ascii="Times New Roman" w:hAnsi="Times New Roman" w:cs="Times New Roman" w:eastAsia="Times New Roman" w:hint="default"/>
        </w:rPr>
        <w:t>4 </w:t>
      </w:r>
      <w:r>
        <w:rPr>
          <w:spacing w:val="-9"/>
        </w:rPr>
        <w:t>月生，中国国籍，无境外永久居留权。</w:t>
      </w:r>
      <w:r>
        <w:rPr>
          <w:rFonts w:ascii="Times New Roman" w:hAnsi="Times New Roman" w:cs="Times New Roman" w:eastAsia="Times New Roman" w:hint="default"/>
          <w:spacing w:val="-9"/>
        </w:rPr>
        <w:t>1982</w:t>
      </w:r>
      <w:r>
        <w:rPr>
          <w:rFonts w:ascii="Times New Roman" w:hAnsi="Times New Roman" w:cs="Times New Roman" w:eastAsia="Times New Roman" w:hint="default"/>
          <w:spacing w:val="-17"/>
        </w:rPr>
        <w:t> </w:t>
      </w:r>
      <w:r>
        <w:rPr>
          <w:spacing w:val="-6"/>
        </w:rPr>
        <w:t>年毕业于哈尔滨工业大学，获学士学位；</w:t>
      </w:r>
      <w:r>
        <w:rPr>
          <w:rFonts w:ascii="Times New Roman" w:hAnsi="Times New Roman" w:cs="Times New Roman" w:eastAsia="Times New Roman" w:hint="default"/>
          <w:spacing w:val="-6"/>
        </w:rPr>
        <w:t>2006</w:t>
      </w:r>
      <w:r>
        <w:rPr>
          <w:rFonts w:ascii="Times New Roman" w:hAnsi="Times New Roman" w:cs="Times New Roman" w:eastAsia="Times New Roman" w:hint="default"/>
          <w:w w:val="100"/>
        </w:rPr>
        <w:t> </w:t>
      </w:r>
      <w:r>
        <w:rPr/>
        <w:t>年毕业于哈尔滨工业大学，获硕士学位。</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年至</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月任中国航天万源国际集团公司总裁助理。</w:t>
      </w:r>
    </w:p>
    <w:p>
      <w:pPr>
        <w:pStyle w:val="BodyText"/>
        <w:spacing w:line="240" w:lineRule="auto" w:before="35"/>
        <w:ind w:right="11"/>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月起，任公司独立董事。</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6</w:t>
      </w:r>
      <w:r>
        <w:rPr/>
        <w:t>）李绍滨</w:t>
      </w:r>
      <w:r>
        <w:rPr>
          <w:spacing w:val="71"/>
        </w:rPr>
        <w:t> </w:t>
      </w:r>
      <w:r>
        <w:rPr/>
        <w:t>独立董事</w:t>
      </w:r>
    </w:p>
    <w:p>
      <w:pPr>
        <w:spacing w:line="240" w:lineRule="auto" w:before="3"/>
        <w:rPr>
          <w:rFonts w:ascii="黑体" w:hAnsi="黑体" w:cs="黑体" w:eastAsia="黑体" w:hint="default"/>
          <w:sz w:val="24"/>
          <w:szCs w:val="24"/>
        </w:rPr>
      </w:pPr>
    </w:p>
    <w:p>
      <w:pPr>
        <w:pStyle w:val="BodyText"/>
        <w:spacing w:line="386" w:lineRule="auto"/>
        <w:ind w:right="148" w:firstLine="420"/>
        <w:jc w:val="both"/>
      </w:pPr>
      <w:r>
        <w:rPr/>
        <w:t>男，</w:t>
      </w:r>
      <w:r>
        <w:rPr>
          <w:rFonts w:ascii="Times New Roman" w:hAnsi="Times New Roman" w:cs="Times New Roman" w:eastAsia="Times New Roman" w:hint="default"/>
        </w:rPr>
        <w:t>1948 </w:t>
      </w:r>
      <w:r>
        <w:rPr/>
        <w:t>年 </w:t>
      </w:r>
      <w:r>
        <w:rPr>
          <w:rFonts w:ascii="Times New Roman" w:hAnsi="Times New Roman" w:cs="Times New Roman" w:eastAsia="Times New Roman" w:hint="default"/>
        </w:rPr>
        <w:t>10 </w:t>
      </w:r>
      <w:r>
        <w:rPr/>
        <w:t>月出生，中国国籍，无境外永久居留权。</w:t>
      </w:r>
      <w:r>
        <w:rPr>
          <w:rFonts w:ascii="Times New Roman" w:hAnsi="Times New Roman" w:cs="Times New Roman" w:eastAsia="Times New Roman" w:hint="default"/>
        </w:rPr>
        <w:t>1982</w:t>
      </w:r>
      <w:r>
        <w:rPr>
          <w:rFonts w:ascii="Times New Roman" w:hAnsi="Times New Roman" w:cs="Times New Roman" w:eastAsia="Times New Roman" w:hint="default"/>
          <w:spacing w:val="28"/>
        </w:rPr>
        <w:t> </w:t>
      </w:r>
      <w:r>
        <w:rPr/>
        <w:t>年毕业于哈尔滨工业大学，获学士学</w:t>
      </w:r>
      <w:r>
        <w:rPr>
          <w:w w:val="100"/>
        </w:rPr>
        <w:t> </w:t>
      </w:r>
      <w:r>
        <w:rPr>
          <w:spacing w:val="-3"/>
        </w:rPr>
        <w:t>位；</w:t>
      </w:r>
      <w:r>
        <w:rPr>
          <w:rFonts w:ascii="Times New Roman" w:hAnsi="Times New Roman" w:cs="Times New Roman" w:eastAsia="Times New Roman" w:hint="default"/>
          <w:spacing w:val="-3"/>
        </w:rPr>
        <w:t>1990</w:t>
      </w:r>
      <w:r>
        <w:rPr>
          <w:rFonts w:ascii="Times New Roman" w:hAnsi="Times New Roman" w:cs="Times New Roman" w:eastAsia="Times New Roman" w:hint="default"/>
          <w:spacing w:val="-5"/>
        </w:rPr>
        <w:t> </w:t>
      </w:r>
      <w:r>
        <w:rPr>
          <w:spacing w:val="-3"/>
        </w:rPr>
        <w:t>年毕业于哈尔滨工业大学，获硕士学位。</w:t>
      </w:r>
      <w:r>
        <w:rPr>
          <w:rFonts w:ascii="Times New Roman" w:hAnsi="Times New Roman" w:cs="Times New Roman" w:eastAsia="Times New Roman" w:hint="default"/>
          <w:spacing w:val="-3"/>
        </w:rPr>
        <w:t>1982</w:t>
      </w:r>
      <w:r>
        <w:rPr>
          <w:rFonts w:ascii="Times New Roman" w:hAnsi="Times New Roman" w:cs="Times New Roman" w:eastAsia="Times New Roman" w:hint="default"/>
          <w:spacing w:val="43"/>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2"/>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spacing w:val="-3"/>
        </w:rPr>
        <w:t>月，李绍滨先生就职于哈尔</w:t>
      </w:r>
      <w:r>
        <w:rPr>
          <w:spacing w:val="-102"/>
        </w:rPr>
        <w:t> </w:t>
      </w:r>
      <w:r>
        <w:rPr>
          <w:spacing w:val="-102"/>
        </w:rPr>
      </w:r>
      <w:r>
        <w:rPr/>
        <w:t>滨工业大学，历任哈尔滨工业大学党委副书记、副校长、教授、博士生导师，哈工大</w:t>
      </w:r>
      <w:r>
        <w:rPr>
          <w:rFonts w:ascii="Times New Roman" w:hAnsi="Times New Roman" w:cs="Times New Roman" w:eastAsia="Times New Roman" w:hint="default"/>
        </w:rPr>
        <w:t>(</w:t>
      </w:r>
      <w:r>
        <w:rPr/>
        <w:t>威海</w:t>
      </w:r>
      <w:r>
        <w:rPr>
          <w:rFonts w:ascii="Times New Roman" w:hAnsi="Times New Roman" w:cs="Times New Roman" w:eastAsia="Times New Roman" w:hint="default"/>
        </w:rPr>
        <w:t>)</w:t>
      </w:r>
      <w:r>
        <w:rPr/>
        <w:t>党委书记、校</w:t>
      </w:r>
      <w:r>
        <w:rPr>
          <w:spacing w:val="-59"/>
        </w:rPr>
        <w:t> </w:t>
      </w:r>
      <w:r>
        <w:rPr>
          <w:spacing w:val="-59"/>
        </w:rPr>
      </w:r>
      <w:r>
        <w:rPr/>
        <w:t>长。</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月起，任公司独立董事。</w:t>
      </w:r>
    </w:p>
    <w:p>
      <w:pPr>
        <w:spacing w:after="0" w:line="386"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2"/>
          <w:szCs w:val="12"/>
        </w:rPr>
      </w:pPr>
    </w:p>
    <w:p>
      <w:pPr>
        <w:pStyle w:val="Heading3"/>
        <w:spacing w:line="240" w:lineRule="auto" w:before="26"/>
        <w:ind w:right="0"/>
        <w:jc w:val="left"/>
      </w:pPr>
      <w:r>
        <w:rPr/>
        <w:t>（</w:t>
      </w:r>
      <w:r>
        <w:rPr>
          <w:rFonts w:ascii="Times New Roman" w:hAnsi="Times New Roman" w:cs="Times New Roman" w:eastAsia="Times New Roman" w:hint="default"/>
        </w:rPr>
        <w:t>7</w:t>
      </w:r>
      <w:r>
        <w:rPr/>
        <w:t>）李景辉</w:t>
      </w:r>
      <w:r>
        <w:rPr>
          <w:spacing w:val="71"/>
        </w:rPr>
        <w:t> </w:t>
      </w:r>
      <w:r>
        <w:rPr/>
        <w:t>独立董事</w:t>
      </w:r>
    </w:p>
    <w:p>
      <w:pPr>
        <w:spacing w:line="240" w:lineRule="auto" w:before="1"/>
        <w:rPr>
          <w:rFonts w:ascii="黑体" w:hAnsi="黑体" w:cs="黑体" w:eastAsia="黑体" w:hint="default"/>
          <w:sz w:val="24"/>
          <w:szCs w:val="24"/>
        </w:rPr>
      </w:pPr>
    </w:p>
    <w:p>
      <w:pPr>
        <w:pStyle w:val="BodyText"/>
        <w:spacing w:line="386" w:lineRule="auto"/>
        <w:ind w:right="167" w:firstLine="420"/>
        <w:jc w:val="both"/>
      </w:pPr>
      <w:r>
        <w:rPr/>
        <w:t>女，</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10 </w:t>
      </w:r>
      <w:r>
        <w:rPr>
          <w:spacing w:val="-3"/>
        </w:rPr>
        <w:t>月出生，中国国籍，无境外永久居留权，首批</w:t>
      </w:r>
      <w:r>
        <w:rPr>
          <w:rFonts w:ascii="Times New Roman" w:hAnsi="Times New Roman" w:cs="Times New Roman" w:eastAsia="Times New Roman" w:hint="default"/>
          <w:spacing w:val="-3"/>
        </w:rPr>
        <w:t>“</w:t>
      </w:r>
      <w:r>
        <w:rPr>
          <w:spacing w:val="-3"/>
        </w:rPr>
        <w:t>中国注册会计师资深会员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1988 </w:t>
      </w:r>
      <w:r>
        <w:rPr>
          <w:spacing w:val="-3"/>
        </w:rPr>
        <w:t>年毕</w:t>
      </w:r>
      <w:r>
        <w:rPr>
          <w:spacing w:val="-3"/>
          <w:w w:val="100"/>
        </w:rPr>
        <w:t> </w:t>
      </w:r>
      <w:r>
        <w:rPr/>
        <w:t>业于北京联合大学经济管理学院，获学士学位。</w:t>
      </w:r>
      <w:r>
        <w:rPr>
          <w:rFonts w:ascii="Times New Roman" w:hAnsi="Times New Roman" w:cs="Times New Roman" w:eastAsia="Times New Roman" w:hint="default"/>
        </w:rPr>
        <w:t>1993 </w:t>
      </w:r>
      <w:r>
        <w:rPr/>
        <w:t>年至今任职于北京工业大学经济与管理学院，从事</w:t>
      </w:r>
      <w:r>
        <w:rPr>
          <w:spacing w:val="-78"/>
        </w:rPr>
        <w:t> </w:t>
      </w:r>
      <w:r>
        <w:rPr>
          <w:spacing w:val="-78"/>
        </w:rPr>
      </w:r>
      <w:r>
        <w:rPr/>
        <w:t>会计、审计等专业课程教学工作至今。同时，自</w:t>
      </w:r>
      <w:r>
        <w:rPr>
          <w:spacing w:val="-58"/>
        </w:rPr>
        <w:t> </w:t>
      </w:r>
      <w:r>
        <w:rPr>
          <w:rFonts w:ascii="Times New Roman" w:hAnsi="Times New Roman" w:cs="Times New Roman" w:eastAsia="Times New Roman" w:hint="default"/>
        </w:rPr>
        <w:t>1993</w:t>
      </w:r>
      <w:r>
        <w:rPr>
          <w:rFonts w:ascii="Times New Roman" w:hAnsi="Times New Roman" w:cs="Times New Roman" w:eastAsia="Times New Roman" w:hint="default"/>
          <w:spacing w:val="22"/>
        </w:rPr>
        <w:t> </w:t>
      </w:r>
      <w:r>
        <w:rPr/>
        <w:t>年起从事会计专业技术资格及注册会计师考前辅导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注册会计师及会计人员后续教育，成为北京注册会计师协会、正保集团</w:t>
      </w:r>
      <w:r>
        <w:rPr>
          <w:rFonts w:ascii="Times New Roman" w:hAnsi="Times New Roman" w:cs="Times New Roman" w:eastAsia="Times New Roman" w:hint="default"/>
        </w:rPr>
        <w:t>(</w:t>
      </w:r>
      <w:r>
        <w:rPr/>
        <w:t>中华会计网校、财考网</w:t>
      </w:r>
      <w:r>
        <w:rPr>
          <w:rFonts w:ascii="Times New Roman" w:hAnsi="Times New Roman" w:cs="Times New Roman" w:eastAsia="Times New Roman" w:hint="default"/>
        </w:rPr>
        <w:t>)</w:t>
      </w:r>
      <w:r>
        <w:rPr/>
        <w:t>、中国对</w:t>
      </w:r>
      <w:r>
        <w:rPr>
          <w:spacing w:val="-58"/>
        </w:rPr>
        <w:t> </w:t>
      </w:r>
      <w:r>
        <w:rPr/>
        <w:t>外经贸会计学会特聘教师。</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月起，任公司独立董事。</w:t>
      </w:r>
    </w:p>
    <w:p>
      <w:pPr>
        <w:pStyle w:val="Heading3"/>
        <w:spacing w:line="240" w:lineRule="auto" w:before="169"/>
        <w:ind w:right="0"/>
        <w:jc w:val="left"/>
      </w:pPr>
      <w:r>
        <w:rPr>
          <w:rFonts w:ascii="Times New Roman" w:hAnsi="Times New Roman" w:cs="Times New Roman" w:eastAsia="Times New Roman" w:hint="default"/>
        </w:rPr>
        <w:t>2</w:t>
      </w:r>
      <w:r>
        <w:rPr/>
        <w:t>、监事会成员</w:t>
      </w:r>
    </w:p>
    <w:p>
      <w:pPr>
        <w:spacing w:line="240" w:lineRule="auto" w:before="1"/>
        <w:rPr>
          <w:rFonts w:ascii="黑体" w:hAnsi="黑体" w:cs="黑体" w:eastAsia="黑体" w:hint="default"/>
          <w:sz w:val="24"/>
          <w:szCs w:val="24"/>
        </w:rPr>
      </w:pPr>
    </w:p>
    <w:p>
      <w:pPr>
        <w:pStyle w:val="BodyText"/>
        <w:spacing w:line="240" w:lineRule="auto"/>
        <w:ind w:left="573" w:right="0"/>
        <w:jc w:val="left"/>
      </w:pPr>
      <w:r>
        <w:rPr/>
        <w:t>本公司监事会由</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名监事组成，其中孙宝国由职工代表大会选举产生，另外</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名监事由公司股东大会</w:t>
      </w:r>
    </w:p>
    <w:p>
      <w:pPr>
        <w:pStyle w:val="BodyText"/>
        <w:spacing w:line="240" w:lineRule="auto" w:before="177"/>
        <w:ind w:right="0"/>
        <w:jc w:val="left"/>
        <w:rPr>
          <w:rFonts w:ascii="Times New Roman" w:hAnsi="Times New Roman" w:cs="Times New Roman" w:eastAsia="Times New Roman" w:hint="default"/>
        </w:rPr>
      </w:pPr>
      <w:r>
        <w:rPr>
          <w:w w:val="100"/>
        </w:rPr>
        <w:t>选举</w:t>
      </w:r>
      <w:r>
        <w:rPr>
          <w:spacing w:val="-3"/>
          <w:w w:val="100"/>
        </w:rPr>
        <w:t>产</w:t>
      </w:r>
      <w:r>
        <w:rPr>
          <w:w w:val="100"/>
        </w:rPr>
        <w:t>生</w:t>
      </w:r>
      <w:r>
        <w:rPr>
          <w:spacing w:val="-104"/>
          <w:w w:val="100"/>
        </w:rPr>
        <w:t>，</w:t>
      </w:r>
      <w:r>
        <w:rPr>
          <w:w w:val="100"/>
        </w:rPr>
        <w:t>无</w:t>
      </w:r>
      <w:r>
        <w:rPr>
          <w:spacing w:val="-3"/>
          <w:w w:val="100"/>
        </w:rPr>
        <w:t>由</w:t>
      </w:r>
      <w:r>
        <w:rPr>
          <w:w w:val="100"/>
        </w:rPr>
        <w:t>关</w:t>
      </w:r>
      <w:r>
        <w:rPr>
          <w:spacing w:val="-3"/>
          <w:w w:val="100"/>
        </w:rPr>
        <w:t>联</w:t>
      </w:r>
      <w:r>
        <w:rPr>
          <w:w w:val="100"/>
        </w:rPr>
        <w:t>人</w:t>
      </w:r>
      <w:r>
        <w:rPr>
          <w:spacing w:val="-3"/>
          <w:w w:val="100"/>
        </w:rPr>
        <w:t>直接</w:t>
      </w:r>
      <w:r>
        <w:rPr>
          <w:w w:val="100"/>
        </w:rPr>
        <w:t>或间</w:t>
      </w:r>
      <w:r>
        <w:rPr>
          <w:spacing w:val="-3"/>
          <w:w w:val="100"/>
        </w:rPr>
        <w:t>接</w:t>
      </w:r>
      <w:r>
        <w:rPr>
          <w:w w:val="100"/>
        </w:rPr>
        <w:t>委</w:t>
      </w:r>
      <w:r>
        <w:rPr>
          <w:spacing w:val="-3"/>
          <w:w w:val="100"/>
        </w:rPr>
        <w:t>派</w:t>
      </w:r>
      <w:r>
        <w:rPr>
          <w:w w:val="100"/>
        </w:rPr>
        <w:t>的</w:t>
      </w:r>
      <w:r>
        <w:rPr>
          <w:spacing w:val="-3"/>
          <w:w w:val="100"/>
        </w:rPr>
        <w:t>情</w:t>
      </w:r>
      <w:r>
        <w:rPr>
          <w:w w:val="100"/>
        </w:rPr>
        <w:t>况</w:t>
      </w:r>
      <w:r>
        <w:rPr>
          <w:spacing w:val="-104"/>
          <w:w w:val="100"/>
        </w:rPr>
        <w:t>。</w:t>
      </w:r>
      <w:r>
        <w:rPr>
          <w:w w:val="100"/>
        </w:rPr>
        <w:t>本</w:t>
      </w:r>
      <w:r>
        <w:rPr>
          <w:spacing w:val="-3"/>
          <w:w w:val="100"/>
        </w:rPr>
        <w:t>届监</w:t>
      </w:r>
      <w:r>
        <w:rPr>
          <w:w w:val="100"/>
        </w:rPr>
        <w:t>事会</w:t>
      </w:r>
      <w:r>
        <w:rPr>
          <w:spacing w:val="-3"/>
          <w:w w:val="100"/>
        </w:rPr>
        <w:t>各</w:t>
      </w:r>
      <w:r>
        <w:rPr>
          <w:w w:val="100"/>
        </w:rPr>
        <w:t>成</w:t>
      </w:r>
      <w:r>
        <w:rPr>
          <w:spacing w:val="-3"/>
          <w:w w:val="100"/>
        </w:rPr>
        <w:t>员</w:t>
      </w:r>
      <w:r>
        <w:rPr>
          <w:w w:val="100"/>
        </w:rPr>
        <w:t>的</w:t>
      </w:r>
      <w:r>
        <w:rPr>
          <w:spacing w:val="-3"/>
          <w:w w:val="100"/>
        </w:rPr>
        <w:t>聘</w:t>
      </w:r>
      <w:r>
        <w:rPr>
          <w:w w:val="100"/>
        </w:rPr>
        <w:t>任</w:t>
      </w:r>
      <w:r>
        <w:rPr>
          <w:spacing w:val="-3"/>
          <w:w w:val="100"/>
        </w:rPr>
        <w:t>期</w:t>
      </w:r>
      <w:r>
        <w:rPr>
          <w:w w:val="100"/>
        </w:rPr>
        <w:t>限</w:t>
      </w:r>
      <w:r>
        <w:rPr>
          <w:spacing w:val="-3"/>
          <w:w w:val="100"/>
        </w:rPr>
        <w:t>均</w:t>
      </w:r>
      <w:r>
        <w:rPr>
          <w:w w:val="100"/>
        </w:rPr>
        <w:t>为</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日</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w w:val="100"/>
        </w:rPr>
        <w:t>8</w:t>
      </w:r>
    </w:p>
    <w:p>
      <w:pPr>
        <w:pStyle w:val="BodyText"/>
        <w:spacing w:line="240" w:lineRule="auto" w:before="177"/>
        <w:ind w:right="0"/>
        <w:jc w:val="left"/>
      </w:pP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spacing w:val="-3"/>
        </w:rPr>
        <w:t>日。</w:t>
      </w:r>
      <w:r>
        <w:rPr/>
      </w:r>
    </w:p>
    <w:p>
      <w:pPr>
        <w:spacing w:line="240" w:lineRule="auto" w:before="9"/>
        <w:rPr>
          <w:rFonts w:ascii="宋体" w:hAnsi="宋体" w:cs="宋体" w:eastAsia="宋体" w:hint="default"/>
          <w:sz w:val="23"/>
          <w:szCs w:val="23"/>
        </w:rPr>
      </w:pPr>
    </w:p>
    <w:p>
      <w:pPr>
        <w:pStyle w:val="Heading3"/>
        <w:spacing w:line="240" w:lineRule="auto"/>
        <w:ind w:right="0"/>
        <w:jc w:val="left"/>
      </w:pPr>
      <w:r>
        <w:rPr/>
        <w:t>（</w:t>
      </w:r>
      <w:r>
        <w:rPr>
          <w:rFonts w:ascii="Times New Roman" w:hAnsi="Times New Roman" w:cs="Times New Roman" w:eastAsia="Times New Roman" w:hint="default"/>
        </w:rPr>
        <w:t>1</w:t>
      </w:r>
      <w:r>
        <w:rPr/>
        <w:t>）邹卫明</w:t>
      </w:r>
      <w:r>
        <w:rPr>
          <w:spacing w:val="-25"/>
        </w:rPr>
        <w:t> </w:t>
      </w:r>
      <w:r>
        <w:rPr/>
        <w:t>监事会主席</w:t>
      </w:r>
    </w:p>
    <w:p>
      <w:pPr>
        <w:spacing w:line="240" w:lineRule="auto" w:before="1"/>
        <w:rPr>
          <w:rFonts w:ascii="黑体" w:hAnsi="黑体" w:cs="黑体" w:eastAsia="黑体" w:hint="default"/>
          <w:sz w:val="24"/>
          <w:szCs w:val="24"/>
        </w:rPr>
      </w:pPr>
    </w:p>
    <w:p>
      <w:pPr>
        <w:pStyle w:val="BodyText"/>
        <w:spacing w:line="386" w:lineRule="auto"/>
        <w:ind w:right="113" w:firstLine="420"/>
        <w:jc w:val="both"/>
      </w:pPr>
      <w:r>
        <w:rPr>
          <w:spacing w:val="-4"/>
        </w:rPr>
        <w:t>男，</w:t>
      </w:r>
      <w:r>
        <w:rPr>
          <w:rFonts w:ascii="Times New Roman" w:hAnsi="Times New Roman" w:cs="Times New Roman" w:eastAsia="Times New Roman" w:hint="default"/>
          <w:spacing w:val="-4"/>
        </w:rPr>
        <w:t>1972</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4"/>
        </w:rPr>
        <w:t>月生，中国国籍，无境外永久居留权。</w:t>
      </w:r>
      <w:r>
        <w:rPr>
          <w:rFonts w:ascii="Times New Roman" w:hAnsi="Times New Roman" w:cs="Times New Roman" w:eastAsia="Times New Roman" w:hint="default"/>
          <w:spacing w:val="-4"/>
        </w:rPr>
        <w:t>1991</w:t>
      </w:r>
      <w:r>
        <w:rPr>
          <w:rFonts w:ascii="Times New Roman" w:hAnsi="Times New Roman" w:cs="Times New Roman" w:eastAsia="Times New Roman" w:hint="default"/>
        </w:rPr>
        <w:t> </w:t>
      </w:r>
      <w:r>
        <w:rPr>
          <w:spacing w:val="-3"/>
        </w:rPr>
        <w:t>年毕业于北京师范大学，获学士学位；</w:t>
      </w:r>
      <w:r>
        <w:rPr>
          <w:rFonts w:ascii="Times New Roman" w:hAnsi="Times New Roman" w:cs="Times New Roman" w:eastAsia="Times New Roman" w:hint="default"/>
          <w:spacing w:val="-3"/>
        </w:rPr>
        <w:t>2013</w:t>
      </w:r>
      <w:r>
        <w:rPr>
          <w:rFonts w:ascii="Times New Roman" w:hAnsi="Times New Roman" w:cs="Times New Roman" w:eastAsia="Times New Roman" w:hint="default"/>
          <w:w w:val="100"/>
        </w:rPr>
        <w:t> </w:t>
      </w:r>
      <w:r>
        <w:rPr/>
        <w:t>年毕业于清华大学，获硕士学位。曾任泰豪科技股份有限公司楼宇电气事业部总经理，</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月至今，</w:t>
      </w:r>
      <w:r>
        <w:rPr>
          <w:w w:val="100"/>
        </w:rPr>
        <w:t> </w:t>
      </w:r>
      <w:r>
        <w:rPr/>
        <w:t>任北京泰豪智能工程有限公司总经理。</w:t>
      </w:r>
    </w:p>
    <w:p>
      <w:pPr>
        <w:spacing w:line="240" w:lineRule="auto" w:before="2"/>
        <w:rPr>
          <w:rFonts w:ascii="宋体" w:hAnsi="宋体" w:cs="宋体" w:eastAsia="宋体" w:hint="default"/>
          <w:sz w:val="15"/>
          <w:szCs w:val="15"/>
        </w:rPr>
      </w:pPr>
    </w:p>
    <w:p>
      <w:pPr>
        <w:pStyle w:val="Heading3"/>
        <w:spacing w:line="240" w:lineRule="auto"/>
        <w:ind w:right="0"/>
        <w:jc w:val="left"/>
      </w:pPr>
      <w:r>
        <w:rPr/>
        <w:t>（</w:t>
      </w:r>
      <w:r>
        <w:rPr>
          <w:rFonts w:ascii="Times New Roman" w:hAnsi="Times New Roman" w:cs="Times New Roman" w:eastAsia="Times New Roman" w:hint="default"/>
        </w:rPr>
        <w:t>2</w:t>
      </w:r>
      <w:r>
        <w:rPr/>
        <w:t>）颜小品</w:t>
      </w:r>
      <w:r>
        <w:rPr>
          <w:spacing w:val="-25"/>
        </w:rPr>
        <w:t> </w:t>
      </w:r>
      <w:r>
        <w:rPr/>
        <w:t>监事</w:t>
      </w:r>
    </w:p>
    <w:p>
      <w:pPr>
        <w:spacing w:line="240" w:lineRule="auto" w:before="1"/>
        <w:rPr>
          <w:rFonts w:ascii="黑体" w:hAnsi="黑体" w:cs="黑体" w:eastAsia="黑体" w:hint="default"/>
          <w:sz w:val="24"/>
          <w:szCs w:val="24"/>
        </w:rPr>
      </w:pPr>
    </w:p>
    <w:p>
      <w:pPr>
        <w:pStyle w:val="BodyText"/>
        <w:spacing w:line="386" w:lineRule="auto"/>
        <w:ind w:right="166" w:firstLine="420"/>
        <w:jc w:val="both"/>
      </w:pPr>
      <w:r>
        <w:rPr/>
        <w:t>女，</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2 </w:t>
      </w:r>
      <w:r>
        <w:rPr/>
        <w:t>月生，中国国籍，无境外永久居留权。</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年毕业于北京大学，获双学士学位；</w:t>
      </w:r>
      <w:r>
        <w:rPr>
          <w:rFonts w:ascii="Times New Roman" w:hAnsi="Times New Roman" w:cs="Times New Roman" w:eastAsia="Times New Roman" w:hint="default"/>
        </w:rPr>
        <w:t>2013</w:t>
      </w:r>
      <w:r>
        <w:rPr>
          <w:rFonts w:ascii="Times New Roman" w:hAnsi="Times New Roman" w:cs="Times New Roman" w:eastAsia="Times New Roman" w:hint="default"/>
          <w:w w:val="100"/>
        </w:rPr>
        <w:t> </w:t>
      </w:r>
      <w:r>
        <w:rPr/>
        <w:t>年毕业于北京大学，获硕士学位。曾任职于天壕环境股份有限公司董事会办公室，</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月至今，任</w:t>
      </w:r>
      <w:r>
        <w:rPr>
          <w:w w:val="100"/>
        </w:rPr>
        <w:t> </w:t>
      </w:r>
      <w:r>
        <w:rPr/>
        <w:t>公司投融资事务主管。于</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月通过创业板上市公司董事会秘书资格考试，并获得《董事会秘书资</w:t>
      </w:r>
      <w:r>
        <w:rPr>
          <w:w w:val="100"/>
        </w:rPr>
        <w:t> </w:t>
      </w:r>
      <w:r>
        <w:rPr>
          <w:spacing w:val="-22"/>
          <w:w w:val="100"/>
        </w:rPr>
        <w:t>格证书》。</w:t>
      </w:r>
    </w:p>
    <w:p>
      <w:pPr>
        <w:spacing w:line="240" w:lineRule="auto" w:before="2"/>
        <w:rPr>
          <w:rFonts w:ascii="宋体" w:hAnsi="宋体" w:cs="宋体" w:eastAsia="宋体" w:hint="default"/>
          <w:sz w:val="15"/>
          <w:szCs w:val="15"/>
        </w:rPr>
      </w:pPr>
    </w:p>
    <w:p>
      <w:pPr>
        <w:pStyle w:val="Heading3"/>
        <w:spacing w:line="240" w:lineRule="auto"/>
        <w:ind w:right="0"/>
        <w:jc w:val="left"/>
      </w:pPr>
      <w:r>
        <w:rPr/>
        <w:t>（</w:t>
      </w:r>
      <w:r>
        <w:rPr>
          <w:rFonts w:ascii="Times New Roman" w:hAnsi="Times New Roman" w:cs="Times New Roman" w:eastAsia="Times New Roman" w:hint="default"/>
        </w:rPr>
        <w:t>3</w:t>
      </w:r>
      <w:r>
        <w:rPr/>
        <w:t>）孙宝国</w:t>
      </w:r>
      <w:r>
        <w:rPr>
          <w:spacing w:val="71"/>
        </w:rPr>
        <w:t> </w:t>
      </w:r>
      <w:r>
        <w:rPr/>
        <w:t>职工监事</w:t>
      </w:r>
    </w:p>
    <w:p>
      <w:pPr>
        <w:spacing w:line="240" w:lineRule="auto" w:before="1"/>
        <w:rPr>
          <w:rFonts w:ascii="黑体" w:hAnsi="黑体" w:cs="黑体" w:eastAsia="黑体" w:hint="default"/>
          <w:sz w:val="24"/>
          <w:szCs w:val="24"/>
        </w:rPr>
      </w:pPr>
    </w:p>
    <w:p>
      <w:pPr>
        <w:pStyle w:val="BodyText"/>
        <w:spacing w:line="386" w:lineRule="auto"/>
        <w:ind w:right="166" w:firstLine="420"/>
        <w:jc w:val="both"/>
      </w:pPr>
      <w:r>
        <w:rPr>
          <w:spacing w:val="-4"/>
        </w:rPr>
        <w:t>男，</w:t>
      </w:r>
      <w:r>
        <w:rPr>
          <w:rFonts w:ascii="Times New Roman" w:hAnsi="Times New Roman" w:cs="Times New Roman" w:eastAsia="Times New Roman" w:hint="default"/>
          <w:spacing w:val="-4"/>
        </w:rPr>
        <w:t>1974</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月出生，中国国籍，无境外永久居留权，学士。</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1"/>
        </w:rPr>
        <w:t> </w:t>
      </w:r>
      <w:r>
        <w:rPr/>
        <w:t>年毕业于首都经济贸易大学劳动经</w:t>
      </w:r>
      <w:r>
        <w:rPr>
          <w:w w:val="100"/>
        </w:rPr>
        <w:t> </w:t>
      </w:r>
      <w:r>
        <w:rPr/>
        <w:t>济专业，获学士学位。</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月，任北京安达斯信息技术有限公司总裁助理；</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w w:val="100"/>
        </w:rPr>
        <w:t> </w:t>
      </w:r>
      <w:r>
        <w:rPr/>
        <w:t>加入本公司，历任人力资源总监，现任人力资源部总监、职工监事。</w:t>
      </w:r>
    </w:p>
    <w:p>
      <w:pPr>
        <w:spacing w:line="240" w:lineRule="auto" w:before="2"/>
        <w:rPr>
          <w:rFonts w:ascii="宋体" w:hAnsi="宋体" w:cs="宋体" w:eastAsia="宋体" w:hint="default"/>
          <w:sz w:val="15"/>
          <w:szCs w:val="15"/>
        </w:rPr>
      </w:pPr>
    </w:p>
    <w:p>
      <w:pPr>
        <w:pStyle w:val="Heading3"/>
        <w:spacing w:line="240" w:lineRule="auto"/>
        <w:ind w:right="0"/>
        <w:jc w:val="left"/>
      </w:pPr>
      <w:r>
        <w:rPr>
          <w:rFonts w:ascii="Times New Roman" w:hAnsi="Times New Roman" w:cs="Times New Roman" w:eastAsia="Times New Roman" w:hint="default"/>
        </w:rPr>
        <w:t>3</w:t>
      </w:r>
      <w:r>
        <w:rPr/>
        <w:t>、高级管理人员</w:t>
      </w:r>
    </w:p>
    <w:p>
      <w:pPr>
        <w:spacing w:line="240" w:lineRule="auto" w:before="1"/>
        <w:rPr>
          <w:rFonts w:ascii="黑体" w:hAnsi="黑体" w:cs="黑体" w:eastAsia="黑体" w:hint="default"/>
          <w:sz w:val="24"/>
          <w:szCs w:val="24"/>
        </w:rPr>
      </w:pPr>
    </w:p>
    <w:p>
      <w:pPr>
        <w:pStyle w:val="BodyText"/>
        <w:spacing w:line="240" w:lineRule="auto"/>
        <w:ind w:left="573" w:right="0"/>
        <w:jc w:val="left"/>
      </w:pPr>
      <w:r>
        <w:rPr/>
        <w:t>董事会聘请的高级管理人员任期为三年。</w:t>
      </w:r>
    </w:p>
    <w:p>
      <w:pPr>
        <w:spacing w:after="0" w:line="240" w:lineRule="auto"/>
        <w:jc w:val="left"/>
        <w:sectPr>
          <w:pgSz w:w="11910" w:h="16840"/>
          <w:pgMar w:header="882" w:footer="1132" w:top="1280" w:bottom="1320" w:left="980" w:right="960"/>
        </w:sectPr>
      </w:pPr>
    </w:p>
    <w:p>
      <w:pPr>
        <w:spacing w:line="240" w:lineRule="auto" w:before="5"/>
        <w:rPr>
          <w:rFonts w:ascii="宋体" w:hAnsi="宋体" w:cs="宋体" w:eastAsia="宋体" w:hint="default"/>
          <w:sz w:val="12"/>
          <w:szCs w:val="12"/>
        </w:rPr>
      </w:pPr>
    </w:p>
    <w:p>
      <w:pPr>
        <w:pStyle w:val="Heading3"/>
        <w:spacing w:line="240" w:lineRule="auto" w:before="26"/>
        <w:ind w:right="100"/>
        <w:jc w:val="left"/>
      </w:pPr>
      <w:r>
        <w:rPr/>
        <w:t>（</w:t>
      </w:r>
      <w:r>
        <w:rPr>
          <w:rFonts w:ascii="Times New Roman" w:hAnsi="Times New Roman" w:cs="Times New Roman" w:eastAsia="Times New Roman" w:hint="default"/>
        </w:rPr>
        <w:t>1</w:t>
      </w:r>
      <w:r>
        <w:rPr/>
        <w:t>）刘明</w:t>
      </w:r>
      <w:r>
        <w:rPr>
          <w:spacing w:val="71"/>
        </w:rPr>
        <w:t> </w:t>
      </w:r>
      <w:r>
        <w:rPr/>
        <w:t>董事、总经理、财务负责人</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t>简历参见公司董事会成员。</w:t>
      </w:r>
    </w:p>
    <w:p>
      <w:pPr>
        <w:spacing w:line="240" w:lineRule="auto" w:before="12"/>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2</w:t>
      </w:r>
      <w:r>
        <w:rPr/>
        <w:t>）蔡厚富</w:t>
      </w:r>
      <w:r>
        <w:rPr>
          <w:spacing w:val="71"/>
        </w:rPr>
        <w:t> </w:t>
      </w:r>
      <w:r>
        <w:rPr/>
        <w:t>董事、副总经理</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t>简历参见公司董事会成员。</w:t>
      </w:r>
    </w:p>
    <w:p>
      <w:pPr>
        <w:spacing w:line="240" w:lineRule="auto" w:before="12"/>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3</w:t>
      </w:r>
      <w:r>
        <w:rPr/>
        <w:t>）黄海涛</w:t>
      </w:r>
      <w:r>
        <w:rPr>
          <w:spacing w:val="71"/>
        </w:rPr>
        <w:t> </w:t>
      </w:r>
      <w:r>
        <w:rPr/>
        <w:t>副总经理、董事会秘书</w:t>
      </w:r>
    </w:p>
    <w:p>
      <w:pPr>
        <w:spacing w:line="240" w:lineRule="auto" w:before="1"/>
        <w:rPr>
          <w:rFonts w:ascii="黑体" w:hAnsi="黑体" w:cs="黑体" w:eastAsia="黑体" w:hint="default"/>
          <w:sz w:val="24"/>
          <w:szCs w:val="24"/>
        </w:rPr>
      </w:pPr>
    </w:p>
    <w:p>
      <w:pPr>
        <w:pStyle w:val="BodyText"/>
        <w:spacing w:line="398" w:lineRule="auto"/>
        <w:ind w:right="100" w:firstLine="420"/>
        <w:jc w:val="left"/>
      </w:pPr>
      <w:r>
        <w:rPr>
          <w:spacing w:val="-4"/>
        </w:rPr>
        <w:t>女，</w:t>
      </w:r>
      <w:r>
        <w:rPr>
          <w:rFonts w:ascii="Times New Roman" w:hAnsi="Times New Roman" w:cs="Times New Roman" w:eastAsia="Times New Roman" w:hint="default"/>
          <w:spacing w:val="-4"/>
        </w:rPr>
        <w:t>1976 </w:t>
      </w:r>
      <w:r>
        <w:rPr/>
        <w:t>年 </w:t>
      </w:r>
      <w:r>
        <w:rPr>
          <w:rFonts w:ascii="Times New Roman" w:hAnsi="Times New Roman" w:cs="Times New Roman" w:eastAsia="Times New Roman" w:hint="default"/>
        </w:rPr>
        <w:t>10 </w:t>
      </w:r>
      <w:r>
        <w:rPr>
          <w:spacing w:val="-5"/>
        </w:rPr>
        <w:t>月出生，中国国籍，无境外永久居留权，学士，会计师。</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24"/>
        </w:rPr>
        <w:t> </w:t>
      </w:r>
      <w:r>
        <w:rPr/>
        <w:t>年毕业于中央财经大学。</w:t>
      </w:r>
      <w:r>
        <w:rPr>
          <w:w w:val="100"/>
        </w:rPr>
        <w:t> </w:t>
      </w:r>
      <w:r>
        <w:rPr>
          <w:spacing w:val="-2"/>
        </w:rPr>
        <w:t>最近五年任职于北京旋极信息技术股份有限公司，历任财务总监兼董事会秘书，现任副总经理、董事会秘</w:t>
      </w:r>
      <w:r>
        <w:rPr>
          <w:spacing w:val="-43"/>
        </w:rPr>
        <w:t> </w:t>
      </w:r>
      <w:r>
        <w:rPr>
          <w:spacing w:val="-43"/>
        </w:rPr>
      </w:r>
      <w:r>
        <w:rPr/>
        <w:t>书。</w:t>
      </w:r>
    </w:p>
    <w:p>
      <w:pPr>
        <w:spacing w:line="240" w:lineRule="auto" w:before="4"/>
        <w:rPr>
          <w:rFonts w:ascii="宋体" w:hAnsi="宋体" w:cs="宋体" w:eastAsia="宋体" w:hint="default"/>
          <w:sz w:val="14"/>
          <w:szCs w:val="14"/>
        </w:rPr>
      </w:pPr>
    </w:p>
    <w:p>
      <w:pPr>
        <w:pStyle w:val="Heading3"/>
        <w:spacing w:line="240" w:lineRule="auto"/>
        <w:ind w:right="100"/>
        <w:jc w:val="left"/>
      </w:pPr>
      <w:r>
        <w:rPr/>
        <w:t>（</w:t>
      </w:r>
      <w:r>
        <w:rPr>
          <w:rFonts w:ascii="Times New Roman" w:hAnsi="Times New Roman" w:cs="Times New Roman" w:eastAsia="Times New Roman" w:hint="default"/>
        </w:rPr>
        <w:t>4</w:t>
      </w:r>
      <w:r>
        <w:rPr/>
        <w:t>）谢军伟</w:t>
      </w:r>
      <w:r>
        <w:rPr>
          <w:spacing w:val="-25"/>
        </w:rPr>
        <w:t> </w:t>
      </w:r>
      <w:r>
        <w:rPr/>
        <w:t>副总经理</w:t>
      </w:r>
    </w:p>
    <w:p>
      <w:pPr>
        <w:spacing w:line="240" w:lineRule="auto" w:before="1"/>
        <w:rPr>
          <w:rFonts w:ascii="黑体" w:hAnsi="黑体" w:cs="黑体" w:eastAsia="黑体" w:hint="default"/>
          <w:sz w:val="24"/>
          <w:szCs w:val="24"/>
        </w:rPr>
      </w:pPr>
    </w:p>
    <w:p>
      <w:pPr>
        <w:pStyle w:val="BodyText"/>
        <w:spacing w:line="386" w:lineRule="auto"/>
        <w:ind w:right="206" w:firstLine="420"/>
        <w:jc w:val="both"/>
      </w:pPr>
      <w:r>
        <w:rPr/>
        <w:t>男，</w:t>
      </w:r>
      <w:r>
        <w:rPr>
          <w:rFonts w:ascii="Times New Roman" w:hAnsi="Times New Roman" w:cs="Times New Roman" w:eastAsia="Times New Roman" w:hint="default"/>
        </w:rPr>
        <w:t>1962</w:t>
      </w:r>
      <w:r>
        <w:rPr>
          <w:rFonts w:ascii="Times New Roman" w:hAnsi="Times New Roman" w:cs="Times New Roman" w:eastAsia="Times New Roman" w:hint="default"/>
          <w:spacing w:val="-19"/>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月出生，中国国籍，无境外永久居留权，高级工程师，技术五级</w:t>
      </w:r>
      <w:r>
        <w:rPr>
          <w:rFonts w:ascii="Times New Roman" w:hAnsi="Times New Roman" w:cs="Times New Roman" w:eastAsia="Times New Roman" w:hint="default"/>
        </w:rPr>
        <w:t>(</w:t>
      </w:r>
      <w:r>
        <w:rPr/>
        <w:t>正师级待遇</w:t>
      </w:r>
      <w:r>
        <w:rPr>
          <w:rFonts w:ascii="Times New Roman" w:hAnsi="Times New Roman" w:cs="Times New Roman" w:eastAsia="Times New Roman" w:hint="default"/>
        </w:rPr>
        <w:t>)</w:t>
      </w:r>
      <w:r>
        <w:rPr/>
        <w:t>。</w:t>
      </w:r>
      <w:r>
        <w:rPr>
          <w:rFonts w:ascii="Times New Roman" w:hAnsi="Times New Roman" w:cs="Times New Roman" w:eastAsia="Times New Roman" w:hint="default"/>
        </w:rPr>
        <w:t>1993</w:t>
      </w:r>
      <w:r>
        <w:rPr>
          <w:rFonts w:ascii="Times New Roman" w:hAnsi="Times New Roman" w:cs="Times New Roman" w:eastAsia="Times New Roman" w:hint="default"/>
          <w:spacing w:val="-19"/>
        </w:rPr>
        <w:t> </w:t>
      </w:r>
      <w:r>
        <w:rPr/>
        <w:t>年</w:t>
      </w:r>
      <w:r>
        <w:rPr>
          <w:w w:val="100"/>
        </w:rPr>
        <w:t> </w:t>
      </w:r>
      <w:r>
        <w:rPr/>
        <w:t>毕业于空军工程学院，获学士学位；</w:t>
      </w:r>
      <w:r>
        <w:rPr>
          <w:rFonts w:ascii="Times New Roman" w:hAnsi="Times New Roman" w:cs="Times New Roman" w:eastAsia="Times New Roman" w:hint="default"/>
        </w:rPr>
        <w:t>2001</w:t>
      </w:r>
      <w:r>
        <w:rPr>
          <w:rFonts w:ascii="Times New Roman" w:hAnsi="Times New Roman" w:cs="Times New Roman" w:eastAsia="Times New Roman" w:hint="default"/>
          <w:spacing w:val="-7"/>
        </w:rPr>
        <w:t> </w:t>
      </w:r>
      <w:r>
        <w:rPr/>
        <w:t>年毕业于空军工程大学，获硕士学位。</w:t>
      </w:r>
      <w:r>
        <w:rPr>
          <w:rFonts w:ascii="Times New Roman" w:hAnsi="Times New Roman" w:cs="Times New Roman" w:eastAsia="Times New Roman" w:hint="default"/>
        </w:rPr>
        <w:t>2004</w:t>
      </w:r>
      <w:r>
        <w:rPr>
          <w:rFonts w:ascii="Times New Roman" w:hAnsi="Times New Roman" w:cs="Times New Roman" w:eastAsia="Times New Roman" w:hint="default"/>
          <w:spacing w:val="-7"/>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月至</w:t>
      </w:r>
      <w:r>
        <w:rPr>
          <w:spacing w:val="-3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t>月，任职于空军某科研单位，任科技部副部长；</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月，退休。</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月，加入北京旋极信息技</w:t>
      </w:r>
      <w:r>
        <w:rPr>
          <w:w w:val="100"/>
        </w:rPr>
        <w:t> </w:t>
      </w:r>
      <w:r>
        <w:rPr/>
        <w:t>术股份有限公司，任副总经理。</w:t>
      </w:r>
    </w:p>
    <w:p>
      <w:pPr>
        <w:spacing w:line="240" w:lineRule="auto" w:before="2"/>
        <w:rPr>
          <w:rFonts w:ascii="宋体" w:hAnsi="宋体" w:cs="宋体" w:eastAsia="宋体" w:hint="default"/>
          <w:sz w:val="15"/>
          <w:szCs w:val="15"/>
        </w:rPr>
      </w:pPr>
    </w:p>
    <w:p>
      <w:pPr>
        <w:pStyle w:val="Heading3"/>
        <w:spacing w:line="240" w:lineRule="auto"/>
        <w:ind w:right="100"/>
        <w:jc w:val="left"/>
      </w:pPr>
      <w:r>
        <w:rPr/>
        <w:t>（</w:t>
      </w:r>
      <w:r>
        <w:rPr>
          <w:rFonts w:ascii="Times New Roman" w:hAnsi="Times New Roman" w:cs="Times New Roman" w:eastAsia="Times New Roman" w:hint="default"/>
        </w:rPr>
        <w:t>5</w:t>
      </w:r>
      <w:r>
        <w:rPr/>
        <w:t>）赵庭荣</w:t>
      </w:r>
      <w:r>
        <w:rPr>
          <w:spacing w:val="-25"/>
        </w:rPr>
        <w:t> </w:t>
      </w:r>
      <w:r>
        <w:rPr/>
        <w:t>副总经理</w:t>
      </w:r>
    </w:p>
    <w:p>
      <w:pPr>
        <w:spacing w:line="240" w:lineRule="auto" w:before="1"/>
        <w:rPr>
          <w:rFonts w:ascii="黑体" w:hAnsi="黑体" w:cs="黑体" w:eastAsia="黑体" w:hint="default"/>
          <w:sz w:val="24"/>
          <w:szCs w:val="24"/>
        </w:rPr>
      </w:pPr>
    </w:p>
    <w:p>
      <w:pPr>
        <w:pStyle w:val="BodyText"/>
        <w:spacing w:line="386" w:lineRule="auto"/>
        <w:ind w:right="100" w:firstLine="420"/>
        <w:jc w:val="left"/>
      </w:pPr>
      <w:r>
        <w:rPr>
          <w:spacing w:val="-4"/>
        </w:rPr>
        <w:t>男，</w:t>
      </w:r>
      <w:r>
        <w:rPr>
          <w:rFonts w:ascii="Times New Roman" w:hAnsi="Times New Roman" w:cs="Times New Roman" w:eastAsia="Times New Roman" w:hint="default"/>
          <w:spacing w:val="-4"/>
        </w:rPr>
        <w:t>1965 </w:t>
      </w:r>
      <w:r>
        <w:rPr/>
        <w:t>年 </w:t>
      </w:r>
      <w:r>
        <w:rPr>
          <w:rFonts w:ascii="Times New Roman" w:hAnsi="Times New Roman" w:cs="Times New Roman" w:eastAsia="Times New Roman" w:hint="default"/>
        </w:rPr>
        <w:t>12 </w:t>
      </w:r>
      <w:r>
        <w:rPr>
          <w:spacing w:val="-4"/>
        </w:rPr>
        <w:t>月出生，中国国籍，无境外永久居留权。</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27"/>
        </w:rPr>
        <w:t> </w:t>
      </w:r>
      <w:r>
        <w:rPr>
          <w:spacing w:val="-3"/>
        </w:rPr>
        <w:t>年毕业于哈尔滨工业大学，获学士学位；</w:t>
      </w:r>
      <w:r>
        <w:rPr>
          <w:w w:val="100"/>
        </w:rPr>
        <w:t> </w:t>
      </w:r>
      <w:r>
        <w:rPr>
          <w:rFonts w:ascii="Times New Roman" w:hAnsi="Times New Roman" w:cs="Times New Roman" w:eastAsia="Times New Roman" w:hint="default"/>
        </w:rPr>
        <w:t>1990</w:t>
      </w:r>
      <w:r>
        <w:rPr>
          <w:rFonts w:ascii="Times New Roman" w:hAnsi="Times New Roman" w:cs="Times New Roman" w:eastAsia="Times New Roman" w:hint="default"/>
          <w:spacing w:val="-5"/>
        </w:rPr>
        <w:t> </w:t>
      </w:r>
      <w:r>
        <w:rPr>
          <w:spacing w:val="-6"/>
        </w:rPr>
        <w:t>年毕业于哈尔滨工业大学，获硕士学位；</w:t>
      </w:r>
      <w:r>
        <w:rPr>
          <w:rFonts w:ascii="Times New Roman" w:hAnsi="Times New Roman" w:cs="Times New Roman" w:eastAsia="Times New Roman" w:hint="default"/>
          <w:spacing w:val="-6"/>
        </w:rPr>
        <w:t>2000</w:t>
      </w:r>
      <w:r>
        <w:rPr>
          <w:rFonts w:ascii="Times New Roman" w:hAnsi="Times New Roman" w:cs="Times New Roman" w:eastAsia="Times New Roman" w:hint="default"/>
          <w:spacing w:val="-5"/>
        </w:rPr>
        <w:t> </w:t>
      </w:r>
      <w:r>
        <w:rPr>
          <w:spacing w:val="-6"/>
        </w:rPr>
        <w:t>年毕业于日本早稻田大学，获博士学位。</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3"/>
        </w:rPr>
        <w:t> </w:t>
      </w:r>
      <w:r>
        <w:rPr/>
        <w:t>年至</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3"/>
        </w:rPr>
        <w:t>年任北京麦禾信通科技有限公司总经理；</w:t>
      </w:r>
      <w:r>
        <w:rPr>
          <w:rFonts w:ascii="Times New Roman" w:hAnsi="Times New Roman" w:cs="Times New Roman" w:eastAsia="Times New Roman" w:hint="default"/>
          <w:spacing w:val="-3"/>
        </w:rPr>
        <w:t>2012 </w:t>
      </w:r>
      <w:r>
        <w:rPr>
          <w:spacing w:val="-4"/>
        </w:rPr>
        <w:t>年至今，就职于北京旋极信息技术股份有限公司，历任总经</w:t>
      </w:r>
      <w:r>
        <w:rPr>
          <w:spacing w:val="-15"/>
        </w:rPr>
        <w:t> </w:t>
      </w:r>
      <w:r>
        <w:rPr>
          <w:spacing w:val="-15"/>
        </w:rPr>
      </w:r>
      <w:r>
        <w:rPr/>
        <w:t>理助理兼任战略发展部总监，现任公司副总经理。</w:t>
      </w:r>
    </w:p>
    <w:p>
      <w:pPr>
        <w:spacing w:line="240" w:lineRule="auto" w:before="2"/>
        <w:rPr>
          <w:rFonts w:ascii="宋体" w:hAnsi="宋体" w:cs="宋体" w:eastAsia="宋体" w:hint="default"/>
          <w:sz w:val="15"/>
          <w:szCs w:val="15"/>
        </w:rPr>
      </w:pPr>
    </w:p>
    <w:p>
      <w:pPr>
        <w:pStyle w:val="Heading3"/>
        <w:spacing w:line="240" w:lineRule="auto"/>
        <w:ind w:right="100"/>
        <w:jc w:val="left"/>
      </w:pPr>
      <w:r>
        <w:rPr/>
        <w:t>（</w:t>
      </w:r>
      <w:r>
        <w:rPr>
          <w:rFonts w:ascii="Times New Roman" w:hAnsi="Times New Roman" w:cs="Times New Roman" w:eastAsia="Times New Roman" w:hint="default"/>
        </w:rPr>
        <w:t>6</w:t>
      </w:r>
      <w:r>
        <w:rPr/>
        <w:t>）周翔</w:t>
      </w:r>
      <w:r>
        <w:rPr>
          <w:spacing w:val="-25"/>
        </w:rPr>
        <w:t> </w:t>
      </w:r>
      <w:r>
        <w:rPr/>
        <w:t>副总经理</w:t>
      </w:r>
    </w:p>
    <w:p>
      <w:pPr>
        <w:spacing w:line="240" w:lineRule="auto" w:before="1"/>
        <w:rPr>
          <w:rFonts w:ascii="黑体" w:hAnsi="黑体" w:cs="黑体" w:eastAsia="黑体" w:hint="default"/>
          <w:sz w:val="24"/>
          <w:szCs w:val="24"/>
        </w:rPr>
      </w:pPr>
    </w:p>
    <w:p>
      <w:pPr>
        <w:pStyle w:val="BodyText"/>
        <w:spacing w:line="386" w:lineRule="auto"/>
        <w:ind w:right="206" w:firstLine="420"/>
        <w:jc w:val="both"/>
      </w:pPr>
      <w:r>
        <w:rPr/>
        <w:t>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3 </w:t>
      </w:r>
      <w:r>
        <w:rPr/>
        <w:t>月出生，中国国籍，无境外永久居留权。</w:t>
      </w:r>
      <w:r>
        <w:rPr>
          <w:rFonts w:ascii="Times New Roman" w:hAnsi="Times New Roman" w:cs="Times New Roman" w:eastAsia="Times New Roman" w:hint="default"/>
        </w:rPr>
        <w:t>1986</w:t>
      </w:r>
      <w:r>
        <w:rPr>
          <w:rFonts w:ascii="Times New Roman" w:hAnsi="Times New Roman" w:cs="Times New Roman" w:eastAsia="Times New Roman" w:hint="default"/>
          <w:spacing w:val="22"/>
        </w:rPr>
        <w:t> </w:t>
      </w:r>
      <w:r>
        <w:rPr/>
        <w:t>年毕业于清华大学，获学士学位；</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t>年毕业于哈尔滨工业大学，获硕士学位。自</w:t>
      </w:r>
      <w:r>
        <w:rPr>
          <w:spacing w:val="-41"/>
        </w:rPr>
        <w:t> </w:t>
      </w:r>
      <w:r>
        <w:rPr>
          <w:rFonts w:ascii="Times New Roman" w:hAnsi="Times New Roman" w:cs="Times New Roman" w:eastAsia="Times New Roman" w:hint="default"/>
        </w:rPr>
        <w:t>1991</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3"/>
        </w:rPr>
        <w:t>月，周翔先生任职于解放军某总部机</w:t>
      </w:r>
      <w:r>
        <w:rPr>
          <w:w w:val="100"/>
        </w:rPr>
        <w:t> </w:t>
      </w:r>
      <w:r>
        <w:rPr>
          <w:spacing w:val="-3"/>
        </w:rPr>
        <w:t>关，从事武器装备科研管理工作；</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8"/>
        </w:rPr>
        <w:t> </w:t>
      </w:r>
      <w:r>
        <w:rPr/>
        <w:t>年</w:t>
      </w:r>
      <w:r>
        <w:rPr>
          <w:spacing w:val="-2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3"/>
        </w:rPr>
        <w:t>月，加入北京旋极信息技术股份有限公司，任副总经理，并兼</w:t>
      </w:r>
      <w:r>
        <w:rPr>
          <w:spacing w:val="-94"/>
        </w:rPr>
        <w:t> </w:t>
      </w:r>
      <w:r>
        <w:rPr>
          <w:spacing w:val="-94"/>
        </w:rPr>
      </w:r>
      <w:r>
        <w:rPr/>
        <w:t>任控股公司北京旋极伏羲大数据技术有限公司总经理。</w:t>
      </w:r>
    </w:p>
    <w:p>
      <w:pPr>
        <w:pStyle w:val="BodyText"/>
        <w:spacing w:line="240" w:lineRule="auto" w:before="166"/>
        <w:ind w:left="573" w:right="100"/>
        <w:jc w:val="left"/>
      </w:pPr>
      <w:r>
        <w:rPr/>
        <w:t>在股东单位任职情况</w:t>
      </w:r>
    </w:p>
    <w:p>
      <w:pPr>
        <w:spacing w:line="240" w:lineRule="auto" w:before="4"/>
        <w:rPr>
          <w:rFonts w:ascii="宋体" w:hAnsi="宋体" w:cs="宋体" w:eastAsia="宋体" w:hint="default"/>
          <w:sz w:val="22"/>
          <w:szCs w:val="22"/>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00"/>
        <w:gridCol w:w="2912"/>
        <w:gridCol w:w="991"/>
        <w:gridCol w:w="1548"/>
        <w:gridCol w:w="1573"/>
        <w:gridCol w:w="1346"/>
      </w:tblGrid>
      <w:tr>
        <w:trPr>
          <w:trHeight w:val="82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40" w:right="36"/>
              <w:jc w:val="left"/>
              <w:rPr>
                <w:rFonts w:ascii="宋体" w:hAnsi="宋体" w:cs="宋体" w:eastAsia="宋体" w:hint="default"/>
                <w:sz w:val="18"/>
                <w:szCs w:val="18"/>
              </w:rPr>
            </w:pPr>
            <w:r>
              <w:rPr>
                <w:rFonts w:ascii="宋体" w:hAnsi="宋体" w:cs="宋体" w:eastAsia="宋体" w:hint="default"/>
                <w:b/>
                <w:bCs/>
                <w:sz w:val="18"/>
                <w:szCs w:val="18"/>
              </w:rPr>
              <w:t>在股东单位</w:t>
            </w:r>
            <w:r>
              <w:rPr>
                <w:rFonts w:ascii="宋体" w:hAnsi="宋体" w:cs="宋体" w:eastAsia="宋体" w:hint="default"/>
                <w:b/>
                <w:bCs/>
                <w:w w:val="99"/>
                <w:sz w:val="18"/>
                <w:szCs w:val="18"/>
              </w:rPr>
              <w:t> </w:t>
            </w: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7" w:right="34" w:hanging="92"/>
              <w:jc w:val="left"/>
              <w:rPr>
                <w:rFonts w:ascii="宋体" w:hAnsi="宋体" w:cs="宋体" w:eastAsia="宋体" w:hint="default"/>
                <w:sz w:val="18"/>
                <w:szCs w:val="18"/>
              </w:rPr>
            </w:pPr>
            <w:r>
              <w:rPr>
                <w:rFonts w:ascii="宋体" w:hAnsi="宋体" w:cs="宋体" w:eastAsia="宋体" w:hint="default"/>
                <w:b/>
                <w:bCs/>
                <w:sz w:val="18"/>
                <w:szCs w:val="18"/>
              </w:rPr>
              <w:t>在股东单位是否</w:t>
            </w:r>
            <w:r>
              <w:rPr>
                <w:rFonts w:ascii="宋体" w:hAnsi="宋体" w:cs="宋体" w:eastAsia="宋体" w:hint="default"/>
                <w:b/>
                <w:bCs/>
                <w:w w:val="99"/>
                <w:sz w:val="18"/>
                <w:szCs w:val="18"/>
              </w:rPr>
              <w:t> </w:t>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3"/>
              <w:jc w:val="left"/>
              <w:rPr>
                <w:rFonts w:ascii="宋体" w:hAnsi="宋体" w:cs="宋体" w:eastAsia="宋体" w:hint="default"/>
                <w:sz w:val="18"/>
                <w:szCs w:val="18"/>
              </w:rPr>
            </w:pPr>
            <w:r>
              <w:rPr>
                <w:rFonts w:ascii="宋体" w:hAnsi="宋体" w:cs="宋体" w:eastAsia="宋体" w:hint="default"/>
                <w:spacing w:val="9"/>
                <w:sz w:val="18"/>
                <w:szCs w:val="18"/>
              </w:rPr>
              <w:t>在股东单位任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公司董事长陈江涛先生持有中天涌慧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88.89%</w:t>
            </w:r>
            <w:r>
              <w:rPr>
                <w:rFonts w:ascii="宋体" w:hAnsi="宋体" w:cs="宋体" w:eastAsia="宋体" w:hint="default"/>
                <w:sz w:val="18"/>
                <w:szCs w:val="18"/>
              </w:rPr>
              <w:t>股权，任中天涌慧执行董事一职。</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在其他单位任职情况</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704"/>
        <w:gridCol w:w="991"/>
        <w:gridCol w:w="889"/>
        <w:gridCol w:w="1594"/>
      </w:tblGrid>
      <w:tr>
        <w:trPr>
          <w:trHeight w:val="82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8"/>
              <w:jc w:val="left"/>
              <w:rPr>
                <w:rFonts w:ascii="宋体" w:hAnsi="宋体" w:cs="宋体" w:eastAsia="宋体" w:hint="default"/>
                <w:sz w:val="18"/>
                <w:szCs w:val="18"/>
              </w:rPr>
            </w:pPr>
            <w:r>
              <w:rPr>
                <w:rFonts w:ascii="宋体" w:hAnsi="宋体" w:cs="宋体" w:eastAsia="宋体" w:hint="default"/>
                <w:spacing w:val="2"/>
                <w:sz w:val="18"/>
                <w:szCs w:val="18"/>
              </w:rPr>
              <w:t>在其他单位担任的职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7"/>
              <w:jc w:val="left"/>
              <w:rPr>
                <w:rFonts w:ascii="宋体" w:hAnsi="宋体" w:cs="宋体" w:eastAsia="宋体" w:hint="default"/>
                <w:sz w:val="18"/>
                <w:szCs w:val="18"/>
              </w:rPr>
            </w:pPr>
            <w:r>
              <w:rPr>
                <w:rFonts w:ascii="宋体" w:hAnsi="宋体" w:cs="宋体" w:eastAsia="宋体" w:hint="default"/>
                <w:spacing w:val="9"/>
                <w:sz w:val="18"/>
                <w:szCs w:val="18"/>
              </w:rPr>
              <w:t>任期起始日 </w:t>
            </w:r>
            <w:r>
              <w:rPr>
                <w:rFonts w:ascii="宋体" w:hAnsi="宋体" w:cs="宋体" w:eastAsia="宋体" w:hint="default"/>
                <w:sz w:val="18"/>
                <w:szCs w:val="18"/>
              </w:rPr>
              <w:t>期</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0"/>
              <w:jc w:val="left"/>
              <w:rPr>
                <w:rFonts w:ascii="宋体" w:hAnsi="宋体" w:cs="宋体" w:eastAsia="宋体" w:hint="default"/>
                <w:sz w:val="18"/>
                <w:szCs w:val="18"/>
              </w:rPr>
            </w:pPr>
            <w:r>
              <w:rPr>
                <w:rFonts w:ascii="宋体" w:hAnsi="宋体" w:cs="宋体" w:eastAsia="宋体" w:hint="default"/>
                <w:spacing w:val="27"/>
                <w:sz w:val="18"/>
                <w:szCs w:val="18"/>
              </w:rPr>
              <w:t>任期终止</w:t>
            </w:r>
            <w:r>
              <w:rPr>
                <w:rFonts w:ascii="宋体" w:hAnsi="宋体" w:cs="宋体" w:eastAsia="宋体" w:hint="default"/>
                <w:spacing w:val="-54"/>
                <w:sz w:val="18"/>
                <w:szCs w:val="18"/>
              </w:rPr>
              <w:t> </w:t>
            </w:r>
            <w:r>
              <w:rPr>
                <w:rFonts w:ascii="宋体" w:hAnsi="宋体" w:cs="宋体" w:eastAsia="宋体" w:hint="default"/>
                <w:sz w:val="18"/>
                <w:szCs w:val="18"/>
              </w:rPr>
              <w:t>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
              <w:jc w:val="left"/>
              <w:rPr>
                <w:rFonts w:ascii="宋体" w:hAnsi="宋体" w:cs="宋体" w:eastAsia="宋体" w:hint="default"/>
                <w:sz w:val="18"/>
                <w:szCs w:val="18"/>
              </w:rPr>
            </w:pPr>
            <w:r>
              <w:rPr>
                <w:rFonts w:ascii="宋体" w:hAnsi="宋体" w:cs="宋体" w:eastAsia="宋体" w:hint="default"/>
                <w:spacing w:val="14"/>
                <w:sz w:val="18"/>
                <w:szCs w:val="18"/>
              </w:rPr>
              <w:t>在其他单位是否领 </w:t>
            </w:r>
            <w:r>
              <w:rPr>
                <w:rFonts w:ascii="宋体" w:hAnsi="宋体" w:cs="宋体" w:eastAsia="宋体" w:hint="default"/>
                <w:sz w:val="18"/>
                <w:szCs w:val="18"/>
              </w:rPr>
              <w:t>取报酬津贴</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董事长、法人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执行董事、法人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北京蓝鲸众合投资管理有限公司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深圳市旋极历通科技有限公司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执行董事、法人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北京都在哪网讯科技有限公司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6" w:right="15"/>
              <w:jc w:val="left"/>
              <w:rPr>
                <w:rFonts w:ascii="宋体" w:hAnsi="宋体" w:cs="宋体" w:eastAsia="宋体" w:hint="default"/>
                <w:sz w:val="18"/>
                <w:szCs w:val="18"/>
              </w:rPr>
            </w:pPr>
            <w:r>
              <w:rPr>
                <w:rFonts w:ascii="宋体" w:hAnsi="宋体" w:cs="宋体" w:eastAsia="宋体" w:hint="default"/>
                <w:spacing w:val="3"/>
                <w:sz w:val="18"/>
                <w:szCs w:val="18"/>
              </w:rPr>
              <w:t>宁波梅山保税港区中天沐泽投资咨询有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6" w:right="15"/>
              <w:jc w:val="left"/>
              <w:rPr>
                <w:rFonts w:ascii="宋体" w:hAnsi="宋体" w:cs="宋体" w:eastAsia="宋体" w:hint="default"/>
                <w:sz w:val="18"/>
                <w:szCs w:val="18"/>
              </w:rPr>
            </w:pPr>
            <w:r>
              <w:rPr>
                <w:rFonts w:ascii="宋体" w:hAnsi="宋体" w:cs="宋体" w:eastAsia="宋体" w:hint="default"/>
                <w:spacing w:val="3"/>
                <w:sz w:val="18"/>
                <w:szCs w:val="18"/>
              </w:rPr>
              <w:t>宁波梅山保税港区中元海润投资咨询有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北京平治东方科技股份有限公司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武汉中天沐泽科技投资有限公司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北京众华原创科技有限公司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董事长、经理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赛瑞工信科技（北京）有限公司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北京云网信服信息技术有限公司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北京分贝海洋信息技术有限公司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704"/>
        <w:gridCol w:w="991"/>
        <w:gridCol w:w="889"/>
        <w:gridCol w:w="1594"/>
      </w:tblGrid>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北京旋极星源有限公司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北京瑞极通达科技有限公司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深圳市鸣鑫航空科技有限公司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北京联合信标测试技术有限公司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中泰信托有限责任公司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华软资本管理集团股份有限公司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上海保险交易所股份有限公司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永赢金融租赁有限公司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北京国富金控科技有限公司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北京德申杰投资咨询有限公司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北京国富资本有限公司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北京国富碳投资管理有限公司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北京国富金交科技有限公司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6" w:right="15"/>
              <w:jc w:val="left"/>
              <w:rPr>
                <w:rFonts w:ascii="宋体" w:hAnsi="宋体" w:cs="宋体" w:eastAsia="宋体" w:hint="default"/>
                <w:sz w:val="18"/>
                <w:szCs w:val="18"/>
              </w:rPr>
            </w:pPr>
            <w:r>
              <w:rPr>
                <w:rFonts w:ascii="宋体" w:hAnsi="宋体" w:cs="宋体" w:eastAsia="宋体" w:hint="default"/>
                <w:spacing w:val="3"/>
                <w:sz w:val="18"/>
                <w:szCs w:val="18"/>
              </w:rPr>
              <w:t>北京埃德万斯离子束技术研究所股份有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西安丝路金融资产交易中心有限公司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北京国富健元投资管理有限公司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北京国富鑫一投资管理有限公司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青岛国双股权投资管理有限公司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北京国富之本投资有限公司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上海国富企业发展有限责任公司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6" w:right="15"/>
              <w:jc w:val="left"/>
              <w:rPr>
                <w:rFonts w:ascii="宋体" w:hAnsi="宋体" w:cs="宋体" w:eastAsia="宋体" w:hint="default"/>
                <w:sz w:val="18"/>
                <w:szCs w:val="18"/>
              </w:rPr>
            </w:pPr>
            <w:r>
              <w:rPr>
                <w:rFonts w:ascii="宋体" w:hAnsi="宋体" w:cs="宋体" w:eastAsia="宋体" w:hint="default"/>
                <w:spacing w:val="3"/>
                <w:sz w:val="18"/>
                <w:szCs w:val="18"/>
              </w:rPr>
              <w:t>深圳市华禹国富股权投资基金管理有限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青岛国富金融资产交易中心有限公司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北京高达国富创业投资管理有限公司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704"/>
        <w:gridCol w:w="991"/>
        <w:gridCol w:w="889"/>
        <w:gridCol w:w="1594"/>
      </w:tblGrid>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北京旋极拉卡拉信息技术有限公司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成都凯天质检技术服务有限责任公司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西安兵标检测有限责任公司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西安东仪综合技术实验室有限责任公司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北京旋极拉卡拉信息技术有限公司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北京都在哪网讯科技有限公司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北京旋极星源有限公司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北京旋极伏羲大数据技术有限公司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73" w:right="11"/>
        <w:jc w:val="left"/>
      </w:pPr>
      <w:r>
        <w:rPr/>
        <w:t>公司现任及报告期内离任董事、监事和高级管理人员近三年证券监管机构处罚的情况</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0"/>
        <w:ind w:right="11"/>
        <w:jc w:val="left"/>
      </w:pPr>
      <w:r>
        <w:rPr/>
        <w:t>四、董事、监事、高级管理人员报酬情况</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t>董事、监事、高级管理人员报酬的决策程序、确定依据、实际支付情况</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w:t>
      </w:r>
      <w:r>
        <w:rPr/>
        <w:t>、董事、监事、高级管理人员报酬的决策程序</w:t>
      </w:r>
    </w:p>
    <w:p>
      <w:pPr>
        <w:spacing w:after="0" w:line="240" w:lineRule="auto"/>
        <w:jc w:val="left"/>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pStyle w:val="BodyText"/>
        <w:spacing w:line="408" w:lineRule="auto" w:before="36"/>
        <w:ind w:right="11" w:firstLine="420"/>
        <w:jc w:val="left"/>
      </w:pPr>
      <w:r>
        <w:rPr>
          <w:spacing w:val="-2"/>
        </w:rPr>
        <w:t>薪酬与考核委员会提出的公司董事（含独立董事）的薪酬计划，须报经董事会同意，提交股东大会审</w:t>
      </w:r>
      <w:r>
        <w:rPr>
          <w:w w:val="100"/>
        </w:rPr>
        <w:t> </w:t>
      </w:r>
      <w:r>
        <w:rPr/>
        <w:t>议通过后方可实施；公司经理人员的薪酬分配方案须报董事会批准。</w:t>
      </w:r>
    </w:p>
    <w:p>
      <w:pPr>
        <w:pStyle w:val="Heading3"/>
        <w:spacing w:line="240" w:lineRule="auto" w:before="179"/>
        <w:ind w:right="11"/>
        <w:jc w:val="left"/>
      </w:pPr>
      <w:r>
        <w:rPr>
          <w:rFonts w:ascii="Times New Roman" w:hAnsi="Times New Roman" w:cs="Times New Roman" w:eastAsia="Times New Roman" w:hint="default"/>
        </w:rPr>
        <w:t>2</w:t>
      </w:r>
      <w:r>
        <w:rPr/>
        <w:t>、董事、监事、高级管理人员报酬确定依据</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依据公司盈利水平及各董事、监事、高级管理人员的分工及履行情况确定。</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、董事、监事和高级管理人员报酬的实际支付情况</w:t>
      </w:r>
    </w:p>
    <w:p>
      <w:pPr>
        <w:spacing w:line="240" w:lineRule="auto" w:before="1"/>
        <w:rPr>
          <w:rFonts w:ascii="黑体" w:hAnsi="黑体" w:cs="黑体" w:eastAsia="黑体" w:hint="default"/>
          <w:sz w:val="24"/>
          <w:szCs w:val="24"/>
        </w:rPr>
      </w:pPr>
    </w:p>
    <w:p>
      <w:pPr>
        <w:pStyle w:val="BodyText"/>
        <w:spacing w:line="470" w:lineRule="auto"/>
        <w:ind w:left="573" w:right="183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年公司董事、监事、高级管理人员共</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人，实际支付税前报酬</w:t>
      </w:r>
      <w:r>
        <w:rPr>
          <w:spacing w:val="-55"/>
        </w:rPr>
        <w:t> </w:t>
      </w:r>
      <w:r>
        <w:rPr>
          <w:rFonts w:ascii="Times New Roman" w:hAnsi="Times New Roman" w:cs="Times New Roman" w:eastAsia="Times New Roman" w:hint="default"/>
        </w:rPr>
        <w:t>420.53</w:t>
      </w:r>
      <w:r>
        <w:rPr>
          <w:rFonts w:ascii="Times New Roman" w:hAnsi="Times New Roman" w:cs="Times New Roman" w:eastAsia="Times New Roman" w:hint="default"/>
          <w:spacing w:val="-13"/>
        </w:rPr>
        <w:t> </w:t>
      </w:r>
      <w:r>
        <w:rPr/>
        <w:t>万元。</w:t>
      </w:r>
      <w:r>
        <w:rPr>
          <w:w w:val="100"/>
        </w:rPr>
        <w:t> </w:t>
      </w:r>
      <w:r>
        <w:rPr/>
        <w:t>公司报告期内董事、监事和高级管理人员报酬情况</w:t>
      </w:r>
    </w:p>
    <w:p>
      <w:pPr>
        <w:pStyle w:val="BodyText"/>
        <w:spacing w:line="240" w:lineRule="auto" w:before="90"/>
        <w:ind w:left="0" w:right="148"/>
        <w:jc w:val="right"/>
      </w:pPr>
      <w:r>
        <w:rPr>
          <w:spacing w:val="-1"/>
        </w:rPr>
        <w:t>单位：万元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82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7" w:right="44" w:hanging="183"/>
              <w:jc w:val="left"/>
              <w:rPr>
                <w:rFonts w:ascii="宋体" w:hAnsi="宋体" w:cs="宋体" w:eastAsia="宋体" w:hint="default"/>
                <w:sz w:val="18"/>
                <w:szCs w:val="18"/>
              </w:rPr>
            </w:pPr>
            <w:r>
              <w:rPr>
                <w:rFonts w:ascii="宋体" w:hAnsi="宋体" w:cs="宋体" w:eastAsia="宋体" w:hint="default"/>
                <w:b/>
                <w:bCs/>
                <w:sz w:val="18"/>
                <w:szCs w:val="18"/>
              </w:rPr>
              <w:t>从公司获得的税</w:t>
            </w:r>
            <w:r>
              <w:rPr>
                <w:rFonts w:ascii="宋体" w:hAnsi="宋体" w:cs="宋体" w:eastAsia="宋体" w:hint="default"/>
                <w:b/>
                <w:bCs/>
                <w:w w:val="99"/>
                <w:sz w:val="18"/>
                <w:szCs w:val="18"/>
              </w:rPr>
              <w:t> </w:t>
            </w:r>
            <w:r>
              <w:rPr>
                <w:rFonts w:ascii="宋体" w:hAnsi="宋体" w:cs="宋体" w:eastAsia="宋体" w:hint="default"/>
                <w:b/>
                <w:bCs/>
                <w:sz w:val="18"/>
                <w:szCs w:val="18"/>
              </w:rPr>
              <w:t>前报酬总额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7" w:right="46" w:hanging="183"/>
              <w:jc w:val="left"/>
              <w:rPr>
                <w:rFonts w:ascii="宋体" w:hAnsi="宋体" w:cs="宋体" w:eastAsia="宋体" w:hint="default"/>
                <w:sz w:val="18"/>
                <w:szCs w:val="18"/>
              </w:rPr>
            </w:pPr>
            <w:r>
              <w:rPr>
                <w:rFonts w:ascii="宋体" w:hAnsi="宋体" w:cs="宋体" w:eastAsia="宋体" w:hint="default"/>
                <w:b/>
                <w:bCs/>
                <w:sz w:val="18"/>
                <w:szCs w:val="18"/>
              </w:rPr>
              <w:t>是否在公司关联</w:t>
            </w:r>
            <w:r>
              <w:rPr>
                <w:rFonts w:ascii="宋体" w:hAnsi="宋体" w:cs="宋体" w:eastAsia="宋体" w:hint="default"/>
                <w:b/>
                <w:bCs/>
                <w:w w:val="99"/>
                <w:sz w:val="18"/>
                <w:szCs w:val="18"/>
              </w:rPr>
              <w:t> </w:t>
            </w:r>
            <w:r>
              <w:rPr>
                <w:rFonts w:ascii="宋体" w:hAnsi="宋体" w:cs="宋体" w:eastAsia="宋体" w:hint="default"/>
                <w:b/>
                <w:bCs/>
                <w:sz w:val="18"/>
                <w:szCs w:val="18"/>
              </w:rPr>
              <w:t>方获取报酬</w:t>
            </w:r>
            <w:r>
              <w:rPr>
                <w:rFonts w:ascii="宋体" w:hAnsi="宋体" w:cs="宋体" w:eastAsia="宋体" w:hint="default"/>
                <w:sz w:val="18"/>
                <w:szCs w:val="18"/>
              </w:rPr>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68.64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0" w:right="46" w:hanging="180"/>
              <w:jc w:val="left"/>
              <w:rPr>
                <w:rFonts w:ascii="宋体" w:hAnsi="宋体" w:cs="宋体" w:eastAsia="宋体" w:hint="default"/>
                <w:sz w:val="18"/>
                <w:szCs w:val="18"/>
              </w:rPr>
            </w:pPr>
            <w:r>
              <w:rPr>
                <w:rFonts w:ascii="宋体" w:hAnsi="宋体" w:cs="宋体" w:eastAsia="宋体" w:hint="default"/>
                <w:sz w:val="18"/>
                <w:szCs w:val="18"/>
              </w:rPr>
              <w:t>董事、总经理、 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孙陶然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孙宝国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35.11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410" w:right="4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42.03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sz w:val="18"/>
              </w:rPr>
              <w:t>420.53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5"/>
        <w:rPr>
          <w:rFonts w:ascii="宋体" w:hAnsi="宋体" w:cs="宋体" w:eastAsia="宋体" w:hint="default"/>
          <w:sz w:val="13"/>
          <w:szCs w:val="13"/>
        </w:rPr>
      </w:pPr>
      <w:r>
        <w:rPr/>
        <w:pict>
          <v:shape style="position:absolute;margin-left:101.419998pt;margin-top:327.529968pt;width:85.25pt;height:16.9pt;mso-position-horizontal-relative:page;mso-position-vertical-relative:page;z-index:-1196152" type="#_x0000_t202" filled="false" stroked="false">
            <v:textbox inset="0,0,0,0">
              <w:txbxContent>
                <w:p>
                  <w:pPr>
                    <w:spacing w:before="10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p>
      <w:pPr>
        <w:pStyle w:val="BodyText"/>
        <w:spacing w:line="240" w:lineRule="auto" w:before="36"/>
        <w:ind w:left="573" w:right="11"/>
        <w:jc w:val="left"/>
      </w:pPr>
      <w:r>
        <w:rPr/>
        <w:t>公司董事、高级管理人员报告期内被授予的股权激励情况</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8"/>
          <w:szCs w:val="18"/>
        </w:rPr>
      </w:pPr>
    </w:p>
    <w:p>
      <w:pPr>
        <w:pStyle w:val="BodyText"/>
        <w:spacing w:line="240" w:lineRule="auto" w:before="36"/>
        <w:ind w:left="0" w:right="148"/>
        <w:jc w:val="right"/>
      </w:pPr>
      <w:r>
        <w:rPr>
          <w:spacing w:val="-1"/>
        </w:rPr>
        <w:t>单位：股</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44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6"/>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可行权股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5"/>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已行权股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67" w:firstLine="45"/>
              <w:jc w:val="both"/>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已行权股</w:t>
            </w:r>
            <w:r>
              <w:rPr>
                <w:rFonts w:ascii="宋体" w:hAnsi="宋体" w:cs="宋体" w:eastAsia="宋体" w:hint="default"/>
                <w:b/>
                <w:bCs/>
                <w:w w:val="99"/>
                <w:sz w:val="18"/>
                <w:szCs w:val="18"/>
              </w:rPr>
              <w:t> </w:t>
            </w:r>
            <w:r>
              <w:rPr>
                <w:rFonts w:ascii="宋体" w:hAnsi="宋体" w:cs="宋体" w:eastAsia="宋体" w:hint="default"/>
                <w:b/>
                <w:bCs/>
                <w:sz w:val="18"/>
                <w:szCs w:val="18"/>
              </w:rPr>
              <w:t>数行权价</w:t>
            </w:r>
            <w:r>
              <w:rPr>
                <w:rFonts w:ascii="宋体" w:hAnsi="宋体" w:cs="宋体" w:eastAsia="宋体" w:hint="default"/>
                <w:b/>
                <w:bCs/>
                <w:w w:val="99"/>
                <w:sz w:val="18"/>
                <w:szCs w:val="18"/>
              </w:rPr>
              <w:t> </w:t>
            </w:r>
            <w:r>
              <w:rPr>
                <w:rFonts w:ascii="宋体" w:hAnsi="宋体" w:cs="宋体" w:eastAsia="宋体" w:hint="default"/>
                <w:b/>
                <w:bCs/>
                <w:spacing w:val="-10"/>
                <w:sz w:val="18"/>
                <w:szCs w:val="18"/>
              </w:rPr>
              <w:t>格（元</w:t>
            </w:r>
            <w:r>
              <w:rPr>
                <w:rFonts w:ascii="Times New Roman" w:hAnsi="Times New Roman" w:cs="Times New Roman" w:eastAsia="Times New Roman" w:hint="default"/>
                <w:b/>
                <w:bCs/>
                <w:spacing w:val="-10"/>
                <w:sz w:val="18"/>
                <w:szCs w:val="18"/>
              </w:rPr>
              <w:t>/</w:t>
            </w:r>
            <w:r>
              <w:rPr>
                <w:rFonts w:ascii="宋体" w:hAnsi="宋体" w:cs="宋体" w:eastAsia="宋体" w:hint="default"/>
                <w:b/>
                <w:bCs/>
                <w:spacing w:val="-10"/>
                <w:sz w:val="18"/>
                <w:szCs w:val="18"/>
              </w:rPr>
              <w:t>股</w:t>
            </w:r>
            <w:r>
              <w:rPr>
                <w:rFonts w:ascii="宋体" w:hAnsi="宋体" w:cs="宋体" w:eastAsia="宋体" w:hint="default"/>
                <w:spacing w:val="-10"/>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2" w:lineRule="exact"/>
              <w:ind w:left="43" w:right="39"/>
              <w:jc w:val="center"/>
              <w:rPr>
                <w:rFonts w:ascii="宋体" w:hAnsi="宋体" w:cs="宋体" w:eastAsia="宋体" w:hint="default"/>
                <w:sz w:val="18"/>
                <w:szCs w:val="18"/>
              </w:rPr>
            </w:pPr>
            <w:r>
              <w:rPr>
                <w:rFonts w:ascii="宋体" w:hAnsi="宋体" w:cs="宋体" w:eastAsia="宋体" w:hint="default"/>
                <w:b/>
                <w:bCs/>
                <w:sz w:val="18"/>
                <w:szCs w:val="18"/>
              </w:rPr>
              <w:t>报告期末</w:t>
            </w:r>
            <w:r>
              <w:rPr>
                <w:rFonts w:ascii="宋体" w:hAnsi="宋体" w:cs="宋体" w:eastAsia="宋体" w:hint="default"/>
                <w:b/>
                <w:bCs/>
                <w:w w:val="99"/>
                <w:sz w:val="18"/>
                <w:szCs w:val="18"/>
              </w:rPr>
              <w:t> </w:t>
            </w:r>
            <w:r>
              <w:rPr>
                <w:rFonts w:ascii="宋体" w:hAnsi="宋体" w:cs="宋体" w:eastAsia="宋体" w:hint="default"/>
                <w:b/>
                <w:bCs/>
                <w:sz w:val="18"/>
                <w:szCs w:val="18"/>
              </w:rPr>
              <w:t>市价（元</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b/>
                <w:bCs/>
                <w:sz w:val="18"/>
                <w:szCs w:val="18"/>
              </w:rPr>
              <w:t>期初持有</w:t>
            </w:r>
            <w:r>
              <w:rPr>
                <w:rFonts w:ascii="宋体" w:hAnsi="宋体" w:cs="宋体" w:eastAsia="宋体" w:hint="default"/>
                <w:b/>
                <w:bCs/>
                <w:w w:val="99"/>
                <w:sz w:val="18"/>
                <w:szCs w:val="18"/>
              </w:rPr>
              <w:t> </w:t>
            </w: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5"/>
              <w:jc w:val="center"/>
              <w:rPr>
                <w:rFonts w:ascii="宋体" w:hAnsi="宋体" w:cs="宋体" w:eastAsia="宋体" w:hint="default"/>
                <w:sz w:val="18"/>
                <w:szCs w:val="18"/>
              </w:rPr>
            </w:pPr>
            <w:r>
              <w:rPr>
                <w:rFonts w:ascii="宋体" w:hAnsi="宋体" w:cs="宋体" w:eastAsia="宋体" w:hint="default"/>
                <w:b/>
                <w:bCs/>
                <w:sz w:val="18"/>
                <w:szCs w:val="18"/>
              </w:rPr>
              <w:t>本期已解</w:t>
            </w:r>
            <w:r>
              <w:rPr>
                <w:rFonts w:ascii="宋体" w:hAnsi="宋体" w:cs="宋体" w:eastAsia="宋体" w:hint="default"/>
                <w:b/>
                <w:bCs/>
                <w:w w:val="99"/>
                <w:sz w:val="18"/>
                <w:szCs w:val="18"/>
              </w:rPr>
              <w:t> </w:t>
            </w:r>
            <w:r>
              <w:rPr>
                <w:rFonts w:ascii="宋体" w:hAnsi="宋体" w:cs="宋体" w:eastAsia="宋体" w:hint="default"/>
                <w:b/>
                <w:bCs/>
                <w:sz w:val="18"/>
                <w:szCs w:val="18"/>
              </w:rPr>
              <w:t>锁股份数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69" w:right="68"/>
              <w:jc w:val="center"/>
              <w:rPr>
                <w:rFonts w:ascii="宋体" w:hAnsi="宋体" w:cs="宋体" w:eastAsia="宋体" w:hint="default"/>
                <w:sz w:val="18"/>
                <w:szCs w:val="18"/>
              </w:rPr>
            </w:pPr>
            <w:r>
              <w:rPr>
                <w:rFonts w:ascii="宋体" w:hAnsi="宋体" w:cs="宋体" w:eastAsia="宋体" w:hint="default"/>
                <w:b/>
                <w:bCs/>
                <w:sz w:val="18"/>
                <w:szCs w:val="18"/>
              </w:rPr>
              <w:t>报告期新</w:t>
            </w:r>
            <w:r>
              <w:rPr>
                <w:rFonts w:ascii="宋体" w:hAnsi="宋体" w:cs="宋体" w:eastAsia="宋体" w:hint="default"/>
                <w:b/>
                <w:bCs/>
                <w:w w:val="99"/>
                <w:sz w:val="18"/>
                <w:szCs w:val="18"/>
              </w:rPr>
              <w:t> </w:t>
            </w:r>
            <w:r>
              <w:rPr>
                <w:rFonts w:ascii="宋体" w:hAnsi="宋体" w:cs="宋体" w:eastAsia="宋体" w:hint="default"/>
                <w:b/>
                <w:bCs/>
                <w:sz w:val="18"/>
                <w:szCs w:val="18"/>
              </w:rPr>
              <w:t>授予限制</w:t>
            </w:r>
            <w:r>
              <w:rPr>
                <w:rFonts w:ascii="宋体" w:hAnsi="宋体" w:cs="宋体" w:eastAsia="宋体" w:hint="default"/>
                <w:b/>
                <w:bCs/>
                <w:w w:val="99"/>
                <w:sz w:val="18"/>
                <w:szCs w:val="18"/>
              </w:rPr>
              <w:t> </w:t>
            </w:r>
            <w:r>
              <w:rPr>
                <w:rFonts w:ascii="宋体" w:hAnsi="宋体" w:cs="宋体" w:eastAsia="宋体" w:hint="default"/>
                <w:b/>
                <w:bCs/>
                <w:sz w:val="18"/>
                <w:szCs w:val="18"/>
              </w:rPr>
              <w:t>性股票数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101"/>
              <w:ind w:left="43" w:right="39"/>
              <w:jc w:val="center"/>
              <w:rPr>
                <w:rFonts w:ascii="宋体" w:hAnsi="宋体" w:cs="宋体" w:eastAsia="宋体" w:hint="default"/>
                <w:sz w:val="18"/>
                <w:szCs w:val="18"/>
              </w:rPr>
            </w:pP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票的授予</w:t>
            </w:r>
            <w:r>
              <w:rPr>
                <w:rFonts w:ascii="宋体" w:hAnsi="宋体" w:cs="宋体" w:eastAsia="宋体" w:hint="default"/>
                <w:b/>
                <w:bCs/>
                <w:w w:val="99"/>
                <w:sz w:val="18"/>
                <w:szCs w:val="18"/>
              </w:rPr>
              <w:t> </w:t>
            </w:r>
            <w:r>
              <w:rPr>
                <w:rFonts w:ascii="宋体" w:hAnsi="宋体" w:cs="宋体" w:eastAsia="宋体" w:hint="default"/>
                <w:b/>
                <w:bCs/>
                <w:sz w:val="18"/>
                <w:szCs w:val="18"/>
              </w:rPr>
              <w:t>价格（元</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b/>
                <w:bCs/>
                <w:sz w:val="18"/>
                <w:szCs w:val="18"/>
              </w:rPr>
              <w:t>期末持有</w:t>
            </w:r>
            <w:r>
              <w:rPr>
                <w:rFonts w:ascii="宋体" w:hAnsi="宋体" w:cs="宋体" w:eastAsia="宋体" w:hint="default"/>
                <w:b/>
                <w:bCs/>
                <w:w w:val="99"/>
                <w:sz w:val="18"/>
                <w:szCs w:val="18"/>
              </w:rPr>
              <w:t> </w:t>
            </w: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r>
      <w:tr>
        <w:trPr>
          <w:trHeight w:val="414"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pacing w:val="11"/>
                <w:sz w:val="18"/>
                <w:szCs w:val="18"/>
              </w:rPr>
              <w:t>董事</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总经</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8"/>
                <w:sz w:val="18"/>
                <w:szCs w:val="18"/>
              </w:rPr>
              <w:t>理</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财务负</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4,715,000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4,715,000</w:t>
            </w:r>
          </w:p>
        </w:tc>
      </w:tr>
      <w:tr>
        <w:trPr>
          <w:trHeight w:val="405"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责人</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82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6" w:right="5"/>
              <w:jc w:val="left"/>
              <w:rPr>
                <w:rFonts w:ascii="宋体" w:hAnsi="宋体" w:cs="宋体" w:eastAsia="宋体" w:hint="default"/>
                <w:sz w:val="18"/>
                <w:szCs w:val="18"/>
              </w:rPr>
            </w:pPr>
            <w:r>
              <w:rPr>
                <w:rFonts w:ascii="宋体" w:hAnsi="宋体" w:cs="宋体" w:eastAsia="宋体" w:hint="default"/>
                <w:spacing w:val="11"/>
                <w:sz w:val="18"/>
                <w:szCs w:val="18"/>
              </w:rPr>
              <w:t>董事</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副总</w:t>
            </w:r>
            <w:r>
              <w:rPr>
                <w:rFonts w:ascii="宋体" w:hAnsi="宋体" w:cs="宋体" w:eastAsia="宋体" w:hint="default"/>
                <w:spacing w:val="-88"/>
                <w:sz w:val="18"/>
                <w:szCs w:val="18"/>
              </w:rPr>
              <w:t> </w:t>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788,831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626,209</w:t>
            </w:r>
          </w:p>
        </w:tc>
      </w:tr>
      <w:tr>
        <w:trPr>
          <w:trHeight w:val="113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6" w:right="-10"/>
              <w:jc w:val="left"/>
              <w:rPr>
                <w:rFonts w:ascii="宋体" w:hAnsi="宋体" w:cs="宋体" w:eastAsia="宋体" w:hint="default"/>
                <w:sz w:val="18"/>
                <w:szCs w:val="18"/>
              </w:rPr>
            </w:pPr>
            <w:r>
              <w:rPr>
                <w:rFonts w:ascii="宋体" w:hAnsi="宋体" w:cs="宋体" w:eastAsia="宋体" w:hint="default"/>
                <w:spacing w:val="23"/>
                <w:sz w:val="18"/>
                <w:szCs w:val="18"/>
              </w:rPr>
              <w:t>董事会秘</w:t>
            </w:r>
            <w:r>
              <w:rPr>
                <w:rFonts w:ascii="宋体" w:hAnsi="宋体" w:cs="宋体" w:eastAsia="宋体" w:hint="default"/>
                <w:spacing w:val="-59"/>
                <w:sz w:val="18"/>
                <w:szCs w:val="18"/>
              </w:rPr>
              <w:t> </w:t>
            </w:r>
            <w:r>
              <w:rPr>
                <w:rFonts w:ascii="宋体" w:hAnsi="宋体" w:cs="宋体" w:eastAsia="宋体" w:hint="default"/>
                <w:sz w:val="18"/>
                <w:szCs w:val="18"/>
              </w:rPr>
              <w:t>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802,973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2,225,500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2,441,325</w:t>
            </w:r>
          </w:p>
        </w:tc>
      </w:tr>
      <w:tr>
        <w:trPr>
          <w:trHeight w:val="5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谢军伟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50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赵庭荣</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255,698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237,799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785,000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802,899</w:t>
            </w:r>
          </w:p>
        </w:tc>
      </w:tr>
      <w:tr>
        <w:trPr>
          <w:trHeight w:val="50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周翔</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1,933,000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1,933,000</w:t>
            </w:r>
          </w:p>
        </w:tc>
      </w:tr>
      <w:tr>
        <w:trPr>
          <w:trHeight w:val="50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left="1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w w:val="95"/>
                <w:sz w:val="18"/>
              </w:rPr>
              <w:t>2,114,106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1,829,603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11,058,500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11,318,433</w:t>
            </w:r>
          </w:p>
        </w:tc>
      </w:tr>
      <w:tr>
        <w:trPr>
          <w:trHeight w:val="413" w:hRule="exact"/>
        </w:trPr>
        <w:tc>
          <w:tcPr>
            <w:tcW w:w="864" w:type="dxa"/>
            <w:vMerge w:val="restart"/>
            <w:tcBorders>
              <w:top w:val="single" w:sz="4" w:space="0" w:color="000000"/>
              <w:left w:val="single" w:sz="4" w:space="0" w:color="000000"/>
              <w:right w:val="single" w:sz="4" w:space="0" w:color="000000"/>
            </w:tcBorders>
            <w:shd w:val="clear" w:color="auto" w:fill="D2D2D2"/>
          </w:tcPr>
          <w:p>
            <w:pPr/>
          </w:p>
        </w:tc>
        <w:tc>
          <w:tcPr>
            <w:tcW w:w="8702"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日，公司召开第三届董事会第四十四会议和第三届监事会第二十一次会议，审议通过了《关</w:t>
            </w:r>
          </w:p>
        </w:tc>
      </w:tr>
      <w:tr>
        <w:trPr>
          <w:trHeight w:val="312" w:hRule="exact"/>
        </w:trPr>
        <w:tc>
          <w:tcPr>
            <w:tcW w:w="864" w:type="dxa"/>
            <w:vMerge/>
            <w:tcBorders>
              <w:left w:val="single" w:sz="4" w:space="0" w:color="000000"/>
              <w:right w:val="single" w:sz="4" w:space="0" w:color="000000"/>
            </w:tcBorders>
            <w:shd w:val="clear" w:color="auto" w:fill="D2D2D2"/>
          </w:tcPr>
          <w:p>
            <w:pPr/>
          </w:p>
        </w:tc>
        <w:tc>
          <w:tcPr>
            <w:tcW w:w="8702"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w:t>
            </w:r>
            <w:r>
              <w:rPr>
                <w:rFonts w:ascii="宋体" w:hAnsi="宋体" w:cs="宋体" w:eastAsia="宋体" w:hint="default"/>
                <w:spacing w:val="7"/>
                <w:sz w:val="18"/>
                <w:szCs w:val="18"/>
              </w:rPr>
              <w:t>限制</w:t>
            </w:r>
            <w:r>
              <w:rPr>
                <w:rFonts w:ascii="宋体" w:hAnsi="宋体" w:cs="宋体" w:eastAsia="宋体" w:hint="default"/>
                <w:spacing w:val="4"/>
                <w:sz w:val="18"/>
                <w:szCs w:val="18"/>
              </w:rPr>
              <w:t>性</w:t>
            </w:r>
            <w:r>
              <w:rPr>
                <w:rFonts w:ascii="宋体" w:hAnsi="宋体" w:cs="宋体" w:eastAsia="宋体" w:hint="default"/>
                <w:spacing w:val="7"/>
                <w:sz w:val="18"/>
                <w:szCs w:val="18"/>
              </w:rPr>
              <w:t>股</w:t>
            </w:r>
            <w:r>
              <w:rPr>
                <w:rFonts w:ascii="宋体" w:hAnsi="宋体" w:cs="宋体" w:eastAsia="宋体" w:hint="default"/>
                <w:spacing w:val="4"/>
                <w:sz w:val="18"/>
                <w:szCs w:val="18"/>
              </w:rPr>
              <w:t>票</w:t>
            </w:r>
            <w:r>
              <w:rPr>
                <w:rFonts w:ascii="宋体" w:hAnsi="宋体" w:cs="宋体" w:eastAsia="宋体" w:hint="default"/>
                <w:spacing w:val="7"/>
                <w:sz w:val="18"/>
                <w:szCs w:val="18"/>
              </w:rPr>
              <w:t>激</w:t>
            </w:r>
            <w:r>
              <w:rPr>
                <w:rFonts w:ascii="宋体" w:hAnsi="宋体" w:cs="宋体" w:eastAsia="宋体" w:hint="default"/>
                <w:spacing w:val="4"/>
                <w:sz w:val="18"/>
                <w:szCs w:val="18"/>
              </w:rPr>
              <w:t>励计</w:t>
            </w:r>
            <w:r>
              <w:rPr>
                <w:rFonts w:ascii="宋体" w:hAnsi="宋体" w:cs="宋体" w:eastAsia="宋体" w:hint="default"/>
                <w:spacing w:val="7"/>
                <w:sz w:val="18"/>
                <w:szCs w:val="18"/>
              </w:rPr>
              <w:t>划预</w:t>
            </w:r>
            <w:r>
              <w:rPr>
                <w:rFonts w:ascii="宋体" w:hAnsi="宋体" w:cs="宋体" w:eastAsia="宋体" w:hint="default"/>
                <w:spacing w:val="4"/>
                <w:sz w:val="18"/>
                <w:szCs w:val="18"/>
              </w:rPr>
              <w:t>留</w:t>
            </w:r>
            <w:r>
              <w:rPr>
                <w:rFonts w:ascii="宋体" w:hAnsi="宋体" w:cs="宋体" w:eastAsia="宋体" w:hint="default"/>
                <w:spacing w:val="7"/>
                <w:sz w:val="18"/>
                <w:szCs w:val="18"/>
              </w:rPr>
              <w:t>限</w:t>
            </w:r>
            <w:r>
              <w:rPr>
                <w:rFonts w:ascii="宋体" w:hAnsi="宋体" w:cs="宋体" w:eastAsia="宋体" w:hint="default"/>
                <w:spacing w:val="4"/>
                <w:sz w:val="18"/>
                <w:szCs w:val="18"/>
              </w:rPr>
              <w:t>制</w:t>
            </w:r>
            <w:r>
              <w:rPr>
                <w:rFonts w:ascii="宋体" w:hAnsi="宋体" w:cs="宋体" w:eastAsia="宋体" w:hint="default"/>
                <w:spacing w:val="7"/>
                <w:sz w:val="18"/>
                <w:szCs w:val="18"/>
              </w:rPr>
              <w:t>性股</w:t>
            </w:r>
            <w:r>
              <w:rPr>
                <w:rFonts w:ascii="宋体" w:hAnsi="宋体" w:cs="宋体" w:eastAsia="宋体" w:hint="default"/>
                <w:spacing w:val="4"/>
                <w:sz w:val="18"/>
                <w:szCs w:val="18"/>
              </w:rPr>
              <w:t>票</w:t>
            </w:r>
            <w:r>
              <w:rPr>
                <w:rFonts w:ascii="宋体" w:hAnsi="宋体" w:cs="宋体" w:eastAsia="宋体" w:hint="default"/>
                <w:spacing w:val="7"/>
                <w:sz w:val="18"/>
                <w:szCs w:val="18"/>
              </w:rPr>
              <w:t>第</w:t>
            </w:r>
            <w:r>
              <w:rPr>
                <w:rFonts w:ascii="宋体" w:hAnsi="宋体" w:cs="宋体" w:eastAsia="宋体" w:hint="default"/>
                <w:spacing w:val="4"/>
                <w:sz w:val="18"/>
                <w:szCs w:val="18"/>
              </w:rPr>
              <w:t>二</w:t>
            </w:r>
            <w:r>
              <w:rPr>
                <w:rFonts w:ascii="宋体" w:hAnsi="宋体" w:cs="宋体" w:eastAsia="宋体" w:hint="default"/>
                <w:spacing w:val="7"/>
                <w:sz w:val="18"/>
                <w:szCs w:val="18"/>
              </w:rPr>
              <w:t>期解</w:t>
            </w:r>
            <w:r>
              <w:rPr>
                <w:rFonts w:ascii="宋体" w:hAnsi="宋体" w:cs="宋体" w:eastAsia="宋体" w:hint="default"/>
                <w:spacing w:val="4"/>
                <w:sz w:val="18"/>
                <w:szCs w:val="18"/>
              </w:rPr>
              <w:t>锁</w:t>
            </w:r>
            <w:r>
              <w:rPr>
                <w:rFonts w:ascii="宋体" w:hAnsi="宋体" w:cs="宋体" w:eastAsia="宋体" w:hint="default"/>
                <w:spacing w:val="7"/>
                <w:sz w:val="18"/>
                <w:szCs w:val="18"/>
              </w:rPr>
              <w:t>条件</w:t>
            </w:r>
            <w:r>
              <w:rPr>
                <w:rFonts w:ascii="宋体" w:hAnsi="宋体" w:cs="宋体" w:eastAsia="宋体" w:hint="default"/>
                <w:spacing w:val="4"/>
                <w:sz w:val="18"/>
                <w:szCs w:val="18"/>
              </w:rPr>
              <w:t>成</w:t>
            </w:r>
            <w:r>
              <w:rPr>
                <w:rFonts w:ascii="宋体" w:hAnsi="宋体" w:cs="宋体" w:eastAsia="宋体" w:hint="default"/>
                <w:spacing w:val="7"/>
                <w:sz w:val="18"/>
                <w:szCs w:val="18"/>
              </w:rPr>
              <w:t>就</w:t>
            </w:r>
            <w:r>
              <w:rPr>
                <w:rFonts w:ascii="宋体" w:hAnsi="宋体" w:cs="宋体" w:eastAsia="宋体" w:hint="default"/>
                <w:spacing w:val="4"/>
                <w:sz w:val="18"/>
                <w:szCs w:val="18"/>
              </w:rPr>
              <w:t>的</w:t>
            </w:r>
            <w:r>
              <w:rPr>
                <w:rFonts w:ascii="宋体" w:hAnsi="宋体" w:cs="宋体" w:eastAsia="宋体" w:hint="default"/>
                <w:spacing w:val="7"/>
                <w:sz w:val="18"/>
                <w:szCs w:val="18"/>
              </w:rPr>
              <w:t>议案</w:t>
            </w:r>
            <w:r>
              <w:rPr>
                <w:rFonts w:ascii="宋体" w:hAnsi="宋体" w:cs="宋体" w:eastAsia="宋体" w:hint="default"/>
                <w:spacing w:val="-85"/>
                <w:sz w:val="18"/>
                <w:szCs w:val="18"/>
              </w:rPr>
              <w:t>》</w:t>
            </w:r>
            <w:r>
              <w:rPr>
                <w:rFonts w:ascii="宋体" w:hAnsi="宋体" w:cs="宋体" w:eastAsia="宋体" w:hint="default"/>
                <w:spacing w:val="4"/>
                <w:sz w:val="18"/>
                <w:szCs w:val="18"/>
              </w:rPr>
              <w:t>，</w:t>
            </w:r>
            <w:r>
              <w:rPr>
                <w:rFonts w:ascii="宋体" w:hAnsi="宋体" w:cs="宋体" w:eastAsia="宋体" w:hint="default"/>
                <w:spacing w:val="7"/>
                <w:sz w:val="18"/>
                <w:szCs w:val="18"/>
              </w:rPr>
              <w:t>其</w:t>
            </w:r>
            <w:r>
              <w:rPr>
                <w:rFonts w:ascii="宋体" w:hAnsi="宋体" w:cs="宋体" w:eastAsia="宋体" w:hint="default"/>
                <w:spacing w:val="4"/>
                <w:sz w:val="18"/>
                <w:szCs w:val="18"/>
              </w:rPr>
              <w:t>中</w:t>
            </w:r>
            <w:r>
              <w:rPr>
                <w:rFonts w:ascii="宋体" w:hAnsi="宋体" w:cs="宋体" w:eastAsia="宋体" w:hint="default"/>
                <w:spacing w:val="7"/>
                <w:sz w:val="18"/>
                <w:szCs w:val="18"/>
              </w:rPr>
              <w:t>黄</w:t>
            </w:r>
            <w:r>
              <w:rPr>
                <w:rFonts w:ascii="宋体" w:hAnsi="宋体" w:cs="宋体" w:eastAsia="宋体" w:hint="default"/>
                <w:spacing w:val="4"/>
                <w:sz w:val="18"/>
                <w:szCs w:val="18"/>
              </w:rPr>
              <w:t>海</w:t>
            </w:r>
            <w:r>
              <w:rPr>
                <w:rFonts w:ascii="宋体" w:hAnsi="宋体" w:cs="宋体" w:eastAsia="宋体" w:hint="default"/>
                <w:spacing w:val="7"/>
                <w:sz w:val="18"/>
                <w:szCs w:val="18"/>
              </w:rPr>
              <w:t>涛解</w:t>
            </w:r>
            <w:r>
              <w:rPr>
                <w:rFonts w:ascii="宋体" w:hAnsi="宋体" w:cs="宋体" w:eastAsia="宋体" w:hint="default"/>
                <w:spacing w:val="4"/>
                <w:sz w:val="18"/>
                <w:szCs w:val="18"/>
              </w:rPr>
              <w:t>锁</w:t>
            </w:r>
            <w:r>
              <w:rPr>
                <w:rFonts w:ascii="宋体" w:hAnsi="宋体" w:cs="宋体" w:eastAsia="宋体" w:hint="default"/>
                <w:spacing w:val="7"/>
                <w:sz w:val="18"/>
                <w:szCs w:val="18"/>
              </w:rPr>
              <w:t>限</w:t>
            </w:r>
            <w:r>
              <w:rPr>
                <w:rFonts w:ascii="宋体" w:hAnsi="宋体" w:cs="宋体" w:eastAsia="宋体" w:hint="default"/>
                <w:spacing w:val="4"/>
                <w:sz w:val="18"/>
                <w:szCs w:val="18"/>
              </w:rPr>
              <w:t>制</w:t>
            </w:r>
            <w:r>
              <w:rPr>
                <w:rFonts w:ascii="宋体" w:hAnsi="宋体" w:cs="宋体" w:eastAsia="宋体" w:hint="default"/>
                <w:spacing w:val="7"/>
                <w:sz w:val="18"/>
                <w:szCs w:val="18"/>
              </w:rPr>
              <w:t>性股</w:t>
            </w:r>
            <w:r>
              <w:rPr>
                <w:rFonts w:ascii="宋体" w:hAnsi="宋体" w:cs="宋体" w:eastAsia="宋体" w:hint="default"/>
                <w:sz w:val="18"/>
                <w:szCs w:val="18"/>
              </w:rPr>
              <w:t>票</w:t>
            </w:r>
          </w:p>
        </w:tc>
      </w:tr>
      <w:tr>
        <w:trPr>
          <w:trHeight w:val="108"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02" w:type="dxa"/>
            <w:gridSpan w:val="10"/>
            <w:vMerge w:val="restart"/>
            <w:tcBorders>
              <w:top w:val="nil" w:sz="6" w:space="0" w:color="auto"/>
              <w:left w:val="single" w:sz="10" w:space="0" w:color="D2D2D2"/>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435,486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1" w:hRule="exact"/>
        </w:trPr>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4" w:right="-5"/>
              <w:jc w:val="left"/>
              <w:rPr>
                <w:rFonts w:ascii="宋体" w:hAnsi="宋体" w:cs="宋体" w:eastAsia="宋体" w:hint="default"/>
                <w:sz w:val="18"/>
                <w:szCs w:val="18"/>
              </w:rPr>
            </w:pPr>
            <w:r>
              <w:rPr>
                <w:rFonts w:ascii="宋体" w:hAnsi="宋体" w:cs="宋体" w:eastAsia="宋体" w:hint="default"/>
                <w:spacing w:val="21"/>
                <w:sz w:val="18"/>
                <w:szCs w:val="18"/>
              </w:rPr>
              <w:t>备注（如</w:t>
            </w:r>
            <w:r>
              <w:rPr>
                <w:rFonts w:ascii="宋体" w:hAnsi="宋体" w:cs="宋体" w:eastAsia="宋体" w:hint="default"/>
                <w:spacing w:val="-62"/>
                <w:sz w:val="18"/>
                <w:szCs w:val="18"/>
              </w:rPr>
              <w:t> </w:t>
            </w:r>
            <w:r>
              <w:rPr>
                <w:rFonts w:ascii="宋体" w:hAnsi="宋体" w:cs="宋体" w:eastAsia="宋体" w:hint="default"/>
                <w:sz w:val="18"/>
                <w:szCs w:val="18"/>
              </w:rPr>
              <w:t>有）</w:t>
            </w:r>
          </w:p>
        </w:tc>
        <w:tc>
          <w:tcPr>
            <w:tcW w:w="8702" w:type="dxa"/>
            <w:gridSpan w:val="10"/>
            <w:vMerge/>
            <w:tcBorders>
              <w:left w:val="single" w:sz="10" w:space="0" w:color="D2D2D2"/>
              <w:bottom w:val="nil" w:sz="6" w:space="0" w:color="auto"/>
              <w:right w:val="single" w:sz="4" w:space="0" w:color="000000"/>
            </w:tcBorders>
          </w:tcPr>
          <w:p>
            <w:pPr/>
          </w:p>
        </w:tc>
      </w:tr>
      <w:tr>
        <w:trPr>
          <w:trHeight w:val="359" w:hRule="exact"/>
        </w:trPr>
        <w:tc>
          <w:tcPr>
            <w:tcW w:w="864" w:type="dxa"/>
            <w:vMerge/>
            <w:tcBorders>
              <w:left w:val="single" w:sz="4" w:space="0" w:color="000000"/>
              <w:right w:val="single" w:sz="4" w:space="0" w:color="000000"/>
            </w:tcBorders>
            <w:shd w:val="clear" w:color="auto" w:fill="D2D2D2"/>
          </w:tcPr>
          <w:p>
            <w:pPr/>
          </w:p>
        </w:tc>
        <w:tc>
          <w:tcPr>
            <w:tcW w:w="8702" w:type="dxa"/>
            <w:gridSpan w:val="10"/>
            <w:tcBorders>
              <w:top w:val="nil" w:sz="6" w:space="0" w:color="auto"/>
              <w:left w:val="single" w:sz="10" w:space="0" w:color="D2D2D2"/>
              <w:bottom w:val="nil" w:sz="6" w:space="0" w:color="auto"/>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日，公司召开第三届董事会第四十九次会议和第三届监事会第二十三次会议，审议通过了《关</w:t>
            </w:r>
          </w:p>
        </w:tc>
      </w:tr>
      <w:tr>
        <w:trPr>
          <w:trHeight w:val="199"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02" w:type="dxa"/>
            <w:gridSpan w:val="10"/>
            <w:vMerge w:val="restart"/>
            <w:tcBorders>
              <w:top w:val="nil" w:sz="6" w:space="0" w:color="auto"/>
              <w:left w:val="single" w:sz="10" w:space="0" w:color="D2D2D2"/>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年限制性股票激励计划首次授予限制性股票第三次解锁期可解锁的议案》及《关于回购注销不符合解锁</w:t>
            </w:r>
          </w:p>
        </w:tc>
      </w:tr>
      <w:tr>
        <w:trPr>
          <w:trHeight w:val="113" w:hRule="exact"/>
        </w:trPr>
        <w:tc>
          <w:tcPr>
            <w:tcW w:w="864" w:type="dxa"/>
            <w:vMerge w:val="restart"/>
            <w:tcBorders>
              <w:top w:val="nil" w:sz="6" w:space="0" w:color="auto"/>
              <w:left w:val="single" w:sz="4" w:space="0" w:color="000000"/>
              <w:right w:val="single" w:sz="4" w:space="0" w:color="000000"/>
            </w:tcBorders>
            <w:shd w:val="clear" w:color="auto" w:fill="D2D2D2"/>
          </w:tcPr>
          <w:p>
            <w:pPr/>
          </w:p>
        </w:tc>
        <w:tc>
          <w:tcPr>
            <w:tcW w:w="8702" w:type="dxa"/>
            <w:gridSpan w:val="10"/>
            <w:vMerge/>
            <w:tcBorders>
              <w:left w:val="single" w:sz="10" w:space="0" w:color="D2D2D2"/>
              <w:bottom w:val="nil" w:sz="6" w:space="0" w:color="auto"/>
              <w:right w:val="single" w:sz="4" w:space="0" w:color="000000"/>
            </w:tcBorders>
          </w:tcPr>
          <w:p>
            <w:pPr/>
          </w:p>
        </w:tc>
      </w:tr>
      <w:tr>
        <w:trPr>
          <w:trHeight w:val="307" w:hRule="exact"/>
        </w:trPr>
        <w:tc>
          <w:tcPr>
            <w:tcW w:w="864" w:type="dxa"/>
            <w:vMerge/>
            <w:tcBorders>
              <w:left w:val="single" w:sz="4" w:space="0" w:color="000000"/>
              <w:right w:val="single" w:sz="4" w:space="0" w:color="000000"/>
            </w:tcBorders>
            <w:shd w:val="clear" w:color="auto" w:fill="D2D2D2"/>
          </w:tcPr>
          <w:p>
            <w:pPr/>
          </w:p>
        </w:tc>
        <w:tc>
          <w:tcPr>
            <w:tcW w:w="8702"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2"/>
                <w:sz w:val="18"/>
                <w:szCs w:val="18"/>
              </w:rPr>
              <w:t>条件的激励对象</w:t>
            </w:r>
            <w:r>
              <w:rPr>
                <w:rFonts w:ascii="宋体" w:hAnsi="宋体" w:cs="宋体" w:eastAsia="宋体" w:hint="default"/>
                <w:sz w:val="18"/>
                <w:szCs w:val="18"/>
              </w:rPr>
              <w:t>已</w:t>
            </w:r>
            <w:r>
              <w:rPr>
                <w:rFonts w:ascii="宋体" w:hAnsi="宋体" w:cs="宋体" w:eastAsia="宋体" w:hint="default"/>
                <w:spacing w:val="2"/>
                <w:sz w:val="18"/>
                <w:szCs w:val="18"/>
              </w:rPr>
              <w:t>获授但尚</w:t>
            </w:r>
            <w:r>
              <w:rPr>
                <w:rFonts w:ascii="宋体" w:hAnsi="宋体" w:cs="宋体" w:eastAsia="宋体" w:hint="default"/>
                <w:sz w:val="18"/>
                <w:szCs w:val="18"/>
              </w:rPr>
              <w:t>未</w:t>
            </w:r>
            <w:r>
              <w:rPr>
                <w:rFonts w:ascii="宋体" w:hAnsi="宋体" w:cs="宋体" w:eastAsia="宋体" w:hint="default"/>
                <w:spacing w:val="2"/>
                <w:sz w:val="18"/>
                <w:szCs w:val="18"/>
              </w:rPr>
              <w:t>解锁的限制性股</w:t>
            </w:r>
            <w:r>
              <w:rPr>
                <w:rFonts w:ascii="宋体" w:hAnsi="宋体" w:cs="宋体" w:eastAsia="宋体" w:hint="default"/>
                <w:sz w:val="18"/>
                <w:szCs w:val="18"/>
              </w:rPr>
              <w:t>票</w:t>
            </w:r>
            <w:r>
              <w:rPr>
                <w:rFonts w:ascii="宋体" w:hAnsi="宋体" w:cs="宋体" w:eastAsia="宋体" w:hint="default"/>
                <w:spacing w:val="2"/>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其中蔡厚富、黄</w:t>
            </w:r>
            <w:r>
              <w:rPr>
                <w:rFonts w:ascii="宋体" w:hAnsi="宋体" w:cs="宋体" w:eastAsia="宋体" w:hint="default"/>
                <w:sz w:val="18"/>
                <w:szCs w:val="18"/>
              </w:rPr>
              <w:t>海</w:t>
            </w:r>
            <w:r>
              <w:rPr>
                <w:rFonts w:ascii="宋体" w:hAnsi="宋体" w:cs="宋体" w:eastAsia="宋体" w:hint="default"/>
                <w:spacing w:val="2"/>
                <w:sz w:val="18"/>
                <w:szCs w:val="18"/>
              </w:rPr>
              <w:t>涛、赵庭</w:t>
            </w:r>
            <w:r>
              <w:rPr>
                <w:rFonts w:ascii="宋体" w:hAnsi="宋体" w:cs="宋体" w:eastAsia="宋体" w:hint="default"/>
                <w:sz w:val="18"/>
                <w:szCs w:val="18"/>
              </w:rPr>
              <w:t>荣</w:t>
            </w:r>
            <w:r>
              <w:rPr>
                <w:rFonts w:ascii="宋体" w:hAnsi="宋体" w:cs="宋体" w:eastAsia="宋体" w:hint="default"/>
                <w:spacing w:val="2"/>
                <w:sz w:val="18"/>
                <w:szCs w:val="18"/>
              </w:rPr>
              <w:t>共计解锁限制性股票</w:t>
            </w:r>
            <w:r>
              <w:rPr>
                <w:rFonts w:ascii="宋体" w:hAnsi="宋体" w:cs="宋体" w:eastAsia="宋体" w:hint="default"/>
                <w:sz w:val="18"/>
                <w:szCs w:val="18"/>
              </w:rPr>
            </w:r>
          </w:p>
        </w:tc>
      </w:tr>
      <w:tr>
        <w:trPr>
          <w:trHeight w:val="41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02"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1,394,117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股，共计回购注销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284,503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五、公司员工情况</w:t>
      </w:r>
    </w:p>
    <w:p>
      <w:pPr>
        <w:spacing w:line="240" w:lineRule="auto" w:before="12"/>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、员工数量、专业构成及教育程度</w:t>
      </w:r>
    </w:p>
    <w:p>
      <w:pPr>
        <w:spacing w:line="240" w:lineRule="auto" w:before="4"/>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49"/>
              <w:jc w:val="right"/>
              <w:rPr>
                <w:rFonts w:ascii="Times New Roman" w:hAnsi="Times New Roman" w:cs="Times New Roman" w:eastAsia="Times New Roman" w:hint="default"/>
                <w:sz w:val="18"/>
                <w:szCs w:val="18"/>
              </w:rPr>
            </w:pPr>
            <w:r>
              <w:rPr>
                <w:rFonts w:ascii="Times New Roman"/>
                <w:sz w:val="18"/>
              </w:rPr>
              <w:t>224</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84"/>
              <w:jc w:val="right"/>
              <w:rPr>
                <w:rFonts w:ascii="Times New Roman" w:hAnsi="Times New Roman" w:cs="Times New Roman" w:eastAsia="Times New Roman" w:hint="default"/>
                <w:sz w:val="18"/>
                <w:szCs w:val="18"/>
              </w:rPr>
            </w:pPr>
            <w:r>
              <w:rPr>
                <w:rFonts w:ascii="Times New Roman"/>
                <w:sz w:val="18"/>
              </w:rPr>
              <w:t>4,502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4,726</w:t>
            </w:r>
          </w:p>
        </w:tc>
      </w:tr>
      <w:tr>
        <w:trPr>
          <w:trHeight w:val="5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6,126</w:t>
            </w:r>
          </w:p>
        </w:tc>
      </w:tr>
      <w:tr>
        <w:trPr>
          <w:trHeight w:val="51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r>
      <w:tr>
        <w:trPr>
          <w:trHeight w:val="49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专业构成</w:t>
            </w:r>
          </w:p>
        </w:tc>
      </w:tr>
      <w:tr>
        <w:trPr>
          <w:trHeight w:val="51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2"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94</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536</w:t>
            </w:r>
          </w:p>
        </w:tc>
      </w:tr>
      <w:tr>
        <w:trPr>
          <w:trHeight w:val="5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2"/>
                <w:szCs w:val="12"/>
              </w:rPr>
            </w:pPr>
            <w:r>
              <w:rPr>
                <w:rFonts w:ascii="Times New Roman"/>
                <w:sz w:val="18"/>
              </w:rPr>
              <w:t>3,066</w:t>
            </w:r>
            <w:r>
              <w:rPr>
                <w:rFonts w:ascii="Times New Roman"/>
                <w:spacing w:val="2"/>
                <w:sz w:val="18"/>
              </w:rPr>
              <w:t> </w:t>
            </w:r>
            <w:r>
              <w:rPr>
                <w:rFonts w:ascii="Times New Roman"/>
                <w:color w:val="FF0000"/>
                <w:position w:val="8"/>
                <w:sz w:val="12"/>
              </w:rPr>
              <w:t>3</w:t>
            </w:r>
            <w:r>
              <w:rPr>
                <w:rFonts w:ascii="Times New Roman"/>
                <w:sz w:val="12"/>
              </w:rPr>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150</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880</w:t>
            </w:r>
          </w:p>
        </w:tc>
      </w:tr>
      <w:tr>
        <w:trPr>
          <w:trHeight w:val="51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4,726</w:t>
            </w:r>
          </w:p>
        </w:tc>
      </w:tr>
      <w:tr>
        <w:trPr>
          <w:trHeight w:val="49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51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507"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7</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190</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1,928</w:t>
            </w:r>
          </w:p>
        </w:tc>
      </w:tr>
      <w:tr>
        <w:trPr>
          <w:trHeight w:val="506"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 w:right="0"/>
              <w:jc w:val="center"/>
              <w:rPr>
                <w:rFonts w:ascii="Times New Roman" w:hAnsi="Times New Roman" w:cs="Times New Roman" w:eastAsia="Times New Roman" w:hint="default"/>
                <w:sz w:val="18"/>
                <w:szCs w:val="18"/>
              </w:rPr>
            </w:pPr>
            <w:r>
              <w:rPr>
                <w:rFonts w:ascii="Times New Roman"/>
                <w:sz w:val="18"/>
              </w:rPr>
              <w:t>2,211</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390</w:t>
            </w:r>
          </w:p>
        </w:tc>
      </w:tr>
      <w:tr>
        <w:trPr>
          <w:trHeight w:val="5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4,726</w:t>
            </w:r>
          </w:p>
        </w:tc>
      </w:tr>
    </w:tbl>
    <w:p>
      <w:pPr>
        <w:spacing w:line="240" w:lineRule="auto" w:before="12"/>
        <w:rPr>
          <w:rFonts w:ascii="黑体" w:hAnsi="黑体" w:cs="黑体" w:eastAsia="黑体" w:hint="default"/>
          <w:sz w:val="9"/>
          <w:szCs w:val="9"/>
        </w:rPr>
      </w:pPr>
    </w:p>
    <w:p>
      <w:pPr>
        <w:pStyle w:val="BodyText"/>
        <w:spacing w:line="240" w:lineRule="auto" w:before="36"/>
        <w:ind w:left="573" w:right="100"/>
        <w:jc w:val="left"/>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技术人员含研发人员、技术支持人员等。</w:t>
      </w:r>
    </w:p>
    <w:p>
      <w:pPr>
        <w:spacing w:line="240" w:lineRule="auto" w:before="7"/>
        <w:rPr>
          <w:rFonts w:ascii="宋体" w:hAnsi="宋体" w:cs="宋体" w:eastAsia="宋体" w:hint="default"/>
          <w:sz w:val="23"/>
          <w:szCs w:val="23"/>
        </w:rPr>
      </w:pPr>
    </w:p>
    <w:p>
      <w:pPr>
        <w:pStyle w:val="Heading3"/>
        <w:spacing w:line="240" w:lineRule="auto"/>
        <w:ind w:right="100"/>
        <w:jc w:val="left"/>
      </w:pPr>
      <w:r>
        <w:rPr>
          <w:rFonts w:ascii="Times New Roman" w:hAnsi="Times New Roman" w:cs="Times New Roman" w:eastAsia="Times New Roman" w:hint="default"/>
        </w:rPr>
        <w:t>2</w:t>
      </w:r>
      <w:r>
        <w:rPr/>
        <w:t>、薪酬政策</w:t>
      </w:r>
    </w:p>
    <w:p>
      <w:pPr>
        <w:spacing w:line="240" w:lineRule="auto" w:before="1"/>
        <w:rPr>
          <w:rFonts w:ascii="黑体" w:hAnsi="黑体" w:cs="黑体" w:eastAsia="黑体" w:hint="default"/>
          <w:sz w:val="24"/>
          <w:szCs w:val="24"/>
        </w:rPr>
      </w:pPr>
    </w:p>
    <w:p>
      <w:pPr>
        <w:pStyle w:val="BodyText"/>
        <w:spacing w:line="408" w:lineRule="auto"/>
        <w:ind w:right="103" w:firstLine="420"/>
        <w:jc w:val="both"/>
      </w:pPr>
      <w:r>
        <w:rPr/>
        <w:t>公司的薪酬政策即通过建立公平、公正的薪酬管理体系，发挥薪酬的激励作用，调动员工的工作积极</w:t>
      </w:r>
      <w:r>
        <w:rPr>
          <w:w w:val="100"/>
        </w:rPr>
        <w:t> </w:t>
      </w:r>
      <w:r>
        <w:rPr/>
        <w:t>性，体现公司价值导向和企业文化。 使薪酬与岗位价值、员工绩效、公司发展的短期收益、中期收益以</w:t>
      </w:r>
      <w:r>
        <w:rPr>
          <w:spacing w:val="-28"/>
        </w:rPr>
        <w:t> </w:t>
      </w:r>
      <w:r>
        <w:rPr>
          <w:spacing w:val="-28"/>
        </w:rPr>
      </w:r>
      <w:r>
        <w:rPr>
          <w:spacing w:val="-2"/>
        </w:rPr>
        <w:t>及以长期收益结合起来，根据员工贡献、能力、责任及行业薪酬水平来作为定薪的依据。员工月收入由岗</w:t>
      </w:r>
      <w:r>
        <w:rPr>
          <w:spacing w:val="-47"/>
        </w:rPr>
        <w:t> </w:t>
      </w:r>
      <w:r>
        <w:rPr>
          <w:spacing w:val="-47"/>
        </w:rPr>
      </w:r>
      <w:r>
        <w:rPr>
          <w:spacing w:val="-5"/>
        </w:rPr>
        <w:t>位工资和特殊津贴两部分构成。员工年度总收入由固定工资、福利、奖金、股权收益及分红等四部分构成。</w:t>
      </w:r>
    </w:p>
    <w:p>
      <w:pPr>
        <w:pStyle w:val="Heading3"/>
        <w:spacing w:line="240" w:lineRule="auto" w:before="179"/>
        <w:ind w:right="100"/>
        <w:jc w:val="left"/>
      </w:pPr>
      <w:r>
        <w:rPr>
          <w:rFonts w:ascii="Times New Roman" w:hAnsi="Times New Roman" w:cs="Times New Roman" w:eastAsia="Times New Roman" w:hint="default"/>
        </w:rPr>
        <w:t>3</w:t>
      </w:r>
      <w:r>
        <w:rPr/>
        <w:t>、培训计划</w:t>
      </w:r>
    </w:p>
    <w:p>
      <w:pPr>
        <w:spacing w:after="0" w:line="240" w:lineRule="auto"/>
        <w:jc w:val="left"/>
        <w:sectPr>
          <w:pgSz w:w="11910" w:h="16840"/>
          <w:pgMar w:header="882" w:footer="1132" w:top="1280" w:bottom="1320" w:left="980" w:right="920"/>
        </w:sectPr>
      </w:pPr>
    </w:p>
    <w:p>
      <w:pPr>
        <w:spacing w:line="240" w:lineRule="auto" w:before="5"/>
        <w:rPr>
          <w:rFonts w:ascii="黑体" w:hAnsi="黑体" w:cs="黑体" w:eastAsia="黑体" w:hint="default"/>
          <w:sz w:val="13"/>
          <w:szCs w:val="13"/>
        </w:rPr>
      </w:pPr>
    </w:p>
    <w:p>
      <w:pPr>
        <w:pStyle w:val="BodyText"/>
        <w:spacing w:line="408" w:lineRule="auto" w:before="36"/>
        <w:ind w:right="146" w:firstLine="420"/>
        <w:jc w:val="both"/>
      </w:pPr>
      <w:r>
        <w:rPr>
          <w:spacing w:val="-2"/>
        </w:rPr>
        <w:t>公司建立了分层分类的培训体系，将继续完善并发展现有的员工培训体系，努力提高员工队伍素质和</w:t>
      </w:r>
      <w:r>
        <w:rPr>
          <w:w w:val="100"/>
        </w:rPr>
        <w:t> </w:t>
      </w:r>
      <w:r>
        <w:rPr>
          <w:spacing w:val="-2"/>
        </w:rPr>
        <w:t>技能，持续挖掘人力资源的潜力，加强员工的岗位培训和技能培训，夯实培训基础工作，切实提高企业培</w:t>
      </w:r>
      <w:r>
        <w:rPr>
          <w:spacing w:val="-50"/>
        </w:rPr>
        <w:t> </w:t>
      </w:r>
      <w:r>
        <w:rPr>
          <w:spacing w:val="-50"/>
        </w:rPr>
      </w:r>
      <w:r>
        <w:rPr/>
        <w:t>训实效，实现人力资源增值。</w:t>
      </w:r>
    </w:p>
    <w:p>
      <w:pPr>
        <w:pStyle w:val="Heading3"/>
        <w:spacing w:line="240" w:lineRule="auto" w:before="179"/>
        <w:ind w:right="11"/>
        <w:jc w:val="left"/>
      </w:pPr>
      <w:r>
        <w:rPr>
          <w:rFonts w:ascii="Times New Roman" w:hAnsi="Times New Roman" w:cs="Times New Roman" w:eastAsia="Times New Roman" w:hint="default"/>
        </w:rPr>
        <w:t>4</w:t>
      </w:r>
      <w:r>
        <w:rPr/>
        <w:t>、劳务外包情况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134" w:right="192"/>
        <w:jc w:val="center"/>
      </w:pPr>
      <w:bookmarkStart w:name="_bookmark8" w:id="9"/>
      <w:bookmarkEnd w:id="9"/>
      <w:r>
        <w:rPr/>
      </w:r>
      <w:r>
        <w:rPr/>
        <w:t>第九节</w:t>
      </w:r>
      <w:r>
        <w:rPr>
          <w:spacing w:val="-2"/>
        </w:rPr>
        <w:t> </w:t>
      </w:r>
      <w:r>
        <w:rPr/>
        <w:t>公司治理</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right="100"/>
        <w:jc w:val="left"/>
      </w:pPr>
      <w:r>
        <w:rPr/>
        <w:t>一、公司治理的基本状况</w:t>
      </w:r>
    </w:p>
    <w:p>
      <w:pPr>
        <w:spacing w:line="240" w:lineRule="auto" w:before="9"/>
        <w:rPr>
          <w:rFonts w:ascii="黑体" w:hAnsi="黑体" w:cs="黑体" w:eastAsia="黑体" w:hint="default"/>
          <w:sz w:val="37"/>
          <w:szCs w:val="37"/>
        </w:rPr>
      </w:pPr>
    </w:p>
    <w:p>
      <w:pPr>
        <w:pStyle w:val="BodyText"/>
        <w:spacing w:line="403" w:lineRule="auto"/>
        <w:ind w:right="101" w:firstLine="420"/>
        <w:jc w:val="left"/>
      </w:pPr>
      <w:r>
        <w:rPr>
          <w:spacing w:val="-16"/>
          <w:w w:val="100"/>
        </w:rPr>
        <w:t>公司严格按照《公司法》、《证券法》、《深圳证券交易所创业板上市公司规范运作指引》、《上市公司治</w:t>
      </w:r>
      <w:r>
        <w:rPr>
          <w:w w:val="100"/>
        </w:rPr>
        <w:t> </w:t>
      </w:r>
      <w:r>
        <w:rPr>
          <w:spacing w:val="-5"/>
          <w:w w:val="100"/>
        </w:rPr>
        <w:t>理规则》、《企业内部控制基本规范</w:t>
      </w:r>
      <w:r>
        <w:rPr>
          <w:rFonts w:ascii="Times New Roman" w:hAnsi="Times New Roman" w:cs="Times New Roman" w:eastAsia="Times New Roman" w:hint="default"/>
          <w:spacing w:val="-5"/>
          <w:w w:val="100"/>
        </w:rPr>
        <w:t>(</w:t>
      </w:r>
      <w:r>
        <w:rPr>
          <w:spacing w:val="-5"/>
          <w:w w:val="100"/>
        </w:rPr>
        <w:t>试行</w:t>
      </w:r>
      <w:r>
        <w:rPr>
          <w:rFonts w:ascii="Times New Roman" w:hAnsi="Times New Roman" w:cs="Times New Roman" w:eastAsia="Times New Roman" w:hint="default"/>
          <w:spacing w:val="-5"/>
          <w:w w:val="100"/>
        </w:rPr>
        <w:t>)</w:t>
      </w:r>
      <w:r>
        <w:rPr>
          <w:spacing w:val="-5"/>
          <w:w w:val="100"/>
        </w:rPr>
        <w:t>》及配套指引等相关法律法规的要求，不断完善公司法人治理结</w:t>
      </w:r>
      <w:r>
        <w:rPr>
          <w:spacing w:val="-86"/>
          <w:w w:val="100"/>
        </w:rPr>
        <w:t> </w:t>
      </w:r>
      <w:r>
        <w:rPr>
          <w:spacing w:val="-86"/>
          <w:w w:val="100"/>
        </w:rPr>
      </w:r>
      <w:r>
        <w:rPr/>
        <w:t>构，建立健全公司内部控制制度，持续深入开展公司治理活动，提高公司规范运作水平。</w:t>
      </w:r>
      <w:r>
        <w:rPr>
          <w:spacing w:val="-32"/>
        </w:rPr>
        <w:t> </w:t>
      </w:r>
      <w:r>
        <w:rPr/>
        <w:t>截止报告期末，</w:t>
      </w:r>
      <w:r>
        <w:rPr>
          <w:w w:val="100"/>
        </w:rPr>
        <w:t> </w:t>
      </w:r>
      <w:r>
        <w:rPr>
          <w:spacing w:val="-7"/>
          <w:w w:val="100"/>
        </w:rPr>
        <w:t>公司内部治理结构完整、健全、清晰，符合《公司法》、《公司章程》及其他法律、法规和规范性文件的规</w:t>
      </w:r>
      <w:r>
        <w:rPr>
          <w:spacing w:val="-80"/>
          <w:w w:val="100"/>
        </w:rPr>
        <w:t> </w:t>
      </w:r>
      <w:r>
        <w:rPr>
          <w:spacing w:val="-80"/>
          <w:w w:val="100"/>
        </w:rPr>
      </w:r>
      <w:r>
        <w:rPr>
          <w:spacing w:val="-2"/>
        </w:rPr>
        <w:t>定。报告期内，公司股东大会、董事会、监事会均能严格按照相关规章制度规范地召开，各位董事、监事</w:t>
      </w:r>
      <w:r>
        <w:rPr>
          <w:spacing w:val="-42"/>
        </w:rPr>
        <w:t> </w:t>
      </w:r>
      <w:r>
        <w:rPr>
          <w:spacing w:val="-42"/>
        </w:rPr>
      </w:r>
      <w:r>
        <w:rPr/>
        <w:t>均能认真履行自己的职责。</w:t>
      </w:r>
    </w:p>
    <w:p>
      <w:pPr>
        <w:pStyle w:val="BodyText"/>
        <w:spacing w:line="240" w:lineRule="auto" w:before="151"/>
        <w:ind w:left="573" w:right="100"/>
        <w:jc w:val="left"/>
      </w:pPr>
      <w:r>
        <w:rPr/>
        <w:t>公司治理的实际状况与中国证监会发布的有关上市公司治理的规范性文件是否存在重大差异</w:t>
      </w:r>
    </w:p>
    <w:p>
      <w:pPr>
        <w:spacing w:line="240" w:lineRule="auto" w:before="4"/>
        <w:rPr>
          <w:rFonts w:ascii="宋体" w:hAnsi="宋体" w:cs="宋体" w:eastAsia="宋体" w:hint="default"/>
          <w:sz w:val="22"/>
          <w:szCs w:val="22"/>
        </w:rPr>
      </w:pPr>
    </w:p>
    <w:p>
      <w:pPr>
        <w:pStyle w:val="BodyText"/>
        <w:spacing w:line="470" w:lineRule="auto"/>
        <w:ind w:left="573" w:right="2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line="240" w:lineRule="auto" w:before="0"/>
        <w:rPr>
          <w:rFonts w:ascii="宋体" w:hAnsi="宋体" w:cs="宋体" w:eastAsia="宋体" w:hint="default"/>
          <w:sz w:val="21"/>
          <w:szCs w:val="21"/>
        </w:rPr>
      </w:pPr>
    </w:p>
    <w:p>
      <w:pPr>
        <w:pStyle w:val="Heading2"/>
        <w:spacing w:line="240" w:lineRule="auto" w:before="0"/>
        <w:ind w:right="100"/>
        <w:jc w:val="left"/>
      </w:pPr>
      <w:r>
        <w:rPr/>
        <w:t>二、公司相对于控股股东在业务、人员、资产、机构、财务等方面的独立情况</w:t>
      </w:r>
    </w:p>
    <w:p>
      <w:pPr>
        <w:spacing w:line="240" w:lineRule="auto" w:before="11"/>
        <w:rPr>
          <w:rFonts w:ascii="黑体" w:hAnsi="黑体" w:cs="黑体" w:eastAsia="黑体" w:hint="default"/>
          <w:sz w:val="37"/>
          <w:szCs w:val="37"/>
        </w:rPr>
      </w:pPr>
    </w:p>
    <w:p>
      <w:pPr>
        <w:pStyle w:val="BodyText"/>
        <w:spacing w:line="240" w:lineRule="auto"/>
        <w:ind w:left="573" w:right="100"/>
        <w:jc w:val="left"/>
      </w:pPr>
      <w:r>
        <w:rPr/>
        <w:t>公司相对于控股股东在业务、人员、资产、机构、财务等方面保持独立。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0"/>
        <w:ind w:right="100"/>
        <w:jc w:val="left"/>
      </w:pPr>
      <w:r>
        <w:rPr/>
        <w:t>三、同业竞争情况</w:t>
      </w:r>
    </w:p>
    <w:p>
      <w:pPr>
        <w:spacing w:line="240" w:lineRule="auto" w:before="11"/>
        <w:rPr>
          <w:rFonts w:ascii="黑体" w:hAnsi="黑体" w:cs="黑体" w:eastAsia="黑体" w:hint="default"/>
          <w:sz w:val="37"/>
          <w:szCs w:val="37"/>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3"/>
        <w:ind w:right="100"/>
        <w:jc w:val="left"/>
      </w:pPr>
      <w:r>
        <w:rPr/>
        <w:t>四、报告期内召开的年度股东大会和临时股东大会的有关情况</w:t>
      </w:r>
    </w:p>
    <w:p>
      <w:pPr>
        <w:spacing w:line="240" w:lineRule="auto" w:before="12"/>
        <w:rPr>
          <w:rFonts w:ascii="黑体" w:hAnsi="黑体" w:cs="黑体" w:eastAsia="黑体" w:hint="default"/>
          <w:sz w:val="35"/>
          <w:szCs w:val="35"/>
        </w:rPr>
      </w:pPr>
    </w:p>
    <w:p>
      <w:pPr>
        <w:pStyle w:val="Heading3"/>
        <w:spacing w:line="240" w:lineRule="auto"/>
        <w:ind w:right="100"/>
        <w:jc w:val="left"/>
      </w:pPr>
      <w:r>
        <w:rPr>
          <w:rFonts w:ascii="Times New Roman" w:hAnsi="Times New Roman" w:cs="Times New Roman" w:eastAsia="Times New Roman" w:hint="default"/>
        </w:rPr>
        <w:t>1</w:t>
      </w:r>
      <w:r>
        <w:rPr/>
        <w:t>、本报告期股东大会情况</w:t>
      </w:r>
    </w:p>
    <w:p>
      <w:pPr>
        <w:spacing w:line="240" w:lineRule="auto" w:before="4"/>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2"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会议类型</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投资者参与比例</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2"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0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2017-043</w:t>
            </w: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2017-063</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20"/>
        </w:sectPr>
      </w:pPr>
    </w:p>
    <w:p>
      <w:pPr>
        <w:spacing w:line="240" w:lineRule="auto" w:before="2"/>
        <w:rPr>
          <w:rFonts w:ascii="黑体" w:hAnsi="黑体" w:cs="黑体" w:eastAsia="黑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508"/>
              <w:jc w:val="right"/>
              <w:rPr>
                <w:rFonts w:ascii="Times New Roman" w:hAnsi="Times New Roman" w:cs="Times New Roman" w:eastAsia="Times New Roman" w:hint="default"/>
                <w:sz w:val="18"/>
                <w:szCs w:val="18"/>
              </w:rPr>
            </w:pPr>
            <w:r>
              <w:rPr>
                <w:rFonts w:ascii="Times New Roman"/>
                <w:sz w:val="18"/>
              </w:rPr>
              <w:t>37.34%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2017-076</w:t>
            </w:r>
          </w:p>
        </w:tc>
      </w:tr>
      <w:tr>
        <w:trPr>
          <w:trHeight w:val="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508"/>
              <w:jc w:val="right"/>
              <w:rPr>
                <w:rFonts w:ascii="Times New Roman" w:hAnsi="Times New Roman" w:cs="Times New Roman" w:eastAsia="Times New Roman" w:hint="default"/>
                <w:sz w:val="18"/>
                <w:szCs w:val="18"/>
              </w:rPr>
            </w:pPr>
            <w:r>
              <w:rPr>
                <w:rFonts w:ascii="Times New Roman"/>
                <w:sz w:val="18"/>
              </w:rPr>
              <w:t>36.30%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2017-127</w:t>
            </w:r>
          </w:p>
        </w:tc>
      </w:tr>
    </w:tbl>
    <w:p>
      <w:pPr>
        <w:spacing w:line="240" w:lineRule="auto" w:before="12"/>
        <w:rPr>
          <w:rFonts w:ascii="黑体" w:hAnsi="黑体" w:cs="黑体" w:eastAsia="黑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、表决权恢复的优先股股东请求召开临时股东大会</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pStyle w:val="Heading2"/>
        <w:spacing w:line="240" w:lineRule="auto" w:before="173"/>
        <w:ind w:right="11"/>
        <w:jc w:val="left"/>
      </w:pPr>
      <w:r>
        <w:rPr/>
        <w:t>五、报告期内独立董事履行职责的情况</w:t>
      </w:r>
    </w:p>
    <w:p>
      <w:pPr>
        <w:spacing w:line="240" w:lineRule="auto" w:before="12"/>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、独立董事出席董事会及股东大会的情况</w:t>
      </w:r>
    </w:p>
    <w:p>
      <w:pPr>
        <w:spacing w:line="240" w:lineRule="auto" w:before="4"/>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509"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独立董事出席董事会及股东大会的情况</w:t>
            </w:r>
            <w:r>
              <w:rPr>
                <w:rFonts w:ascii="宋体" w:hAnsi="宋体" w:cs="宋体" w:eastAsia="宋体" w:hint="default"/>
                <w:sz w:val="18"/>
                <w:szCs w:val="18"/>
              </w:rPr>
            </w:r>
          </w:p>
        </w:tc>
      </w:tr>
      <w:tr>
        <w:trPr>
          <w:trHeight w:val="1130"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本报告期应参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3"/>
                <w:sz w:val="18"/>
                <w:szCs w:val="18"/>
              </w:rPr>
              <w:t>现场出席董事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以通讯方式参 </w:t>
            </w: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委托出席董事 </w:t>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缺席董事会次 </w:t>
            </w:r>
            <w:r>
              <w:rPr>
                <w:rFonts w:ascii="宋体" w:hAnsi="宋体" w:cs="宋体" w:eastAsia="宋体" w:hint="default"/>
                <w:sz w:val="18"/>
                <w:szCs w:val="18"/>
              </w:rPr>
              <w:t>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0"/>
              <w:jc w:val="both"/>
              <w:rPr>
                <w:rFonts w:ascii="宋体" w:hAnsi="宋体" w:cs="宋体" w:eastAsia="宋体" w:hint="default"/>
                <w:sz w:val="18"/>
                <w:szCs w:val="18"/>
              </w:rPr>
            </w:pPr>
            <w:r>
              <w:rPr>
                <w:rFonts w:ascii="宋体" w:hAnsi="宋体" w:cs="宋体" w:eastAsia="宋体" w:hint="default"/>
                <w:spacing w:val="4"/>
                <w:sz w:val="18"/>
                <w:szCs w:val="18"/>
              </w:rPr>
              <w:t>是否连续两次 未亲自参加董 </w:t>
            </w:r>
            <w:r>
              <w:rPr>
                <w:rFonts w:ascii="宋体" w:hAnsi="宋体" w:cs="宋体" w:eastAsia="宋体" w:hint="default"/>
                <w:sz w:val="18"/>
                <w:szCs w:val="18"/>
              </w:rPr>
              <w:t>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4"/>
                <w:sz w:val="18"/>
                <w:szCs w:val="18"/>
              </w:rPr>
              <w:t>出席股东大会 </w:t>
            </w:r>
            <w:r>
              <w:rPr>
                <w:rFonts w:ascii="宋体" w:hAnsi="宋体" w:cs="宋体" w:eastAsia="宋体" w:hint="default"/>
                <w:sz w:val="18"/>
                <w:szCs w:val="18"/>
              </w:rPr>
              <w:t>次数</w:t>
            </w:r>
          </w:p>
        </w:tc>
      </w:tr>
      <w:tr>
        <w:trPr>
          <w:trHeight w:val="50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于明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7" w:right="0"/>
              <w:jc w:val="lef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w:t>
            </w:r>
          </w:p>
        </w:tc>
      </w:tr>
      <w:tr>
        <w:trPr>
          <w:trHeight w:val="50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9" w:right="0"/>
              <w:jc w:val="left"/>
              <w:rPr>
                <w:rFonts w:ascii="宋体" w:hAnsi="宋体" w:cs="宋体" w:eastAsia="宋体" w:hint="default"/>
                <w:sz w:val="18"/>
                <w:szCs w:val="18"/>
              </w:rPr>
            </w:pPr>
            <w:r>
              <w:rPr>
                <w:rFonts w:ascii="宋体" w:hAnsi="宋体" w:cs="宋体" w:eastAsia="宋体" w:hint="default"/>
                <w:sz w:val="18"/>
                <w:szCs w:val="18"/>
              </w:rPr>
              <w:t>李绍滨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7" w:right="0"/>
              <w:jc w:val="lef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2"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r>
      <w:tr>
        <w:trPr>
          <w:trHeight w:val="50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9" w:right="0"/>
              <w:jc w:val="left"/>
              <w:rPr>
                <w:rFonts w:ascii="宋体" w:hAnsi="宋体" w:cs="宋体" w:eastAsia="宋体" w:hint="default"/>
                <w:sz w:val="18"/>
                <w:szCs w:val="18"/>
              </w:rPr>
            </w:pPr>
            <w:r>
              <w:rPr>
                <w:rFonts w:ascii="宋体" w:hAnsi="宋体" w:cs="宋体" w:eastAsia="宋体" w:hint="default"/>
                <w:sz w:val="18"/>
                <w:szCs w:val="18"/>
              </w:rPr>
              <w:t>李景辉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7" w:right="0"/>
              <w:jc w:val="lef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2"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r>
    </w:tbl>
    <w:p>
      <w:pPr>
        <w:spacing w:line="240" w:lineRule="auto" w:before="11"/>
        <w:rPr>
          <w:rFonts w:ascii="黑体" w:hAnsi="黑体" w:cs="黑体" w:eastAsia="黑体" w:hint="default"/>
          <w:sz w:val="9"/>
          <w:szCs w:val="9"/>
        </w:rPr>
      </w:pPr>
    </w:p>
    <w:p>
      <w:pPr>
        <w:pStyle w:val="BodyText"/>
        <w:spacing w:line="494" w:lineRule="auto" w:before="36"/>
        <w:ind w:left="573" w:right="5647"/>
        <w:jc w:val="left"/>
      </w:pPr>
      <w:r>
        <w:rPr>
          <w:spacing w:val="-2"/>
        </w:rPr>
        <w:t>连续两次未亲自出席董事会的说明</w:t>
      </w:r>
      <w:r>
        <w:rPr>
          <w:spacing w:val="-75"/>
        </w:rPr>
        <w:t> </w:t>
      </w:r>
      <w:r>
        <w:rPr>
          <w:spacing w:val="-75"/>
        </w:rPr>
      </w:r>
      <w:r>
        <w:rPr/>
        <w:t>不适用</w:t>
      </w:r>
    </w:p>
    <w:p>
      <w:pPr>
        <w:pStyle w:val="Heading3"/>
        <w:spacing w:line="240" w:lineRule="auto" w:before="103"/>
        <w:ind w:right="11"/>
        <w:jc w:val="left"/>
      </w:pPr>
      <w:r>
        <w:rPr>
          <w:rFonts w:ascii="Times New Roman" w:hAnsi="Times New Roman" w:cs="Times New Roman" w:eastAsia="Times New Roman" w:hint="default"/>
        </w:rPr>
        <w:t>2</w:t>
      </w:r>
      <w:r>
        <w:rPr/>
        <w:t>、独立董事对公司有关事项提出异议的情况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独立董事对公司有关事项是否提出异议</w:t>
      </w:r>
    </w:p>
    <w:p>
      <w:pPr>
        <w:spacing w:line="240" w:lineRule="auto" w:before="6"/>
        <w:rPr>
          <w:rFonts w:ascii="宋体" w:hAnsi="宋体" w:cs="宋体" w:eastAsia="宋体" w:hint="default"/>
          <w:sz w:val="22"/>
          <w:szCs w:val="22"/>
        </w:rPr>
      </w:pPr>
    </w:p>
    <w:p>
      <w:pPr>
        <w:pStyle w:val="BodyText"/>
        <w:spacing w:line="468" w:lineRule="auto"/>
        <w:ind w:left="573" w:right="4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pStyle w:val="Heading3"/>
        <w:spacing w:line="240" w:lineRule="auto" w:before="126"/>
        <w:ind w:right="11"/>
        <w:jc w:val="left"/>
      </w:pPr>
      <w:r>
        <w:rPr>
          <w:rFonts w:ascii="Times New Roman" w:hAnsi="Times New Roman" w:cs="Times New Roman" w:eastAsia="Times New Roman" w:hint="default"/>
        </w:rPr>
        <w:t>3</w:t>
      </w:r>
      <w:r>
        <w:rPr/>
        <w:t>、独立董事履行职责的其他说明</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独立董事对公司有关建议是否被采纳</w:t>
      </w:r>
    </w:p>
    <w:p>
      <w:pPr>
        <w:spacing w:line="240" w:lineRule="auto" w:before="6"/>
        <w:rPr>
          <w:rFonts w:ascii="宋体" w:hAnsi="宋体" w:cs="宋体" w:eastAsia="宋体" w:hint="default"/>
          <w:sz w:val="22"/>
          <w:szCs w:val="22"/>
        </w:rPr>
      </w:pPr>
    </w:p>
    <w:p>
      <w:pPr>
        <w:pStyle w:val="BodyText"/>
        <w:spacing w:line="470" w:lineRule="auto"/>
        <w:ind w:left="573" w:right="4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spacing w:after="0" w:line="47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报告期内，独立董事对公司提出的各项合理建议均被采纳。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0"/>
        <w:ind w:right="0"/>
        <w:jc w:val="both"/>
      </w:pPr>
      <w:r>
        <w:rPr/>
        <w:t>六、董事会下设专门委员会在报告期内履行职责情况</w:t>
      </w:r>
    </w:p>
    <w:p>
      <w:pPr>
        <w:spacing w:line="240" w:lineRule="auto" w:before="9"/>
        <w:rPr>
          <w:rFonts w:ascii="黑体" w:hAnsi="黑体" w:cs="黑体" w:eastAsia="黑体" w:hint="default"/>
          <w:sz w:val="38"/>
          <w:szCs w:val="38"/>
        </w:rPr>
      </w:pPr>
    </w:p>
    <w:p>
      <w:pPr>
        <w:pStyle w:val="Heading3"/>
        <w:spacing w:line="240" w:lineRule="auto"/>
        <w:ind w:right="0"/>
        <w:jc w:val="both"/>
      </w:pPr>
      <w:r>
        <w:rPr/>
        <w:t>（一）董事会审计委员会</w:t>
      </w:r>
    </w:p>
    <w:p>
      <w:pPr>
        <w:spacing w:line="240" w:lineRule="auto" w:before="6"/>
        <w:rPr>
          <w:rFonts w:ascii="黑体" w:hAnsi="黑体" w:cs="黑体" w:eastAsia="黑体" w:hint="default"/>
          <w:sz w:val="25"/>
          <w:szCs w:val="25"/>
        </w:rPr>
      </w:pPr>
    </w:p>
    <w:p>
      <w:pPr>
        <w:pStyle w:val="BodyText"/>
        <w:spacing w:line="408" w:lineRule="auto"/>
        <w:ind w:right="146" w:firstLine="420"/>
        <w:jc w:val="both"/>
      </w:pPr>
      <w:r>
        <w:rPr>
          <w:spacing w:val="2"/>
        </w:rPr>
        <w:t>审计委员会定期召开会议审议内部审计部门提交的工作计划和报告的具体情况，并定期向董事会报</w:t>
      </w:r>
      <w:r>
        <w:rPr>
          <w:w w:val="100"/>
        </w:rPr>
        <w:t> </w:t>
      </w:r>
      <w:r>
        <w:rPr>
          <w:spacing w:val="-2"/>
        </w:rPr>
        <w:t>告；对与财务报告和信息披露事务相关的内部控制制度的建立和实施情况出具的审核意见；与公司聘请的</w:t>
      </w:r>
      <w:r>
        <w:rPr>
          <w:spacing w:val="-43"/>
        </w:rPr>
        <w:t> </w:t>
      </w:r>
      <w:r>
        <w:rPr>
          <w:spacing w:val="-43"/>
        </w:rPr>
      </w:r>
      <w:r>
        <w:rPr/>
        <w:t>审计机构沟通，确定了公司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年度财务报告审计工作计划日程安排。在年审注册会计师进场前，审计</w:t>
      </w:r>
    </w:p>
    <w:p>
      <w:pPr>
        <w:pStyle w:val="BodyText"/>
        <w:spacing w:line="393" w:lineRule="auto" w:before="14"/>
        <w:ind w:right="146"/>
        <w:jc w:val="both"/>
      </w:pPr>
      <w:r>
        <w:rPr/>
        <w:t>委员会认真审阅了公司出具的</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年度财务报表，认为：</w:t>
      </w:r>
      <w:r>
        <w:rPr>
          <w:rFonts w:ascii="Times New Roman" w:hAnsi="Times New Roman" w:cs="Times New Roman" w:eastAsia="Times New Roman" w:hint="default"/>
        </w:rPr>
        <w:t>1</w:t>
      </w:r>
      <w:r>
        <w:rPr/>
        <w:t>、公司财务报表依照公司会计政策编制、会计</w:t>
      </w:r>
      <w:r>
        <w:rPr>
          <w:w w:val="100"/>
        </w:rPr>
        <w:t> </w:t>
      </w:r>
      <w:r>
        <w:rPr/>
        <w:t>政策运用恰当，会计估计合理，符合新企业会计准则及财政部发布的有关规定要求；</w:t>
      </w:r>
      <w:r>
        <w:rPr>
          <w:rFonts w:ascii="Times New Roman" w:hAnsi="Times New Roman" w:cs="Times New Roman" w:eastAsia="Times New Roman" w:hint="default"/>
        </w:rPr>
        <w:t>2</w:t>
      </w:r>
      <w:r>
        <w:rPr/>
        <w:t>、公司财务报表纳</w:t>
      </w:r>
      <w:r>
        <w:rPr>
          <w:spacing w:val="-20"/>
        </w:rPr>
        <w:t> </w:t>
      </w:r>
      <w:r>
        <w:rPr>
          <w:spacing w:val="-20"/>
        </w:rPr>
      </w:r>
      <w:r>
        <w:rPr/>
        <w:t>入合并范围的单位和报表内容完整，报表合并基础准确；</w:t>
      </w:r>
      <w:r>
        <w:rPr>
          <w:rFonts w:ascii="Times New Roman" w:hAnsi="Times New Roman" w:cs="Times New Roman" w:eastAsia="Times New Roman" w:hint="default"/>
        </w:rPr>
        <w:t>3</w:t>
      </w:r>
      <w:r>
        <w:rPr/>
        <w:t>、公司财务报表客观、真实地反映了公司的财</w:t>
      </w:r>
      <w:r>
        <w:rPr>
          <w:spacing w:val="-21"/>
        </w:rPr>
        <w:t> </w:t>
      </w:r>
      <w:r>
        <w:rPr>
          <w:spacing w:val="-21"/>
        </w:rPr>
      </w:r>
      <w:r>
        <w:rPr>
          <w:spacing w:val="-2"/>
        </w:rPr>
        <w:t>务状况，未发现有重大偏差或重大遗漏的情况，并同意提交外部审计机构开展审计工作。审计委员会审阅</w:t>
      </w:r>
      <w:r>
        <w:rPr>
          <w:spacing w:val="-43"/>
        </w:rPr>
        <w:t> </w:t>
      </w:r>
      <w:r>
        <w:rPr>
          <w:spacing w:val="-43"/>
        </w:rPr>
      </w:r>
      <w:r>
        <w:rPr/>
        <w:t>年审注册会计师出具的</w:t>
      </w:r>
      <w:r>
        <w:rPr>
          <w:spacing w:val="-6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年度财务会计审计报告，认为：</w:t>
      </w:r>
      <w:r>
        <w:rPr>
          <w:rFonts w:ascii="Times New Roman" w:hAnsi="Times New Roman" w:cs="Times New Roman" w:eastAsia="Times New Roman" w:hint="default"/>
        </w:rPr>
        <w:t>1</w:t>
      </w:r>
      <w:r>
        <w:rPr/>
        <w:t>、公司在审计前编制的财务报表与审计后的</w:t>
      </w:r>
      <w:r>
        <w:rPr>
          <w:w w:val="100"/>
        </w:rPr>
        <w:t> </w:t>
      </w:r>
      <w:r>
        <w:rPr/>
        <w:t>财务报告不存在重大差异；</w:t>
      </w:r>
      <w:r>
        <w:rPr>
          <w:rFonts w:ascii="Times New Roman" w:hAnsi="Times New Roman" w:cs="Times New Roman" w:eastAsia="Times New Roman" w:hint="default"/>
        </w:rPr>
        <w:t>2</w:t>
      </w:r>
      <w:r>
        <w:rPr/>
        <w:t>、经审计的公司财务报表符合新企业会计准则的相关规定，能够如实地反映</w:t>
      </w:r>
      <w:r>
        <w:rPr>
          <w:spacing w:val="-24"/>
        </w:rPr>
        <w:t> </w:t>
      </w:r>
      <w:r>
        <w:rPr>
          <w:spacing w:val="-24"/>
        </w:rPr>
      </w:r>
      <w:r>
        <w:rPr>
          <w:spacing w:val="-2"/>
        </w:rPr>
        <w:t>企业的财务状况、经营成果及现金流量情况。审计委员会同意立信会计师事务所（特殊普通合伙）对公司</w:t>
      </w:r>
      <w:r>
        <w:rPr>
          <w:spacing w:val="-47"/>
        </w:rPr>
        <w:t> </w:t>
      </w:r>
      <w:r>
        <w:rPr>
          <w:spacing w:val="-47"/>
        </w:rPr>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spacing w:val="-2"/>
        </w:rPr>
        <w:t>年度财务报表出具的审计意见，并同意提交董事会审议。</w:t>
      </w:r>
    </w:p>
    <w:p>
      <w:pPr>
        <w:pStyle w:val="Heading3"/>
        <w:spacing w:line="240" w:lineRule="auto" w:before="161"/>
        <w:ind w:right="0"/>
        <w:jc w:val="both"/>
      </w:pPr>
      <w:r>
        <w:rPr/>
        <w:t>（二）董事会薪酬与考核委员会</w:t>
      </w:r>
    </w:p>
    <w:p>
      <w:pPr>
        <w:spacing w:line="240" w:lineRule="auto" w:before="6"/>
        <w:rPr>
          <w:rFonts w:ascii="黑体" w:hAnsi="黑体" w:cs="黑体" w:eastAsia="黑体" w:hint="default"/>
          <w:sz w:val="25"/>
          <w:szCs w:val="25"/>
        </w:rPr>
      </w:pPr>
    </w:p>
    <w:p>
      <w:pPr>
        <w:pStyle w:val="BodyText"/>
        <w:spacing w:line="400" w:lineRule="auto"/>
        <w:ind w:right="146" w:firstLine="420"/>
        <w:jc w:val="both"/>
      </w:pPr>
      <w:r>
        <w:rPr>
          <w:spacing w:val="-2"/>
        </w:rPr>
        <w:t>报告期内，薪酬与考核委员会根据公司《股权激励计划》和《限制性股票激励计划考核管理办法》对</w:t>
      </w:r>
      <w:r>
        <w:rPr>
          <w:w w:val="100"/>
        </w:rPr>
        <w:t> </w:t>
      </w:r>
      <w:r>
        <w:rPr/>
        <w:t>激励对象限制性股票解锁等事项进行了审议，并对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年度公司高级管理人员的薪酬进行考核。委员会</w:t>
      </w:r>
      <w:r>
        <w:rPr>
          <w:w w:val="100"/>
        </w:rPr>
        <w:t> </w:t>
      </w:r>
      <w:r>
        <w:rPr>
          <w:spacing w:val="-2"/>
        </w:rPr>
        <w:t>核查了公司高级管理人员的薪酬，认为其薪酬情况符合公司董事会和股东大会确定的相关报酬依据及公司</w:t>
      </w:r>
      <w:r>
        <w:rPr>
          <w:spacing w:val="-43"/>
        </w:rPr>
        <w:t> </w:t>
      </w:r>
      <w:r>
        <w:rPr>
          <w:spacing w:val="-43"/>
        </w:rPr>
      </w:r>
      <w:r>
        <w:rPr/>
        <w:t>的劳动人事管理制度。</w:t>
      </w:r>
    </w:p>
    <w:p>
      <w:pPr>
        <w:spacing w:line="240" w:lineRule="auto" w:before="2"/>
        <w:rPr>
          <w:rFonts w:ascii="宋体" w:hAnsi="宋体" w:cs="宋体" w:eastAsia="宋体" w:hint="default"/>
          <w:sz w:val="14"/>
          <w:szCs w:val="14"/>
        </w:rPr>
      </w:pPr>
    </w:p>
    <w:p>
      <w:pPr>
        <w:pStyle w:val="Heading3"/>
        <w:spacing w:line="240" w:lineRule="auto"/>
        <w:ind w:right="0"/>
        <w:jc w:val="both"/>
      </w:pPr>
      <w:r>
        <w:rPr/>
        <w:t>（三）董事会战略委员会</w:t>
      </w:r>
    </w:p>
    <w:p>
      <w:pPr>
        <w:spacing w:line="240" w:lineRule="auto" w:before="6"/>
        <w:rPr>
          <w:rFonts w:ascii="黑体" w:hAnsi="黑体" w:cs="黑体" w:eastAsia="黑体" w:hint="default"/>
          <w:sz w:val="25"/>
          <w:szCs w:val="25"/>
        </w:rPr>
      </w:pPr>
    </w:p>
    <w:p>
      <w:pPr>
        <w:pStyle w:val="BodyText"/>
        <w:spacing w:line="408" w:lineRule="auto"/>
        <w:ind w:right="146" w:firstLine="420"/>
        <w:jc w:val="both"/>
      </w:pPr>
      <w:r>
        <w:rPr>
          <w:spacing w:val="-2"/>
        </w:rPr>
        <w:t>报告期内，公司战略委员会勤勉尽责地履行职责，就公司中长期战略规划及对外投资等事项向董事会</w:t>
      </w:r>
      <w:r>
        <w:rPr>
          <w:w w:val="100"/>
        </w:rPr>
        <w:t> </w:t>
      </w:r>
      <w:r>
        <w:rPr/>
        <w:t>提出了建议。</w:t>
      </w:r>
    </w:p>
    <w:p>
      <w:pPr>
        <w:pStyle w:val="Heading3"/>
        <w:spacing w:line="240" w:lineRule="auto" w:before="179"/>
        <w:ind w:right="0"/>
        <w:jc w:val="both"/>
      </w:pPr>
      <w:r>
        <w:rPr/>
        <w:t>（四）董事会提名委员会</w:t>
      </w:r>
    </w:p>
    <w:p>
      <w:pPr>
        <w:spacing w:line="240" w:lineRule="auto" w:before="6"/>
        <w:rPr>
          <w:rFonts w:ascii="黑体" w:hAnsi="黑体" w:cs="黑体" w:eastAsia="黑体" w:hint="default"/>
          <w:sz w:val="25"/>
          <w:szCs w:val="25"/>
        </w:rPr>
      </w:pPr>
    </w:p>
    <w:p>
      <w:pPr>
        <w:pStyle w:val="BodyText"/>
        <w:spacing w:line="240" w:lineRule="auto"/>
        <w:ind w:left="573" w:right="11"/>
        <w:jc w:val="left"/>
      </w:pPr>
      <w:r>
        <w:rPr/>
        <w:t>报告期内，公司提名委员会勤勉尽责地履行职责，持续研究与关注高级管理人员选拔制度。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0"/>
        <w:ind w:right="0"/>
        <w:jc w:val="both"/>
      </w:pPr>
      <w:r>
        <w:rPr/>
        <w:t>七、监事会工作情况</w:t>
      </w:r>
    </w:p>
    <w:p>
      <w:pPr>
        <w:spacing w:after="0" w:line="240" w:lineRule="auto"/>
        <w:jc w:val="both"/>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pStyle w:val="BodyText"/>
        <w:spacing w:line="240" w:lineRule="auto" w:before="36"/>
        <w:ind w:left="573" w:right="11"/>
        <w:jc w:val="left"/>
      </w:pPr>
      <w:r>
        <w:rPr/>
        <w:t>监事会在报告期内的监督活动中发现公司是否存在风险</w:t>
      </w:r>
    </w:p>
    <w:p>
      <w:pPr>
        <w:spacing w:line="240" w:lineRule="auto" w:before="6"/>
        <w:rPr>
          <w:rFonts w:ascii="宋体" w:hAnsi="宋体" w:cs="宋体" w:eastAsia="宋体" w:hint="default"/>
          <w:sz w:val="22"/>
          <w:szCs w:val="22"/>
        </w:rPr>
      </w:pPr>
    </w:p>
    <w:p>
      <w:pPr>
        <w:pStyle w:val="BodyText"/>
        <w:spacing w:line="468" w:lineRule="auto"/>
        <w:ind w:left="573" w:right="45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line="240" w:lineRule="auto" w:before="2"/>
        <w:rPr>
          <w:rFonts w:ascii="宋体" w:hAnsi="宋体" w:cs="宋体" w:eastAsia="宋体" w:hint="default"/>
          <w:sz w:val="21"/>
          <w:szCs w:val="21"/>
        </w:rPr>
      </w:pPr>
    </w:p>
    <w:p>
      <w:pPr>
        <w:pStyle w:val="Heading2"/>
        <w:spacing w:line="240" w:lineRule="auto" w:before="0"/>
        <w:ind w:right="11"/>
        <w:jc w:val="left"/>
      </w:pPr>
      <w:r>
        <w:rPr/>
        <w:t>八、高级管理人员的考评及激励情况</w:t>
      </w:r>
    </w:p>
    <w:p>
      <w:pPr>
        <w:spacing w:line="240" w:lineRule="auto" w:before="11"/>
        <w:rPr>
          <w:rFonts w:ascii="黑体" w:hAnsi="黑体" w:cs="黑体" w:eastAsia="黑体" w:hint="default"/>
          <w:sz w:val="37"/>
          <w:szCs w:val="37"/>
        </w:rPr>
      </w:pPr>
    </w:p>
    <w:p>
      <w:pPr>
        <w:pStyle w:val="BodyText"/>
        <w:spacing w:line="403" w:lineRule="auto"/>
        <w:ind w:right="146" w:firstLine="420"/>
        <w:jc w:val="both"/>
      </w:pPr>
      <w:r>
        <w:rPr>
          <w:spacing w:val="-2"/>
          <w:w w:val="100"/>
        </w:rPr>
        <w:t>公司按照《董事、监事、高级管理人员薪酬管理制度》，建立了高级管理人员的薪酬与公司业绩挂钩</w:t>
      </w:r>
      <w:r>
        <w:rPr>
          <w:w w:val="100"/>
        </w:rPr>
        <w:t> </w:t>
      </w:r>
      <w:r>
        <w:rPr>
          <w:spacing w:val="-2"/>
        </w:rPr>
        <w:t>的绩效考核与激励约束机制，公司高级管理人员实行基本年薪和年终绩效考核相结合的薪酬制度。根据公</w:t>
      </w:r>
      <w:r>
        <w:rPr>
          <w:spacing w:val="-44"/>
        </w:rPr>
        <w:t> </w:t>
      </w:r>
      <w:r>
        <w:rPr>
          <w:spacing w:val="-44"/>
        </w:rPr>
      </w:r>
      <w:r>
        <w:rPr>
          <w:spacing w:val="-2"/>
        </w:rPr>
        <w:t>司年度经营目标完成情况以及高级管理人员的工作业绩，由董事会薪酬与考核委员会对高级管理人员进行</w:t>
      </w:r>
      <w:r>
        <w:rPr>
          <w:spacing w:val="-43"/>
        </w:rPr>
        <w:t> </w:t>
      </w:r>
      <w:r>
        <w:rPr>
          <w:spacing w:val="-43"/>
        </w:rPr>
      </w:r>
      <w:r>
        <w:rPr>
          <w:spacing w:val="-2"/>
        </w:rPr>
        <w:t>年度绩效考核，并监督薪酬制度执行情况。公司则根据绩效考核结果兑现其绩效年薪，并进行奖惩。公司</w:t>
      </w:r>
      <w:r>
        <w:rPr>
          <w:spacing w:val="-47"/>
        </w:rPr>
        <w:t> </w:t>
      </w:r>
      <w:r>
        <w:rPr>
          <w:spacing w:val="-47"/>
        </w:rPr>
      </w:r>
      <w:r>
        <w:rPr>
          <w:spacing w:val="-3"/>
        </w:rPr>
        <w:t>董事会薪酬与考核委员会根据实际情况对公司高级管理人员进行考核后，一致认为：</w:t>
      </w:r>
      <w:r>
        <w:rPr>
          <w:rFonts w:ascii="Times New Roman" w:hAnsi="Times New Roman" w:cs="Times New Roman" w:eastAsia="Times New Roman" w:hint="default"/>
          <w:spacing w:val="-3"/>
        </w:rPr>
        <w:t>2017 </w:t>
      </w:r>
      <w:r>
        <w:rPr/>
        <w:t>年度公司高级管</w:t>
      </w:r>
      <w:r>
        <w:rPr>
          <w:spacing w:val="-62"/>
        </w:rPr>
        <w:t> </w:t>
      </w:r>
      <w:r>
        <w:rPr>
          <w:spacing w:val="-62"/>
        </w:rPr>
      </w:r>
      <w:r>
        <w:rPr/>
        <w:t>理人员薪酬方案严格执行了公司薪酬管理制度。</w:t>
      </w:r>
    </w:p>
    <w:p>
      <w:pPr>
        <w:spacing w:line="240" w:lineRule="auto" w:before="6"/>
        <w:rPr>
          <w:rFonts w:ascii="宋体" w:hAnsi="宋体" w:cs="宋体" w:eastAsia="宋体" w:hint="default"/>
          <w:sz w:val="25"/>
          <w:szCs w:val="25"/>
        </w:rPr>
      </w:pPr>
    </w:p>
    <w:p>
      <w:pPr>
        <w:pStyle w:val="Heading2"/>
        <w:spacing w:line="240" w:lineRule="auto" w:before="0"/>
        <w:ind w:right="11"/>
        <w:jc w:val="left"/>
      </w:pPr>
      <w:r>
        <w:rPr/>
        <w:t>九、内部控制评价报告</w:t>
      </w:r>
    </w:p>
    <w:p>
      <w:pPr>
        <w:spacing w:line="240" w:lineRule="auto" w:before="12"/>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、报告期内发现的内部控制重大缺陷的具体情况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2</w:t>
      </w:r>
      <w:r>
        <w:rPr/>
        <w:t>、内控自我评价报告</w:t>
      </w:r>
    </w:p>
    <w:p>
      <w:pPr>
        <w:spacing w:line="240" w:lineRule="auto" w:before="4"/>
        <w:rPr>
          <w:rFonts w:ascii="黑体" w:hAnsi="黑体" w:cs="黑体" w:eastAsia="黑体"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3178"/>
        <w:gridCol w:w="3327"/>
        <w:gridCol w:w="3053"/>
      </w:tblGrid>
      <w:tr>
        <w:trPr>
          <w:trHeight w:val="5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509"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2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12"/>
              <w:jc w:val="left"/>
              <w:rPr>
                <w:rFonts w:ascii="宋体" w:hAnsi="宋体" w:cs="宋体" w:eastAsia="宋体" w:hint="default"/>
                <w:sz w:val="18"/>
                <w:szCs w:val="18"/>
              </w:rPr>
            </w:pPr>
            <w:r>
              <w:rPr>
                <w:rFonts w:ascii="宋体" w:hAnsi="宋体" w:cs="宋体" w:eastAsia="宋体" w:hint="default"/>
                <w:spacing w:val="4"/>
                <w:sz w:val="18"/>
                <w:szCs w:val="18"/>
              </w:rPr>
              <w:t>纳入评价范围单位资产总额占公司合并 </w:t>
            </w:r>
            <w:r>
              <w:rPr>
                <w:rFonts w:ascii="宋体" w:hAnsi="宋体" w:cs="宋体" w:eastAsia="宋体" w:hint="default"/>
                <w:sz w:val="18"/>
                <w:szCs w:val="18"/>
              </w:rPr>
              <w:t>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98.66%</w:t>
            </w:r>
          </w:p>
        </w:tc>
      </w:tr>
      <w:tr>
        <w:trPr>
          <w:trHeight w:val="81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2"/>
              <w:jc w:val="left"/>
              <w:rPr>
                <w:rFonts w:ascii="宋体" w:hAnsi="宋体" w:cs="宋体" w:eastAsia="宋体" w:hint="default"/>
                <w:sz w:val="18"/>
                <w:szCs w:val="18"/>
              </w:rPr>
            </w:pPr>
            <w:r>
              <w:rPr>
                <w:rFonts w:ascii="宋体" w:hAnsi="宋体" w:cs="宋体" w:eastAsia="宋体" w:hint="default"/>
                <w:spacing w:val="4"/>
                <w:sz w:val="18"/>
                <w:szCs w:val="18"/>
              </w:rPr>
              <w:t>纳入评价范围单位营业收入占公司合并 </w:t>
            </w:r>
            <w:r>
              <w:rPr>
                <w:rFonts w:ascii="宋体" w:hAnsi="宋体" w:cs="宋体" w:eastAsia="宋体" w:hint="default"/>
                <w:sz w:val="18"/>
                <w:szCs w:val="18"/>
              </w:rPr>
              <w:t>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98.77%</w:t>
            </w:r>
          </w:p>
        </w:tc>
      </w:tr>
      <w:tr>
        <w:trPr>
          <w:trHeight w:val="504"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5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8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9" w:lineRule="auto" w:before="101"/>
              <w:ind w:left="23" w:right="12"/>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财务报告重大缺陷的迹象包括：①公司董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事、监事和高级管理人员舞弊，造成重大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损失。②公司更正已公布的财务报告，出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现重大差错进行错报更正。③注册会计师</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发现的却未被公司内部控制识别的当期财</w:t>
            </w:r>
          </w:p>
        </w:tc>
        <w:tc>
          <w:tcPr>
            <w:tcW w:w="3053" w:type="dxa"/>
            <w:vMerge w:val="restart"/>
            <w:tcBorders>
              <w:top w:val="single" w:sz="4" w:space="0" w:color="000000"/>
              <w:left w:val="single" w:sz="4" w:space="0" w:color="000000"/>
              <w:right w:val="single" w:sz="4" w:space="0" w:color="000000"/>
            </w:tcBorders>
          </w:tcPr>
          <w:p>
            <w:pPr>
              <w:pStyle w:val="TableParagraph"/>
              <w:spacing w:line="319" w:lineRule="auto" w:before="101"/>
              <w:ind w:left="26" w:right="19"/>
              <w:jc w:val="both"/>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非财务报告重大缺陷的迹象包括：①违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反国家法律法规或规范性文件，造成重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大后果；②重大决策程序不科学；③制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度缺失可能导致系统性失效，造成重大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损失；④重大或重要缺陷不能得到整</w:t>
            </w:r>
          </w:p>
        </w:tc>
      </w:tr>
      <w:tr>
        <w:trPr>
          <w:trHeight w:val="500"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583"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47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
              <w:jc w:val="both"/>
              <w:rPr>
                <w:rFonts w:ascii="宋体" w:hAnsi="宋体" w:cs="宋体" w:eastAsia="宋体" w:hint="default"/>
                <w:sz w:val="18"/>
                <w:szCs w:val="18"/>
              </w:rPr>
            </w:pPr>
            <w:r>
              <w:rPr>
                <w:rFonts w:ascii="宋体" w:hAnsi="宋体" w:cs="宋体" w:eastAsia="宋体" w:hint="default"/>
                <w:sz w:val="18"/>
                <w:szCs w:val="18"/>
              </w:rPr>
              <w:t>务报告中的重大错报。④审计委员会对公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司的对外报告和财务报告内部控制监督无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效，造成重大损失。财务报告重要缺陷的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迹象包括：①未依照公认会计准则选择和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应用会计政策，造成重大错报；②未建立</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反舞弊程序和控制措施，造成重大损失；</w:t>
            </w:r>
          </w:p>
          <w:p>
            <w:pPr>
              <w:pStyle w:val="TableParagraph"/>
              <w:spacing w:line="316" w:lineRule="auto" w:before="19"/>
              <w:ind w:left="24" w:right="12"/>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③对于非常规或特殊交易的账务处理没有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建立相应的控制机制或没有实施且没有相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应的补偿性控制，造成重大错报；④对于</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期末财务报告过程的控制存在一项或多项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缺陷且不能合理保证编制的财务报表达到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真实、准确的目标，造成重大错报。一般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缺陷是指除上述重大缺陷、重要缺陷之外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both"/>
              <w:rPr>
                <w:rFonts w:ascii="宋体" w:hAnsi="宋体" w:cs="宋体" w:eastAsia="宋体" w:hint="default"/>
                <w:sz w:val="18"/>
                <w:szCs w:val="18"/>
              </w:rPr>
            </w:pPr>
            <w:r>
              <w:rPr>
                <w:rFonts w:ascii="宋体" w:hAnsi="宋体" w:cs="宋体" w:eastAsia="宋体" w:hint="default"/>
                <w:spacing w:val="-4"/>
                <w:sz w:val="18"/>
                <w:szCs w:val="18"/>
              </w:rPr>
              <w:t>改；⑤其他对公司影响重大的情形。其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他情形按影响程度分别确定为重要缺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陷或一般缺陷。</w:t>
            </w:r>
          </w:p>
        </w:tc>
      </w:tr>
      <w:tr>
        <w:trPr>
          <w:trHeight w:val="269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1"/>
              <w:ind w:left="24" w:right="12"/>
              <w:jc w:val="both"/>
              <w:rPr>
                <w:rFonts w:ascii="宋体" w:hAnsi="宋体" w:cs="宋体" w:eastAsia="宋体" w:hint="default"/>
                <w:sz w:val="18"/>
                <w:szCs w:val="18"/>
              </w:rPr>
            </w:pPr>
            <w:r>
              <w:rPr>
                <w:rFonts w:ascii="宋体" w:hAnsi="宋体" w:cs="宋体" w:eastAsia="宋体" w:hint="default"/>
                <w:spacing w:val="2"/>
                <w:sz w:val="18"/>
                <w:szCs w:val="18"/>
              </w:rPr>
              <w:t>公司以营业收入总额的</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作为利润表整</w:t>
            </w:r>
            <w:r>
              <w:rPr>
                <w:rFonts w:ascii="宋体" w:hAnsi="宋体" w:cs="宋体" w:eastAsia="宋体" w:hint="default"/>
                <w:sz w:val="18"/>
                <w:szCs w:val="18"/>
              </w:rPr>
              <w:t> 体重要性水平的衡量指标。当潜在错报金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额大于或等于营业收入总额的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，则认定</w:t>
            </w:r>
            <w:r>
              <w:rPr>
                <w:rFonts w:ascii="宋体" w:hAnsi="宋体" w:cs="宋体" w:eastAsia="宋体" w:hint="default"/>
                <w:sz w:val="18"/>
                <w:szCs w:val="18"/>
              </w:rPr>
              <w:t> 为重大缺陷；当潜在错报金额小于营业收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入总额的</w:t>
            </w:r>
            <w:r>
              <w:rPr>
                <w:rFonts w:ascii="宋体" w:hAnsi="宋体" w:cs="宋体" w:eastAsia="宋体" w:hint="default"/>
                <w:spacing w:val="13"/>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但大于或等于营业收入总额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，则认定为重要缺陷；当潜在错报金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额小于营业收入总额的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时，则认定为一</w:t>
            </w:r>
            <w:r>
              <w:rPr>
                <w:rFonts w:ascii="宋体" w:hAnsi="宋体" w:cs="宋体" w:eastAsia="宋体" w:hint="default"/>
                <w:sz w:val="18"/>
                <w:szCs w:val="18"/>
              </w:rPr>
              <w:t> 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1"/>
              <w:ind w:left="26" w:right="19"/>
              <w:jc w:val="both"/>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作为利润表 </w:t>
            </w:r>
            <w:r>
              <w:rPr>
                <w:rFonts w:ascii="宋体" w:hAnsi="宋体" w:cs="宋体" w:eastAsia="宋体" w:hint="default"/>
                <w:spacing w:val="-4"/>
                <w:sz w:val="18"/>
                <w:szCs w:val="18"/>
              </w:rPr>
              <w:t>整体重要性水平的衡量指标。当潜在错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报金额大于或等于营业收入总额的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，则认定为重大缺陷；当潜在错报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金额小于营业收入总额的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但大于或 等于营业收入总额的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w:t>
            </w:r>
            <w:r>
              <w:rPr>
                <w:rFonts w:ascii="宋体" w:hAnsi="宋体" w:cs="宋体" w:eastAsia="宋体" w:hint="default"/>
                <w:spacing w:val="-4"/>
                <w:sz w:val="18"/>
                <w:szCs w:val="18"/>
              </w:rPr>
              <w:t>要缺陷；当潜在错报金额小于营业收入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时，则认定为一般缺陷。</w:t>
            </w:r>
          </w:p>
        </w:tc>
      </w:tr>
      <w:tr>
        <w:trPr>
          <w:trHeight w:val="5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5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5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黑体" w:hAnsi="黑体" w:cs="黑体" w:eastAsia="黑体" w:hint="default"/>
          <w:sz w:val="25"/>
          <w:szCs w:val="25"/>
        </w:rPr>
      </w:pPr>
    </w:p>
    <w:p>
      <w:pPr>
        <w:pStyle w:val="Heading2"/>
        <w:spacing w:line="240" w:lineRule="auto"/>
        <w:ind w:right="11"/>
        <w:jc w:val="left"/>
      </w:pPr>
      <w:r>
        <w:rPr/>
        <w:t>十、内部控制审计报告或鉴证报告</w:t>
      </w:r>
    </w:p>
    <w:p>
      <w:pPr>
        <w:spacing w:line="240" w:lineRule="auto" w:before="12"/>
        <w:rPr>
          <w:rFonts w:ascii="黑体" w:hAnsi="黑体" w:cs="黑体" w:eastAsia="黑体" w:hint="default"/>
          <w:sz w:val="37"/>
          <w:szCs w:val="37"/>
        </w:rPr>
      </w:pPr>
    </w:p>
    <w:p>
      <w:pPr>
        <w:pStyle w:val="BodyText"/>
        <w:spacing w:line="240" w:lineRule="auto"/>
        <w:ind w:left="573" w:right="11"/>
        <w:jc w:val="left"/>
      </w:pPr>
      <w:r>
        <w:rPr/>
        <w:t>不适用</w:t>
      </w:r>
    </w:p>
    <w:p>
      <w:pPr>
        <w:spacing w:after="0" w:line="240" w:lineRule="auto"/>
        <w:jc w:val="left"/>
        <w:sectPr>
          <w:pgSz w:w="11910" w:h="16840"/>
          <w:pgMar w:header="882" w:footer="1132" w:top="128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3132" w:right="11"/>
        <w:jc w:val="left"/>
      </w:pPr>
      <w:bookmarkStart w:name="_bookmark9" w:id="10"/>
      <w:bookmarkEnd w:id="10"/>
      <w:r>
        <w:rPr/>
      </w:r>
      <w:r>
        <w:rPr/>
        <w:t>第十节</w:t>
      </w:r>
      <w:r>
        <w:rPr>
          <w:spacing w:val="-3"/>
        </w:rPr>
        <w:t> </w:t>
      </w:r>
      <w:r>
        <w:rPr/>
        <w:t>公司债券相关情况</w:t>
      </w:r>
    </w:p>
    <w:p>
      <w:pPr>
        <w:spacing w:line="240" w:lineRule="auto" w:before="13"/>
        <w:rPr>
          <w:rFonts w:ascii="黑体" w:hAnsi="黑体" w:cs="黑体" w:eastAsia="黑体" w:hint="default"/>
          <w:sz w:val="46"/>
          <w:szCs w:val="46"/>
        </w:rPr>
      </w:pPr>
    </w:p>
    <w:p>
      <w:pPr>
        <w:pStyle w:val="BodyText"/>
        <w:spacing w:line="408" w:lineRule="auto"/>
        <w:ind w:right="11" w:firstLine="420"/>
        <w:jc w:val="left"/>
      </w:pPr>
      <w:r>
        <w:rPr>
          <w:spacing w:val="-2"/>
        </w:rPr>
        <w:t>公司是否存在公开发行并在证券交易所上市，且在年度报告批准报出日未到期或到期未能全额兑付的</w:t>
      </w:r>
      <w:r>
        <w:rPr>
          <w:w w:val="100"/>
        </w:rPr>
        <w:t> </w:t>
      </w:r>
      <w:r>
        <w:rPr/>
        <w:t>公司债券</w:t>
      </w:r>
    </w:p>
    <w:p>
      <w:pPr>
        <w:pStyle w:val="BodyText"/>
        <w:spacing w:line="240" w:lineRule="auto" w:before="144"/>
        <w:ind w:left="573" w:right="11"/>
        <w:jc w:val="left"/>
      </w:pPr>
      <w:r>
        <w:rPr>
          <w:w w:val="100"/>
        </w:rPr>
        <w:t>否</w:t>
      </w:r>
    </w:p>
    <w:p>
      <w:pPr>
        <w:spacing w:after="0" w:line="240" w:lineRule="auto"/>
        <w:jc w:val="left"/>
        <w:sectPr>
          <w:pgSz w:w="11910" w:h="16840"/>
          <w:pgMar w:header="882" w:footer="1132" w:top="1280" w:bottom="13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right="555"/>
        <w:jc w:val="center"/>
      </w:pPr>
      <w:bookmarkStart w:name="_bookmark10" w:id="11"/>
      <w:bookmarkEnd w:id="11"/>
      <w:r>
        <w:rPr/>
      </w:r>
      <w:r>
        <w:rPr/>
        <w:t>第十一节</w:t>
      </w:r>
      <w:r>
        <w:rPr>
          <w:spacing w:val="-3"/>
        </w:rPr>
        <w:t> </w:t>
      </w:r>
      <w:r>
        <w:rPr/>
        <w:t>财务报告</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7"/>
          <w:szCs w:val="27"/>
        </w:rPr>
      </w:pPr>
    </w:p>
    <w:p>
      <w:pPr>
        <w:pStyle w:val="Heading2"/>
        <w:spacing w:line="240" w:lineRule="auto"/>
        <w:ind w:right="11"/>
        <w:jc w:val="left"/>
      </w:pPr>
      <w:r>
        <w:rPr/>
        <w:t>一、审计报告</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ZG10382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bl>
    <w:p>
      <w:pPr>
        <w:spacing w:line="240" w:lineRule="auto" w:before="11"/>
        <w:rPr>
          <w:rFonts w:ascii="黑体" w:hAnsi="黑体" w:cs="黑体" w:eastAsia="黑体" w:hint="default"/>
          <w:sz w:val="9"/>
          <w:szCs w:val="9"/>
        </w:rPr>
      </w:pPr>
    </w:p>
    <w:p>
      <w:pPr>
        <w:pStyle w:val="BodyText"/>
        <w:spacing w:line="240" w:lineRule="auto" w:before="36"/>
        <w:ind w:left="573" w:right="11"/>
        <w:jc w:val="left"/>
      </w:pPr>
      <w:r>
        <w:rPr/>
        <w:t>审计报告正文</w:t>
      </w:r>
    </w:p>
    <w:p>
      <w:pPr>
        <w:spacing w:line="240" w:lineRule="auto" w:before="6"/>
        <w:rPr>
          <w:rFonts w:ascii="宋体" w:hAnsi="宋体" w:cs="宋体" w:eastAsia="宋体" w:hint="default"/>
          <w:sz w:val="22"/>
          <w:szCs w:val="22"/>
        </w:rPr>
      </w:pPr>
    </w:p>
    <w:p>
      <w:pPr>
        <w:pStyle w:val="BodyText"/>
        <w:spacing w:line="240" w:lineRule="auto"/>
        <w:ind w:left="573" w:right="11"/>
        <w:jc w:val="left"/>
        <w:rPr>
          <w:rFonts w:ascii="Times New Roman" w:hAnsi="Times New Roman" w:cs="Times New Roman" w:eastAsia="Times New Roman" w:hint="default"/>
        </w:rPr>
      </w:pPr>
      <w:r>
        <w:rPr>
          <w:spacing w:val="-4"/>
        </w:rPr>
        <w:t>我们认为，后附的财务报表在所有重大方面按照企业会计准则的规定编制，公允反映了旋极信息</w:t>
      </w:r>
      <w:r>
        <w:rPr>
          <w:spacing w:val="31"/>
        </w:rPr>
        <w:t> </w:t>
      </w:r>
      <w:r>
        <w:rPr>
          <w:rFonts w:ascii="Times New Roman" w:hAnsi="Times New Roman" w:cs="Times New Roman" w:eastAsia="Times New Roman" w:hint="default"/>
        </w:rPr>
        <w:t>2017</w:t>
      </w:r>
    </w:p>
    <w:p>
      <w:pPr>
        <w:pStyle w:val="BodyText"/>
        <w:spacing w:line="240" w:lineRule="auto" w:before="177"/>
        <w:ind w:right="11"/>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年度的合并及母公司经营成果和现金流量。</w:t>
      </w:r>
    </w:p>
    <w:p>
      <w:pPr>
        <w:spacing w:line="240" w:lineRule="auto" w:before="0"/>
        <w:rPr>
          <w:rFonts w:ascii="宋体" w:hAnsi="宋体" w:cs="宋体" w:eastAsia="宋体" w:hint="default"/>
          <w:sz w:val="22"/>
          <w:szCs w:val="22"/>
        </w:rPr>
      </w:pPr>
    </w:p>
    <w:p>
      <w:pPr>
        <w:pStyle w:val="Heading2"/>
        <w:spacing w:line="240" w:lineRule="auto" w:before="170"/>
        <w:ind w:right="11"/>
        <w:jc w:val="left"/>
      </w:pPr>
      <w:r>
        <w:rPr/>
        <w:t>二、财务报表</w:t>
      </w:r>
    </w:p>
    <w:p>
      <w:pPr>
        <w:spacing w:line="240" w:lineRule="auto" w:before="11"/>
        <w:rPr>
          <w:rFonts w:ascii="黑体" w:hAnsi="黑体" w:cs="黑体" w:eastAsia="黑体" w:hint="default"/>
          <w:sz w:val="37"/>
          <w:szCs w:val="37"/>
        </w:rPr>
      </w:pPr>
    </w:p>
    <w:p>
      <w:pPr>
        <w:pStyle w:val="BodyText"/>
        <w:spacing w:line="240" w:lineRule="auto"/>
        <w:ind w:left="573" w:right="11"/>
        <w:jc w:val="left"/>
      </w:pPr>
      <w:r>
        <w:rPr/>
        <w:t>财务附注中报表的单位为：人民币元</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w:t>
      </w:r>
      <w:r>
        <w:rPr/>
        <w:t>、合并资产负债表</w:t>
      </w:r>
    </w:p>
    <w:p>
      <w:pPr>
        <w:spacing w:line="240" w:lineRule="auto" w:before="1"/>
        <w:rPr>
          <w:rFonts w:ascii="黑体" w:hAnsi="黑体" w:cs="黑体" w:eastAsia="黑体" w:hint="default"/>
          <w:sz w:val="24"/>
          <w:szCs w:val="24"/>
        </w:rPr>
      </w:pPr>
    </w:p>
    <w:p>
      <w:pPr>
        <w:pStyle w:val="BodyText"/>
        <w:spacing w:line="240" w:lineRule="auto"/>
        <w:ind w:left="555" w:right="133"/>
        <w:jc w:val="center"/>
      </w:pPr>
      <w:r>
        <w:rPr/>
        <w:t>编制单位：北京旋极信息技术股份有限公司</w:t>
      </w:r>
    </w:p>
    <w:p>
      <w:pPr>
        <w:spacing w:line="240" w:lineRule="auto" w:before="6"/>
        <w:rPr>
          <w:rFonts w:ascii="宋体" w:hAnsi="宋体" w:cs="宋体" w:eastAsia="宋体" w:hint="default"/>
          <w:sz w:val="22"/>
          <w:szCs w:val="22"/>
        </w:rPr>
      </w:pPr>
    </w:p>
    <w:p>
      <w:pPr>
        <w:pStyle w:val="BodyText"/>
        <w:spacing w:line="240" w:lineRule="auto"/>
        <w:ind w:left="555" w:right="136"/>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4"/>
        <w:rPr>
          <w:rFonts w:ascii="宋体" w:hAnsi="宋体" w:cs="宋体" w:eastAsia="宋体" w:hint="default"/>
          <w:sz w:val="21"/>
          <w:szCs w:val="21"/>
        </w:rPr>
      </w:pPr>
    </w:p>
    <w:p>
      <w:pPr>
        <w:pStyle w:val="BodyText"/>
        <w:spacing w:line="240" w:lineRule="auto"/>
        <w:ind w:left="0" w:right="148"/>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12" w:right="0"/>
              <w:jc w:val="left"/>
              <w:rPr>
                <w:rFonts w:ascii="Times New Roman" w:hAnsi="Times New Roman" w:cs="Times New Roman" w:eastAsia="Times New Roman" w:hint="default"/>
                <w:sz w:val="18"/>
                <w:szCs w:val="18"/>
              </w:rPr>
            </w:pPr>
            <w:r>
              <w:rPr>
                <w:rFonts w:ascii="Times New Roman"/>
                <w:sz w:val="18"/>
              </w:rPr>
              <w:t>3,063,748,858.59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09" w:right="0"/>
              <w:jc w:val="left"/>
              <w:rPr>
                <w:rFonts w:ascii="Times New Roman" w:hAnsi="Times New Roman" w:cs="Times New Roman" w:eastAsia="Times New Roman" w:hint="default"/>
                <w:sz w:val="18"/>
                <w:szCs w:val="18"/>
              </w:rPr>
            </w:pPr>
            <w:r>
              <w:rPr>
                <w:rFonts w:ascii="Times New Roman"/>
                <w:sz w:val="18"/>
              </w:rPr>
              <w:t>2,481,317,898.27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6" w:firstLine="3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spacing w:val="2"/>
                <w:sz w:val="18"/>
                <w:szCs w:val="18"/>
              </w:rPr>
              <w:t> </w:t>
            </w: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96,852,153.07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87,700,499.40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861,009,640.71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700,860,251.86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96,425,518.34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93,293,052.28</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15,622,710.97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89,421,765.36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113,937,218.05</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639,988,569.89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536,445,629.43</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44,623,643.03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31,601,803.04</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4,907,692,859.96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4,045,156,352.33</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194,922,782.68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147,872,963.94</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319,809,704.01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295,387,029.59</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4,533,261.86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2,206,760.66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390,829,567.46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315,571,943.07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2,178,039.07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40,164,673.32</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140,141,929.13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105,834,061.64</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1,898,762,995.14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1,898,762,995.14</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7,889,829.66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3,710,718.90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20,699,424.33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20,064,386.91</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2,979,767,533.34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2,829,575,533.17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7,887,460,393.30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6,874,731,885.50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151,275,493.62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201,600,000.00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6" w:firstLine="3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spacing w:val="2"/>
                <w:sz w:val="18"/>
                <w:szCs w:val="18"/>
              </w:rPr>
              <w:t> </w:t>
            </w:r>
            <w:r>
              <w:rPr>
                <w:rFonts w:ascii="宋体" w:hAnsi="宋体" w:cs="宋体" w:eastAsia="宋体" w:hint="default"/>
                <w:sz w:val="18"/>
                <w:szCs w:val="18"/>
              </w:rPr>
              <w:t>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56,364,184.41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22,722,506.30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941,797,132.48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645,297,426.98</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479,256,447.07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370,855,257.09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82,193,431.61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56,980,934.86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103,584,323.13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148,294,602.61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449,978.12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232,884.24</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904,982.61</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369,524,441.16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127,761,183.86</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77,743,677.66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2,262,189,109.26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1,574,649,778.55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73,083,200.70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71,622,584.42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75,662,956.49</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11,639,727.25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14,665,213.27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166,262,311.67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168,411,370.46</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2,428,451,420.93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1,743,061,149.01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1,172,196,195.00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1,150,221,154.00</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3,333,631,933.49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3,093,153,889.98</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240,127,352.00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41,669,428.77</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943,065.30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3,733,649.30</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39,498,354.35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20,778,280.26</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897,483,993.96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606,716,794.38</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5,203,626,190.10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4,832,934,339.15</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255,382,782.27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298,736,397.34</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5,459,008,972.37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5,131,670,736.49</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7,887,460,393.30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6,874,731,885.50</w:t>
            </w:r>
          </w:p>
        </w:tc>
      </w:tr>
    </w:tbl>
    <w:p>
      <w:pPr>
        <w:spacing w:line="240" w:lineRule="auto" w:before="2"/>
        <w:rPr>
          <w:rFonts w:ascii="Times New Roman" w:hAnsi="Times New Roman" w:cs="Times New Roman" w:eastAsia="Times New Roman" w:hint="default"/>
          <w:sz w:val="11"/>
          <w:szCs w:val="11"/>
        </w:rPr>
      </w:pPr>
    </w:p>
    <w:p>
      <w:pPr>
        <w:pStyle w:val="BodyText"/>
        <w:tabs>
          <w:tab w:pos="3466" w:val="left" w:leader="none"/>
          <w:tab w:pos="7458" w:val="left" w:leader="none"/>
        </w:tabs>
        <w:spacing w:line="240" w:lineRule="auto" w:before="36"/>
        <w:ind w:left="0" w:right="233"/>
        <w:jc w:val="right"/>
      </w:pPr>
      <w:r>
        <w:rPr>
          <w:spacing w:val="-1"/>
        </w:rPr>
        <w:t>法定代表人：陈江涛</w:t>
        <w:tab/>
      </w:r>
      <w:r>
        <w:rPr>
          <w:spacing w:val="-2"/>
        </w:rPr>
        <w:t>主管会计工作负责人：刘明</w:t>
        <w:tab/>
        <w:t>会计机构负责人：张琼</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、母公司资产负债表</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spacing w:val="-1"/>
        </w:rPr>
        <w:t>单位：元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1,604,397,410.24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1,354,667,187.53</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4"/>
              <w:ind w:left="12" w:right="6" w:firstLine="3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spacing w:val="2"/>
                <w:sz w:val="18"/>
                <w:szCs w:val="18"/>
              </w:rPr>
              <w:t> </w:t>
            </w:r>
            <w:r>
              <w:rPr>
                <w:rFonts w:ascii="宋体" w:hAnsi="宋体" w:cs="宋体" w:eastAsia="宋体" w:hint="default"/>
                <w:sz w:val="18"/>
                <w:szCs w:val="18"/>
              </w:rPr>
              <w:t>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3,527,660.00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5,094,700.00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150,598,760.08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171,825,348.66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10,615,030.02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35,228,340.39</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15,622,710.97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22,579,079.26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6,056,410.85</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37,165,060.65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33,158,020.57</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2,160,445.08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858,664.95</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1,846,666,156.30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1,606,888,672.95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168,300,000.00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130,068,699.00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2,850,024,030.34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2,856,834,401.03</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1,905,389.54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2,206,760.66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63,387,939.57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64,171,115.52</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514,879.85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2,326,546.83</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46,152,739.97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260,934.60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268,937.38</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4,795,230.01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5,613,486.28</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3,135,185,209.28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3,061,750,881.30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4,981,851,365.58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4,668,639,554.25</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133,100,000.00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6" w:firstLine="3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spacing w:val="2"/>
                <w:sz w:val="18"/>
                <w:szCs w:val="18"/>
              </w:rPr>
              <w:t> </w:t>
            </w:r>
            <w:r>
              <w:rPr>
                <w:rFonts w:ascii="宋体" w:hAnsi="宋体" w:cs="宋体" w:eastAsia="宋体" w:hint="default"/>
                <w:sz w:val="18"/>
                <w:szCs w:val="18"/>
              </w:rPr>
              <w:t>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57,605,001.83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63,179,657.16</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47,966,206.46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27,242,888.29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8,139,249.11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6,656,208.12</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3,161,464.71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17,419,987.33</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206,403.96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197,794.24</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904,982.61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234,443,922.75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28,950,451.61</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77,743,677.66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492,665,926.48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277,651,969.36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73,083,200.70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73,083,200.70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492,665,926.48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350,735,170.06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1,172,196,195.00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1,150,221,154.00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3,331,479,833.80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3,092,263,718.37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240,127,352.00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41,669,428.77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39,498,354.35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20,778,280.26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186,138,407.95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96,310,660.33</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4,489,185,439.10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4,317,904,384.19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4,981,851,365.58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4,668,639,554.25</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right="11"/>
        <w:jc w:val="left"/>
      </w:pPr>
      <w:r>
        <w:rPr>
          <w:rFonts w:ascii="Times New Roman" w:hAnsi="Times New Roman" w:cs="Times New Roman" w:eastAsia="Times New Roman" w:hint="default"/>
        </w:rPr>
        <w:t>3</w:t>
      </w:r>
      <w:r>
        <w:rPr/>
        <w:t>、合并利润表</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50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3,297,140,845.94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2,188,775,876.25</w:t>
            </w: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3,297,140,845.94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2,188,775,876.25</w:t>
            </w:r>
          </w:p>
        </w:tc>
      </w:tr>
      <w:tr>
        <w:trPr>
          <w:trHeight w:val="50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2,735,692,973.85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1,535,498,341.10</w:t>
            </w: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1,909,566,610.82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889,815,788.91</w:t>
            </w: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r>
        <w:rPr/>
        <w:pict>
          <v:group style="position:absolute;margin-left:211.009995pt;margin-top:474.369995pt;width:158.9pt;height:26.05pt;mso-position-horizontal-relative:page;mso-position-vertical-relative:page;z-index:-1196128" coordorigin="4220,9487" coordsize="3178,521">
            <v:group style="position:absolute;left:4231;top:9498;width:2;height:500" coordorigin="4231,9498" coordsize="2,500">
              <v:shape style="position:absolute;left:4231;top:9498;width:2;height:500" coordorigin="4231,9498" coordsize="0,500" path="m4231,9498l4231,9997e" filled="false" stroked="true" strokeweight="1.08pt" strokecolor="#ffffff">
                <v:path arrowok="t"/>
              </v:shape>
            </v:group>
            <v:group style="position:absolute;left:4242;top:9498;width:3157;height:500" coordorigin="4242,9498" coordsize="3157,500">
              <v:shape style="position:absolute;left:4242;top:9498;width:3157;height:500" coordorigin="4242,9498" coordsize="3157,500" path="m4242,9997l7398,9997,7398,9498,4242,9498,4242,9997xe" filled="true" fillcolor="#ffffff" stroked="false">
                <v:path arrowok="t"/>
                <v:fill type="solid"/>
              </v:shape>
            </v:group>
            <w10:wrap type="none"/>
          </v:group>
        </w:pict>
      </w:r>
      <w:r>
        <w:rPr/>
        <w:pict>
          <v:group style="position:absolute;margin-left:211.009995pt;margin-top:642.399963pt;width:158.9pt;height:26.05pt;mso-position-horizontal-relative:page;mso-position-vertical-relative:page;z-index:-1196104" coordorigin="4220,12848" coordsize="3178,521">
            <v:group style="position:absolute;left:4231;top:12859;width:2;height:500" coordorigin="4231,12859" coordsize="2,500">
              <v:shape style="position:absolute;left:4231;top:12859;width:2;height:500" coordorigin="4231,12859" coordsize="0,500" path="m4231,12859l4231,13358e" filled="false" stroked="true" strokeweight="1.08pt" strokecolor="#ffffff">
                <v:path arrowok="t"/>
              </v:shape>
            </v:group>
            <v:group style="position:absolute;left:4242;top:12859;width:3157;height:500" coordorigin="4242,12859" coordsize="3157,500">
              <v:shape style="position:absolute;left:4242;top:12859;width:3157;height:500" coordorigin="4242,12859" coordsize="3157,500" path="m4242,13358l7398,13358,7398,12859,4242,12859,4242,1335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1072"/>
        <w:gridCol w:w="2151"/>
        <w:gridCol w:w="3277"/>
      </w:tblGrid>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16,040,287.61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13,623,004.87</w:t>
            </w: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63" w:right="0"/>
              <w:jc w:val="left"/>
              <w:rPr>
                <w:rFonts w:ascii="Times New Roman" w:hAnsi="Times New Roman" w:cs="Times New Roman" w:eastAsia="Times New Roman" w:hint="default"/>
                <w:sz w:val="18"/>
                <w:szCs w:val="18"/>
              </w:rPr>
            </w:pPr>
            <w:r>
              <w:rPr>
                <w:rFonts w:ascii="Times New Roman"/>
                <w:sz w:val="18"/>
              </w:rPr>
              <w:t>279,955,116.77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228,098,449.39</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56" w:right="0"/>
              <w:jc w:val="left"/>
              <w:rPr>
                <w:rFonts w:ascii="Times New Roman" w:hAnsi="Times New Roman" w:cs="Times New Roman" w:eastAsia="Times New Roman" w:hint="default"/>
                <w:sz w:val="18"/>
                <w:szCs w:val="18"/>
              </w:rPr>
            </w:pPr>
            <w:r>
              <w:rPr>
                <w:rFonts w:ascii="Times New Roman"/>
                <w:sz w:val="18"/>
              </w:rPr>
              <w:t>531,201,105.38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368,695,759.85</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87" w:right="0"/>
              <w:jc w:val="left"/>
              <w:rPr>
                <w:rFonts w:ascii="Times New Roman" w:hAnsi="Times New Roman" w:cs="Times New Roman" w:eastAsia="Times New Roman" w:hint="default"/>
                <w:sz w:val="18"/>
                <w:szCs w:val="18"/>
              </w:rPr>
            </w:pPr>
            <w:r>
              <w:rPr>
                <w:rFonts w:ascii="Times New Roman"/>
                <w:sz w:val="18"/>
              </w:rPr>
              <w:t>-24,874,152.93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8,063,962.81</w:t>
            </w: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23,804,006.20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27,201,375.27</w:t>
            </w: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02" w:right="0"/>
              <w:jc w:val="left"/>
              <w:rPr>
                <w:rFonts w:ascii="宋体" w:hAnsi="宋体" w:cs="宋体" w:eastAsia="宋体" w:hint="default"/>
                <w:sz w:val="18"/>
                <w:szCs w:val="18"/>
              </w:rPr>
            </w:pPr>
            <w:r>
              <w:rPr>
                <w:rFonts w:ascii="宋体" w:hAnsi="宋体" w:cs="宋体" w:eastAsia="宋体" w:hint="default"/>
                <w:spacing w:val="9"/>
                <w:sz w:val="18"/>
                <w:szCs w:val="18"/>
              </w:rPr>
              <w:t>加：公允价值变动收益（损失以</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81" w:right="0"/>
              <w:jc w:val="left"/>
              <w:rPr>
                <w:rFonts w:ascii="宋体" w:hAnsi="宋体" w:cs="宋体" w:eastAsia="宋体" w:hint="default"/>
                <w:sz w:val="18"/>
                <w:szCs w:val="18"/>
              </w:rPr>
            </w:pPr>
            <w:r>
              <w:rPr>
                <w:rFonts w:ascii="宋体" w:hAnsi="宋体" w:cs="宋体" w:eastAsia="宋体" w:hint="default"/>
                <w:spacing w:val="9"/>
                <w:sz w:val="18"/>
                <w:szCs w:val="18"/>
              </w:rPr>
              <w:t>投资收益（损失以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36,612,833.41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14,767,520.75</w:t>
            </w:r>
          </w:p>
        </w:tc>
      </w:tr>
      <w:tr>
        <w:trPr>
          <w:trHeight w:val="81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6,845,946.66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11,493,948.94</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-409,174.94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-179,307.16</w:t>
            </w: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37,700,969.26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56" w:right="0"/>
              <w:jc w:val="left"/>
              <w:rPr>
                <w:rFonts w:ascii="Times New Roman" w:hAnsi="Times New Roman" w:cs="Times New Roman" w:eastAsia="Times New Roman" w:hint="default"/>
                <w:sz w:val="18"/>
                <w:szCs w:val="18"/>
              </w:rPr>
            </w:pPr>
            <w:r>
              <w:rPr>
                <w:rFonts w:ascii="Times New Roman"/>
                <w:sz w:val="18"/>
              </w:rPr>
              <w:t>635,352,499.82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667,865,748.74</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16,925,814.75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55,497,226.34</w:t>
            </w: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21,098,715.88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4,410,306.33</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10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996" w:right="0"/>
              <w:jc w:val="left"/>
              <w:rPr>
                <w:rFonts w:ascii="Times New Roman" w:hAnsi="Times New Roman" w:cs="Times New Roman" w:eastAsia="Times New Roman" w:hint="default"/>
                <w:sz w:val="18"/>
                <w:szCs w:val="18"/>
              </w:rPr>
            </w:pPr>
            <w:r>
              <w:rPr>
                <w:rFonts w:ascii="Times New Roman"/>
                <w:sz w:val="18"/>
              </w:rPr>
              <w:t>631,179,598.69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718,952,668.75</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56" w:right="0"/>
              <w:jc w:val="left"/>
              <w:rPr>
                <w:rFonts w:ascii="Times New Roman" w:hAnsi="Times New Roman" w:cs="Times New Roman" w:eastAsia="Times New Roman" w:hint="default"/>
                <w:sz w:val="18"/>
                <w:szCs w:val="18"/>
              </w:rPr>
            </w:pPr>
            <w:r>
              <w:rPr>
                <w:rFonts w:ascii="Times New Roman"/>
                <w:sz w:val="18"/>
              </w:rPr>
              <w:t>120,490,774.61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118,983,863.87</w:t>
            </w: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2056" w:right="0"/>
              <w:jc w:val="left"/>
              <w:rPr>
                <w:rFonts w:ascii="Times New Roman" w:hAnsi="Times New Roman" w:cs="Times New Roman" w:eastAsia="Times New Roman" w:hint="default"/>
                <w:sz w:val="18"/>
                <w:szCs w:val="18"/>
              </w:rPr>
            </w:pPr>
            <w:r>
              <w:rPr>
                <w:rFonts w:ascii="Times New Roman"/>
                <w:sz w:val="18"/>
              </w:rPr>
              <w:t>510,688,824.08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599,968,804.88</w:t>
            </w: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056" w:right="0"/>
              <w:jc w:val="left"/>
              <w:rPr>
                <w:rFonts w:ascii="Times New Roman" w:hAnsi="Times New Roman" w:cs="Times New Roman" w:eastAsia="Times New Roman" w:hint="default"/>
                <w:sz w:val="18"/>
                <w:szCs w:val="18"/>
              </w:rPr>
            </w:pPr>
            <w:r>
              <w:rPr>
                <w:rFonts w:ascii="Times New Roman"/>
                <w:sz w:val="18"/>
              </w:rPr>
              <w:t>510,688,824.08</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389,292,168.16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377,299,004.95</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121,396,655.92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222,669,799.93</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-2,790,584.00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2,485,134.81</w:t>
            </w:r>
          </w:p>
        </w:tc>
      </w:tr>
      <w:tr>
        <w:trPr>
          <w:trHeight w:val="81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 w:firstLine="190"/>
              <w:jc w:val="left"/>
              <w:rPr>
                <w:rFonts w:ascii="宋体" w:hAnsi="宋体" w:cs="宋体" w:eastAsia="宋体" w:hint="default"/>
                <w:sz w:val="18"/>
                <w:szCs w:val="18"/>
              </w:rPr>
            </w:pPr>
            <w:r>
              <w:rPr>
                <w:rFonts w:ascii="宋体" w:hAnsi="宋体" w:cs="宋体" w:eastAsia="宋体" w:hint="default"/>
                <w:spacing w:val="9"/>
                <w:sz w:val="18"/>
                <w:szCs w:val="18"/>
              </w:rPr>
              <w:t>归属母公司所有者的其他综合收益 </w:t>
            </w:r>
            <w:r>
              <w:rPr>
                <w:rFonts w:ascii="宋体" w:hAnsi="宋体" w:cs="宋体" w:eastAsia="宋体" w:hint="default"/>
                <w:sz w:val="18"/>
                <w:szCs w:val="18"/>
              </w:rPr>
              <w:t>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-2,790,584.00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2,485,134.81</w:t>
            </w: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2" w:right="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1"/>
              <w:ind w:left="22" w:right="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w:t>
            </w:r>
            <w:r>
              <w:rPr>
                <w:rFonts w:ascii="宋体" w:hAnsi="宋体" w:cs="宋体" w:eastAsia="宋体" w:hint="default"/>
                <w:spacing w:val="9"/>
                <w:sz w:val="18"/>
                <w:szCs w:val="18"/>
              </w:rPr>
              <w:t>能重分类进损益的其他综合收益中享</w:t>
            </w:r>
            <w:r>
              <w:rPr>
                <w:rFonts w:ascii="宋体" w:hAnsi="宋体" w:cs="宋体" w:eastAsia="宋体" w:hint="default"/>
                <w:spacing w:val="9"/>
                <w:sz w:val="18"/>
                <w:szCs w:val="18"/>
              </w:rPr>
              <w:t> </w:t>
            </w:r>
            <w:r>
              <w:rPr>
                <w:rFonts w:ascii="宋体" w:hAnsi="宋体" w:cs="宋体" w:eastAsia="宋体" w:hint="default"/>
                <w:sz w:val="18"/>
                <w:szCs w:val="18"/>
              </w:rPr>
              <w:t>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-2,790,584.00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2,485,134.81</w:t>
            </w:r>
          </w:p>
        </w:tc>
      </w:tr>
      <w:tr>
        <w:trPr>
          <w:trHeight w:val="113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1"/>
              <w:ind w:left="22" w:right="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w:t>
            </w:r>
            <w:r>
              <w:rPr>
                <w:rFonts w:ascii="宋体" w:hAnsi="宋体" w:cs="宋体" w:eastAsia="宋体" w:hint="default"/>
                <w:spacing w:val="9"/>
                <w:sz w:val="18"/>
                <w:szCs w:val="18"/>
              </w:rPr>
              <w:t>后将重分类进损益的其他综合收益中</w:t>
            </w:r>
            <w:r>
              <w:rPr>
                <w:rFonts w:ascii="宋体" w:hAnsi="宋体" w:cs="宋体" w:eastAsia="宋体" w:hint="default"/>
                <w:spacing w:val="9"/>
                <w:sz w:val="18"/>
                <w:szCs w:val="18"/>
              </w:rPr>
              <w:t> </w:t>
            </w:r>
            <w:r>
              <w:rPr>
                <w:rFonts w:ascii="宋体" w:hAnsi="宋体" w:cs="宋体" w:eastAsia="宋体" w:hint="default"/>
                <w:sz w:val="18"/>
                <w:szCs w:val="18"/>
              </w:rPr>
              <w:t>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2" w:right="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-2,790,584.00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2,485,134.81</w:t>
            </w:r>
          </w:p>
        </w:tc>
      </w:tr>
      <w:tr>
        <w:trPr>
          <w:trHeight w:val="509"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 w:firstLine="190"/>
              <w:jc w:val="left"/>
              <w:rPr>
                <w:rFonts w:ascii="宋体" w:hAnsi="宋体" w:cs="宋体" w:eastAsia="宋体" w:hint="default"/>
                <w:sz w:val="18"/>
                <w:szCs w:val="18"/>
              </w:rPr>
            </w:pPr>
            <w:r>
              <w:rPr>
                <w:rFonts w:ascii="宋体" w:hAnsi="宋体" w:cs="宋体" w:eastAsia="宋体" w:hint="default"/>
                <w:spacing w:val="9"/>
                <w:sz w:val="18"/>
                <w:szCs w:val="18"/>
              </w:rPr>
              <w:t>归属于少数股东的其他综合收益的 </w:t>
            </w:r>
            <w:r>
              <w:rPr>
                <w:rFonts w:ascii="宋体" w:hAnsi="宋体" w:cs="宋体" w:eastAsia="宋体" w:hint="default"/>
                <w:sz w:val="18"/>
                <w:szCs w:val="18"/>
              </w:rPr>
              <w:t>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507,898,240.08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602,453,939.69</w:t>
            </w:r>
          </w:p>
        </w:tc>
      </w:tr>
      <w:tr>
        <w:trPr>
          <w:trHeight w:val="82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02" w:right="0"/>
              <w:jc w:val="left"/>
              <w:rPr>
                <w:rFonts w:ascii="宋体" w:hAnsi="宋体" w:cs="宋体" w:eastAsia="宋体" w:hint="default"/>
                <w:sz w:val="18"/>
                <w:szCs w:val="18"/>
              </w:rPr>
            </w:pPr>
            <w:r>
              <w:rPr>
                <w:rFonts w:ascii="宋体" w:hAnsi="宋体" w:cs="宋体" w:eastAsia="宋体" w:hint="default"/>
                <w:spacing w:val="9"/>
                <w:sz w:val="18"/>
                <w:szCs w:val="18"/>
              </w:rPr>
              <w:t>归属于母公司所有者的综合收益</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386,501,584.16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379,784,139.76</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121,396,655.92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222,669,799.93</w:t>
            </w:r>
          </w:p>
        </w:tc>
      </w:tr>
      <w:tr>
        <w:trPr>
          <w:trHeight w:val="50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0.3726</w:t>
            </w:r>
          </w:p>
        </w:tc>
      </w:tr>
      <w:tr>
        <w:trPr>
          <w:trHeight w:val="509"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0.3387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0.3726</w:t>
            </w:r>
          </w:p>
        </w:tc>
      </w:tr>
    </w:tbl>
    <w:p>
      <w:pPr>
        <w:spacing w:line="240" w:lineRule="auto" w:before="2"/>
        <w:rPr>
          <w:rFonts w:ascii="Times New Roman" w:hAnsi="Times New Roman" w:cs="Times New Roman" w:eastAsia="Times New Roman" w:hint="default"/>
          <w:sz w:val="11"/>
          <w:szCs w:val="11"/>
        </w:rPr>
      </w:pPr>
    </w:p>
    <w:p>
      <w:pPr>
        <w:pStyle w:val="BodyText"/>
        <w:spacing w:line="384" w:lineRule="auto" w:before="36"/>
        <w:ind w:right="142" w:firstLine="420"/>
        <w:jc w:val="left"/>
      </w:pPr>
      <w:r>
        <w:rPr/>
        <w:t>本期发生同一控制下企业合并的，被合并方在合并前实现的净利润为：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4"/>
        </w:rPr>
        <w:t> </w:t>
      </w:r>
      <w:r>
        <w:rPr/>
        <w:t>元，上期被合并方实现的净</w:t>
      </w:r>
      <w:r>
        <w:rPr>
          <w:w w:val="100"/>
        </w:rPr>
        <w:t> </w:t>
      </w:r>
      <w:r>
        <w:rPr/>
        <w:t>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tabs>
          <w:tab w:pos="3360" w:val="left" w:leader="none"/>
          <w:tab w:pos="7455" w:val="left" w:leader="none"/>
        </w:tabs>
        <w:spacing w:line="240" w:lineRule="auto" w:before="139"/>
        <w:ind w:left="0" w:right="233"/>
        <w:jc w:val="right"/>
      </w:pPr>
      <w:r>
        <w:rPr>
          <w:spacing w:val="-1"/>
        </w:rPr>
        <w:t>法定代表人：陈江涛</w:t>
        <w:tab/>
      </w:r>
      <w:r>
        <w:rPr>
          <w:spacing w:val="-2"/>
        </w:rPr>
        <w:t>主管会计工作负责人：刘明</w:t>
        <w:tab/>
        <w:t>会计机构负责人：张琼</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4</w:t>
      </w:r>
      <w:r>
        <w:rPr/>
        <w:t>、母公司利润表</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146,655,108.86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158,422,016.30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74,903,607.30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52,457,642.24</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1,482,991.24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1,154,021.99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26,098,196.31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19,762,405.59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96,358,864.73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82,808,263.86</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-26,614,445.60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7,232,873.57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8,544,958.21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21,170,540.51</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744" w:right="0"/>
              <w:jc w:val="left"/>
              <w:rPr>
                <w:rFonts w:ascii="宋体" w:hAnsi="宋体" w:cs="宋体" w:eastAsia="宋体" w:hint="default"/>
                <w:sz w:val="18"/>
                <w:szCs w:val="18"/>
              </w:rPr>
            </w:pP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215,213,979.93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49,526,356.37</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11" w:firstLine="73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9,115,263.70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190,210,180.30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23,362,624.91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7,710,756.70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6,711,226.81</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8,749,964.53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4,201,915.02</w:t>
            </w: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9"/>
              <w:jc w:val="left"/>
              <w:rPr>
                <w:rFonts w:ascii="宋体" w:hAnsi="宋体" w:cs="宋体" w:eastAsia="宋体" w:hint="default"/>
                <w:sz w:val="18"/>
                <w:szCs w:val="18"/>
              </w:rPr>
            </w:pPr>
            <w:r>
              <w:rPr>
                <w:rFonts w:ascii="宋体" w:hAnsi="宋体" w:cs="宋体" w:eastAsia="宋体" w:hint="default"/>
                <w:spacing w:val="2"/>
                <w:sz w:val="18"/>
                <w:szCs w:val="18"/>
              </w:rPr>
              <w:t>三、利润总额（亏损总额以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79"/>
                <w:sz w:val="18"/>
                <w:szCs w:val="18"/>
              </w:rPr>
              <w:t> </w:t>
            </w: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189,170,972.47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25,871,936.70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818,256.27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-2,217,555.18</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188,352,716.20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28,089,491.88</w:t>
            </w: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6" w:firstLine="365"/>
              <w:jc w:val="left"/>
              <w:rPr>
                <w:rFonts w:ascii="宋体" w:hAnsi="宋体" w:cs="宋体" w:eastAsia="宋体" w:hint="default"/>
                <w:sz w:val="18"/>
                <w:szCs w:val="18"/>
              </w:rPr>
            </w:pPr>
            <w:r>
              <w:rPr>
                <w:rFonts w:ascii="宋体" w:hAnsi="宋体" w:cs="宋体" w:eastAsia="宋体" w:hint="default"/>
                <w:sz w:val="18"/>
                <w:szCs w:val="18"/>
              </w:rPr>
              <w:t>（一）持续经营净利润（净亏损</w:t>
            </w:r>
            <w:r>
              <w:rPr>
                <w:rFonts w:ascii="宋体" w:hAnsi="宋体" w:cs="宋体" w:eastAsia="宋体" w:hint="default"/>
                <w:spacing w:val="2"/>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6" w:firstLine="365"/>
              <w:jc w:val="left"/>
              <w:rPr>
                <w:rFonts w:ascii="宋体" w:hAnsi="宋体" w:cs="宋体" w:eastAsia="宋体" w:hint="default"/>
                <w:sz w:val="18"/>
                <w:szCs w:val="18"/>
              </w:rPr>
            </w:pPr>
            <w:r>
              <w:rPr>
                <w:rFonts w:ascii="宋体" w:hAnsi="宋体" w:cs="宋体" w:eastAsia="宋体" w:hint="default"/>
                <w:sz w:val="18"/>
                <w:szCs w:val="18"/>
              </w:rPr>
              <w:t>（二）终止经营净利润（净亏损</w:t>
            </w:r>
            <w:r>
              <w:rPr>
                <w:rFonts w:ascii="宋体" w:hAnsi="宋体" w:cs="宋体" w:eastAsia="宋体" w:hint="default"/>
                <w:spacing w:val="2"/>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6" w:firstLine="365"/>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r>
              <w:rPr>
                <w:rFonts w:ascii="宋体" w:hAnsi="宋体" w:cs="宋体" w:eastAsia="宋体" w:hint="default"/>
                <w:spacing w:val="2"/>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10" w:firstLine="9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w:t>
            </w:r>
            <w:r>
              <w:rPr>
                <w:rFonts w:ascii="宋体" w:hAnsi="宋体" w:cs="宋体" w:eastAsia="宋体" w:hint="default"/>
                <w:sz w:val="18"/>
                <w:szCs w:val="18"/>
              </w:rPr>
              <w:t>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1"/>
              <w:ind w:left="12" w:right="7" w:firstLine="92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w:t>
            </w:r>
            <w:r>
              <w:rPr>
                <w:rFonts w:ascii="宋体" w:hAnsi="宋体" w:cs="宋体" w:eastAsia="宋体" w:hint="default"/>
                <w:sz w:val="18"/>
                <w:szCs w:val="18"/>
              </w:rPr>
              <w:t> 不能重分类进损益的其他综合收益中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6" w:firstLine="365"/>
              <w:jc w:val="left"/>
              <w:rPr>
                <w:rFonts w:ascii="宋体" w:hAnsi="宋体" w:cs="宋体" w:eastAsia="宋体" w:hint="default"/>
                <w:sz w:val="18"/>
                <w:szCs w:val="18"/>
              </w:rPr>
            </w:pPr>
            <w:r>
              <w:rPr>
                <w:rFonts w:ascii="宋体" w:hAnsi="宋体" w:cs="宋体" w:eastAsia="宋体" w:hint="default"/>
                <w:sz w:val="18"/>
                <w:szCs w:val="18"/>
              </w:rPr>
              <w:t>（二）以后将重分类进损益的其</w:t>
            </w:r>
            <w:r>
              <w:rPr>
                <w:rFonts w:ascii="宋体" w:hAnsi="宋体" w:cs="宋体" w:eastAsia="宋体" w:hint="default"/>
                <w:spacing w:val="2"/>
                <w:sz w:val="18"/>
                <w:szCs w:val="18"/>
              </w:rPr>
              <w:t> </w:t>
            </w: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1"/>
              <w:ind w:left="12" w:right="7" w:firstLine="92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权益法下在被投资单位</w:t>
            </w:r>
            <w:r>
              <w:rPr>
                <w:rFonts w:ascii="宋体" w:hAnsi="宋体" w:cs="宋体" w:eastAsia="宋体" w:hint="default"/>
                <w:sz w:val="18"/>
                <w:szCs w:val="18"/>
              </w:rPr>
              <w:t> 以后将重分类进损益的其他综合收益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10" w:firstLine="9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w:t>
            </w:r>
            <w:r>
              <w:rPr>
                <w:rFonts w:ascii="宋体" w:hAnsi="宋体" w:cs="宋体" w:eastAsia="宋体" w:hint="default"/>
                <w:sz w:val="18"/>
                <w:szCs w:val="18"/>
              </w:rPr>
              <w:t>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10" w:firstLine="9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w:t>
            </w:r>
            <w:r>
              <w:rPr>
                <w:rFonts w:ascii="宋体" w:hAnsi="宋体" w:cs="宋体" w:eastAsia="宋体" w:hint="default"/>
                <w:sz w:val="18"/>
                <w:szCs w:val="18"/>
              </w:rPr>
              <w:t>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3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188,352,716.20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28,089,491.88</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right="11"/>
        <w:jc w:val="left"/>
      </w:pPr>
      <w:r>
        <w:rPr>
          <w:rFonts w:ascii="Times New Roman" w:hAnsi="Times New Roman" w:cs="Times New Roman" w:eastAsia="Times New Roman" w:hint="default"/>
        </w:rPr>
        <w:t>5</w:t>
      </w:r>
      <w:r>
        <w:rPr/>
        <w:t>、合并现金流量表</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3,442,607,496.00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2,608,950,220.85</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26,834,657.31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49,783,189.47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225,759,763.57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101,716,274.89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3,695,201,916.88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2,760,449,685.21</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1,833,845,714.68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1,326,555,450.85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461,632,622.16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315,424,702.51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316,600,569.60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206,055,652.18</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417,012,928.74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328,967,214.56</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3,029,091,835.18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2,177,003,020.10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666,110,081.70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583,446,665.11</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178,924,663.81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92,830,000.00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1,304,618.33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2,314,626.94</w:t>
            </w: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183,014.86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130,935.00</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6,803,997.20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-3,678,291.40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193,716,294.20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91,597,270.54</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92,263,820.31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14,441,955.69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218,664,000.00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2"/>
                <w:sz w:val="18"/>
              </w:rPr>
              <w:t>111,314,399.14</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11" w:firstLine="365"/>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-111,193,771.40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310,927,820.31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14,562,583.43</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2"/>
                <w:sz w:val="18"/>
              </w:rPr>
              <w:t>-117,211,526.11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77,034,687.11</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247,637,200.00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1,281,959,987.60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11"/>
              <w:jc w:val="right"/>
              <w:rPr>
                <w:rFonts w:ascii="宋体" w:hAnsi="宋体" w:cs="宋体" w:eastAsia="宋体" w:hint="default"/>
                <w:sz w:val="18"/>
                <w:szCs w:val="18"/>
              </w:rPr>
            </w:pPr>
            <w:r>
              <w:rPr>
                <w:rFonts w:ascii="宋体" w:hAnsi="宋体" w:cs="宋体" w:eastAsia="宋体" w:hint="default"/>
                <w:sz w:val="18"/>
                <w:szCs w:val="18"/>
              </w:rPr>
              <w:t>其中：子公司吸收少数股东投资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7,144,500.00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3,960,000.00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261,275,493.62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248,183,200.70</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463,506.83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509,376,200.45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1,535,143,188.30</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233,600,000.00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229,500,000.00</w:t>
            </w:r>
          </w:p>
        </w:tc>
      </w:tr>
      <w:tr>
        <w:trPr>
          <w:trHeight w:val="82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2" w:right="22" w:firstLine="365"/>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242,093,905.32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61,304,043.07</w:t>
            </w:r>
          </w:p>
        </w:tc>
      </w:tr>
      <w:tr>
        <w:trPr>
          <w:trHeight w:val="82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2" w:firstLine="365"/>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167,673,000.00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29,556,507.82</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8,906,391.31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1,913,762.50</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484,600,296.63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292,717,805.57</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24,775,903.82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1,242,425,382.73</w:t>
            </w:r>
          </w:p>
        </w:tc>
      </w:tr>
      <w:tr>
        <w:trPr>
          <w:trHeight w:val="81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8"/>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-2,223,462.43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1,967,120.48</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571,450,996.98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1,904,873,855.43</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2,449,710,697.04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544,836,841.61</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3,021,161,694.02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2,449,710,697.04</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right="11"/>
        <w:jc w:val="left"/>
      </w:pPr>
      <w:r>
        <w:rPr>
          <w:rFonts w:ascii="Times New Roman" w:hAnsi="Times New Roman" w:cs="Times New Roman" w:eastAsia="Times New Roman" w:hint="default"/>
        </w:rPr>
        <w:t>6</w:t>
      </w:r>
      <w:r>
        <w:rPr/>
        <w:t>、母公司现金流量表</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206,856,791.68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147,658,266.09</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9,115,263.70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6,600,792.81</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509,892,153.42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11,462,104.67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725,864,208.80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165,721,163.57</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104,652,457.13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82,574,060.42</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43,322,665.31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36,569,091.64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19,118,537.49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12,919,572.44</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524,177,196.03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44,929,300.65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691,270,855.96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176,992,025.15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34,593,352.84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-11,270,861.58</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175,024,663.81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11,031,000.00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197,300,000.00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49,361,780.27</w:t>
            </w: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956,868.40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372,324,663.81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61,349,648.67</w:t>
            </w:r>
          </w:p>
        </w:tc>
      </w:tr>
      <w:tr>
        <w:trPr>
          <w:trHeight w:val="82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8" w:firstLine="365"/>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spacing w:val="2"/>
                <w:sz w:val="18"/>
                <w:szCs w:val="18"/>
              </w:rPr>
              <w:t> </w:t>
            </w:r>
            <w:r>
              <w:rPr>
                <w:rFonts w:ascii="宋体" w:hAnsi="宋体" w:cs="宋体" w:eastAsia="宋体" w:hint="default"/>
                <w:sz w:val="18"/>
                <w:szCs w:val="18"/>
              </w:rPr>
              <w:t>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49,464,279.37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84,388.25</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129,950,000.00</w:t>
            </w:r>
          </w:p>
        </w:tc>
      </w:tr>
      <w:tr>
        <w:trPr>
          <w:trHeight w:val="8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1"/>
              <w:ind w:left="12" w:right="11" w:firstLine="365"/>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239,864,279.37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130,034,388.25</w:t>
            </w: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132,460,384.44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-68,684,739.58</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240,487,200.00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1,277,999,987.60</w:t>
            </w:r>
          </w:p>
        </w:tc>
      </w:tr>
      <w:tr>
        <w:trPr>
          <w:trHeight w:val="5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246,183,200.70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303,887,200.00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1,524,183,188.30</w:t>
            </w:r>
          </w:p>
        </w:tc>
      </w:tr>
      <w:tr>
        <w:trPr>
          <w:trHeight w:val="5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133,100,000.00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168,500,000.00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82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2" w:right="22" w:firstLine="365"/>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85,851,836.40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29,225,084.82</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2,299,484.21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1,913,762.50</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221,251,320.61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199,638,847.32</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82,635,879.39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1,324,544,340.98</w:t>
            </w:r>
          </w:p>
        </w:tc>
      </w:tr>
      <w:tr>
        <w:trPr>
          <w:trHeight w:val="81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8"/>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-53,772.31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-53,279.23</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249,635,844.36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1,244,535,460.59</w:t>
            </w:r>
          </w:p>
        </w:tc>
      </w:tr>
      <w:tr>
        <w:trPr>
          <w:trHeight w:val="5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1,351,719,710.14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107,184,249.55</w:t>
            </w:r>
          </w:p>
        </w:tc>
      </w:tr>
      <w:tr>
        <w:trPr>
          <w:trHeight w:val="50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1,601,355,554.50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1,351,719,710.14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3"/>
        <w:rPr>
          <w:rFonts w:ascii="Times New Roman" w:hAnsi="Times New Roman" w:cs="Times New Roman" w:eastAsia="Times New Roman" w:hint="default"/>
          <w:sz w:val="15"/>
          <w:szCs w:val="15"/>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33"/>
        <w:ind w:left="140" w:right="8264"/>
        <w:jc w:val="left"/>
      </w:pPr>
      <w:r>
        <w:rPr>
          <w:rFonts w:ascii="Times New Roman" w:hAnsi="Times New Roman" w:cs="Times New Roman" w:eastAsia="Times New Roman" w:hint="default"/>
        </w:rPr>
        <w:t>7</w:t>
      </w:r>
      <w:r>
        <w:rPr/>
        <w:t>、合并所有者权益变动表</w:t>
      </w:r>
    </w:p>
    <w:p>
      <w:pPr>
        <w:spacing w:line="240" w:lineRule="auto" w:before="3"/>
        <w:rPr>
          <w:rFonts w:ascii="黑体" w:hAnsi="黑体" w:cs="黑体" w:eastAsia="黑体" w:hint="default"/>
          <w:sz w:val="24"/>
          <w:szCs w:val="24"/>
        </w:rPr>
      </w:pPr>
    </w:p>
    <w:p>
      <w:pPr>
        <w:pStyle w:val="BodyText"/>
        <w:spacing w:line="240" w:lineRule="auto"/>
        <w:ind w:left="560" w:right="8264"/>
        <w:jc w:val="left"/>
      </w:pPr>
      <w:r>
        <w:rPr/>
        <w:t>本期金额</w:t>
      </w:r>
    </w:p>
    <w:p>
      <w:pPr>
        <w:spacing w:line="240" w:lineRule="auto" w:before="9"/>
        <w:rPr>
          <w:rFonts w:ascii="宋体" w:hAnsi="宋体" w:cs="宋体" w:eastAsia="宋体" w:hint="default"/>
          <w:sz w:val="19"/>
          <w:szCs w:val="19"/>
        </w:rPr>
      </w:pPr>
    </w:p>
    <w:p>
      <w:pPr>
        <w:pStyle w:val="BodyText"/>
        <w:spacing w:line="240" w:lineRule="auto" w:before="36"/>
        <w:ind w:left="0" w:right="251"/>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737"/>
        <w:gridCol w:w="1328"/>
        <w:gridCol w:w="430"/>
        <w:gridCol w:w="432"/>
        <w:gridCol w:w="434"/>
        <w:gridCol w:w="1315"/>
        <w:gridCol w:w="1181"/>
        <w:gridCol w:w="1061"/>
        <w:gridCol w:w="629"/>
        <w:gridCol w:w="1090"/>
        <w:gridCol w:w="629"/>
        <w:gridCol w:w="1181"/>
        <w:gridCol w:w="1241"/>
        <w:gridCol w:w="1318"/>
      </w:tblGrid>
      <w:tr>
        <w:trPr>
          <w:trHeight w:val="508" w:hRule="exact"/>
        </w:trPr>
        <w:tc>
          <w:tcPr>
            <w:tcW w:w="1737" w:type="dxa"/>
            <w:vMerge w:val="restart"/>
            <w:tcBorders>
              <w:top w:val="single" w:sz="4" w:space="0" w:color="000000"/>
              <w:left w:val="single" w:sz="4" w:space="0" w:color="000000"/>
              <w:right w:val="single" w:sz="4" w:space="0" w:color="000000"/>
            </w:tcBorders>
            <w:shd w:val="clear" w:color="auto" w:fill="D2D2D2"/>
          </w:tcPr>
          <w:p>
            <w:pPr/>
          </w:p>
        </w:tc>
        <w:tc>
          <w:tcPr>
            <w:tcW w:w="122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59" w:hRule="exact"/>
        </w:trPr>
        <w:tc>
          <w:tcPr>
            <w:tcW w:w="1737" w:type="dxa"/>
            <w:vMerge/>
            <w:tcBorders>
              <w:left w:val="single" w:sz="4" w:space="0" w:color="000000"/>
              <w:bottom w:val="nil" w:sz="6" w:space="0" w:color="auto"/>
              <w:right w:val="single" w:sz="4" w:space="0" w:color="000000"/>
            </w:tcBorders>
            <w:shd w:val="clear" w:color="auto" w:fill="D2D2D2"/>
          </w:tcPr>
          <w:p>
            <w:pPr/>
          </w:p>
        </w:tc>
        <w:tc>
          <w:tcPr>
            <w:tcW w:w="97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10" w:hRule="exact"/>
        </w:trPr>
        <w:tc>
          <w:tcPr>
            <w:tcW w:w="17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2D2D2"/>
          </w:tcPr>
          <w:p>
            <w:pPr/>
          </w:p>
        </w:tc>
        <w:tc>
          <w:tcPr>
            <w:tcW w:w="12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1"/>
              <w:ind w:left="2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98" w:hRule="exact"/>
        </w:trPr>
        <w:tc>
          <w:tcPr>
            <w:tcW w:w="1737"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c>
          <w:tcPr>
            <w:tcW w:w="1297" w:type="dxa"/>
            <w:gridSpan w:val="3"/>
            <w:vMerge/>
            <w:tcBorders>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4" w:hRule="exact"/>
        </w:trPr>
        <w:tc>
          <w:tcPr>
            <w:tcW w:w="1737" w:type="dxa"/>
            <w:vMerge/>
            <w:tcBorders>
              <w:left w:val="single" w:sz="4" w:space="0" w:color="000000"/>
              <w:bottom w:val="single" w:sz="4" w:space="0" w:color="FFFFFF"/>
              <w:right w:val="single" w:sz="4" w:space="0" w:color="000000"/>
            </w:tcBorders>
            <w:shd w:val="clear" w:color="auto" w:fill="D2D2D2"/>
          </w:tcPr>
          <w:p>
            <w:pPr/>
          </w:p>
        </w:tc>
        <w:tc>
          <w:tcPr>
            <w:tcW w:w="1328" w:type="dxa"/>
            <w:vMerge/>
            <w:tcBorders>
              <w:left w:val="single" w:sz="4" w:space="0" w:color="000000"/>
              <w:bottom w:val="single" w:sz="4" w:space="0" w:color="FFFFFF"/>
              <w:right w:val="single" w:sz="4" w:space="0" w:color="000000"/>
            </w:tcBorders>
            <w:shd w:val="clear" w:color="auto" w:fill="D2D2D2"/>
          </w:tcPr>
          <w:p>
            <w:pPr/>
          </w:p>
        </w:tc>
        <w:tc>
          <w:tcPr>
            <w:tcW w:w="1297" w:type="dxa"/>
            <w:gridSpan w:val="3"/>
            <w:vMerge/>
            <w:tcBorders>
              <w:left w:val="single" w:sz="4" w:space="0" w:color="000000"/>
              <w:bottom w:val="single" w:sz="4" w:space="0" w:color="FFFFFF"/>
              <w:right w:val="single" w:sz="4" w:space="0" w:color="000000"/>
            </w:tcBorders>
            <w:shd w:val="clear" w:color="auto" w:fill="D2D2D2"/>
          </w:tcPr>
          <w:p>
            <w:pPr/>
          </w:p>
        </w:tc>
        <w:tc>
          <w:tcPr>
            <w:tcW w:w="1315" w:type="dxa"/>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3" w:right="-5"/>
              <w:jc w:val="left"/>
              <w:rPr>
                <w:rFonts w:ascii="宋体" w:hAnsi="宋体" w:cs="宋体" w:eastAsia="宋体" w:hint="default"/>
                <w:sz w:val="18"/>
                <w:szCs w:val="18"/>
              </w:rPr>
            </w:pPr>
            <w:r>
              <w:rPr>
                <w:rFonts w:ascii="宋体" w:hAnsi="宋体" w:cs="宋体" w:eastAsia="宋体" w:hint="default"/>
                <w:spacing w:val="20"/>
                <w:sz w:val="18"/>
                <w:szCs w:val="18"/>
              </w:rPr>
              <w:t>其他综合收</w:t>
            </w:r>
            <w:r>
              <w:rPr>
                <w:rFonts w:ascii="宋体" w:hAnsi="宋体" w:cs="宋体" w:eastAsia="宋体" w:hint="default"/>
                <w:spacing w:val="-86"/>
                <w:sz w:val="18"/>
                <w:szCs w:val="18"/>
              </w:rPr>
              <w:t> </w:t>
            </w:r>
            <w:r>
              <w:rPr>
                <w:rFonts w:ascii="宋体" w:hAnsi="宋体" w:cs="宋体" w:eastAsia="宋体" w:hint="default"/>
                <w:sz w:val="18"/>
                <w:szCs w:val="18"/>
              </w:rPr>
              <w:t>益</w:t>
            </w: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4" w:right="2"/>
              <w:jc w:val="left"/>
              <w:rPr>
                <w:rFonts w:ascii="宋体" w:hAnsi="宋体" w:cs="宋体" w:eastAsia="宋体" w:hint="default"/>
                <w:sz w:val="18"/>
                <w:szCs w:val="18"/>
              </w:rPr>
            </w:pPr>
            <w:r>
              <w:rPr>
                <w:rFonts w:ascii="宋体" w:hAnsi="宋体" w:cs="宋体" w:eastAsia="宋体" w:hint="default"/>
                <w:spacing w:val="10"/>
                <w:sz w:val="18"/>
                <w:szCs w:val="18"/>
              </w:rPr>
              <w:t>专项储</w:t>
            </w:r>
            <w:r>
              <w:rPr>
                <w:rFonts w:ascii="宋体" w:hAnsi="宋体" w:cs="宋体" w:eastAsia="宋体" w:hint="default"/>
                <w:spacing w:val="-74"/>
                <w:sz w:val="18"/>
                <w:szCs w:val="18"/>
              </w:rPr>
              <w:t> </w:t>
            </w:r>
            <w:r>
              <w:rPr>
                <w:rFonts w:ascii="宋体" w:hAnsi="宋体" w:cs="宋体" w:eastAsia="宋体" w:hint="default"/>
                <w:sz w:val="18"/>
                <w:szCs w:val="18"/>
              </w:rPr>
              <w:t>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3" w:right="3"/>
              <w:jc w:val="left"/>
              <w:rPr>
                <w:rFonts w:ascii="宋体" w:hAnsi="宋体" w:cs="宋体" w:eastAsia="宋体" w:hint="default"/>
                <w:sz w:val="18"/>
                <w:szCs w:val="18"/>
              </w:rPr>
            </w:pPr>
            <w:r>
              <w:rPr>
                <w:rFonts w:ascii="宋体" w:hAnsi="宋体" w:cs="宋体" w:eastAsia="宋体" w:hint="default"/>
                <w:spacing w:val="10"/>
                <w:sz w:val="18"/>
                <w:szCs w:val="18"/>
              </w:rPr>
              <w:t>一般风</w:t>
            </w:r>
            <w:r>
              <w:rPr>
                <w:rFonts w:ascii="宋体" w:hAnsi="宋体" w:cs="宋体" w:eastAsia="宋体" w:hint="default"/>
                <w:spacing w:val="-74"/>
                <w:sz w:val="18"/>
                <w:szCs w:val="18"/>
              </w:rPr>
              <w:t> </w:t>
            </w:r>
            <w:r>
              <w:rPr>
                <w:rFonts w:ascii="宋体" w:hAnsi="宋体" w:cs="宋体" w:eastAsia="宋体" w:hint="default"/>
                <w:sz w:val="18"/>
                <w:szCs w:val="18"/>
              </w:rPr>
              <w:t>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1737" w:type="dxa"/>
            <w:vMerge w:val="restart"/>
            <w:tcBorders>
              <w:top w:val="single" w:sz="4" w:space="0" w:color="FFFFFF"/>
              <w:left w:val="single" w:sz="4" w:space="0" w:color="000000"/>
              <w:right w:val="single" w:sz="4" w:space="0" w:color="000000"/>
            </w:tcBorders>
            <w:shd w:val="clear" w:color="auto" w:fill="D2D2D2"/>
          </w:tcPr>
          <w:p>
            <w:pPr/>
          </w:p>
        </w:tc>
        <w:tc>
          <w:tcPr>
            <w:tcW w:w="132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3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1" w:right="8"/>
              <w:jc w:val="left"/>
              <w:rPr>
                <w:rFonts w:ascii="宋体" w:hAnsi="宋体" w:cs="宋体" w:eastAsia="宋体" w:hint="default"/>
                <w:sz w:val="18"/>
                <w:szCs w:val="18"/>
              </w:rPr>
            </w:pPr>
            <w:r>
              <w:rPr>
                <w:rFonts w:ascii="宋体" w:hAnsi="宋体" w:cs="宋体" w:eastAsia="宋体" w:hint="default"/>
                <w:spacing w:val="14"/>
                <w:sz w:val="18"/>
                <w:szCs w:val="18"/>
              </w:rPr>
              <w:t>优先 </w:t>
            </w:r>
            <w:r>
              <w:rPr>
                <w:rFonts w:ascii="宋体" w:hAnsi="宋体" w:cs="宋体" w:eastAsia="宋体" w:hint="default"/>
                <w:sz w:val="18"/>
                <w:szCs w:val="18"/>
              </w:rPr>
              <w:t>股</w:t>
            </w:r>
          </w:p>
        </w:tc>
        <w:tc>
          <w:tcPr>
            <w:tcW w:w="43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14"/>
                <w:sz w:val="18"/>
                <w:szCs w:val="18"/>
              </w:rPr>
              <w:t>永续 </w:t>
            </w:r>
            <w:r>
              <w:rPr>
                <w:rFonts w:ascii="宋体" w:hAnsi="宋体" w:cs="宋体" w:eastAsia="宋体" w:hint="default"/>
                <w:sz w:val="18"/>
                <w:szCs w:val="18"/>
              </w:rPr>
              <w:t>债</w:t>
            </w:r>
          </w:p>
        </w:tc>
        <w:tc>
          <w:tcPr>
            <w:tcW w:w="434" w:type="dxa"/>
            <w:tcBorders>
              <w:top w:val="single" w:sz="4" w:space="0" w:color="FFFFFF"/>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1"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29"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50" w:hRule="exact"/>
        </w:trPr>
        <w:tc>
          <w:tcPr>
            <w:tcW w:w="1737"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4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737" w:type="dxa"/>
            <w:vMerge/>
            <w:tcBorders>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96" w:hRule="exact"/>
        </w:trPr>
        <w:tc>
          <w:tcPr>
            <w:tcW w:w="1737"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434"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61"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430" w:type="dxa"/>
            <w:vMerge/>
            <w:tcBorders>
              <w:left w:val="single" w:sz="4" w:space="0" w:color="000000"/>
              <w:bottom w:val="single" w:sz="4" w:space="0" w:color="000000"/>
              <w:right w:val="single" w:sz="4" w:space="0" w:color="000000"/>
            </w:tcBorders>
            <w:shd w:val="clear" w:color="auto" w:fill="D2D2D2"/>
          </w:tcPr>
          <w:p>
            <w:pPr/>
          </w:p>
        </w:tc>
        <w:tc>
          <w:tcPr>
            <w:tcW w:w="432" w:type="dxa"/>
            <w:vMerge/>
            <w:tcBorders>
              <w:left w:val="single" w:sz="4" w:space="0" w:color="000000"/>
              <w:bottom w:val="single" w:sz="4" w:space="0" w:color="000000"/>
              <w:right w:val="single" w:sz="4" w:space="0" w:color="000000"/>
            </w:tcBorders>
            <w:shd w:val="clear" w:color="auto" w:fill="D2D2D2"/>
          </w:tcPr>
          <w:p>
            <w:pPr/>
          </w:p>
        </w:tc>
        <w:tc>
          <w:tcPr>
            <w:tcW w:w="4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1,150,221,154.00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3,093,153,889.98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41,669,428.77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3,733,649.30</w:t>
            </w: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20,778,280.26</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606,716,794.38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298,736,397.34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5,131,670,736.49</w:t>
            </w:r>
          </w:p>
        </w:tc>
      </w:tr>
      <w:tr>
        <w:trPr>
          <w:trHeight w:val="821"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91" w:right="0"/>
              <w:jc w:val="left"/>
              <w:rPr>
                <w:rFonts w:ascii="宋体" w:hAnsi="宋体" w:cs="宋体" w:eastAsia="宋体" w:hint="default"/>
                <w:sz w:val="18"/>
                <w:szCs w:val="18"/>
              </w:rPr>
            </w:pPr>
            <w:r>
              <w:rPr>
                <w:rFonts w:ascii="宋体" w:hAnsi="宋体" w:cs="宋体" w:eastAsia="宋体" w:hint="default"/>
                <w:spacing w:val="8"/>
                <w:sz w:val="18"/>
                <w:szCs w:val="18"/>
              </w:rPr>
              <w:t>加：会计政策变</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28"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73" w:right="0"/>
              <w:jc w:val="left"/>
              <w:rPr>
                <w:rFonts w:ascii="宋体" w:hAnsi="宋体" w:cs="宋体" w:eastAsia="宋体" w:hint="default"/>
                <w:sz w:val="18"/>
                <w:szCs w:val="18"/>
              </w:rPr>
            </w:pPr>
            <w:r>
              <w:rPr>
                <w:rFonts w:ascii="宋体" w:hAnsi="宋体" w:cs="宋体" w:eastAsia="宋体" w:hint="default"/>
                <w:spacing w:val="7"/>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28"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773" w:right="0"/>
              <w:jc w:val="left"/>
              <w:rPr>
                <w:rFonts w:ascii="宋体" w:hAnsi="宋体" w:cs="宋体" w:eastAsia="宋体" w:hint="default"/>
                <w:sz w:val="18"/>
                <w:szCs w:val="18"/>
              </w:rPr>
            </w:pPr>
            <w:r>
              <w:rPr>
                <w:rFonts w:ascii="宋体" w:hAnsi="宋体" w:cs="宋体" w:eastAsia="宋体" w:hint="default"/>
                <w:spacing w:val="7"/>
                <w:sz w:val="18"/>
                <w:szCs w:val="18"/>
              </w:rPr>
              <w:t>同一控制下</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28"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1,150,221,154.00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3,093,153,889.98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41,669,428.77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3,733,649.30</w:t>
            </w: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20,778,280.26</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18"/>
                <w:szCs w:val="18"/>
              </w:rPr>
            </w:pPr>
            <w:r>
              <w:rPr>
                <w:rFonts w:ascii="Times New Roman"/>
                <w:sz w:val="18"/>
              </w:rPr>
              <w:t>606,716,794.38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298,736,397.34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5,131,670,736.49</w:t>
            </w:r>
          </w:p>
        </w:tc>
      </w:tr>
      <w:tr>
        <w:trPr>
          <w:trHeight w:val="1133"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04"/>
              <w:ind w:left="11" w:right="-4"/>
              <w:jc w:val="both"/>
              <w:rPr>
                <w:rFonts w:ascii="宋体" w:hAnsi="宋体" w:cs="宋体" w:eastAsia="宋体" w:hint="default"/>
                <w:sz w:val="18"/>
                <w:szCs w:val="18"/>
              </w:rPr>
            </w:pPr>
            <w:r>
              <w:rPr>
                <w:rFonts w:ascii="宋体" w:hAnsi="宋体" w:cs="宋体" w:eastAsia="宋体" w:hint="default"/>
                <w:spacing w:val="8"/>
                <w:sz w:val="18"/>
                <w:szCs w:val="18"/>
              </w:rPr>
              <w:t>三、本期增减变动金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额（减少以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21,975,041.00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240,478,043.51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198,457,923.23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-2,790,584.00</w:t>
            </w: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18,720,074.09</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290,767,199.58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-43,353,615.07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327,338,235.88</w:t>
            </w:r>
          </w:p>
        </w:tc>
      </w:tr>
    </w:tbl>
    <w:p>
      <w:pPr>
        <w:spacing w:after="0" w:line="240" w:lineRule="auto"/>
        <w:jc w:val="right"/>
        <w:rPr>
          <w:rFonts w:ascii="Times New Roman" w:hAnsi="Times New Roman" w:cs="Times New Roman" w:eastAsia="Times New Roman" w:hint="default"/>
          <w:sz w:val="18"/>
          <w:szCs w:val="18"/>
        </w:rPr>
        <w:sectPr>
          <w:headerReference w:type="default" r:id="rId52"/>
          <w:footerReference w:type="default" r:id="rId53"/>
          <w:pgSz w:w="16840" w:h="11910" w:orient="landscape"/>
          <w:pgMar w:header="882" w:footer="1132" w:top="1100" w:bottom="1320" w:left="1300" w:right="1280"/>
          <w:pgNumType w:start="140"/>
        </w:sectPr>
      </w:pPr>
    </w:p>
    <w:p>
      <w:pPr>
        <w:spacing w:line="240" w:lineRule="auto" w:before="9"/>
        <w:rPr>
          <w:rFonts w:ascii="Times New Roman" w:hAnsi="Times New Roman" w:cs="Times New Roman" w:eastAsia="Times New Roman" w:hint="default"/>
          <w:sz w:val="14"/>
          <w:szCs w:val="14"/>
        </w:rPr>
      </w:pPr>
      <w:r>
        <w:rPr/>
        <w:pict>
          <v:group style="position:absolute;margin-left:158.779999pt;margin-top:347.950012pt;width:64.2pt;height:26.05pt;mso-position-horizontal-relative:page;mso-position-vertical-relative:page;z-index:-1196056" coordorigin="3176,6959" coordsize="1284,521">
            <v:group style="position:absolute;left:3188;top:6971;width:2;height:497" coordorigin="3188,6971" coordsize="2,497">
              <v:shape style="position:absolute;left:3188;top:6971;width:2;height:497" coordorigin="3188,6971" coordsize="0,497" path="m3188,6971l3188,7468e" filled="false" stroked="true" strokeweight="1.2pt" strokecolor="#ffffff">
                <v:path arrowok="t"/>
              </v:shape>
            </v:group>
            <v:group style="position:absolute;left:3200;top:6971;width:1260;height:497" coordorigin="3200,6971" coordsize="1260,497">
              <v:shape style="position:absolute;left:3200;top:6971;width:1260;height:497" coordorigin="3200,6971" coordsize="1260,497" path="m3200,7468l4460,7468,4460,6971,3200,6971,3200,746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60"/>
        <w:gridCol w:w="1318"/>
        <w:gridCol w:w="430"/>
        <w:gridCol w:w="432"/>
        <w:gridCol w:w="434"/>
        <w:gridCol w:w="1315"/>
        <w:gridCol w:w="1181"/>
        <w:gridCol w:w="1061"/>
        <w:gridCol w:w="629"/>
        <w:gridCol w:w="1090"/>
        <w:gridCol w:w="629"/>
        <w:gridCol w:w="1181"/>
        <w:gridCol w:w="1241"/>
        <w:gridCol w:w="1318"/>
      </w:tblGrid>
      <w:tr>
        <w:trPr>
          <w:trHeight w:val="521" w:hRule="exact"/>
        </w:trPr>
        <w:tc>
          <w:tcPr>
            <w:tcW w:w="176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18" w:type="dxa"/>
            <w:tcBorders>
              <w:top w:val="single" w:sz="10" w:space="0" w:color="000000"/>
              <w:left w:val="single" w:sz="4" w:space="0" w:color="000000"/>
              <w:bottom w:val="single" w:sz="4" w:space="0" w:color="000000"/>
              <w:right w:val="single" w:sz="4" w:space="0" w:color="000000"/>
            </w:tcBorders>
          </w:tcPr>
          <w:p>
            <w:pPr/>
          </w:p>
        </w:tc>
        <w:tc>
          <w:tcPr>
            <w:tcW w:w="430" w:type="dxa"/>
            <w:tcBorders>
              <w:top w:val="single" w:sz="10" w:space="0" w:color="000000"/>
              <w:left w:val="single" w:sz="4" w:space="0" w:color="000000"/>
              <w:bottom w:val="single" w:sz="4" w:space="0" w:color="000000"/>
              <w:right w:val="single" w:sz="4" w:space="0" w:color="000000"/>
            </w:tcBorders>
          </w:tcPr>
          <w:p>
            <w:pPr/>
          </w:p>
        </w:tc>
        <w:tc>
          <w:tcPr>
            <w:tcW w:w="432" w:type="dxa"/>
            <w:tcBorders>
              <w:top w:val="single" w:sz="10" w:space="0" w:color="000000"/>
              <w:left w:val="single" w:sz="4" w:space="0" w:color="000000"/>
              <w:bottom w:val="single" w:sz="4" w:space="0" w:color="000000"/>
              <w:right w:val="single" w:sz="4" w:space="0" w:color="000000"/>
            </w:tcBorders>
          </w:tcPr>
          <w:p>
            <w:pPr/>
          </w:p>
        </w:tc>
        <w:tc>
          <w:tcPr>
            <w:tcW w:w="434" w:type="dxa"/>
            <w:tcBorders>
              <w:top w:val="single" w:sz="10" w:space="0" w:color="000000"/>
              <w:left w:val="single" w:sz="4" w:space="0" w:color="000000"/>
              <w:bottom w:val="single" w:sz="4" w:space="0" w:color="000000"/>
              <w:right w:val="single" w:sz="4" w:space="0" w:color="000000"/>
            </w:tcBorders>
          </w:tcPr>
          <w:p>
            <w:pPr/>
          </w:p>
        </w:tc>
        <w:tc>
          <w:tcPr>
            <w:tcW w:w="1315"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629" w:type="dxa"/>
            <w:tcBorders>
              <w:top w:val="single" w:sz="10" w:space="0" w:color="000000"/>
              <w:left w:val="single" w:sz="4" w:space="0" w:color="000000"/>
              <w:bottom w:val="single" w:sz="4" w:space="0" w:color="000000"/>
              <w:right w:val="single" w:sz="4" w:space="0" w:color="000000"/>
            </w:tcBorders>
          </w:tcPr>
          <w:p>
            <w:pPr/>
          </w:p>
        </w:tc>
        <w:tc>
          <w:tcPr>
            <w:tcW w:w="1090" w:type="dxa"/>
            <w:tcBorders>
              <w:top w:val="single" w:sz="10" w:space="0" w:color="000000"/>
              <w:left w:val="single" w:sz="4" w:space="0" w:color="000000"/>
              <w:bottom w:val="single" w:sz="4" w:space="0" w:color="000000"/>
              <w:right w:val="single" w:sz="4" w:space="0" w:color="000000"/>
            </w:tcBorders>
          </w:tcPr>
          <w:p>
            <w:pPr/>
          </w:p>
        </w:tc>
        <w:tc>
          <w:tcPr>
            <w:tcW w:w="629"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389,292,168.16</w:t>
            </w:r>
          </w:p>
        </w:tc>
        <w:tc>
          <w:tcPr>
            <w:tcW w:w="12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121,396,655.92</w:t>
            </w:r>
          </w:p>
        </w:tc>
        <w:tc>
          <w:tcPr>
            <w:tcW w:w="13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510,688,824.08</w:t>
            </w:r>
          </w:p>
        </w:tc>
      </w:tr>
      <w:tr>
        <w:trPr>
          <w:trHeight w:val="82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减少资本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21,975,041.00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239,216,115.43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198,457,923.23</w:t>
            </w: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7,144,500.00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69,877,733.20</w:t>
            </w:r>
          </w:p>
        </w:tc>
      </w:tr>
      <w:tr>
        <w:trPr>
          <w:trHeight w:val="5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22,860,000.00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210,588,015.43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7,144,500.00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240,592,515.43</w:t>
            </w:r>
          </w:p>
        </w:tc>
      </w:tr>
      <w:tr>
        <w:trPr>
          <w:trHeight w:val="82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28,628,100.00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198,457,923.23</w:t>
            </w: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-169,829,823.23</w:t>
            </w:r>
          </w:p>
        </w:tc>
      </w:tr>
      <w:tr>
        <w:trPr>
          <w:trHeight w:val="5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-884,959.00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-884,959.00</w:t>
            </w: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18,720,074.09</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3" w:right="0"/>
              <w:jc w:val="center"/>
              <w:rPr>
                <w:rFonts w:ascii="Times New Roman" w:hAnsi="Times New Roman" w:cs="Times New Roman" w:eastAsia="Times New Roman" w:hint="default"/>
                <w:sz w:val="18"/>
                <w:szCs w:val="18"/>
              </w:rPr>
            </w:pPr>
            <w:r>
              <w:rPr>
                <w:rFonts w:ascii="Times New Roman"/>
                <w:sz w:val="18"/>
              </w:rPr>
              <w:t>-98,524,968.58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-166,773,000.00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-246,577,894.49</w:t>
            </w: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18,720,074.09</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center"/>
              <w:rPr>
                <w:rFonts w:ascii="Times New Roman" w:hAnsi="Times New Roman" w:cs="Times New Roman" w:eastAsia="Times New Roman" w:hint="default"/>
                <w:sz w:val="18"/>
                <w:szCs w:val="18"/>
              </w:rPr>
            </w:pPr>
            <w:r>
              <w:rPr>
                <w:rFonts w:ascii="Times New Roman"/>
                <w:sz w:val="18"/>
              </w:rPr>
              <w:t>-18,720,074.09</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3" w:right="10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．对所有者（或股东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的分配</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-79,804,894.49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-166,773,000.00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-246,577,894.49</w:t>
            </w: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4"/>
              <w:jc w:val="left"/>
              <w:rPr>
                <w:rFonts w:ascii="宋体" w:hAnsi="宋体" w:cs="宋体" w:eastAsia="宋体" w:hint="default"/>
                <w:sz w:val="18"/>
                <w:szCs w:val="18"/>
              </w:rPr>
            </w:pPr>
            <w:r>
              <w:rPr>
                <w:rFonts w:ascii="宋体" w:hAnsi="宋体" w:cs="宋体" w:eastAsia="宋体" w:hint="default"/>
                <w:spacing w:val="8"/>
                <w:sz w:val="18"/>
                <w:szCs w:val="18"/>
              </w:rPr>
              <w:t>（四）所有者权益内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部结转</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76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tcBorders>
              <w:top w:val="single" w:sz="4" w:space="0" w:color="000000"/>
              <w:left w:val="single" w:sz="4" w:space="0" w:color="000000"/>
              <w:bottom w:val="single" w:sz="4" w:space="0" w:color="FFFFFF"/>
              <w:right w:val="single" w:sz="4" w:space="0" w:color="000000"/>
            </w:tcBorders>
          </w:tcPr>
          <w:p>
            <w:pPr/>
          </w:p>
        </w:tc>
        <w:tc>
          <w:tcPr>
            <w:tcW w:w="430" w:type="dxa"/>
            <w:tcBorders>
              <w:top w:val="single" w:sz="4" w:space="0" w:color="000000"/>
              <w:left w:val="single" w:sz="4" w:space="0" w:color="000000"/>
              <w:bottom w:val="single" w:sz="4" w:space="0" w:color="FFFFFF"/>
              <w:right w:val="single" w:sz="4" w:space="0" w:color="000000"/>
            </w:tcBorders>
          </w:tcPr>
          <w:p>
            <w:pPr/>
          </w:p>
        </w:tc>
        <w:tc>
          <w:tcPr>
            <w:tcW w:w="432" w:type="dxa"/>
            <w:tcBorders>
              <w:top w:val="single" w:sz="4" w:space="0" w:color="000000"/>
              <w:left w:val="single" w:sz="4" w:space="0" w:color="000000"/>
              <w:bottom w:val="single" w:sz="4" w:space="0" w:color="FFFFFF"/>
              <w:right w:val="single" w:sz="4" w:space="0" w:color="000000"/>
            </w:tcBorders>
          </w:tcPr>
          <w:p>
            <w:pPr/>
          </w:p>
        </w:tc>
        <w:tc>
          <w:tcPr>
            <w:tcW w:w="434" w:type="dxa"/>
            <w:tcBorders>
              <w:top w:val="single" w:sz="4" w:space="0" w:color="000000"/>
              <w:left w:val="single" w:sz="4" w:space="0" w:color="000000"/>
              <w:bottom w:val="single" w:sz="4" w:space="0" w:color="FFFFFF"/>
              <w:right w:val="single" w:sz="4" w:space="0" w:color="000000"/>
            </w:tcBorders>
          </w:tcPr>
          <w:p>
            <w:pPr/>
          </w:p>
        </w:tc>
        <w:tc>
          <w:tcPr>
            <w:tcW w:w="1315" w:type="dxa"/>
            <w:tcBorders>
              <w:top w:val="single" w:sz="4" w:space="0" w:color="000000"/>
              <w:left w:val="single" w:sz="4" w:space="0" w:color="000000"/>
              <w:bottom w:val="single" w:sz="4" w:space="0" w:color="FFFFFF"/>
              <w:right w:val="single" w:sz="4" w:space="0" w:color="000000"/>
            </w:tcBorders>
          </w:tcPr>
          <w:p>
            <w:pPr/>
          </w:p>
        </w:tc>
        <w:tc>
          <w:tcPr>
            <w:tcW w:w="1181" w:type="dxa"/>
            <w:tcBorders>
              <w:top w:val="single" w:sz="4" w:space="0" w:color="000000"/>
              <w:left w:val="single" w:sz="4" w:space="0" w:color="000000"/>
              <w:bottom w:val="single" w:sz="4" w:space="0" w:color="FFFFFF"/>
              <w:right w:val="single" w:sz="4" w:space="0" w:color="000000"/>
            </w:tcBorders>
          </w:tcPr>
          <w:p>
            <w:pPr/>
          </w:p>
        </w:tc>
        <w:tc>
          <w:tcPr>
            <w:tcW w:w="1061" w:type="dxa"/>
            <w:tcBorders>
              <w:top w:val="single" w:sz="4" w:space="0" w:color="000000"/>
              <w:left w:val="single" w:sz="4" w:space="0" w:color="000000"/>
              <w:bottom w:val="single" w:sz="4" w:space="0" w:color="FFFFFF"/>
              <w:right w:val="single" w:sz="4" w:space="0" w:color="000000"/>
            </w:tcBorders>
          </w:tcPr>
          <w:p>
            <w:pPr/>
          </w:p>
        </w:tc>
        <w:tc>
          <w:tcPr>
            <w:tcW w:w="629" w:type="dxa"/>
            <w:tcBorders>
              <w:top w:val="single" w:sz="4" w:space="0" w:color="000000"/>
              <w:left w:val="single" w:sz="4" w:space="0" w:color="000000"/>
              <w:bottom w:val="single" w:sz="4" w:space="0" w:color="FFFFFF"/>
              <w:right w:val="single" w:sz="4" w:space="0" w:color="000000"/>
            </w:tcBorders>
          </w:tcPr>
          <w:p>
            <w:pPr/>
          </w:p>
        </w:tc>
        <w:tc>
          <w:tcPr>
            <w:tcW w:w="1090" w:type="dxa"/>
            <w:tcBorders>
              <w:top w:val="single" w:sz="4" w:space="0" w:color="000000"/>
              <w:left w:val="single" w:sz="4" w:space="0" w:color="000000"/>
              <w:bottom w:val="single" w:sz="4" w:space="0" w:color="FFFFFF"/>
              <w:right w:val="single" w:sz="4" w:space="0" w:color="000000"/>
            </w:tcBorders>
          </w:tcPr>
          <w:p>
            <w:pPr/>
          </w:p>
        </w:tc>
        <w:tc>
          <w:tcPr>
            <w:tcW w:w="629" w:type="dxa"/>
            <w:tcBorders>
              <w:top w:val="single" w:sz="4" w:space="0" w:color="000000"/>
              <w:left w:val="single" w:sz="4" w:space="0" w:color="000000"/>
              <w:bottom w:val="single" w:sz="4" w:space="0" w:color="FFFFFF"/>
              <w:right w:val="single" w:sz="4" w:space="0" w:color="000000"/>
            </w:tcBorders>
          </w:tcPr>
          <w:p>
            <w:pPr/>
          </w:p>
        </w:tc>
        <w:tc>
          <w:tcPr>
            <w:tcW w:w="1181" w:type="dxa"/>
            <w:tcBorders>
              <w:top w:val="single" w:sz="4" w:space="0" w:color="000000"/>
              <w:left w:val="single" w:sz="4" w:space="0" w:color="000000"/>
              <w:bottom w:val="single" w:sz="4" w:space="0" w:color="FFFFFF"/>
              <w:right w:val="single" w:sz="4" w:space="0" w:color="000000"/>
            </w:tcBorders>
          </w:tcPr>
          <w:p>
            <w:pPr/>
          </w:p>
        </w:tc>
        <w:tc>
          <w:tcPr>
            <w:tcW w:w="1241" w:type="dxa"/>
            <w:tcBorders>
              <w:top w:val="single" w:sz="4" w:space="0" w:color="000000"/>
              <w:left w:val="single" w:sz="4" w:space="0" w:color="000000"/>
              <w:bottom w:val="single" w:sz="4" w:space="0" w:color="FFFFFF"/>
              <w:right w:val="single" w:sz="4" w:space="0" w:color="000000"/>
            </w:tcBorders>
          </w:tcPr>
          <w:p>
            <w:pPr/>
          </w:p>
        </w:tc>
        <w:tc>
          <w:tcPr>
            <w:tcW w:w="1318" w:type="dxa"/>
            <w:tcBorders>
              <w:top w:val="single" w:sz="4" w:space="0" w:color="000000"/>
              <w:left w:val="single" w:sz="4" w:space="0" w:color="000000"/>
              <w:bottom w:val="single" w:sz="4" w:space="0" w:color="FFFFFF"/>
              <w:right w:val="single" w:sz="4" w:space="0" w:color="000000"/>
            </w:tcBorders>
          </w:tcPr>
          <w:p>
            <w:pPr/>
          </w:p>
        </w:tc>
      </w:tr>
      <w:tr>
        <w:trPr>
          <w:trHeight w:val="509" w:hRule="exact"/>
        </w:trPr>
        <w:tc>
          <w:tcPr>
            <w:tcW w:w="176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318" w:type="dxa"/>
            <w:tcBorders>
              <w:top w:val="single" w:sz="4" w:space="0" w:color="FFFFFF"/>
              <w:left w:val="single" w:sz="4" w:space="0" w:color="000000"/>
              <w:bottom w:val="single" w:sz="4" w:space="0" w:color="000000"/>
              <w:right w:val="single" w:sz="4" w:space="0" w:color="000000"/>
            </w:tcBorders>
          </w:tcPr>
          <w:p>
            <w:pPr/>
          </w:p>
        </w:tc>
        <w:tc>
          <w:tcPr>
            <w:tcW w:w="430" w:type="dxa"/>
            <w:tcBorders>
              <w:top w:val="single" w:sz="4" w:space="0" w:color="FFFFFF"/>
              <w:left w:val="single" w:sz="4" w:space="0" w:color="000000"/>
              <w:bottom w:val="single" w:sz="4" w:space="0" w:color="000000"/>
              <w:right w:val="single" w:sz="4" w:space="0" w:color="000000"/>
            </w:tcBorders>
          </w:tcPr>
          <w:p>
            <w:pPr/>
          </w:p>
        </w:tc>
        <w:tc>
          <w:tcPr>
            <w:tcW w:w="432" w:type="dxa"/>
            <w:tcBorders>
              <w:top w:val="single" w:sz="4" w:space="0" w:color="FFFFFF"/>
              <w:left w:val="single" w:sz="4" w:space="0" w:color="000000"/>
              <w:bottom w:val="single" w:sz="4" w:space="0" w:color="000000"/>
              <w:right w:val="single" w:sz="4" w:space="0" w:color="000000"/>
            </w:tcBorders>
          </w:tcPr>
          <w:p>
            <w:pPr/>
          </w:p>
        </w:tc>
        <w:tc>
          <w:tcPr>
            <w:tcW w:w="434" w:type="dxa"/>
            <w:tcBorders>
              <w:top w:val="single" w:sz="4" w:space="0" w:color="FFFFFF"/>
              <w:left w:val="single" w:sz="4" w:space="0" w:color="000000"/>
              <w:bottom w:val="single" w:sz="4" w:space="0" w:color="000000"/>
              <w:right w:val="single" w:sz="4" w:space="0" w:color="000000"/>
            </w:tcBorders>
          </w:tcPr>
          <w:p>
            <w:pPr/>
          </w:p>
        </w:tc>
        <w:tc>
          <w:tcPr>
            <w:tcW w:w="1315" w:type="dxa"/>
            <w:tcBorders>
              <w:top w:val="single" w:sz="4" w:space="0" w:color="FFFFFF"/>
              <w:left w:val="single" w:sz="4" w:space="0" w:color="000000"/>
              <w:bottom w:val="single" w:sz="4" w:space="0" w:color="000000"/>
              <w:right w:val="single" w:sz="4" w:space="0" w:color="000000"/>
            </w:tcBorders>
          </w:tcPr>
          <w:p>
            <w:pPr/>
          </w:p>
        </w:tc>
        <w:tc>
          <w:tcPr>
            <w:tcW w:w="1181" w:type="dxa"/>
            <w:tcBorders>
              <w:top w:val="single" w:sz="4" w:space="0" w:color="FFFFFF"/>
              <w:left w:val="single" w:sz="4" w:space="0" w:color="000000"/>
              <w:bottom w:val="single" w:sz="4" w:space="0" w:color="000000"/>
              <w:right w:val="single" w:sz="4" w:space="0" w:color="000000"/>
            </w:tcBorders>
          </w:tcPr>
          <w:p>
            <w:pPr/>
          </w:p>
        </w:tc>
        <w:tc>
          <w:tcPr>
            <w:tcW w:w="1061" w:type="dxa"/>
            <w:tcBorders>
              <w:top w:val="single" w:sz="4" w:space="0" w:color="FFFFFF"/>
              <w:left w:val="single" w:sz="4" w:space="0" w:color="000000"/>
              <w:bottom w:val="single" w:sz="4" w:space="0" w:color="000000"/>
              <w:right w:val="single" w:sz="4" w:space="0" w:color="000000"/>
            </w:tcBorders>
          </w:tcPr>
          <w:p>
            <w:pPr/>
          </w:p>
        </w:tc>
        <w:tc>
          <w:tcPr>
            <w:tcW w:w="629" w:type="dxa"/>
            <w:tcBorders>
              <w:top w:val="single" w:sz="4" w:space="0" w:color="FFFFFF"/>
              <w:left w:val="single" w:sz="4" w:space="0" w:color="000000"/>
              <w:bottom w:val="single" w:sz="4" w:space="0" w:color="000000"/>
              <w:right w:val="single" w:sz="4" w:space="0" w:color="000000"/>
            </w:tcBorders>
          </w:tcPr>
          <w:p>
            <w:pPr/>
          </w:p>
        </w:tc>
        <w:tc>
          <w:tcPr>
            <w:tcW w:w="1090" w:type="dxa"/>
            <w:tcBorders>
              <w:top w:val="single" w:sz="4" w:space="0" w:color="FFFFFF"/>
              <w:left w:val="single" w:sz="4" w:space="0" w:color="000000"/>
              <w:bottom w:val="single" w:sz="4" w:space="0" w:color="000000"/>
              <w:right w:val="single" w:sz="4" w:space="0" w:color="000000"/>
            </w:tcBorders>
          </w:tcPr>
          <w:p>
            <w:pPr/>
          </w:p>
        </w:tc>
        <w:tc>
          <w:tcPr>
            <w:tcW w:w="629" w:type="dxa"/>
            <w:tcBorders>
              <w:top w:val="single" w:sz="4" w:space="0" w:color="FFFFFF"/>
              <w:left w:val="single" w:sz="4" w:space="0" w:color="000000"/>
              <w:bottom w:val="single" w:sz="4" w:space="0" w:color="000000"/>
              <w:right w:val="single" w:sz="4" w:space="0" w:color="000000"/>
            </w:tcBorders>
          </w:tcPr>
          <w:p>
            <w:pPr/>
          </w:p>
        </w:tc>
        <w:tc>
          <w:tcPr>
            <w:tcW w:w="1181" w:type="dxa"/>
            <w:tcBorders>
              <w:top w:val="single" w:sz="4" w:space="0" w:color="FFFFFF"/>
              <w:left w:val="single" w:sz="4" w:space="0" w:color="000000"/>
              <w:bottom w:val="single" w:sz="4" w:space="0" w:color="000000"/>
              <w:right w:val="single" w:sz="4" w:space="0" w:color="000000"/>
            </w:tcBorders>
          </w:tcPr>
          <w:p>
            <w:pPr/>
          </w:p>
        </w:tc>
        <w:tc>
          <w:tcPr>
            <w:tcW w:w="1241" w:type="dxa"/>
            <w:tcBorders>
              <w:top w:val="single" w:sz="4" w:space="0" w:color="FFFFFF"/>
              <w:left w:val="single" w:sz="4" w:space="0" w:color="000000"/>
              <w:bottom w:val="single" w:sz="4" w:space="0" w:color="000000"/>
              <w:right w:val="single" w:sz="4" w:space="0" w:color="000000"/>
            </w:tcBorders>
          </w:tcPr>
          <w:p>
            <w:pPr/>
          </w:p>
        </w:tc>
        <w:tc>
          <w:tcPr>
            <w:tcW w:w="1318" w:type="dxa"/>
            <w:tcBorders>
              <w:top w:val="single" w:sz="4" w:space="0" w:color="FFFFFF"/>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760"/>
        <w:gridCol w:w="1318"/>
        <w:gridCol w:w="430"/>
        <w:gridCol w:w="432"/>
        <w:gridCol w:w="434"/>
        <w:gridCol w:w="1315"/>
        <w:gridCol w:w="1181"/>
        <w:gridCol w:w="1061"/>
        <w:gridCol w:w="629"/>
        <w:gridCol w:w="1090"/>
        <w:gridCol w:w="629"/>
        <w:gridCol w:w="1181"/>
        <w:gridCol w:w="1241"/>
        <w:gridCol w:w="1318"/>
      </w:tblGrid>
      <w:tr>
        <w:trPr>
          <w:trHeight w:val="427" w:hRule="exact"/>
        </w:trPr>
        <w:tc>
          <w:tcPr>
            <w:tcW w:w="176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8" w:type="dxa"/>
            <w:tcBorders>
              <w:top w:val="single" w:sz="10" w:space="0" w:color="000000"/>
              <w:left w:val="single" w:sz="4" w:space="0" w:color="000000"/>
              <w:bottom w:val="single" w:sz="4" w:space="0" w:color="000000"/>
              <w:right w:val="single" w:sz="4" w:space="0" w:color="000000"/>
            </w:tcBorders>
          </w:tcPr>
          <w:p>
            <w:pPr/>
          </w:p>
        </w:tc>
        <w:tc>
          <w:tcPr>
            <w:tcW w:w="430" w:type="dxa"/>
            <w:tcBorders>
              <w:top w:val="single" w:sz="10" w:space="0" w:color="000000"/>
              <w:left w:val="single" w:sz="4" w:space="0" w:color="000000"/>
              <w:bottom w:val="single" w:sz="4" w:space="0" w:color="000000"/>
              <w:right w:val="single" w:sz="4" w:space="0" w:color="000000"/>
            </w:tcBorders>
          </w:tcPr>
          <w:p>
            <w:pPr/>
          </w:p>
        </w:tc>
        <w:tc>
          <w:tcPr>
            <w:tcW w:w="432" w:type="dxa"/>
            <w:tcBorders>
              <w:top w:val="single" w:sz="10" w:space="0" w:color="000000"/>
              <w:left w:val="single" w:sz="4" w:space="0" w:color="000000"/>
              <w:bottom w:val="single" w:sz="4" w:space="0" w:color="000000"/>
              <w:right w:val="single" w:sz="4" w:space="0" w:color="000000"/>
            </w:tcBorders>
          </w:tcPr>
          <w:p>
            <w:pPr/>
          </w:p>
        </w:tc>
        <w:tc>
          <w:tcPr>
            <w:tcW w:w="434" w:type="dxa"/>
            <w:tcBorders>
              <w:top w:val="single" w:sz="10" w:space="0" w:color="000000"/>
              <w:left w:val="single" w:sz="4" w:space="0" w:color="000000"/>
              <w:bottom w:val="single" w:sz="4" w:space="0" w:color="000000"/>
              <w:right w:val="single" w:sz="4" w:space="0" w:color="000000"/>
            </w:tcBorders>
          </w:tcPr>
          <w:p>
            <w:pPr/>
          </w:p>
        </w:tc>
        <w:tc>
          <w:tcPr>
            <w:tcW w:w="1315"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629" w:type="dxa"/>
            <w:tcBorders>
              <w:top w:val="single" w:sz="10" w:space="0" w:color="000000"/>
              <w:left w:val="single" w:sz="4" w:space="0" w:color="000000"/>
              <w:bottom w:val="single" w:sz="4" w:space="0" w:color="000000"/>
              <w:right w:val="single" w:sz="4" w:space="0" w:color="000000"/>
            </w:tcBorders>
          </w:tcPr>
          <w:p>
            <w:pPr/>
          </w:p>
        </w:tc>
        <w:tc>
          <w:tcPr>
            <w:tcW w:w="1090" w:type="dxa"/>
            <w:tcBorders>
              <w:top w:val="single" w:sz="10" w:space="0" w:color="000000"/>
              <w:left w:val="single" w:sz="4" w:space="0" w:color="000000"/>
              <w:bottom w:val="single" w:sz="4" w:space="0" w:color="000000"/>
              <w:right w:val="single" w:sz="4" w:space="0" w:color="000000"/>
            </w:tcBorders>
          </w:tcPr>
          <w:p>
            <w:pPr/>
          </w:p>
        </w:tc>
        <w:tc>
          <w:tcPr>
            <w:tcW w:w="629"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241"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1,261,928.08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-2,790,584.00</w:t>
            </w: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-5,121,770.99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-6,650,426.91</w:t>
            </w:r>
          </w:p>
        </w:tc>
      </w:tr>
      <w:tr>
        <w:trPr>
          <w:trHeight w:val="509"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1,172,196,195.00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3,333,631,933.49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240,127,352.00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943,065.30</w:t>
            </w:r>
          </w:p>
        </w:tc>
        <w:tc>
          <w:tcPr>
            <w:tcW w:w="6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39,498,354.35</w:t>
            </w:r>
          </w:p>
        </w:tc>
        <w:tc>
          <w:tcPr>
            <w:tcW w:w="6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897,483,993.96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255,382,782.27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5,459,008,972.37</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60" w:right="8264"/>
        <w:jc w:val="left"/>
      </w:pPr>
      <w:r>
        <w:rPr/>
        <w:t>上期金额</w:t>
      </w:r>
    </w:p>
    <w:p>
      <w:pPr>
        <w:spacing w:line="240" w:lineRule="auto" w:before="7"/>
        <w:rPr>
          <w:rFonts w:ascii="宋体" w:hAnsi="宋体" w:cs="宋体" w:eastAsia="宋体" w:hint="default"/>
          <w:sz w:val="19"/>
          <w:szCs w:val="19"/>
        </w:rPr>
      </w:pPr>
    </w:p>
    <w:p>
      <w:pPr>
        <w:pStyle w:val="BodyText"/>
        <w:spacing w:line="240" w:lineRule="auto" w:before="36"/>
        <w:ind w:left="0" w:right="251"/>
        <w:jc w:val="right"/>
      </w:pPr>
      <w:r>
        <w:rPr>
          <w:spacing w:val="-1"/>
        </w:rPr>
        <w:t>单位：元</w:t>
      </w:r>
    </w:p>
    <w:p>
      <w:pPr>
        <w:spacing w:line="240" w:lineRule="auto" w:before="8"/>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785"/>
        <w:gridCol w:w="1304"/>
        <w:gridCol w:w="457"/>
        <w:gridCol w:w="456"/>
        <w:gridCol w:w="458"/>
        <w:gridCol w:w="1318"/>
        <w:gridCol w:w="1150"/>
        <w:gridCol w:w="1001"/>
        <w:gridCol w:w="653"/>
        <w:gridCol w:w="1092"/>
        <w:gridCol w:w="653"/>
        <w:gridCol w:w="1181"/>
        <w:gridCol w:w="1181"/>
        <w:gridCol w:w="1318"/>
      </w:tblGrid>
      <w:tr>
        <w:trPr>
          <w:trHeight w:val="509" w:hRule="exact"/>
        </w:trPr>
        <w:tc>
          <w:tcPr>
            <w:tcW w:w="1785" w:type="dxa"/>
            <w:vMerge w:val="restart"/>
            <w:tcBorders>
              <w:top w:val="single" w:sz="4" w:space="0" w:color="000000"/>
              <w:left w:val="single" w:sz="4" w:space="0" w:color="000000"/>
              <w:right w:val="single" w:sz="4" w:space="0" w:color="000000"/>
            </w:tcBorders>
            <w:shd w:val="clear" w:color="auto" w:fill="D2D2D2"/>
          </w:tcPr>
          <w:p>
            <w:pPr/>
          </w:p>
        </w:tc>
        <w:tc>
          <w:tcPr>
            <w:tcW w:w="1222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5" w:hRule="exact"/>
        </w:trPr>
        <w:tc>
          <w:tcPr>
            <w:tcW w:w="1785" w:type="dxa"/>
            <w:vMerge/>
            <w:tcBorders>
              <w:left w:val="single" w:sz="4" w:space="0" w:color="000000"/>
              <w:bottom w:val="nil" w:sz="6" w:space="0" w:color="auto"/>
              <w:right w:val="single" w:sz="4" w:space="0" w:color="000000"/>
            </w:tcBorders>
            <w:shd w:val="clear" w:color="auto" w:fill="D2D2D2"/>
          </w:tcPr>
          <w:p>
            <w:pPr/>
          </w:p>
        </w:tc>
        <w:tc>
          <w:tcPr>
            <w:tcW w:w="972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1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92" w:hRule="exact"/>
        </w:trPr>
        <w:tc>
          <w:tcPr>
            <w:tcW w:w="1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9723" w:type="dxa"/>
            <w:gridSpan w:val="11"/>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62" w:hRule="exact"/>
        </w:trPr>
        <w:tc>
          <w:tcPr>
            <w:tcW w:w="1785" w:type="dxa"/>
            <w:vMerge/>
            <w:tcBorders>
              <w:left w:val="single" w:sz="4" w:space="0" w:color="000000"/>
              <w:right w:val="single" w:sz="4" w:space="0" w:color="000000"/>
            </w:tcBorders>
            <w:shd w:val="clear" w:color="auto" w:fill="D2D2D2"/>
          </w:tcPr>
          <w:p>
            <w:pPr/>
          </w:p>
        </w:tc>
        <w:tc>
          <w:tcPr>
            <w:tcW w:w="1304" w:type="dxa"/>
            <w:vMerge w:val="restart"/>
            <w:tcBorders>
              <w:top w:val="single" w:sz="4" w:space="0" w:color="000000"/>
              <w:left w:val="single" w:sz="4" w:space="0" w:color="000000"/>
              <w:right w:val="single" w:sz="4" w:space="0" w:color="000000"/>
            </w:tcBorders>
            <w:shd w:val="clear" w:color="auto" w:fill="D2D2D2"/>
          </w:tcPr>
          <w:p>
            <w:pPr/>
          </w:p>
        </w:tc>
        <w:tc>
          <w:tcPr>
            <w:tcW w:w="13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785" w:type="dxa"/>
            <w:vMerge/>
            <w:tcBorders>
              <w:left w:val="single" w:sz="4" w:space="0" w:color="000000"/>
              <w:right w:val="single" w:sz="4" w:space="0" w:color="000000"/>
            </w:tcBorders>
            <w:shd w:val="clear" w:color="auto" w:fill="D2D2D2"/>
          </w:tcPr>
          <w:p>
            <w:pPr/>
          </w:p>
        </w:tc>
        <w:tc>
          <w:tcPr>
            <w:tcW w:w="1304" w:type="dxa"/>
            <w:vMerge/>
            <w:tcBorders>
              <w:left w:val="single" w:sz="4" w:space="0" w:color="000000"/>
              <w:right w:val="single" w:sz="4" w:space="0" w:color="000000"/>
            </w:tcBorders>
            <w:shd w:val="clear" w:color="auto" w:fill="D2D2D2"/>
          </w:tcPr>
          <w:p>
            <w:pPr/>
          </w:p>
        </w:tc>
        <w:tc>
          <w:tcPr>
            <w:tcW w:w="1371" w:type="dxa"/>
            <w:gridSpan w:val="3"/>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4" w:hRule="exact"/>
        </w:trPr>
        <w:tc>
          <w:tcPr>
            <w:tcW w:w="1785" w:type="dxa"/>
            <w:vMerge/>
            <w:tcBorders>
              <w:left w:val="single" w:sz="4" w:space="0" w:color="000000"/>
              <w:bottom w:val="single" w:sz="4" w:space="0" w:color="FFFFFF"/>
              <w:right w:val="single" w:sz="4" w:space="0" w:color="000000"/>
            </w:tcBorders>
            <w:shd w:val="clear" w:color="auto" w:fill="D2D2D2"/>
          </w:tcPr>
          <w:p>
            <w:pPr/>
          </w:p>
        </w:tc>
        <w:tc>
          <w:tcPr>
            <w:tcW w:w="1304" w:type="dxa"/>
            <w:vMerge/>
            <w:tcBorders>
              <w:left w:val="single" w:sz="4" w:space="0" w:color="000000"/>
              <w:bottom w:val="single" w:sz="4" w:space="0" w:color="FFFFFF"/>
              <w:right w:val="single" w:sz="4" w:space="0" w:color="000000"/>
            </w:tcBorders>
            <w:shd w:val="clear" w:color="auto" w:fill="D2D2D2"/>
          </w:tcPr>
          <w:p>
            <w:pPr/>
          </w:p>
        </w:tc>
        <w:tc>
          <w:tcPr>
            <w:tcW w:w="1371" w:type="dxa"/>
            <w:gridSpan w:val="3"/>
            <w:vMerge/>
            <w:tcBorders>
              <w:left w:val="single" w:sz="4" w:space="0" w:color="000000"/>
              <w:bottom w:val="single" w:sz="4" w:space="0" w:color="FFFFFF"/>
              <w:right w:val="single" w:sz="4" w:space="0" w:color="000000"/>
            </w:tcBorders>
            <w:shd w:val="clear" w:color="auto" w:fill="D2D2D2"/>
          </w:tcPr>
          <w:p>
            <w:pPr/>
          </w:p>
        </w:tc>
        <w:tc>
          <w:tcPr>
            <w:tcW w:w="1318" w:type="dxa"/>
            <w:vMerge/>
            <w:tcBorders>
              <w:left w:val="single" w:sz="4" w:space="0" w:color="000000"/>
              <w:bottom w:val="single" w:sz="4" w:space="0" w:color="FFFFFF"/>
              <w:right w:val="single" w:sz="4" w:space="0" w:color="000000"/>
            </w:tcBorders>
            <w:shd w:val="clear" w:color="auto" w:fill="D2D2D2"/>
          </w:tcPr>
          <w:p>
            <w:pPr/>
          </w:p>
        </w:tc>
        <w:tc>
          <w:tcPr>
            <w:tcW w:w="1150" w:type="dxa"/>
            <w:vMerge/>
            <w:tcBorders>
              <w:left w:val="single" w:sz="4" w:space="0" w:color="000000"/>
              <w:bottom w:val="single" w:sz="4" w:space="0" w:color="FFFFFF"/>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4" w:right="5"/>
              <w:jc w:val="left"/>
              <w:rPr>
                <w:rFonts w:ascii="宋体" w:hAnsi="宋体" w:cs="宋体" w:eastAsia="宋体" w:hint="default"/>
                <w:sz w:val="18"/>
                <w:szCs w:val="18"/>
              </w:rPr>
            </w:pPr>
            <w:r>
              <w:rPr>
                <w:rFonts w:ascii="宋体" w:hAnsi="宋体" w:cs="宋体" w:eastAsia="宋体" w:hint="default"/>
                <w:spacing w:val="12"/>
                <w:sz w:val="18"/>
                <w:szCs w:val="18"/>
              </w:rPr>
              <w:t>其他综合收 </w:t>
            </w:r>
            <w:r>
              <w:rPr>
                <w:rFonts w:ascii="宋体" w:hAnsi="宋体" w:cs="宋体" w:eastAsia="宋体" w:hint="default"/>
                <w:sz w:val="18"/>
                <w:szCs w:val="18"/>
              </w:rPr>
              <w:t>益</w:t>
            </w: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3" w:right="-8"/>
              <w:jc w:val="left"/>
              <w:rPr>
                <w:rFonts w:ascii="宋体" w:hAnsi="宋体" w:cs="宋体" w:eastAsia="宋体" w:hint="default"/>
                <w:sz w:val="18"/>
                <w:szCs w:val="18"/>
              </w:rPr>
            </w:pPr>
            <w:r>
              <w:rPr>
                <w:rFonts w:ascii="宋体" w:hAnsi="宋体" w:cs="宋体" w:eastAsia="宋体" w:hint="default"/>
                <w:spacing w:val="18"/>
                <w:sz w:val="18"/>
                <w:szCs w:val="18"/>
              </w:rPr>
              <w:t>专项储</w:t>
            </w:r>
            <w:r>
              <w:rPr>
                <w:rFonts w:ascii="宋体" w:hAnsi="宋体" w:cs="宋体" w:eastAsia="宋体" w:hint="default"/>
                <w:spacing w:val="-62"/>
                <w:sz w:val="18"/>
                <w:szCs w:val="18"/>
              </w:rPr>
              <w:t> </w:t>
            </w:r>
            <w:r>
              <w:rPr>
                <w:rFonts w:ascii="宋体" w:hAnsi="宋体" w:cs="宋体" w:eastAsia="宋体" w:hint="default"/>
                <w:sz w:val="18"/>
                <w:szCs w:val="18"/>
              </w:rPr>
              <w:t>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23" w:right="-7"/>
              <w:jc w:val="left"/>
              <w:rPr>
                <w:rFonts w:ascii="宋体" w:hAnsi="宋体" w:cs="宋体" w:eastAsia="宋体" w:hint="default"/>
                <w:sz w:val="18"/>
                <w:szCs w:val="18"/>
              </w:rPr>
            </w:pPr>
            <w:r>
              <w:rPr>
                <w:rFonts w:ascii="宋体" w:hAnsi="宋体" w:cs="宋体" w:eastAsia="宋体" w:hint="default"/>
                <w:spacing w:val="18"/>
                <w:sz w:val="18"/>
                <w:szCs w:val="18"/>
              </w:rPr>
              <w:t>一般风</w:t>
            </w:r>
            <w:r>
              <w:rPr>
                <w:rFonts w:ascii="宋体" w:hAnsi="宋体" w:cs="宋体" w:eastAsia="宋体" w:hint="default"/>
                <w:spacing w:val="-62"/>
                <w:sz w:val="18"/>
                <w:szCs w:val="18"/>
              </w:rPr>
              <w:t> </w:t>
            </w:r>
            <w:r>
              <w:rPr>
                <w:rFonts w:ascii="宋体" w:hAnsi="宋体" w:cs="宋体" w:eastAsia="宋体" w:hint="default"/>
                <w:sz w:val="18"/>
                <w:szCs w:val="18"/>
              </w:rPr>
              <w:t>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6" w:hRule="exact"/>
        </w:trPr>
        <w:tc>
          <w:tcPr>
            <w:tcW w:w="1785" w:type="dxa"/>
            <w:vMerge w:val="restart"/>
            <w:tcBorders>
              <w:top w:val="single" w:sz="4" w:space="0" w:color="FFFFFF"/>
              <w:left w:val="single" w:sz="4" w:space="0" w:color="000000"/>
              <w:right w:val="single" w:sz="4" w:space="0" w:color="000000"/>
            </w:tcBorders>
            <w:shd w:val="clear" w:color="auto" w:fill="D2D2D2"/>
          </w:tcPr>
          <w:p>
            <w:pPr/>
          </w:p>
        </w:tc>
        <w:tc>
          <w:tcPr>
            <w:tcW w:w="130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0"/>
                <w:sz w:val="18"/>
                <w:szCs w:val="18"/>
              </w:rPr>
              <w:t>优先</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45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0"/>
                <w:sz w:val="18"/>
                <w:szCs w:val="18"/>
              </w:rPr>
              <w:t>永续</w:t>
            </w:r>
            <w:r>
              <w:rPr>
                <w:rFonts w:ascii="宋体" w:hAnsi="宋体" w:cs="宋体" w:eastAsia="宋体" w:hint="default"/>
                <w:spacing w:val="-50"/>
                <w:sz w:val="18"/>
                <w:szCs w:val="18"/>
              </w:rPr>
              <w:t> </w:t>
            </w:r>
            <w:r>
              <w:rPr>
                <w:rFonts w:ascii="宋体" w:hAnsi="宋体" w:cs="宋体" w:eastAsia="宋体" w:hint="default"/>
                <w:sz w:val="18"/>
                <w:szCs w:val="18"/>
              </w:rPr>
              <w:t>债</w:t>
            </w:r>
          </w:p>
        </w:tc>
        <w:tc>
          <w:tcPr>
            <w:tcW w:w="458" w:type="dxa"/>
            <w:tcBorders>
              <w:top w:val="single" w:sz="4" w:space="0" w:color="FFFFFF"/>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5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50" w:hRule="exact"/>
        </w:trPr>
        <w:tc>
          <w:tcPr>
            <w:tcW w:w="1785" w:type="dxa"/>
            <w:vMerge/>
            <w:tcBorders>
              <w:left w:val="single" w:sz="4" w:space="0" w:color="000000"/>
              <w:right w:val="single" w:sz="4" w:space="0" w:color="000000"/>
            </w:tcBorders>
            <w:shd w:val="clear" w:color="auto" w:fill="D2D2D2"/>
          </w:tcPr>
          <w:p>
            <w:pPr/>
          </w:p>
        </w:tc>
        <w:tc>
          <w:tcPr>
            <w:tcW w:w="1304" w:type="dxa"/>
            <w:vMerge/>
            <w:tcBorders>
              <w:left w:val="single" w:sz="4" w:space="0" w:color="000000"/>
              <w:bottom w:val="nil" w:sz="6" w:space="0" w:color="auto"/>
              <w:right w:val="single" w:sz="4" w:space="0" w:color="000000"/>
            </w:tcBorders>
            <w:shd w:val="clear" w:color="auto" w:fill="D2D2D2"/>
          </w:tcPr>
          <w:p>
            <w:pPr/>
          </w:p>
        </w:tc>
        <w:tc>
          <w:tcPr>
            <w:tcW w:w="457"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4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785" w:type="dxa"/>
            <w:vMerge/>
            <w:tcBorders>
              <w:left w:val="single" w:sz="4" w:space="0" w:color="000000"/>
              <w:right w:val="single" w:sz="4" w:space="0" w:color="000000"/>
            </w:tcBorders>
            <w:shd w:val="clear" w:color="auto" w:fill="D2D2D2"/>
          </w:tcPr>
          <w:p>
            <w:pPr/>
          </w:p>
        </w:tc>
        <w:tc>
          <w:tcPr>
            <w:tcW w:w="1304" w:type="dxa"/>
            <w:vMerge w:val="restart"/>
            <w:tcBorders>
              <w:top w:val="nil" w:sz="6" w:space="0" w:color="auto"/>
              <w:left w:val="single" w:sz="4" w:space="0" w:color="000000"/>
              <w:right w:val="single" w:sz="4" w:space="0" w:color="000000"/>
            </w:tcBorders>
            <w:shd w:val="clear" w:color="auto" w:fill="D2D2D2"/>
          </w:tcPr>
          <w:p>
            <w:pPr/>
          </w:p>
        </w:tc>
        <w:tc>
          <w:tcPr>
            <w:tcW w:w="457"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98" w:hRule="exact"/>
        </w:trPr>
        <w:tc>
          <w:tcPr>
            <w:tcW w:w="1785" w:type="dxa"/>
            <w:vMerge/>
            <w:tcBorders>
              <w:left w:val="single" w:sz="4" w:space="0" w:color="000000"/>
              <w:right w:val="single" w:sz="4" w:space="0" w:color="000000"/>
            </w:tcBorders>
            <w:shd w:val="clear" w:color="auto" w:fill="D2D2D2"/>
          </w:tcPr>
          <w:p>
            <w:pPr/>
          </w:p>
        </w:tc>
        <w:tc>
          <w:tcPr>
            <w:tcW w:w="1304" w:type="dxa"/>
            <w:vMerge/>
            <w:tcBorders>
              <w:left w:val="single" w:sz="4" w:space="0" w:color="000000"/>
              <w:right w:val="single" w:sz="4" w:space="0" w:color="000000"/>
            </w:tcBorders>
            <w:shd w:val="clear" w:color="auto" w:fill="D2D2D2"/>
          </w:tcPr>
          <w:p>
            <w:pPr/>
          </w:p>
        </w:tc>
        <w:tc>
          <w:tcPr>
            <w:tcW w:w="457"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458"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61" w:hRule="exact"/>
        </w:trPr>
        <w:tc>
          <w:tcPr>
            <w:tcW w:w="178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457"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4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506" w:hRule="exact"/>
        </w:trPr>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left="133" w:right="0"/>
              <w:jc w:val="left"/>
              <w:rPr>
                <w:rFonts w:ascii="Times New Roman" w:hAnsi="Times New Roman" w:cs="Times New Roman" w:eastAsia="Times New Roman" w:hint="default"/>
                <w:sz w:val="18"/>
                <w:szCs w:val="18"/>
              </w:rPr>
            </w:pPr>
            <w:r>
              <w:rPr>
                <w:rFonts w:ascii="Times New Roman"/>
                <w:sz w:val="18"/>
              </w:rPr>
              <w:t>500,481,802.00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8" w:right="0"/>
              <w:jc w:val="left"/>
              <w:rPr>
                <w:rFonts w:ascii="Times New Roman" w:hAnsi="Times New Roman" w:cs="Times New Roman" w:eastAsia="Times New Roman" w:hint="default"/>
                <w:sz w:val="18"/>
                <w:szCs w:val="18"/>
              </w:rPr>
            </w:pPr>
            <w:r>
              <w:rPr>
                <w:rFonts w:ascii="Times New Roman"/>
                <w:sz w:val="18"/>
              </w:rPr>
              <w:t>644,603,890.25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left"/>
              <w:rPr>
                <w:rFonts w:ascii="Times New Roman" w:hAnsi="Times New Roman" w:cs="Times New Roman" w:eastAsia="Times New Roman" w:hint="default"/>
                <w:sz w:val="18"/>
                <w:szCs w:val="18"/>
              </w:rPr>
            </w:pPr>
            <w:r>
              <w:rPr>
                <w:rFonts w:ascii="Times New Roman"/>
                <w:sz w:val="18"/>
              </w:rPr>
              <w:t>63,889,889.82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1,248,514.49</w:t>
            </w: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17,969,331.07</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254,438,787.61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5" w:right="0"/>
              <w:jc w:val="left"/>
              <w:rPr>
                <w:rFonts w:ascii="Times New Roman" w:hAnsi="Times New Roman" w:cs="Times New Roman" w:eastAsia="Times New Roman" w:hint="default"/>
                <w:sz w:val="18"/>
                <w:szCs w:val="18"/>
              </w:rPr>
            </w:pPr>
            <w:r>
              <w:rPr>
                <w:rFonts w:ascii="Times New Roman"/>
                <w:sz w:val="18"/>
              </w:rPr>
              <w:t>73,080,565.81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1,427,933,001.41</w:t>
            </w:r>
          </w:p>
        </w:tc>
      </w:tr>
      <w:tr>
        <w:trPr>
          <w:trHeight w:val="509" w:hRule="exact"/>
        </w:trPr>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32"/>
              <w:jc w:val="right"/>
              <w:rPr>
                <w:rFonts w:ascii="宋体" w:hAnsi="宋体" w:cs="宋体" w:eastAsia="宋体" w:hint="default"/>
                <w:sz w:val="18"/>
                <w:szCs w:val="18"/>
              </w:rPr>
            </w:pPr>
            <w:r>
              <w:rPr>
                <w:rFonts w:ascii="宋体" w:hAnsi="宋体" w:cs="宋体" w:eastAsia="宋体" w:hint="default"/>
                <w:spacing w:val="-9"/>
                <w:w w:val="95"/>
                <w:sz w:val="18"/>
                <w:szCs w:val="18"/>
              </w:rPr>
              <w:t>加：会计政策变更</w:t>
            </w:r>
          </w:p>
        </w:tc>
        <w:tc>
          <w:tcPr>
            <w:tcW w:w="1304" w:type="dxa"/>
            <w:tcBorders>
              <w:top w:val="single" w:sz="4" w:space="0" w:color="000000"/>
              <w:left w:val="single" w:sz="13" w:space="0" w:color="D2D2D2"/>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31"/>
              <w:jc w:val="right"/>
              <w:rPr>
                <w:rFonts w:ascii="宋体" w:hAnsi="宋体" w:cs="宋体" w:eastAsia="宋体" w:hint="default"/>
                <w:sz w:val="18"/>
                <w:szCs w:val="18"/>
              </w:rPr>
            </w:pPr>
            <w:r>
              <w:rPr>
                <w:rFonts w:ascii="宋体" w:hAnsi="宋体" w:cs="宋体" w:eastAsia="宋体" w:hint="default"/>
                <w:spacing w:val="10"/>
                <w:sz w:val="18"/>
                <w:szCs w:val="18"/>
              </w:rPr>
              <w:t>前期差错更</w:t>
            </w:r>
          </w:p>
        </w:tc>
        <w:tc>
          <w:tcPr>
            <w:tcW w:w="1304" w:type="dxa"/>
            <w:tcBorders>
              <w:top w:val="single" w:sz="4" w:space="0" w:color="000000"/>
              <w:left w:val="single" w:sz="13" w:space="0" w:color="D2D2D2"/>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r>
        <w:rPr/>
        <w:pict>
          <v:group style="position:absolute;margin-left:161.179993pt;margin-top:494.256012pt;width:63pt;height:25pt;mso-position-horizontal-relative:page;mso-position-vertical-relative:page;z-index:-1196032" coordorigin="3224,9885" coordsize="1260,500">
            <v:shape style="position:absolute;left:3224;top:9885;width:1260;height:500" coordorigin="3224,9885" coordsize="1260,500" path="m3224,10384l4484,10384,4484,9885,3224,9885,3224,10384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786"/>
        <w:gridCol w:w="1315"/>
        <w:gridCol w:w="457"/>
        <w:gridCol w:w="456"/>
        <w:gridCol w:w="458"/>
        <w:gridCol w:w="1318"/>
        <w:gridCol w:w="1150"/>
        <w:gridCol w:w="1001"/>
        <w:gridCol w:w="653"/>
        <w:gridCol w:w="1092"/>
        <w:gridCol w:w="653"/>
        <w:gridCol w:w="1181"/>
        <w:gridCol w:w="1181"/>
        <w:gridCol w:w="1318"/>
      </w:tblGrid>
      <w:tr>
        <w:trPr>
          <w:trHeight w:val="427" w:hRule="exact"/>
        </w:trPr>
        <w:tc>
          <w:tcPr>
            <w:tcW w:w="178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15" w:type="dxa"/>
            <w:tcBorders>
              <w:top w:val="single" w:sz="10" w:space="0" w:color="000000"/>
              <w:left w:val="single" w:sz="4" w:space="0" w:color="000000"/>
              <w:bottom w:val="single" w:sz="4" w:space="0" w:color="000000"/>
              <w:right w:val="single" w:sz="4" w:space="0" w:color="000000"/>
            </w:tcBorders>
          </w:tcPr>
          <w:p>
            <w:pPr/>
          </w:p>
        </w:tc>
        <w:tc>
          <w:tcPr>
            <w:tcW w:w="457" w:type="dxa"/>
            <w:tcBorders>
              <w:top w:val="single" w:sz="10" w:space="0" w:color="000000"/>
              <w:left w:val="single" w:sz="4" w:space="0" w:color="000000"/>
              <w:bottom w:val="single" w:sz="4" w:space="0" w:color="000000"/>
              <w:right w:val="single" w:sz="4" w:space="0" w:color="000000"/>
            </w:tcBorders>
          </w:tcPr>
          <w:p>
            <w:pPr/>
          </w:p>
        </w:tc>
        <w:tc>
          <w:tcPr>
            <w:tcW w:w="456" w:type="dxa"/>
            <w:tcBorders>
              <w:top w:val="single" w:sz="10" w:space="0" w:color="000000"/>
              <w:left w:val="single" w:sz="4" w:space="0" w:color="000000"/>
              <w:bottom w:val="single" w:sz="4" w:space="0" w:color="000000"/>
              <w:right w:val="single" w:sz="4" w:space="0" w:color="000000"/>
            </w:tcBorders>
          </w:tcPr>
          <w:p>
            <w:pPr/>
          </w:p>
        </w:tc>
        <w:tc>
          <w:tcPr>
            <w:tcW w:w="458"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c>
          <w:tcPr>
            <w:tcW w:w="1150"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1092"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r>
      <w:tr>
        <w:trPr>
          <w:trHeight w:val="82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99" w:right="0"/>
              <w:jc w:val="left"/>
              <w:rPr>
                <w:rFonts w:ascii="宋体" w:hAnsi="宋体" w:cs="宋体" w:eastAsia="宋体" w:hint="default"/>
                <w:sz w:val="18"/>
                <w:szCs w:val="18"/>
              </w:rPr>
            </w:pPr>
            <w:r>
              <w:rPr>
                <w:rFonts w:ascii="宋体" w:hAnsi="宋体" w:cs="宋体" w:eastAsia="宋体" w:hint="default"/>
                <w:spacing w:val="10"/>
                <w:sz w:val="18"/>
                <w:szCs w:val="18"/>
              </w:rPr>
              <w:t>同一控制下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500,481,802.00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644,603,890.25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63,889,889.82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1,248,514.49</w:t>
            </w: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17,969,331.07</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254,438,787.61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73,080,565.81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1,427,933,001.41</w:t>
            </w:r>
          </w:p>
        </w:tc>
      </w:tr>
      <w:tr>
        <w:trPr>
          <w:trHeight w:val="821" w:hRule="exact"/>
        </w:trPr>
        <w:tc>
          <w:tcPr>
            <w:tcW w:w="1786"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w:t>
            </w:r>
          </w:p>
          <w:p>
            <w:pPr>
              <w:pStyle w:val="TableParagraph"/>
              <w:spacing w:line="240" w:lineRule="auto" w:before="76"/>
              <w:ind w:left="23" w:right="-33"/>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1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649,739,352.00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2,448,549,999.73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-22,220,461.05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2,485,134.81</w:t>
            </w: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352,278,006.77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225,655,831.53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3,703,737,735.08</w:t>
            </w: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2,485,134.81</w:t>
            </w: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377,299,004.95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222,669,799.93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602,453,939.69</w:t>
            </w:r>
          </w:p>
        </w:tc>
      </w:tr>
      <w:tr>
        <w:trPr>
          <w:trHeight w:val="818"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149,756,244.00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2,948,941,476.97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-22,220,461.05</w:t>
            </w: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2,986,031.60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3,123,904,213.62</w:t>
            </w: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149,756,244.00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2,929,071,049.60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386,265.00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2,986,031.60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3,081,427,060.20</w:t>
            </w:r>
          </w:p>
        </w:tc>
      </w:tr>
      <w:tr>
        <w:trPr>
          <w:trHeight w:val="82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2"/>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者投入资本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者权益的金额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19,870,427.37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-22,606,726.05</w:t>
            </w: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42,477,153.42</w:t>
            </w: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-25,020,998.18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-22,212,048.99</w:t>
            </w:r>
          </w:p>
        </w:tc>
      </w:tr>
      <w:tr>
        <w:trPr>
          <w:trHeight w:val="506"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-2,808,949.19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15" w:type="dxa"/>
            <w:tcBorders>
              <w:top w:val="single" w:sz="4" w:space="0" w:color="000000"/>
              <w:left w:val="single" w:sz="4" w:space="0" w:color="000000"/>
              <w:bottom w:val="single" w:sz="4" w:space="0" w:color="FFFFFF"/>
              <w:right w:val="single" w:sz="4" w:space="0" w:color="000000"/>
            </w:tcBorders>
          </w:tcPr>
          <w:p>
            <w:pPr/>
          </w:p>
        </w:tc>
        <w:tc>
          <w:tcPr>
            <w:tcW w:w="457" w:type="dxa"/>
            <w:tcBorders>
              <w:top w:val="single" w:sz="4" w:space="0" w:color="000000"/>
              <w:left w:val="single" w:sz="4" w:space="0" w:color="000000"/>
              <w:bottom w:val="single" w:sz="4" w:space="0" w:color="FFFFFF"/>
              <w:right w:val="single" w:sz="4" w:space="0" w:color="000000"/>
            </w:tcBorders>
          </w:tcPr>
          <w:p>
            <w:pPr/>
          </w:p>
        </w:tc>
        <w:tc>
          <w:tcPr>
            <w:tcW w:w="456" w:type="dxa"/>
            <w:tcBorders>
              <w:top w:val="single" w:sz="4" w:space="0" w:color="000000"/>
              <w:left w:val="single" w:sz="4" w:space="0" w:color="000000"/>
              <w:bottom w:val="single" w:sz="4" w:space="0" w:color="FFFFFF"/>
              <w:right w:val="single" w:sz="4" w:space="0" w:color="000000"/>
            </w:tcBorders>
          </w:tcPr>
          <w:p>
            <w:pPr/>
          </w:p>
        </w:tc>
        <w:tc>
          <w:tcPr>
            <w:tcW w:w="458" w:type="dxa"/>
            <w:tcBorders>
              <w:top w:val="single" w:sz="4" w:space="0" w:color="000000"/>
              <w:left w:val="single" w:sz="4" w:space="0" w:color="000000"/>
              <w:bottom w:val="single" w:sz="4" w:space="0" w:color="FFFFFF"/>
              <w:right w:val="single" w:sz="4" w:space="0" w:color="000000"/>
            </w:tcBorders>
          </w:tcPr>
          <w:p>
            <w:pPr/>
          </w:p>
        </w:tc>
        <w:tc>
          <w:tcPr>
            <w:tcW w:w="1318" w:type="dxa"/>
            <w:tcBorders>
              <w:top w:val="single" w:sz="4" w:space="0" w:color="000000"/>
              <w:left w:val="single" w:sz="4" w:space="0" w:color="000000"/>
              <w:bottom w:val="single" w:sz="4" w:space="0" w:color="FFFFFF"/>
              <w:right w:val="single" w:sz="4" w:space="0" w:color="000000"/>
            </w:tcBorders>
          </w:tcPr>
          <w:p>
            <w:pPr/>
          </w:p>
        </w:tc>
        <w:tc>
          <w:tcPr>
            <w:tcW w:w="1150" w:type="dxa"/>
            <w:tcBorders>
              <w:top w:val="single" w:sz="4" w:space="0" w:color="000000"/>
              <w:left w:val="single" w:sz="4" w:space="0" w:color="000000"/>
              <w:bottom w:val="single" w:sz="4" w:space="0" w:color="FFFFFF"/>
              <w:right w:val="single" w:sz="4" w:space="0" w:color="000000"/>
            </w:tcBorders>
          </w:tcPr>
          <w:p>
            <w:pPr/>
          </w:p>
        </w:tc>
        <w:tc>
          <w:tcPr>
            <w:tcW w:w="1001" w:type="dxa"/>
            <w:tcBorders>
              <w:top w:val="single" w:sz="4" w:space="0" w:color="000000"/>
              <w:left w:val="single" w:sz="4" w:space="0" w:color="000000"/>
              <w:bottom w:val="single" w:sz="4" w:space="0" w:color="FFFFFF"/>
              <w:right w:val="single" w:sz="4" w:space="0" w:color="000000"/>
            </w:tcBorders>
          </w:tcPr>
          <w:p>
            <w:pPr/>
          </w:p>
        </w:tc>
        <w:tc>
          <w:tcPr>
            <w:tcW w:w="653" w:type="dxa"/>
            <w:tcBorders>
              <w:top w:val="single" w:sz="4" w:space="0" w:color="000000"/>
              <w:left w:val="single" w:sz="4" w:space="0" w:color="000000"/>
              <w:bottom w:val="single" w:sz="4" w:space="0" w:color="FFFFFF"/>
              <w:right w:val="single" w:sz="4" w:space="0" w:color="000000"/>
            </w:tcBorders>
          </w:tcPr>
          <w:p>
            <w:pPr/>
          </w:p>
        </w:tc>
        <w:tc>
          <w:tcPr>
            <w:tcW w:w="1092" w:type="dxa"/>
            <w:tcBorders>
              <w:top w:val="single" w:sz="4" w:space="0" w:color="000000"/>
              <w:left w:val="single" w:sz="4" w:space="0" w:color="000000"/>
              <w:bottom w:val="single" w:sz="4" w:space="0" w:color="FFFFFF"/>
              <w:right w:val="single" w:sz="4" w:space="0" w:color="000000"/>
            </w:tcBorders>
          </w:tcPr>
          <w:p>
            <w:pPr/>
          </w:p>
        </w:tc>
        <w:tc>
          <w:tcPr>
            <w:tcW w:w="653" w:type="dxa"/>
            <w:tcBorders>
              <w:top w:val="single" w:sz="4" w:space="0" w:color="000000"/>
              <w:left w:val="single" w:sz="4" w:space="0" w:color="000000"/>
              <w:bottom w:val="single" w:sz="4" w:space="0" w:color="FFFFFF"/>
              <w:right w:val="single" w:sz="4" w:space="0" w:color="000000"/>
            </w:tcBorders>
          </w:tcPr>
          <w:p>
            <w:pPr/>
          </w:p>
        </w:tc>
        <w:tc>
          <w:tcPr>
            <w:tcW w:w="1181" w:type="dxa"/>
            <w:tcBorders>
              <w:top w:val="single" w:sz="4" w:space="0" w:color="000000"/>
              <w:left w:val="single" w:sz="4" w:space="0" w:color="000000"/>
              <w:bottom w:val="single" w:sz="4" w:space="0" w:color="FFFFFF"/>
              <w:right w:val="single" w:sz="4" w:space="0" w:color="000000"/>
            </w:tcBorders>
          </w:tcPr>
          <w:p>
            <w:pPr/>
          </w:p>
        </w:tc>
        <w:tc>
          <w:tcPr>
            <w:tcW w:w="1181" w:type="dxa"/>
            <w:tcBorders>
              <w:top w:val="single" w:sz="4" w:space="0" w:color="000000"/>
              <w:left w:val="single" w:sz="4" w:space="0" w:color="000000"/>
              <w:bottom w:val="single" w:sz="4" w:space="0" w:color="FFFFFF"/>
              <w:right w:val="single" w:sz="4" w:space="0" w:color="000000"/>
            </w:tcBorders>
          </w:tcPr>
          <w:p>
            <w:pPr/>
          </w:p>
        </w:tc>
        <w:tc>
          <w:tcPr>
            <w:tcW w:w="1318" w:type="dxa"/>
            <w:tcBorders>
              <w:top w:val="single" w:sz="4" w:space="0" w:color="000000"/>
              <w:left w:val="single" w:sz="4" w:space="0" w:color="000000"/>
              <w:bottom w:val="single" w:sz="4" w:space="0" w:color="FFFFFF"/>
              <w:right w:val="single" w:sz="4" w:space="0" w:color="000000"/>
            </w:tcBorders>
          </w:tcPr>
          <w:p>
            <w:pPr/>
          </w:p>
        </w:tc>
      </w:tr>
      <w:tr>
        <w:trPr>
          <w:trHeight w:val="509" w:hRule="exact"/>
        </w:trPr>
        <w:tc>
          <w:tcPr>
            <w:tcW w:w="1786" w:type="dxa"/>
            <w:tcBorders>
              <w:top w:val="single" w:sz="4" w:space="0" w:color="FFFFFF"/>
              <w:left w:val="single" w:sz="4" w:space="0" w:color="000000"/>
              <w:bottom w:val="single" w:sz="4" w:space="0" w:color="000000"/>
              <w:right w:val="single" w:sz="9" w:space="0" w:color="FFFFFF"/>
            </w:tcBorders>
            <w:shd w:val="clear" w:color="auto" w:fill="D2D2D2"/>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．对所有者（或股东</w:t>
            </w:r>
          </w:p>
        </w:tc>
        <w:tc>
          <w:tcPr>
            <w:tcW w:w="1315" w:type="dxa"/>
            <w:tcBorders>
              <w:top w:val="single" w:sz="4" w:space="0" w:color="FFFFFF"/>
              <w:left w:val="single" w:sz="9" w:space="0" w:color="FFFFFF"/>
              <w:bottom w:val="single" w:sz="4" w:space="0" w:color="000000"/>
              <w:right w:val="single" w:sz="4" w:space="0" w:color="000000"/>
            </w:tcBorders>
          </w:tcPr>
          <w:p>
            <w:pPr>
              <w:pStyle w:val="TableParagraph"/>
              <w:spacing w:line="240" w:lineRule="auto" w:before="147"/>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457" w:type="dxa"/>
            <w:tcBorders>
              <w:top w:val="single" w:sz="4" w:space="0" w:color="FFFFFF"/>
              <w:left w:val="single" w:sz="4" w:space="0" w:color="000000"/>
              <w:bottom w:val="single" w:sz="4" w:space="0" w:color="000000"/>
              <w:right w:val="single" w:sz="4" w:space="0" w:color="000000"/>
            </w:tcBorders>
          </w:tcPr>
          <w:p>
            <w:pPr/>
          </w:p>
        </w:tc>
        <w:tc>
          <w:tcPr>
            <w:tcW w:w="456" w:type="dxa"/>
            <w:tcBorders>
              <w:top w:val="single" w:sz="4" w:space="0" w:color="FFFFFF"/>
              <w:left w:val="single" w:sz="4" w:space="0" w:color="000000"/>
              <w:bottom w:val="single" w:sz="4" w:space="0" w:color="000000"/>
              <w:right w:val="single" w:sz="4" w:space="0" w:color="000000"/>
            </w:tcBorders>
          </w:tcPr>
          <w:p>
            <w:pPr/>
          </w:p>
        </w:tc>
        <w:tc>
          <w:tcPr>
            <w:tcW w:w="458" w:type="dxa"/>
            <w:tcBorders>
              <w:top w:val="single" w:sz="4" w:space="0" w:color="FFFFFF"/>
              <w:left w:val="single" w:sz="4" w:space="0" w:color="000000"/>
              <w:bottom w:val="single" w:sz="4" w:space="0" w:color="000000"/>
              <w:right w:val="single" w:sz="4" w:space="0" w:color="000000"/>
            </w:tcBorders>
          </w:tcPr>
          <w:p>
            <w:pPr/>
          </w:p>
        </w:tc>
        <w:tc>
          <w:tcPr>
            <w:tcW w:w="1318" w:type="dxa"/>
            <w:tcBorders>
              <w:top w:val="single" w:sz="4" w:space="0" w:color="FFFFFF"/>
              <w:left w:val="single" w:sz="4" w:space="0" w:color="000000"/>
              <w:bottom w:val="single" w:sz="4" w:space="0" w:color="000000"/>
              <w:right w:val="single" w:sz="4" w:space="0" w:color="000000"/>
            </w:tcBorders>
          </w:tcPr>
          <w:p>
            <w:pPr/>
          </w:p>
        </w:tc>
        <w:tc>
          <w:tcPr>
            <w:tcW w:w="1150" w:type="dxa"/>
            <w:tcBorders>
              <w:top w:val="single" w:sz="4" w:space="0" w:color="FFFFFF"/>
              <w:left w:val="single" w:sz="4" w:space="0" w:color="000000"/>
              <w:bottom w:val="single" w:sz="4" w:space="0" w:color="000000"/>
              <w:right w:val="single" w:sz="4" w:space="0" w:color="000000"/>
            </w:tcBorders>
          </w:tcPr>
          <w:p>
            <w:pPr/>
          </w:p>
        </w:tc>
        <w:tc>
          <w:tcPr>
            <w:tcW w:w="1001" w:type="dxa"/>
            <w:tcBorders>
              <w:top w:val="single" w:sz="4" w:space="0" w:color="FFFFFF"/>
              <w:left w:val="single" w:sz="4" w:space="0" w:color="000000"/>
              <w:bottom w:val="single" w:sz="4" w:space="0" w:color="000000"/>
              <w:right w:val="single" w:sz="4" w:space="0" w:color="000000"/>
            </w:tcBorders>
          </w:tcPr>
          <w:p>
            <w:pPr/>
          </w:p>
        </w:tc>
        <w:tc>
          <w:tcPr>
            <w:tcW w:w="653" w:type="dxa"/>
            <w:tcBorders>
              <w:top w:val="single" w:sz="4" w:space="0" w:color="FFFFFF"/>
              <w:left w:val="single" w:sz="4" w:space="0" w:color="000000"/>
              <w:bottom w:val="single" w:sz="4" w:space="0" w:color="000000"/>
              <w:right w:val="single" w:sz="4" w:space="0" w:color="000000"/>
            </w:tcBorders>
          </w:tcPr>
          <w:p>
            <w:pPr/>
          </w:p>
        </w:tc>
        <w:tc>
          <w:tcPr>
            <w:tcW w:w="1092" w:type="dxa"/>
            <w:tcBorders>
              <w:top w:val="single" w:sz="4" w:space="0" w:color="FFFFFF"/>
              <w:left w:val="single" w:sz="4" w:space="0" w:color="000000"/>
              <w:bottom w:val="single" w:sz="4" w:space="0" w:color="000000"/>
              <w:right w:val="single" w:sz="4" w:space="0" w:color="000000"/>
            </w:tcBorders>
          </w:tcPr>
          <w:p>
            <w:pPr/>
          </w:p>
        </w:tc>
        <w:tc>
          <w:tcPr>
            <w:tcW w:w="653" w:type="dxa"/>
            <w:tcBorders>
              <w:top w:val="single" w:sz="4" w:space="0" w:color="FFFFFF"/>
              <w:left w:val="single" w:sz="4" w:space="0" w:color="000000"/>
              <w:bottom w:val="single" w:sz="4" w:space="0" w:color="000000"/>
              <w:right w:val="single" w:sz="4" w:space="0" w:color="000000"/>
            </w:tcBorders>
          </w:tcPr>
          <w:p>
            <w:pPr/>
          </w:p>
        </w:tc>
        <w:tc>
          <w:tcPr>
            <w:tcW w:w="11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-21,277,282.79</w:t>
            </w:r>
          </w:p>
        </w:tc>
        <w:tc>
          <w:tcPr>
            <w:tcW w:w="1181" w:type="dxa"/>
            <w:tcBorders>
              <w:top w:val="single" w:sz="4" w:space="0" w:color="FFFFFF"/>
              <w:left w:val="single" w:sz="4" w:space="0" w:color="000000"/>
              <w:bottom w:val="single" w:sz="4" w:space="0" w:color="000000"/>
              <w:right w:val="single" w:sz="4" w:space="0" w:color="000000"/>
            </w:tcBorders>
          </w:tcPr>
          <w:p>
            <w:pPr/>
          </w:p>
        </w:tc>
        <w:tc>
          <w:tcPr>
            <w:tcW w:w="13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-21,277,282.79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786"/>
        <w:gridCol w:w="1315"/>
        <w:gridCol w:w="457"/>
        <w:gridCol w:w="456"/>
        <w:gridCol w:w="458"/>
        <w:gridCol w:w="1318"/>
        <w:gridCol w:w="1150"/>
        <w:gridCol w:w="1001"/>
        <w:gridCol w:w="653"/>
        <w:gridCol w:w="1092"/>
        <w:gridCol w:w="653"/>
        <w:gridCol w:w="1181"/>
        <w:gridCol w:w="1181"/>
        <w:gridCol w:w="1318"/>
      </w:tblGrid>
      <w:tr>
        <w:trPr>
          <w:trHeight w:val="427" w:hRule="exact"/>
        </w:trPr>
        <w:tc>
          <w:tcPr>
            <w:tcW w:w="178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315" w:type="dxa"/>
            <w:tcBorders>
              <w:top w:val="single" w:sz="10" w:space="0" w:color="000000"/>
              <w:left w:val="single" w:sz="4" w:space="0" w:color="000000"/>
              <w:bottom w:val="single" w:sz="4" w:space="0" w:color="000000"/>
              <w:right w:val="single" w:sz="4" w:space="0" w:color="000000"/>
            </w:tcBorders>
          </w:tcPr>
          <w:p>
            <w:pPr/>
          </w:p>
        </w:tc>
        <w:tc>
          <w:tcPr>
            <w:tcW w:w="457" w:type="dxa"/>
            <w:tcBorders>
              <w:top w:val="single" w:sz="10" w:space="0" w:color="000000"/>
              <w:left w:val="single" w:sz="4" w:space="0" w:color="000000"/>
              <w:bottom w:val="single" w:sz="4" w:space="0" w:color="000000"/>
              <w:right w:val="single" w:sz="4" w:space="0" w:color="000000"/>
            </w:tcBorders>
          </w:tcPr>
          <w:p>
            <w:pPr/>
          </w:p>
        </w:tc>
        <w:tc>
          <w:tcPr>
            <w:tcW w:w="456" w:type="dxa"/>
            <w:tcBorders>
              <w:top w:val="single" w:sz="10" w:space="0" w:color="000000"/>
              <w:left w:val="single" w:sz="4" w:space="0" w:color="000000"/>
              <w:bottom w:val="single" w:sz="4" w:space="0" w:color="000000"/>
              <w:right w:val="single" w:sz="4" w:space="0" w:color="000000"/>
            </w:tcBorders>
          </w:tcPr>
          <w:p>
            <w:pPr/>
          </w:p>
        </w:tc>
        <w:tc>
          <w:tcPr>
            <w:tcW w:w="458"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c>
          <w:tcPr>
            <w:tcW w:w="1150" w:type="dxa"/>
            <w:tcBorders>
              <w:top w:val="single" w:sz="10" w:space="0" w:color="000000"/>
              <w:left w:val="single" w:sz="4" w:space="0" w:color="000000"/>
              <w:bottom w:val="single" w:sz="4" w:space="0" w:color="000000"/>
              <w:right w:val="single" w:sz="4" w:space="0" w:color="000000"/>
            </w:tcBorders>
          </w:tcPr>
          <w:p>
            <w:pPr/>
          </w:p>
        </w:tc>
        <w:tc>
          <w:tcPr>
            <w:tcW w:w="1001"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1092"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-934,766.20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-934,766.20</w:t>
            </w:r>
          </w:p>
        </w:tc>
      </w:tr>
      <w:tr>
        <w:trPr>
          <w:trHeight w:val="82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499,983,108.00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-499,983,108.00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499,983,108.00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-499,983,108.00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-408,369.24</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-408,369.24</w:t>
            </w:r>
          </w:p>
        </w:tc>
      </w:tr>
      <w:tr>
        <w:trPr>
          <w:trHeight w:val="50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1,150,221,154.00</w:t>
            </w:r>
          </w:p>
        </w:tc>
        <w:tc>
          <w:tcPr>
            <w:tcW w:w="45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3,093,153,889.98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left"/>
              <w:rPr>
                <w:rFonts w:ascii="Times New Roman" w:hAnsi="Times New Roman" w:cs="Times New Roman" w:eastAsia="Times New Roman" w:hint="default"/>
                <w:sz w:val="18"/>
                <w:szCs w:val="18"/>
              </w:rPr>
            </w:pPr>
            <w:r>
              <w:rPr>
                <w:rFonts w:ascii="Times New Roman"/>
                <w:sz w:val="18"/>
              </w:rPr>
              <w:t>41,669,428.77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3,733,649.30</w:t>
            </w:r>
          </w:p>
        </w:tc>
        <w:tc>
          <w:tcPr>
            <w:tcW w:w="6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20,778,280.26</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606,716,794.38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298,736,397.34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5,131,670,736.49</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left="140" w:right="8264"/>
        <w:jc w:val="left"/>
      </w:pPr>
      <w:r>
        <w:rPr>
          <w:rFonts w:ascii="Times New Roman" w:hAnsi="Times New Roman" w:cs="Times New Roman" w:eastAsia="Times New Roman" w:hint="default"/>
        </w:rPr>
        <w:t>8</w:t>
      </w:r>
      <w:r>
        <w:rPr/>
        <w:t>、母公司所有者权益变动表</w:t>
      </w:r>
    </w:p>
    <w:p>
      <w:pPr>
        <w:spacing w:line="240" w:lineRule="auto" w:before="4"/>
        <w:rPr>
          <w:rFonts w:ascii="黑体" w:hAnsi="黑体" w:cs="黑体" w:eastAsia="黑体" w:hint="default"/>
          <w:sz w:val="24"/>
          <w:szCs w:val="24"/>
        </w:rPr>
      </w:pPr>
    </w:p>
    <w:p>
      <w:pPr>
        <w:pStyle w:val="BodyText"/>
        <w:spacing w:line="240" w:lineRule="auto"/>
        <w:ind w:left="560" w:right="8264"/>
        <w:jc w:val="left"/>
      </w:pPr>
      <w:r>
        <w:rPr/>
        <w:t>本期金额</w:t>
      </w:r>
    </w:p>
    <w:p>
      <w:pPr>
        <w:spacing w:line="240" w:lineRule="auto" w:before="7"/>
        <w:rPr>
          <w:rFonts w:ascii="宋体" w:hAnsi="宋体" w:cs="宋体" w:eastAsia="宋体" w:hint="default"/>
          <w:sz w:val="19"/>
          <w:szCs w:val="19"/>
        </w:rPr>
      </w:pPr>
    </w:p>
    <w:p>
      <w:pPr>
        <w:pStyle w:val="BodyText"/>
        <w:spacing w:line="240" w:lineRule="auto" w:before="36"/>
        <w:ind w:left="0" w:right="251"/>
        <w:jc w:val="right"/>
      </w:pPr>
      <w:r>
        <w:rPr>
          <w:spacing w:val="-1"/>
        </w:rPr>
        <w:t>单位：元</w:t>
      </w:r>
    </w:p>
    <w:p>
      <w:pPr>
        <w:spacing w:after="0" w:line="240" w:lineRule="auto"/>
        <w:jc w:val="right"/>
        <w:sectPr>
          <w:pgSz w:w="16840" w:h="11910" w:orient="landscape"/>
          <w:pgMar w:header="882" w:footer="1132" w:top="1100" w:bottom="1320" w:left="1300" w:right="1280"/>
        </w:sectPr>
      </w:pPr>
    </w:p>
    <w:p>
      <w:pPr>
        <w:spacing w:line="240" w:lineRule="auto" w:before="4"/>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961"/>
        <w:gridCol w:w="1327"/>
        <w:gridCol w:w="848"/>
        <w:gridCol w:w="847"/>
        <w:gridCol w:w="850"/>
        <w:gridCol w:w="1318"/>
        <w:gridCol w:w="1181"/>
        <w:gridCol w:w="1042"/>
        <w:gridCol w:w="1045"/>
        <w:gridCol w:w="1090"/>
        <w:gridCol w:w="1181"/>
        <w:gridCol w:w="1318"/>
      </w:tblGrid>
      <w:tr>
        <w:trPr>
          <w:trHeight w:val="510" w:hRule="exact"/>
        </w:trPr>
        <w:tc>
          <w:tcPr>
            <w:tcW w:w="1961" w:type="dxa"/>
            <w:tcBorders>
              <w:top w:val="single" w:sz="10" w:space="0" w:color="000000"/>
              <w:left w:val="single" w:sz="4" w:space="0" w:color="000000"/>
              <w:bottom w:val="nil" w:sz="6" w:space="0" w:color="auto"/>
              <w:right w:val="single" w:sz="4" w:space="0" w:color="000000"/>
            </w:tcBorders>
            <w:shd w:val="clear" w:color="auto" w:fill="D2D2D2"/>
          </w:tcPr>
          <w:p>
            <w:pPr/>
          </w:p>
        </w:tc>
        <w:tc>
          <w:tcPr>
            <w:tcW w:w="12045" w:type="dxa"/>
            <w:gridSpan w:val="11"/>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08" w:hRule="exact"/>
        </w:trPr>
        <w:tc>
          <w:tcPr>
            <w:tcW w:w="1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vMerge w:val="restart"/>
            <w:tcBorders>
              <w:top w:val="single" w:sz="4" w:space="0" w:color="000000"/>
              <w:left w:val="single" w:sz="4" w:space="0" w:color="000000"/>
              <w:right w:val="single" w:sz="4" w:space="0" w:color="000000"/>
            </w:tcBorders>
            <w:shd w:val="clear" w:color="auto" w:fill="D2D2D2"/>
          </w:tcPr>
          <w:p>
            <w:pPr/>
          </w:p>
        </w:tc>
        <w:tc>
          <w:tcPr>
            <w:tcW w:w="254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7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61"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2545" w:type="dxa"/>
            <w:gridSpan w:val="3"/>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1"/>
              <w:ind w:left="422" w:right="6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4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45" w:type="dxa"/>
            <w:gridSpan w:val="3"/>
            <w:vMerge/>
            <w:tcBorders>
              <w:left w:val="single" w:sz="4" w:space="0" w:color="000000"/>
              <w:bottom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42" w:type="dxa"/>
            <w:vMerge/>
            <w:tcBorders>
              <w:left w:val="single" w:sz="4" w:space="0" w:color="000000"/>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4"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42"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57"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1,150,221,154.00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3,092,263,718.37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41,669,428.77</w:t>
            </w:r>
          </w:p>
        </w:tc>
        <w:tc>
          <w:tcPr>
            <w:tcW w:w="1042" w:type="dxa"/>
            <w:tcBorders>
              <w:top w:val="single" w:sz="42" w:space="0" w:color="D2D2D2"/>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Times New Roman" w:hAnsi="Times New Roman" w:cs="Times New Roman" w:eastAsia="Times New Roman" w:hint="default"/>
                <w:sz w:val="18"/>
                <w:szCs w:val="18"/>
              </w:rPr>
            </w:pPr>
            <w:r>
              <w:rPr>
                <w:rFonts w:ascii="Times New Roman"/>
                <w:sz w:val="18"/>
              </w:rPr>
              <w:t>20,778,280.26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3" w:right="0"/>
              <w:jc w:val="center"/>
              <w:rPr>
                <w:rFonts w:ascii="Times New Roman" w:hAnsi="Times New Roman" w:cs="Times New Roman" w:eastAsia="Times New Roman" w:hint="default"/>
                <w:sz w:val="18"/>
                <w:szCs w:val="18"/>
              </w:rPr>
            </w:pPr>
            <w:r>
              <w:rPr>
                <w:rFonts w:ascii="Times New Roman"/>
                <w:sz w:val="18"/>
              </w:rPr>
              <w:t>96,310,660.33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4,317,904,384.19</w:t>
            </w: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24"/>
              <w:jc w:val="center"/>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1,150,221,154.00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3,092,263,718.37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41,669,428.77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20,778,280.26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 w:right="0"/>
              <w:jc w:val="center"/>
              <w:rPr>
                <w:rFonts w:ascii="Times New Roman" w:hAnsi="Times New Roman" w:cs="Times New Roman" w:eastAsia="Times New Roman" w:hint="default"/>
                <w:sz w:val="18"/>
                <w:szCs w:val="18"/>
              </w:rPr>
            </w:pPr>
            <w:r>
              <w:rPr>
                <w:rFonts w:ascii="Times New Roman"/>
                <w:sz w:val="18"/>
              </w:rPr>
              <w:t>96,310,660.33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4,317,904,384.19</w:t>
            </w:r>
          </w:p>
        </w:tc>
      </w:tr>
      <w:tr>
        <w:trPr>
          <w:trHeight w:val="818"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5"/>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21,975,041.00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239,216,115.43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198,457,923.23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18,720,074.09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89,827,747.62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171,281,054.91</w:t>
            </w: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188,352,716.20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188,352,716.20</w:t>
            </w:r>
          </w:p>
        </w:tc>
      </w:tr>
      <w:tr>
        <w:trPr>
          <w:trHeight w:val="82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1" w:right="1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21,975,041.00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239,216,115.43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198,457,923.23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62,733,233.20</w:t>
            </w:r>
          </w:p>
        </w:tc>
      </w:tr>
      <w:tr>
        <w:trPr>
          <w:trHeight w:val="506"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22,860,000.00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210,588,015.43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233,448,015.43</w:t>
            </w:r>
          </w:p>
        </w:tc>
      </w:tr>
      <w:tr>
        <w:trPr>
          <w:trHeight w:val="82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11"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w:t>
            </w:r>
            <w:r>
              <w:rPr>
                <w:rFonts w:ascii="宋体" w:hAnsi="宋体" w:cs="宋体" w:eastAsia="宋体" w:hint="default"/>
                <w:sz w:val="18"/>
                <w:szCs w:val="18"/>
              </w:rPr>
              <w:t> 投入资本</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1"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w:t>
            </w:r>
            <w:r>
              <w:rPr>
                <w:rFonts w:ascii="宋体" w:hAnsi="宋体" w:cs="宋体" w:eastAsia="宋体" w:hint="default"/>
                <w:sz w:val="18"/>
                <w:szCs w:val="18"/>
              </w:rPr>
              <w:t> 权益的金额</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28,628,100.00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198,457,923.23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-169,829,823.23</w:t>
            </w:r>
          </w:p>
        </w:tc>
      </w:tr>
      <w:tr>
        <w:trPr>
          <w:trHeight w:val="509"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-884,959.00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-884,959.00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985"/>
        <w:gridCol w:w="1315"/>
        <w:gridCol w:w="848"/>
        <w:gridCol w:w="847"/>
        <w:gridCol w:w="850"/>
        <w:gridCol w:w="1318"/>
        <w:gridCol w:w="1181"/>
        <w:gridCol w:w="1042"/>
        <w:gridCol w:w="1045"/>
        <w:gridCol w:w="1090"/>
        <w:gridCol w:w="1181"/>
        <w:gridCol w:w="1318"/>
      </w:tblGrid>
      <w:tr>
        <w:trPr>
          <w:trHeight w:val="521" w:hRule="exact"/>
        </w:trPr>
        <w:tc>
          <w:tcPr>
            <w:tcW w:w="19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5" w:type="dxa"/>
            <w:tcBorders>
              <w:top w:val="single" w:sz="10" w:space="0" w:color="000000"/>
              <w:left w:val="single" w:sz="4" w:space="0" w:color="000000"/>
              <w:bottom w:val="single" w:sz="4" w:space="0" w:color="000000"/>
              <w:right w:val="single" w:sz="4" w:space="0" w:color="000000"/>
            </w:tcBorders>
          </w:tcPr>
          <w:p>
            <w:pPr/>
          </w:p>
        </w:tc>
        <w:tc>
          <w:tcPr>
            <w:tcW w:w="848" w:type="dxa"/>
            <w:tcBorders>
              <w:top w:val="single" w:sz="10" w:space="0" w:color="000000"/>
              <w:left w:val="single" w:sz="4" w:space="0" w:color="000000"/>
              <w:bottom w:val="single" w:sz="4" w:space="0" w:color="000000"/>
              <w:right w:val="single" w:sz="4" w:space="0" w:color="000000"/>
            </w:tcBorders>
          </w:tcPr>
          <w:p>
            <w:pPr/>
          </w:p>
        </w:tc>
        <w:tc>
          <w:tcPr>
            <w:tcW w:w="847"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042" w:type="dxa"/>
            <w:tcBorders>
              <w:top w:val="single" w:sz="10" w:space="0" w:color="000000"/>
              <w:left w:val="single" w:sz="4" w:space="0" w:color="000000"/>
              <w:bottom w:val="single" w:sz="4" w:space="0" w:color="000000"/>
              <w:right w:val="single" w:sz="4" w:space="0" w:color="000000"/>
            </w:tcBorders>
          </w:tcPr>
          <w:p>
            <w:pPr/>
          </w:p>
        </w:tc>
        <w:tc>
          <w:tcPr>
            <w:tcW w:w="1045" w:type="dxa"/>
            <w:tcBorders>
              <w:top w:val="single" w:sz="10" w:space="0" w:color="000000"/>
              <w:left w:val="single" w:sz="4" w:space="0" w:color="000000"/>
              <w:bottom w:val="single" w:sz="4" w:space="0" w:color="000000"/>
              <w:right w:val="single" w:sz="4" w:space="0" w:color="000000"/>
            </w:tcBorders>
          </w:tcPr>
          <w:p>
            <w:pPr/>
          </w:p>
        </w:tc>
        <w:tc>
          <w:tcPr>
            <w:tcW w:w="10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left="21" w:right="0"/>
              <w:jc w:val="left"/>
              <w:rPr>
                <w:rFonts w:ascii="Times New Roman" w:hAnsi="Times New Roman" w:cs="Times New Roman" w:eastAsia="Times New Roman" w:hint="default"/>
                <w:sz w:val="18"/>
                <w:szCs w:val="18"/>
              </w:rPr>
            </w:pPr>
            <w:r>
              <w:rPr>
                <w:rFonts w:ascii="Times New Roman"/>
                <w:sz w:val="18"/>
              </w:rPr>
              <w:t>18,720,074.09</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left="33" w:right="0"/>
              <w:jc w:val="center"/>
              <w:rPr>
                <w:rFonts w:ascii="Times New Roman" w:hAnsi="Times New Roman" w:cs="Times New Roman" w:eastAsia="Times New Roman" w:hint="default"/>
                <w:sz w:val="18"/>
                <w:szCs w:val="18"/>
              </w:rPr>
            </w:pPr>
            <w:r>
              <w:rPr>
                <w:rFonts w:ascii="Times New Roman"/>
                <w:sz w:val="18"/>
              </w:rPr>
              <w:t>-98,524,968.58</w:t>
            </w:r>
          </w:p>
        </w:tc>
        <w:tc>
          <w:tcPr>
            <w:tcW w:w="13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-79,804,894.49</w:t>
            </w: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18,720,074.09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 w:right="0"/>
              <w:jc w:val="center"/>
              <w:rPr>
                <w:rFonts w:ascii="Times New Roman" w:hAnsi="Times New Roman" w:cs="Times New Roman" w:eastAsia="Times New Roman" w:hint="default"/>
                <w:sz w:val="18"/>
                <w:szCs w:val="18"/>
              </w:rPr>
            </w:pPr>
            <w:r>
              <w:rPr>
                <w:rFonts w:ascii="Times New Roman"/>
                <w:sz w:val="18"/>
              </w:rPr>
              <w:t>-18,720,074.09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r>
              <w:rPr>
                <w:rFonts w:ascii="宋体" w:hAnsi="宋体" w:cs="宋体" w:eastAsia="宋体" w:hint="default"/>
                <w:sz w:val="18"/>
                <w:szCs w:val="18"/>
              </w:rPr>
              <w:t> 的分配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-79,804,894.49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-79,804,894.49</w:t>
            </w: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22"/>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2"/>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z w:val="18"/>
                <w:szCs w:val="18"/>
              </w:rPr>
              <w:t> 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3" w:right="22"/>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z w:val="18"/>
                <w:szCs w:val="18"/>
              </w:rPr>
              <w:t> 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1,172,196,195.00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3,331,479,833.80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240,127,352.00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18"/>
                <w:szCs w:val="18"/>
              </w:rPr>
            </w:pPr>
            <w:r>
              <w:rPr>
                <w:rFonts w:ascii="Times New Roman"/>
                <w:sz w:val="18"/>
              </w:rPr>
              <w:t>39,498,354.35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186,138,407.95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4,489,185,439.10</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60" w:right="8264"/>
        <w:jc w:val="left"/>
      </w:pPr>
      <w:r>
        <w:rPr/>
        <w:t>上期金额</w:t>
      </w:r>
    </w:p>
    <w:p>
      <w:pPr>
        <w:spacing w:after="0" w:line="240" w:lineRule="auto"/>
        <w:jc w:val="left"/>
        <w:sectPr>
          <w:pgSz w:w="16840" w:h="11910" w:orient="landscape"/>
          <w:pgMar w:header="882" w:footer="1132" w:top="1100" w:bottom="1320" w:left="1300" w:right="128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8"/>
        <w:ind w:left="0" w:right="251"/>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985"/>
        <w:gridCol w:w="1327"/>
        <w:gridCol w:w="872"/>
        <w:gridCol w:w="869"/>
        <w:gridCol w:w="874"/>
        <w:gridCol w:w="1316"/>
        <w:gridCol w:w="1152"/>
        <w:gridCol w:w="984"/>
        <w:gridCol w:w="1069"/>
        <w:gridCol w:w="1092"/>
        <w:gridCol w:w="1150"/>
        <w:gridCol w:w="1318"/>
      </w:tblGrid>
      <w:tr>
        <w:trPr>
          <w:trHeight w:val="504"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08"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vMerge w:val="restart"/>
            <w:tcBorders>
              <w:top w:val="single" w:sz="4" w:space="0" w:color="000000"/>
              <w:left w:val="single" w:sz="4" w:space="0" w:color="000000"/>
              <w:right w:val="single" w:sz="4" w:space="0" w:color="000000"/>
            </w:tcBorders>
            <w:shd w:val="clear" w:color="auto" w:fill="D2D2D2"/>
          </w:tcPr>
          <w:p>
            <w:pPr/>
          </w:p>
        </w:tc>
        <w:tc>
          <w:tcPr>
            <w:tcW w:w="26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7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85"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2614" w:type="dxa"/>
            <w:gridSpan w:val="3"/>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101"/>
              <w:ind w:left="398" w:right="3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69"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14"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4" w:type="dxa"/>
            <w:vMerge/>
            <w:tcBorders>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1"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6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5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500,481,802.00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644,660,017.96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63,889,889.82</w:t>
            </w:r>
          </w:p>
        </w:tc>
        <w:tc>
          <w:tcPr>
            <w:tcW w:w="984" w:type="dxa"/>
            <w:tcBorders>
              <w:top w:val="single" w:sz="39" w:space="0" w:color="D2D2D2"/>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17,969,331.07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93,242,166.63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1,192,463,427.84</w:t>
            </w:r>
          </w:p>
        </w:tc>
      </w:tr>
      <w:tr>
        <w:trPr>
          <w:trHeight w:val="50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6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6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48"/>
              <w:jc w:val="center"/>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500,481,802.00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644,660,017.96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63,889,889.82</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17,969,331.07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93,242,166.63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1,192,463,427.84</w:t>
            </w:r>
          </w:p>
        </w:tc>
      </w:tr>
      <w:tr>
        <w:trPr>
          <w:trHeight w:val="82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5"/>
              <w:jc w:val="left"/>
              <w:rPr>
                <w:rFonts w:ascii="宋体" w:hAnsi="宋体" w:cs="宋体" w:eastAsia="宋体" w:hint="default"/>
                <w:sz w:val="18"/>
                <w:szCs w:val="18"/>
              </w:rPr>
            </w:pPr>
            <w:r>
              <w:rPr>
                <w:rFonts w:ascii="宋体" w:hAnsi="宋体" w:cs="宋体" w:eastAsia="宋体" w:hint="default"/>
                <w:spacing w:val="14"/>
                <w:sz w:val="18"/>
                <w:szCs w:val="18"/>
              </w:rPr>
              <w:t>三、本期增减变动金额</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649,739,352.00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2,447,603,700.41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-22,220,461.05</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3,068,493.70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3,125,440,956.35</w:t>
            </w: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28,089,491.88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28,089,491.88</w:t>
            </w:r>
          </w:p>
        </w:tc>
      </w:tr>
      <w:tr>
        <w:trPr>
          <w:trHeight w:val="81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149,756,244.00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2,947,586,808.41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-22,220,461.05</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3,119,563,513.46</w:t>
            </w:r>
          </w:p>
        </w:tc>
      </w:tr>
      <w:tr>
        <w:trPr>
          <w:trHeight w:val="50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149,756,244.00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2,927,745,049.60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386,265.00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3,077,115,028.60</w:t>
            </w:r>
          </w:p>
        </w:tc>
      </w:tr>
      <w:tr>
        <w:trPr>
          <w:trHeight w:val="82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2"/>
              <w:ind w:left="11" w:right="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1" w:right="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权益的金额</w:t>
            </w:r>
          </w:p>
        </w:tc>
        <w:tc>
          <w:tcPr>
            <w:tcW w:w="1327" w:type="dxa"/>
            <w:tcBorders>
              <w:top w:val="single" w:sz="4" w:space="0" w:color="000000"/>
              <w:left w:val="single" w:sz="13" w:space="0" w:color="D2D2D2"/>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19,870,427.37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-22,606,726.05</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42,477,153.42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32" w:top="1100" w:bottom="1320" w:left="1300" w:right="1280"/>
        </w:sectPr>
      </w:pPr>
    </w:p>
    <w:tbl>
      <w:tblPr>
        <w:tblW w:w="0" w:type="auto"/>
        <w:jc w:val="left"/>
        <w:tblInd w:w="106" w:type="dxa"/>
        <w:tblLayout w:type="fixed"/>
        <w:tblCellMar>
          <w:top w:w="0" w:type="dxa"/>
          <w:left w:w="0" w:type="dxa"/>
          <w:bottom w:w="0" w:type="dxa"/>
          <w:right w:w="0" w:type="dxa"/>
        </w:tblCellMar>
        <w:tblLook w:val="01E0"/>
      </w:tblPr>
      <w:tblGrid>
        <w:gridCol w:w="2009"/>
        <w:gridCol w:w="1315"/>
        <w:gridCol w:w="872"/>
        <w:gridCol w:w="869"/>
        <w:gridCol w:w="874"/>
        <w:gridCol w:w="1316"/>
        <w:gridCol w:w="1152"/>
        <w:gridCol w:w="984"/>
        <w:gridCol w:w="1069"/>
        <w:gridCol w:w="1092"/>
        <w:gridCol w:w="1150"/>
        <w:gridCol w:w="1318"/>
      </w:tblGrid>
      <w:tr>
        <w:trPr>
          <w:trHeight w:val="521" w:hRule="exact"/>
        </w:trPr>
        <w:tc>
          <w:tcPr>
            <w:tcW w:w="200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10" w:space="0" w:color="000000"/>
              <w:left w:val="single" w:sz="4" w:space="0" w:color="000000"/>
              <w:bottom w:val="single" w:sz="4" w:space="0" w:color="000000"/>
              <w:right w:val="single" w:sz="4" w:space="0" w:color="000000"/>
            </w:tcBorders>
          </w:tcPr>
          <w:p>
            <w:pPr/>
          </w:p>
        </w:tc>
        <w:tc>
          <w:tcPr>
            <w:tcW w:w="872" w:type="dxa"/>
            <w:tcBorders>
              <w:top w:val="single" w:sz="10" w:space="0" w:color="000000"/>
              <w:left w:val="single" w:sz="4" w:space="0" w:color="000000"/>
              <w:bottom w:val="single" w:sz="4" w:space="0" w:color="000000"/>
              <w:right w:val="single" w:sz="4" w:space="0" w:color="000000"/>
            </w:tcBorders>
          </w:tcPr>
          <w:p>
            <w:pPr/>
          </w:p>
        </w:tc>
        <w:tc>
          <w:tcPr>
            <w:tcW w:w="869" w:type="dxa"/>
            <w:tcBorders>
              <w:top w:val="single" w:sz="10" w:space="0" w:color="000000"/>
              <w:left w:val="single" w:sz="4" w:space="0" w:color="000000"/>
              <w:bottom w:val="single" w:sz="4" w:space="0" w:color="000000"/>
              <w:right w:val="single" w:sz="4" w:space="0" w:color="000000"/>
            </w:tcBorders>
          </w:tcPr>
          <w:p>
            <w:pPr/>
          </w:p>
        </w:tc>
        <w:tc>
          <w:tcPr>
            <w:tcW w:w="874" w:type="dxa"/>
            <w:tcBorders>
              <w:top w:val="single" w:sz="10" w:space="0" w:color="000000"/>
              <w:left w:val="single" w:sz="4" w:space="0" w:color="000000"/>
              <w:bottom w:val="single" w:sz="4" w:space="0" w:color="000000"/>
              <w:right w:val="single" w:sz="4" w:space="0" w:color="000000"/>
            </w:tcBorders>
          </w:tcPr>
          <w:p>
            <w:pPr/>
          </w:p>
        </w:tc>
        <w:tc>
          <w:tcPr>
            <w:tcW w:w="13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-28,668.56</w:t>
            </w:r>
          </w:p>
        </w:tc>
        <w:tc>
          <w:tcPr>
            <w:tcW w:w="1152"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1069" w:type="dxa"/>
            <w:tcBorders>
              <w:top w:val="single" w:sz="10" w:space="0" w:color="000000"/>
              <w:left w:val="single" w:sz="4" w:space="0" w:color="000000"/>
              <w:bottom w:val="single" w:sz="4" w:space="0" w:color="000000"/>
              <w:right w:val="single" w:sz="4" w:space="0" w:color="000000"/>
            </w:tcBorders>
          </w:tcPr>
          <w:p>
            <w:pPr/>
          </w:p>
        </w:tc>
        <w:tc>
          <w:tcPr>
            <w:tcW w:w="1092" w:type="dxa"/>
            <w:tcBorders>
              <w:top w:val="single" w:sz="10" w:space="0" w:color="000000"/>
              <w:left w:val="single" w:sz="4" w:space="0" w:color="000000"/>
              <w:bottom w:val="single" w:sz="4" w:space="0" w:color="000000"/>
              <w:right w:val="single" w:sz="4" w:space="0" w:color="000000"/>
            </w:tcBorders>
          </w:tcPr>
          <w:p>
            <w:pPr/>
          </w:p>
        </w:tc>
        <w:tc>
          <w:tcPr>
            <w:tcW w:w="1150" w:type="dxa"/>
            <w:tcBorders>
              <w:top w:val="single" w:sz="10" w:space="0" w:color="000000"/>
              <w:left w:val="single" w:sz="4" w:space="0" w:color="000000"/>
              <w:bottom w:val="single" w:sz="4" w:space="0" w:color="000000"/>
              <w:right w:val="single" w:sz="4" w:space="0" w:color="000000"/>
            </w:tcBorders>
          </w:tcPr>
          <w:p>
            <w:pPr/>
          </w:p>
        </w:tc>
        <w:tc>
          <w:tcPr>
            <w:tcW w:w="13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-28,668.56</w:t>
            </w: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-25,020,998.18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-22,212,048.99</w:t>
            </w:r>
          </w:p>
        </w:tc>
      </w:tr>
      <w:tr>
        <w:trPr>
          <w:trHeight w:val="506"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2,808,949.19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-2,808,949.19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92"/>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-21,277,282.79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-21,277,282.79</w:t>
            </w: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-934,766.20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-934,766.20</w:t>
            </w:r>
          </w:p>
        </w:tc>
      </w:tr>
      <w:tr>
        <w:trPr>
          <w:trHeight w:val="818"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9"/>
              <w:ind w:left="23" w:right="22"/>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499,983,108.00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-499,983,108.00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92"/>
              <w:ind w:left="23"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r>
              <w:rPr>
                <w:rFonts w:ascii="宋体" w:hAnsi="宋体" w:cs="宋体" w:eastAsia="宋体" w:hint="default"/>
                <w:sz w:val="18"/>
                <w:szCs w:val="18"/>
              </w:rPr>
              <w:t> 股本）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499,983,108.00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-499,983,108.00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9"/>
              <w:ind w:left="23" w:right="21"/>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z w:val="18"/>
                <w:szCs w:val="18"/>
              </w:rPr>
              <w:t> 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1,150,221,154.00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3,092,263,718.37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4" w:right="0"/>
              <w:jc w:val="left"/>
              <w:rPr>
                <w:rFonts w:ascii="Times New Roman" w:hAnsi="Times New Roman" w:cs="Times New Roman" w:eastAsia="Times New Roman" w:hint="default"/>
                <w:sz w:val="18"/>
                <w:szCs w:val="18"/>
              </w:rPr>
            </w:pPr>
            <w:r>
              <w:rPr>
                <w:rFonts w:ascii="Times New Roman"/>
                <w:sz w:val="18"/>
              </w:rPr>
              <w:t>41,669,428.77</w:t>
            </w:r>
          </w:p>
        </w:tc>
        <w:tc>
          <w:tcPr>
            <w:tcW w:w="98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20,778,280.26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96,310,660.33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4,317,904,384.19</w:t>
            </w:r>
          </w:p>
        </w:tc>
      </w:tr>
    </w:tbl>
    <w:p>
      <w:pPr>
        <w:spacing w:after="0" w:line="240" w:lineRule="auto"/>
        <w:jc w:val="right"/>
        <w:rPr>
          <w:rFonts w:ascii="Times New Roman" w:hAnsi="Times New Roman" w:cs="Times New Roman" w:eastAsia="Times New Roman" w:hint="default"/>
          <w:sz w:val="18"/>
          <w:szCs w:val="18"/>
        </w:rPr>
        <w:sectPr>
          <w:headerReference w:type="default" r:id="rId54"/>
          <w:pgSz w:w="16840" w:h="11910" w:orient="landscape"/>
          <w:pgMar w:header="882" w:footer="1132" w:top="1280" w:bottom="1320" w:left="1300" w:right="1280"/>
        </w:sectPr>
      </w:pPr>
    </w:p>
    <w:p>
      <w:pPr>
        <w:spacing w:line="240" w:lineRule="auto" w:before="11"/>
        <w:rPr>
          <w:rFonts w:ascii="宋体" w:hAnsi="宋体" w:cs="宋体" w:eastAsia="宋体" w:hint="default"/>
          <w:sz w:val="16"/>
          <w:szCs w:val="16"/>
        </w:rPr>
      </w:pPr>
    </w:p>
    <w:p>
      <w:pPr>
        <w:pStyle w:val="Heading2"/>
        <w:spacing w:line="240" w:lineRule="auto"/>
        <w:ind w:right="112"/>
        <w:jc w:val="left"/>
      </w:pPr>
      <w:r>
        <w:rPr/>
        <w:t>三、公司基本情况</w:t>
      </w:r>
    </w:p>
    <w:p>
      <w:pPr>
        <w:spacing w:line="240" w:lineRule="auto" w:before="9"/>
        <w:rPr>
          <w:rFonts w:ascii="黑体" w:hAnsi="黑体" w:cs="黑体" w:eastAsia="黑体" w:hint="default"/>
          <w:sz w:val="37"/>
          <w:szCs w:val="37"/>
        </w:rPr>
      </w:pPr>
    </w:p>
    <w:p>
      <w:pPr>
        <w:pStyle w:val="BodyText"/>
        <w:spacing w:line="386" w:lineRule="auto"/>
        <w:ind w:right="188" w:firstLine="420"/>
        <w:jc w:val="both"/>
      </w:pPr>
      <w:r>
        <w:rPr>
          <w:spacing w:val="-5"/>
        </w:rPr>
        <w:t>北京旋极信息技术股份有限公司（以下简称</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）系于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4"/>
        </w:rPr>
        <w:t> </w:t>
      </w:r>
      <w:r>
        <w:rPr/>
        <w:t>月经原北京旋极信息</w:t>
      </w:r>
      <w:r>
        <w:rPr>
          <w:w w:val="100"/>
        </w:rPr>
        <w:t> </w:t>
      </w:r>
      <w:r>
        <w:rPr/>
        <w:t>技术有限公司整体变更设立。公司的企业法人营业执照注册号：</w:t>
      </w:r>
      <w:r>
        <w:rPr>
          <w:rFonts w:ascii="Times New Roman" w:hAnsi="Times New Roman" w:cs="Times New Roman" w:eastAsia="Times New Roman" w:hint="default"/>
        </w:rPr>
        <w:t>911100006336942335</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2"/>
        </w:rPr>
        <w:t> </w:t>
      </w:r>
      <w:r>
        <w:rPr/>
        <w:t>年</w:t>
      </w:r>
      <w:r>
        <w:rPr>
          <w:spacing w:val="-7"/>
        </w:rPr>
        <w:t> </w:t>
      </w: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t>月在深</w:t>
      </w:r>
      <w:r>
        <w:rPr>
          <w:spacing w:val="-103"/>
        </w:rPr>
        <w:t> </w:t>
      </w:r>
      <w:r>
        <w:rPr>
          <w:spacing w:val="-5"/>
          <w:w w:val="100"/>
        </w:rPr>
        <w:t>圳证券交易所上市。所属行业为软件和信息技术服务业类（</w:t>
      </w:r>
      <w:r>
        <w:rPr>
          <w:rFonts w:ascii="Times New Roman" w:hAnsi="Times New Roman" w:cs="Times New Roman" w:eastAsia="Times New Roman" w:hint="default"/>
          <w:spacing w:val="-5"/>
          <w:w w:val="100"/>
        </w:rPr>
        <w:t>I65</w:t>
      </w:r>
      <w:r>
        <w:rPr>
          <w:spacing w:val="-5"/>
          <w:w w:val="100"/>
        </w:rPr>
        <w:t>）。截止</w:t>
      </w:r>
      <w:r>
        <w:rPr>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12  </w:t>
      </w:r>
      <w:r>
        <w:rPr>
          <w:w w:val="100"/>
        </w:rPr>
        <w:t>月 </w:t>
      </w:r>
      <w:r>
        <w:rPr>
          <w:rFonts w:ascii="Times New Roman" w:hAnsi="Times New Roman" w:cs="Times New Roman" w:eastAsia="Times New Roman" w:hint="default"/>
          <w:w w:val="100"/>
        </w:rPr>
        <w:t>31 </w:t>
      </w:r>
      <w:r>
        <w:rPr>
          <w:rFonts w:ascii="Times New Roman" w:hAnsi="Times New Roman" w:cs="Times New Roman" w:eastAsia="Times New Roman" w:hint="default"/>
          <w:spacing w:val="19"/>
          <w:w w:val="100"/>
        </w:rPr>
        <w:t> </w:t>
      </w:r>
      <w:r>
        <w:rPr>
          <w:spacing w:val="-1"/>
          <w:w w:val="100"/>
        </w:rPr>
        <w:t>日，本公司累</w:t>
      </w:r>
    </w:p>
    <w:p>
      <w:pPr>
        <w:pStyle w:val="BodyText"/>
        <w:spacing w:line="386" w:lineRule="auto" w:before="35"/>
        <w:ind w:right="112"/>
        <w:jc w:val="left"/>
      </w:pPr>
      <w:r>
        <w:rPr/>
        <w:t>计发行股本总数 </w:t>
      </w:r>
      <w:r>
        <w:rPr>
          <w:rFonts w:ascii="Times New Roman" w:hAnsi="Times New Roman" w:cs="Times New Roman" w:eastAsia="Times New Roman" w:hint="default"/>
        </w:rPr>
        <w:t>1,172,196,195 </w:t>
      </w:r>
      <w:r>
        <w:rPr>
          <w:spacing w:val="-9"/>
        </w:rPr>
        <w:t>股，注册资本为 </w:t>
      </w:r>
      <w:r>
        <w:rPr>
          <w:rFonts w:ascii="Times New Roman" w:hAnsi="Times New Roman" w:cs="Times New Roman" w:eastAsia="Times New Roman" w:hint="default"/>
        </w:rPr>
        <w:t>1,172,196,195.00 </w:t>
      </w:r>
      <w:r>
        <w:rPr>
          <w:spacing w:val="-8"/>
        </w:rPr>
        <w:t>元，注册地：北京市海淀区丰秀中路 </w:t>
      </w:r>
      <w:r>
        <w:rPr>
          <w:rFonts w:ascii="Times New Roman" w:hAnsi="Times New Roman" w:cs="Times New Roman" w:eastAsia="Times New Roman" w:hint="default"/>
        </w:rPr>
        <w:t>3 </w:t>
      </w:r>
      <w:r>
        <w:rPr/>
        <w:t>号</w:t>
      </w:r>
      <w:r>
        <w:rPr>
          <w:spacing w:val="-87"/>
        </w:rPr>
        <w:t> </w:t>
      </w:r>
      <w:r>
        <w:rPr/>
        <w:t>院 </w:t>
      </w:r>
      <w:r>
        <w:rPr>
          <w:rFonts w:ascii="Times New Roman" w:hAnsi="Times New Roman" w:cs="Times New Roman" w:eastAsia="Times New Roman" w:hint="default"/>
        </w:rPr>
        <w:t>12 </w:t>
      </w:r>
      <w:r>
        <w:rPr/>
        <w:t>号楼</w:t>
      </w:r>
      <w:r>
        <w:rPr>
          <w:rFonts w:ascii="Times New Roman" w:hAnsi="Times New Roman" w:cs="Times New Roman" w:eastAsia="Times New Roman" w:hint="default"/>
        </w:rPr>
        <w:t>-1 </w:t>
      </w:r>
      <w:r>
        <w:rPr/>
        <w:t>层至 </w:t>
      </w:r>
      <w:r>
        <w:rPr>
          <w:rFonts w:ascii="Times New Roman" w:hAnsi="Times New Roman" w:cs="Times New Roman" w:eastAsia="Times New Roman" w:hint="default"/>
        </w:rPr>
        <w:t>5 </w:t>
      </w:r>
      <w:r>
        <w:rPr/>
        <w:t>层</w:t>
      </w:r>
      <w:r>
        <w:rPr>
          <w:spacing w:val="24"/>
        </w:rPr>
        <w:t> </w:t>
      </w:r>
      <w:r>
        <w:rPr>
          <w:rFonts w:ascii="Times New Roman" w:hAnsi="Times New Roman" w:cs="Times New Roman" w:eastAsia="Times New Roman" w:hint="default"/>
        </w:rPr>
        <w:t>101</w:t>
      </w:r>
      <w:r>
        <w:rPr/>
        <w:t>。本公司主要经营活动为：从事嵌入式产品的开发、生产、销售和服务业务。</w:t>
      </w:r>
      <w:r>
        <w:rPr>
          <w:w w:val="100"/>
        </w:rPr>
        <w:t> </w:t>
      </w:r>
      <w:r>
        <w:rPr/>
        <w:t>本公司的实际控制人为陈江涛。本财务报表业经公司董事会于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日批准报出。</w:t>
      </w:r>
    </w:p>
    <w:p>
      <w:pPr>
        <w:pStyle w:val="BodyText"/>
        <w:spacing w:line="240" w:lineRule="auto" w:before="136"/>
        <w:ind w:left="573" w:right="112"/>
        <w:jc w:val="left"/>
      </w:pPr>
      <w:r>
        <w:rPr/>
        <w:t>截至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日止，本公司合并财务报表范围内子公司如下：</w:t>
      </w:r>
    </w:p>
    <w:p>
      <w:pPr>
        <w:spacing w:line="240" w:lineRule="auto" w:before="4"/>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9660"/>
      </w:tblGrid>
      <w:tr>
        <w:trPr>
          <w:trHeight w:val="696" w:hRule="exact"/>
        </w:trPr>
        <w:tc>
          <w:tcPr>
            <w:tcW w:w="9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上海旋极信息技术有限公司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562" w:right="0"/>
              <w:jc w:val="left"/>
              <w:rPr>
                <w:rFonts w:ascii="宋体" w:hAnsi="宋体" w:cs="宋体" w:eastAsia="宋体" w:hint="default"/>
                <w:sz w:val="21"/>
                <w:szCs w:val="21"/>
              </w:rPr>
            </w:pPr>
            <w:r>
              <w:rPr>
                <w:rFonts w:ascii="宋体" w:hAnsi="宋体" w:cs="宋体" w:eastAsia="宋体" w:hint="default"/>
                <w:sz w:val="21"/>
                <w:szCs w:val="21"/>
              </w:rPr>
              <w:t>成都旋极历通信息技术有限公司</w:t>
            </w:r>
          </w:p>
        </w:tc>
      </w:tr>
      <w:tr>
        <w:trPr>
          <w:trHeight w:val="699"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20" w:right="0"/>
              <w:jc w:val="center"/>
              <w:rPr>
                <w:rFonts w:ascii="宋体" w:hAnsi="宋体" w:cs="宋体" w:eastAsia="宋体" w:hint="default"/>
                <w:sz w:val="21"/>
                <w:szCs w:val="21"/>
              </w:rPr>
            </w:pPr>
            <w:r>
              <w:rPr>
                <w:rFonts w:ascii="宋体" w:hAnsi="宋体" w:cs="宋体" w:eastAsia="宋体" w:hint="default"/>
                <w:sz w:val="21"/>
                <w:szCs w:val="21"/>
              </w:rPr>
              <w:t>旋极国际（香港）有限公司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459" w:right="0"/>
              <w:jc w:val="left"/>
              <w:rPr>
                <w:rFonts w:ascii="宋体" w:hAnsi="宋体" w:cs="宋体" w:eastAsia="宋体" w:hint="default"/>
                <w:sz w:val="21"/>
                <w:szCs w:val="21"/>
              </w:rPr>
            </w:pPr>
            <w:r>
              <w:rPr>
                <w:rFonts w:ascii="宋体" w:hAnsi="宋体" w:cs="宋体" w:eastAsia="宋体" w:hint="default"/>
                <w:sz w:val="21"/>
                <w:szCs w:val="21"/>
              </w:rPr>
              <w:t>北京旋极伏羲大数据技术有限公司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562" w:right="0"/>
              <w:jc w:val="left"/>
              <w:rPr>
                <w:rFonts w:ascii="宋体" w:hAnsi="宋体" w:cs="宋体" w:eastAsia="宋体" w:hint="default"/>
                <w:sz w:val="21"/>
                <w:szCs w:val="21"/>
              </w:rPr>
            </w:pPr>
            <w:r>
              <w:rPr>
                <w:rFonts w:ascii="宋体" w:hAnsi="宋体" w:cs="宋体" w:eastAsia="宋体" w:hint="default"/>
                <w:sz w:val="21"/>
                <w:szCs w:val="21"/>
              </w:rPr>
              <w:t>北京云网信服信息技术有限公司</w:t>
            </w:r>
          </w:p>
        </w:tc>
      </w:tr>
      <w:tr>
        <w:trPr>
          <w:trHeight w:val="696"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562" w:right="0"/>
              <w:jc w:val="left"/>
              <w:rPr>
                <w:rFonts w:ascii="宋体" w:hAnsi="宋体" w:cs="宋体" w:eastAsia="宋体" w:hint="default"/>
                <w:sz w:val="21"/>
                <w:szCs w:val="21"/>
              </w:rPr>
            </w:pPr>
            <w:r>
              <w:rPr>
                <w:rFonts w:ascii="宋体" w:hAnsi="宋体" w:cs="宋体" w:eastAsia="宋体" w:hint="default"/>
                <w:sz w:val="21"/>
                <w:szCs w:val="21"/>
              </w:rPr>
              <w:t>北京分贝海洋信息技术有限公司</w:t>
            </w:r>
          </w:p>
        </w:tc>
      </w:tr>
      <w:tr>
        <w:trPr>
          <w:trHeight w:val="699"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562" w:right="0"/>
              <w:jc w:val="left"/>
              <w:rPr>
                <w:rFonts w:ascii="宋体" w:hAnsi="宋体" w:cs="宋体" w:eastAsia="宋体" w:hint="default"/>
                <w:sz w:val="21"/>
                <w:szCs w:val="21"/>
              </w:rPr>
            </w:pPr>
            <w:r>
              <w:rPr>
                <w:rFonts w:ascii="宋体" w:hAnsi="宋体" w:cs="宋体" w:eastAsia="宋体" w:hint="default"/>
                <w:sz w:val="21"/>
                <w:szCs w:val="21"/>
              </w:rPr>
              <w:t>赛瑞工信科技（北京）有限公司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20" w:right="0"/>
              <w:jc w:val="center"/>
              <w:rPr>
                <w:rFonts w:ascii="宋体" w:hAnsi="宋体" w:cs="宋体" w:eastAsia="宋体" w:hint="default"/>
                <w:sz w:val="21"/>
                <w:szCs w:val="21"/>
              </w:rPr>
            </w:pPr>
            <w:r>
              <w:rPr>
                <w:rFonts w:ascii="宋体" w:hAnsi="宋体" w:cs="宋体" w:eastAsia="宋体" w:hint="default"/>
                <w:sz w:val="21"/>
                <w:szCs w:val="21"/>
              </w:rPr>
              <w:t>北京麦禾信通科技有限公司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20" w:right="0"/>
              <w:jc w:val="center"/>
              <w:rPr>
                <w:rFonts w:ascii="宋体" w:hAnsi="宋体" w:cs="宋体" w:eastAsia="宋体" w:hint="default"/>
                <w:sz w:val="21"/>
                <w:szCs w:val="21"/>
              </w:rPr>
            </w:pPr>
            <w:r>
              <w:rPr>
                <w:rFonts w:ascii="宋体" w:hAnsi="宋体" w:cs="宋体" w:eastAsia="宋体" w:hint="default"/>
                <w:sz w:val="21"/>
                <w:szCs w:val="21"/>
              </w:rPr>
              <w:t>深圳旋极历通科技有限公司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562" w:right="0"/>
              <w:jc w:val="left"/>
              <w:rPr>
                <w:rFonts w:ascii="宋体" w:hAnsi="宋体" w:cs="宋体" w:eastAsia="宋体" w:hint="default"/>
                <w:sz w:val="21"/>
                <w:szCs w:val="21"/>
              </w:rPr>
            </w:pPr>
            <w:r>
              <w:rPr>
                <w:rFonts w:ascii="宋体" w:hAnsi="宋体" w:cs="宋体" w:eastAsia="宋体" w:hint="default"/>
                <w:sz w:val="21"/>
                <w:szCs w:val="21"/>
              </w:rPr>
              <w:t>航泰恒通（北京）科技有限公司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562" w:right="0"/>
              <w:jc w:val="left"/>
              <w:rPr>
                <w:rFonts w:ascii="宋体" w:hAnsi="宋体" w:cs="宋体" w:eastAsia="宋体" w:hint="default"/>
                <w:sz w:val="21"/>
                <w:szCs w:val="21"/>
              </w:rPr>
            </w:pPr>
            <w:r>
              <w:rPr>
                <w:rFonts w:ascii="宋体" w:hAnsi="宋体" w:cs="宋体" w:eastAsia="宋体" w:hint="default"/>
                <w:sz w:val="21"/>
                <w:szCs w:val="21"/>
              </w:rPr>
              <w:t>北京中软金卡信息技术有限公司</w:t>
            </w:r>
          </w:p>
        </w:tc>
      </w:tr>
      <w:tr>
        <w:trPr>
          <w:trHeight w:val="699"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20" w:right="0"/>
              <w:jc w:val="center"/>
              <w:rPr>
                <w:rFonts w:ascii="宋体" w:hAnsi="宋体" w:cs="宋体" w:eastAsia="宋体" w:hint="default"/>
                <w:sz w:val="21"/>
                <w:szCs w:val="21"/>
              </w:rPr>
            </w:pPr>
            <w:r>
              <w:rPr>
                <w:rFonts w:ascii="宋体" w:hAnsi="宋体" w:cs="宋体" w:eastAsia="宋体" w:hint="default"/>
                <w:sz w:val="21"/>
                <w:szCs w:val="21"/>
              </w:rPr>
              <w:t>西安西谷微电子有限责任公司</w:t>
            </w:r>
          </w:p>
        </w:tc>
      </w:tr>
    </w:tbl>
    <w:p>
      <w:pPr>
        <w:spacing w:after="0" w:line="240" w:lineRule="auto"/>
        <w:jc w:val="center"/>
        <w:rPr>
          <w:rFonts w:ascii="宋体" w:hAnsi="宋体" w:cs="宋体" w:eastAsia="宋体" w:hint="default"/>
          <w:sz w:val="21"/>
          <w:szCs w:val="21"/>
        </w:rPr>
        <w:sectPr>
          <w:headerReference w:type="default" r:id="rId55"/>
          <w:footerReference w:type="default" r:id="rId56"/>
          <w:pgSz w:w="11910" w:h="16840"/>
          <w:pgMar w:header="882" w:footer="1132" w:top="1280" w:bottom="1320" w:left="980" w:right="940"/>
          <w:pgNumType w:start="149"/>
        </w:sectPr>
      </w:pPr>
    </w:p>
    <w:p>
      <w:pPr>
        <w:spacing w:line="240" w:lineRule="auto" w:before="2"/>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9660"/>
      </w:tblGrid>
      <w:tr>
        <w:trPr>
          <w:trHeight w:val="699"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20" w:right="0"/>
              <w:jc w:val="center"/>
              <w:rPr>
                <w:rFonts w:ascii="宋体" w:hAnsi="宋体" w:cs="宋体" w:eastAsia="宋体" w:hint="default"/>
                <w:sz w:val="21"/>
                <w:szCs w:val="21"/>
              </w:rPr>
            </w:pPr>
            <w:r>
              <w:rPr>
                <w:rFonts w:ascii="宋体" w:hAnsi="宋体" w:cs="宋体" w:eastAsia="宋体" w:hint="default"/>
                <w:sz w:val="21"/>
                <w:szCs w:val="21"/>
              </w:rPr>
              <w:t>北京泰豪智能工程有限公司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20" w:right="0"/>
              <w:jc w:val="center"/>
              <w:rPr>
                <w:rFonts w:ascii="宋体" w:hAnsi="宋体" w:cs="宋体" w:eastAsia="宋体" w:hint="default"/>
                <w:sz w:val="21"/>
                <w:szCs w:val="21"/>
              </w:rPr>
            </w:pPr>
            <w:r>
              <w:rPr>
                <w:rFonts w:ascii="宋体" w:hAnsi="宋体" w:cs="宋体" w:eastAsia="宋体" w:hint="default"/>
                <w:sz w:val="21"/>
                <w:szCs w:val="21"/>
              </w:rPr>
              <w:t>北京百旺金赋科技有限公司</w:t>
            </w:r>
          </w:p>
        </w:tc>
      </w:tr>
      <w:tr>
        <w:trPr>
          <w:trHeight w:val="696"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20" w:right="0"/>
              <w:jc w:val="center"/>
              <w:rPr>
                <w:rFonts w:ascii="宋体" w:hAnsi="宋体" w:cs="宋体" w:eastAsia="宋体" w:hint="default"/>
                <w:sz w:val="21"/>
                <w:szCs w:val="21"/>
              </w:rPr>
            </w:pPr>
            <w:r>
              <w:rPr>
                <w:rFonts w:ascii="宋体" w:hAnsi="宋体" w:cs="宋体" w:eastAsia="宋体" w:hint="default"/>
                <w:sz w:val="21"/>
                <w:szCs w:val="21"/>
              </w:rPr>
              <w:t>北京旋极百旺科技有限公司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20" w:right="0"/>
              <w:jc w:val="center"/>
              <w:rPr>
                <w:rFonts w:ascii="宋体" w:hAnsi="宋体" w:cs="宋体" w:eastAsia="宋体" w:hint="default"/>
                <w:sz w:val="21"/>
                <w:szCs w:val="21"/>
              </w:rPr>
            </w:pPr>
            <w:r>
              <w:rPr>
                <w:rFonts w:ascii="宋体" w:hAnsi="宋体" w:cs="宋体" w:eastAsia="宋体" w:hint="default"/>
                <w:sz w:val="21"/>
                <w:szCs w:val="21"/>
              </w:rPr>
              <w:t>杭州百旺金赋科技有限公司</w:t>
            </w:r>
          </w:p>
        </w:tc>
      </w:tr>
      <w:tr>
        <w:trPr>
          <w:trHeight w:val="699"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20" w:right="0"/>
              <w:jc w:val="center"/>
              <w:rPr>
                <w:rFonts w:ascii="宋体" w:hAnsi="宋体" w:cs="宋体" w:eastAsia="宋体" w:hint="default"/>
                <w:sz w:val="21"/>
                <w:szCs w:val="21"/>
              </w:rPr>
            </w:pPr>
            <w:r>
              <w:rPr>
                <w:rFonts w:ascii="宋体" w:hAnsi="宋体" w:cs="宋体" w:eastAsia="宋体" w:hint="default"/>
                <w:sz w:val="21"/>
                <w:szCs w:val="21"/>
              </w:rPr>
              <w:t>宁波百旺金赋信息科技有限公司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20" w:right="0"/>
              <w:jc w:val="center"/>
              <w:rPr>
                <w:rFonts w:ascii="宋体" w:hAnsi="宋体" w:cs="宋体" w:eastAsia="宋体" w:hint="default"/>
                <w:sz w:val="21"/>
                <w:szCs w:val="21"/>
              </w:rPr>
            </w:pPr>
            <w:r>
              <w:rPr>
                <w:rFonts w:ascii="宋体" w:hAnsi="宋体" w:cs="宋体" w:eastAsia="宋体" w:hint="default"/>
                <w:sz w:val="21"/>
                <w:szCs w:val="21"/>
              </w:rPr>
              <w:t>天津百望金赋科技有限公司</w:t>
            </w:r>
          </w:p>
        </w:tc>
      </w:tr>
      <w:tr>
        <w:trPr>
          <w:trHeight w:val="698" w:hRule="exact"/>
        </w:trPr>
        <w:tc>
          <w:tcPr>
            <w:tcW w:w="9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20" w:right="0"/>
              <w:jc w:val="center"/>
              <w:rPr>
                <w:rFonts w:ascii="宋体" w:hAnsi="宋体" w:cs="宋体" w:eastAsia="宋体" w:hint="default"/>
                <w:sz w:val="21"/>
                <w:szCs w:val="21"/>
              </w:rPr>
            </w:pPr>
            <w:r>
              <w:rPr>
                <w:rFonts w:ascii="宋体" w:hAnsi="宋体" w:cs="宋体" w:eastAsia="宋体" w:hint="default"/>
                <w:sz w:val="21"/>
                <w:szCs w:val="21"/>
              </w:rPr>
              <w:t>宁夏百旺金赋科技有限公司</w:t>
            </w:r>
          </w:p>
        </w:tc>
      </w:tr>
    </w:tbl>
    <w:p>
      <w:pPr>
        <w:spacing w:line="240" w:lineRule="auto" w:before="6"/>
        <w:rPr>
          <w:rFonts w:ascii="宋体" w:hAnsi="宋体" w:cs="宋体" w:eastAsia="宋体" w:hint="default"/>
          <w:sz w:val="25"/>
          <w:szCs w:val="25"/>
        </w:rPr>
      </w:pPr>
    </w:p>
    <w:p>
      <w:pPr>
        <w:pStyle w:val="Heading2"/>
        <w:spacing w:line="240" w:lineRule="auto"/>
        <w:ind w:right="11"/>
        <w:jc w:val="left"/>
      </w:pPr>
      <w:r>
        <w:rPr/>
        <w:t>四、财务报表的编制基础</w:t>
      </w:r>
    </w:p>
    <w:p>
      <w:pPr>
        <w:spacing w:line="240" w:lineRule="auto" w:before="12"/>
        <w:rPr>
          <w:rFonts w:ascii="黑体" w:hAnsi="黑体" w:cs="黑体" w:eastAsia="黑体" w:hint="default"/>
          <w:sz w:val="35"/>
          <w:szCs w:val="35"/>
        </w:rPr>
      </w:pPr>
    </w:p>
    <w:p>
      <w:pPr>
        <w:pStyle w:val="Heading3"/>
        <w:spacing w:line="240" w:lineRule="auto"/>
        <w:ind w:right="11"/>
        <w:jc w:val="left"/>
      </w:pPr>
      <w:r>
        <w:rPr>
          <w:rFonts w:ascii="Times New Roman" w:hAnsi="Times New Roman" w:cs="Times New Roman" w:eastAsia="Times New Roman" w:hint="default"/>
        </w:rPr>
        <w:t>1</w:t>
      </w:r>
      <w:r>
        <w:rPr/>
        <w:t>、编制基础</w:t>
      </w:r>
    </w:p>
    <w:p>
      <w:pPr>
        <w:spacing w:line="240" w:lineRule="auto" w:before="4"/>
        <w:rPr>
          <w:rFonts w:ascii="黑体" w:hAnsi="黑体" w:cs="黑体" w:eastAsia="黑体" w:hint="default"/>
          <w:sz w:val="24"/>
          <w:szCs w:val="24"/>
        </w:rPr>
      </w:pPr>
    </w:p>
    <w:p>
      <w:pPr>
        <w:pStyle w:val="BodyText"/>
        <w:spacing w:line="386" w:lineRule="auto"/>
        <w:ind w:right="146" w:firstLine="42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w w:val="100"/>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11"/>
        </w:rPr>
        <w:t> </w:t>
      </w:r>
      <w:r>
        <w:rPr>
          <w:spacing w:val="-7"/>
          <w:w w:val="100"/>
        </w:rPr>
        <w:t>会计准则</w:t>
      </w:r>
      <w:r>
        <w:rPr>
          <w:rFonts w:ascii="Times New Roman" w:hAnsi="Times New Roman" w:cs="Times New Roman" w:eastAsia="Times New Roman" w:hint="default"/>
          <w:spacing w:val="-7"/>
          <w:w w:val="100"/>
        </w:rPr>
        <w:t>”</w:t>
      </w:r>
      <w:r>
        <w:rPr>
          <w:spacing w:val="-7"/>
          <w:w w:val="100"/>
        </w:rPr>
        <w:t>），以及中国证券监督管理委员会《公开发行证券的公司信息披露编报规则第</w:t>
      </w:r>
      <w:r>
        <w:rPr>
          <w:spacing w:val="-45"/>
          <w:w w:val="100"/>
        </w:rPr>
        <w:t> </w:t>
      </w:r>
      <w:r>
        <w:rPr>
          <w:rFonts w:ascii="Times New Roman" w:hAnsi="Times New Roman" w:cs="Times New Roman" w:eastAsia="Times New Roman" w:hint="default"/>
          <w:spacing w:val="-2"/>
          <w:w w:val="100"/>
        </w:rPr>
        <w:t>15</w:t>
      </w:r>
      <w:r>
        <w:rPr>
          <w:rFonts w:ascii="Times New Roman" w:hAnsi="Times New Roman" w:cs="Times New Roman" w:eastAsia="Times New Roman" w:hint="default"/>
          <w:spacing w:val="-7"/>
          <w:w w:val="100"/>
        </w:rPr>
        <w:t> </w:t>
      </w:r>
      <w:r>
        <w:rPr>
          <w:spacing w:val="-2"/>
          <w:w w:val="100"/>
        </w:rPr>
        <w:t>号</w:t>
      </w:r>
      <w:r>
        <w:rPr>
          <w:rFonts w:ascii="Times New Roman" w:hAnsi="Times New Roman" w:cs="Times New Roman" w:eastAsia="Times New Roman" w:hint="default"/>
          <w:spacing w:val="-2"/>
          <w:w w:val="100"/>
        </w:rPr>
        <w:t>——</w:t>
      </w:r>
      <w:r>
        <w:rPr>
          <w:spacing w:val="-2"/>
          <w:w w:val="100"/>
        </w:rPr>
        <w:t>财务报告</w:t>
      </w:r>
      <w:r>
        <w:rPr>
          <w:spacing w:val="-103"/>
          <w:w w:val="100"/>
        </w:rPr>
        <w:t> </w:t>
      </w:r>
      <w:r>
        <w:rPr>
          <w:spacing w:val="-103"/>
          <w:w w:val="100"/>
        </w:rPr>
      </w:r>
      <w:r>
        <w:rPr/>
        <w:t>的一般规定》的披露规定编制财务报表。</w:t>
      </w:r>
    </w:p>
    <w:p>
      <w:pPr>
        <w:spacing w:line="240" w:lineRule="auto" w:before="12"/>
        <w:rPr>
          <w:rFonts w:ascii="宋体" w:hAnsi="宋体" w:cs="宋体" w:eastAsia="宋体" w:hint="default"/>
          <w:sz w:val="14"/>
          <w:szCs w:val="14"/>
        </w:rPr>
      </w:pPr>
    </w:p>
    <w:p>
      <w:pPr>
        <w:pStyle w:val="Heading3"/>
        <w:spacing w:line="240" w:lineRule="auto"/>
        <w:ind w:right="11"/>
        <w:jc w:val="left"/>
      </w:pPr>
      <w:r>
        <w:rPr>
          <w:rFonts w:ascii="Times New Roman" w:hAnsi="Times New Roman" w:cs="Times New Roman" w:eastAsia="Times New Roman" w:hint="default"/>
        </w:rPr>
        <w:t>2</w:t>
      </w:r>
      <w:r>
        <w:rPr/>
        <w:t>、持续经营</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本公司不存在可能导致对持续经营能力产生重大疑虑的事项或情况，不存在重大不确定的事实。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0"/>
        <w:ind w:right="11"/>
        <w:jc w:val="left"/>
      </w:pPr>
      <w:r>
        <w:rPr/>
        <w:t>五、重要会计政策及会计估计</w:t>
      </w:r>
    </w:p>
    <w:p>
      <w:pPr>
        <w:spacing w:line="240" w:lineRule="auto" w:before="11"/>
        <w:rPr>
          <w:rFonts w:ascii="黑体" w:hAnsi="黑体" w:cs="黑体" w:eastAsia="黑体" w:hint="default"/>
          <w:sz w:val="37"/>
          <w:szCs w:val="37"/>
        </w:rPr>
      </w:pPr>
    </w:p>
    <w:p>
      <w:pPr>
        <w:pStyle w:val="BodyText"/>
        <w:spacing w:line="496" w:lineRule="auto"/>
        <w:ind w:left="573" w:right="5647"/>
        <w:jc w:val="left"/>
      </w:pPr>
      <w:r>
        <w:rPr>
          <w:spacing w:val="-2"/>
        </w:rPr>
        <w:t>公司是否需要遵守特殊行业的披露要求</w:t>
      </w:r>
      <w:r>
        <w:rPr>
          <w:spacing w:val="-72"/>
        </w:rPr>
        <w:t> </w:t>
      </w:r>
      <w:r>
        <w:rPr>
          <w:spacing w:val="-72"/>
        </w:rPr>
      </w:r>
      <w:r>
        <w:rPr/>
        <w:t>否</w:t>
      </w:r>
    </w:p>
    <w:p>
      <w:pPr>
        <w:pStyle w:val="BodyText"/>
        <w:spacing w:line="494" w:lineRule="auto" w:before="69"/>
        <w:ind w:left="573" w:right="11"/>
        <w:jc w:val="left"/>
      </w:pPr>
      <w:r>
        <w:rPr/>
        <w:t>具体会计政策和会计估计提示：</w:t>
      </w:r>
      <w:r>
        <w:rPr>
          <w:w w:val="100"/>
        </w:rPr>
        <w:t> </w:t>
      </w:r>
      <w:r>
        <w:rPr>
          <w:spacing w:val="2"/>
        </w:rPr>
        <w:t>以下披露内容已涵盖了本公司根据实际生产经营特点制定的具体会计政策和会计估计。详见本附注</w:t>
      </w:r>
    </w:p>
    <w:p>
      <w:pPr>
        <w:pStyle w:val="BodyText"/>
        <w:spacing w:line="262" w:lineRule="exact"/>
        <w:ind w:right="11"/>
        <w:jc w:val="left"/>
      </w:pPr>
      <w:r>
        <w:rPr>
          <w:rFonts w:ascii="Times New Roman" w:hAnsi="Times New Roman" w:cs="Times New Roman" w:eastAsia="Times New Roman" w:hint="default"/>
          <w:w w:val="100"/>
        </w:rPr>
        <w:t>“</w:t>
      </w:r>
      <w:r>
        <w:rPr>
          <w:w w:val="100"/>
        </w:rPr>
        <w:t>三</w:t>
      </w:r>
      <w:r>
        <w:rPr>
          <w:spacing w:val="-106"/>
          <w:w w:val="100"/>
        </w:rPr>
        <w:t>、</w:t>
      </w:r>
      <w:r>
        <w:rPr>
          <w:spacing w:val="-3"/>
          <w:w w:val="100"/>
        </w:rPr>
        <w:t>（</w:t>
      </w:r>
      <w:r>
        <w:rPr>
          <w:w w:val="100"/>
        </w:rPr>
        <w:t>二</w:t>
      </w:r>
      <w:r>
        <w:rPr>
          <w:spacing w:val="-3"/>
          <w:w w:val="100"/>
        </w:rPr>
        <w:t>十</w:t>
      </w:r>
      <w:r>
        <w:rPr>
          <w:w w:val="100"/>
        </w:rPr>
        <w:t>五</w:t>
      </w:r>
      <w:r>
        <w:rPr>
          <w:spacing w:val="-3"/>
          <w:w w:val="100"/>
        </w:rPr>
        <w:t>）</w:t>
      </w:r>
      <w:r>
        <w:rPr>
          <w:w w:val="100"/>
        </w:rPr>
        <w:t>收</w:t>
      </w:r>
      <w:r>
        <w:rPr>
          <w:spacing w:val="-3"/>
          <w:w w:val="100"/>
        </w:rPr>
        <w:t>入</w:t>
      </w:r>
      <w:r>
        <w:rPr>
          <w:rFonts w:ascii="Times New Roman" w:hAnsi="Times New Roman" w:cs="Times New Roman" w:eastAsia="Times New Roman" w:hint="default"/>
          <w:spacing w:val="-1"/>
          <w:w w:val="100"/>
        </w:rPr>
        <w:t>”</w:t>
      </w:r>
      <w:r>
        <w:rPr>
          <w:w w:val="100"/>
        </w:rPr>
        <w:t>、</w:t>
      </w:r>
    </w:p>
    <w:p>
      <w:pPr>
        <w:spacing w:after="0" w:line="262" w:lineRule="exact"/>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rFonts w:ascii="Times New Roman" w:hAnsi="Times New Roman" w:cs="Times New Roman" w:eastAsia="Times New Roman" w:hint="default"/>
          <w:spacing w:val="-1"/>
          <w:w w:val="100"/>
        </w:rPr>
        <w:t>“</w:t>
      </w:r>
      <w:r>
        <w:rPr>
          <w:w w:val="100"/>
        </w:rPr>
        <w:t>三</w:t>
      </w:r>
      <w:r>
        <w:rPr>
          <w:spacing w:val="-106"/>
          <w:w w:val="100"/>
        </w:rPr>
        <w:t>、</w:t>
      </w:r>
      <w:r>
        <w:rPr>
          <w:spacing w:val="-3"/>
          <w:w w:val="100"/>
        </w:rPr>
        <w:t>（</w:t>
      </w:r>
      <w:r>
        <w:rPr>
          <w:w w:val="100"/>
        </w:rPr>
        <w:t>十</w:t>
      </w:r>
      <w:r>
        <w:rPr>
          <w:spacing w:val="-3"/>
          <w:w w:val="100"/>
        </w:rPr>
        <w:t>一</w:t>
      </w:r>
      <w:r>
        <w:rPr>
          <w:w w:val="100"/>
        </w:rPr>
        <w:t>）</w:t>
      </w:r>
      <w:r>
        <w:rPr>
          <w:spacing w:val="-3"/>
          <w:w w:val="100"/>
        </w:rPr>
        <w:t>应</w:t>
      </w:r>
      <w:r>
        <w:rPr>
          <w:w w:val="100"/>
        </w:rPr>
        <w:t>收</w:t>
      </w:r>
      <w:r>
        <w:rPr>
          <w:spacing w:val="-3"/>
          <w:w w:val="100"/>
        </w:rPr>
        <w:t>账</w:t>
      </w:r>
      <w:r>
        <w:rPr>
          <w:w w:val="100"/>
        </w:rPr>
        <w:t>款</w:t>
      </w:r>
      <w:r>
        <w:rPr>
          <w:spacing w:val="-3"/>
          <w:w w:val="100"/>
        </w:rPr>
        <w:t>坏</w:t>
      </w:r>
      <w:r>
        <w:rPr>
          <w:w w:val="100"/>
        </w:rPr>
        <w:t>账准</w:t>
      </w:r>
      <w:r>
        <w:rPr>
          <w:spacing w:val="-3"/>
          <w:w w:val="100"/>
        </w:rPr>
        <w:t>备</w:t>
      </w:r>
      <w:r>
        <w:rPr>
          <w:rFonts w:ascii="Times New Roman" w:hAnsi="Times New Roman" w:cs="Times New Roman" w:eastAsia="Times New Roman" w:hint="default"/>
          <w:spacing w:val="-1"/>
          <w:w w:val="100"/>
        </w:rPr>
        <w:t>”</w:t>
      </w:r>
      <w:r>
        <w:rPr>
          <w:w w:val="100"/>
        </w:rPr>
        <w:t>。</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1</w:t>
      </w:r>
      <w:r>
        <w:rPr/>
        <w:t>、遵循企业会计准则的声明</w:t>
      </w:r>
    </w:p>
    <w:p>
      <w:pPr>
        <w:spacing w:line="240" w:lineRule="auto" w:before="1"/>
        <w:rPr>
          <w:rFonts w:ascii="黑体" w:hAnsi="黑体" w:cs="黑体" w:eastAsia="黑体" w:hint="default"/>
          <w:sz w:val="24"/>
          <w:szCs w:val="24"/>
        </w:rPr>
      </w:pPr>
    </w:p>
    <w:p>
      <w:pPr>
        <w:pStyle w:val="BodyText"/>
        <w:spacing w:line="408" w:lineRule="auto"/>
        <w:ind w:right="156" w:firstLine="504"/>
        <w:jc w:val="both"/>
      </w:pPr>
      <w:r>
        <w:rPr/>
        <w:t>公司所编制的财务报表符合企业会计准则的要求，真实、完整地反映了报告期公司的财务状况、经</w:t>
      </w:r>
      <w:r>
        <w:rPr>
          <w:w w:val="100"/>
        </w:rPr>
        <w:t> </w:t>
      </w:r>
      <w:r>
        <w:rPr/>
        <w:t>营成果、现金流量等有关信息。</w:t>
      </w:r>
    </w:p>
    <w:p>
      <w:pPr>
        <w:pStyle w:val="Heading3"/>
        <w:spacing w:line="240" w:lineRule="auto" w:before="179"/>
        <w:ind w:right="11"/>
        <w:jc w:val="left"/>
      </w:pPr>
      <w:r>
        <w:rPr>
          <w:rFonts w:ascii="Times New Roman" w:hAnsi="Times New Roman" w:cs="Times New Roman" w:eastAsia="Times New Roman" w:hint="default"/>
        </w:rPr>
        <w:t>2</w:t>
      </w:r>
      <w:r>
        <w:rPr/>
        <w:t>、会计期间</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自公历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t>日止为一个会计年度。</w:t>
      </w:r>
    </w:p>
    <w:p>
      <w:pPr>
        <w:spacing w:line="240" w:lineRule="auto" w:before="10"/>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3</w:t>
      </w:r>
      <w:r>
        <w:rPr/>
        <w:t>、营业周期</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本公司营业周期为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4</w:t>
      </w:r>
      <w:r>
        <w:rPr/>
        <w:t>、记账本位币</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本公司采用人民币为记账本位币。</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w:t>
      </w:r>
      <w:r>
        <w:rPr/>
        <w:t>、同一控制下和非同一控制下企业合并的会计处理方法</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7"/>
        </w:rPr>
        <w:t>同一控制下企业合并：本公司在企业合并中取得的资产和负债，按照合并日在被合并方资产、负债（包</w:t>
      </w:r>
      <w:r>
        <w:rPr>
          <w:w w:val="100"/>
        </w:rPr>
        <w:t> </w:t>
      </w: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408" w:lineRule="auto" w:before="147"/>
        <w:ind w:right="146" w:firstLine="420"/>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BodyText"/>
        <w:spacing w:line="408" w:lineRule="auto" w:before="144"/>
        <w:ind w:right="14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pStyle w:val="Heading3"/>
        <w:spacing w:line="240" w:lineRule="auto" w:before="179"/>
        <w:ind w:right="11"/>
        <w:jc w:val="left"/>
      </w:pPr>
      <w:r>
        <w:rPr>
          <w:rFonts w:ascii="Times New Roman" w:hAnsi="Times New Roman" w:cs="Times New Roman" w:eastAsia="Times New Roman" w:hint="default"/>
        </w:rPr>
        <w:t>6</w:t>
      </w:r>
      <w:r>
        <w:rPr/>
        <w:t>、合并财务报表的编制方法</w:t>
      </w:r>
    </w:p>
    <w:p>
      <w:pPr>
        <w:spacing w:line="240" w:lineRule="auto" w:before="1"/>
        <w:rPr>
          <w:rFonts w:ascii="黑体" w:hAnsi="黑体" w:cs="黑体" w:eastAsia="黑体" w:hint="default"/>
          <w:sz w:val="22"/>
          <w:szCs w:val="22"/>
        </w:rPr>
      </w:pPr>
    </w:p>
    <w:p>
      <w:pPr>
        <w:pStyle w:val="Heading3"/>
        <w:spacing w:line="240" w:lineRule="auto"/>
        <w:ind w:right="11"/>
        <w:jc w:val="left"/>
      </w:pPr>
      <w:r>
        <w:rPr/>
        <w:t>（</w:t>
      </w:r>
      <w:r>
        <w:rPr>
          <w:rFonts w:ascii="Times New Roman" w:hAnsi="Times New Roman" w:cs="Times New Roman" w:eastAsia="Times New Roman" w:hint="default"/>
        </w:rPr>
        <w:t>1</w:t>
      </w:r>
      <w:r>
        <w:rPr/>
        <w:t>）合并范围</w:t>
      </w:r>
    </w:p>
    <w:p>
      <w:pPr>
        <w:spacing w:line="240" w:lineRule="auto" w:before="4"/>
        <w:rPr>
          <w:rFonts w:ascii="黑体" w:hAnsi="黑体" w:cs="黑体" w:eastAsia="黑体" w:hint="default"/>
          <w:sz w:val="24"/>
          <w:szCs w:val="24"/>
        </w:rPr>
      </w:pPr>
    </w:p>
    <w:p>
      <w:pPr>
        <w:pStyle w:val="BodyText"/>
        <w:spacing w:line="408" w:lineRule="auto"/>
        <w:ind w:right="146" w:firstLine="420"/>
        <w:jc w:val="both"/>
      </w:pPr>
      <w:r>
        <w:rPr>
          <w:spacing w:val="-2"/>
        </w:rPr>
        <w:t>本公司合并财务报表的合并范围以控制为基础确定，所有子公司（包括本公司所控制的被投资方可分</w:t>
      </w:r>
      <w:r>
        <w:rPr>
          <w:w w:val="100"/>
        </w:rPr>
        <w:t> </w:t>
      </w:r>
      <w:r>
        <w:rPr/>
        <w:t>割的部分）均纳入合并财务报表。</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）合并程序</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408" w:lineRule="auto" w:before="147"/>
        <w:ind w:right="14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必要的调整；如因个别子公司业务性质差异导致会计政策、会计期间不一致的，需进行详细批露。对于非</w:t>
      </w:r>
      <w:r>
        <w:rPr>
          <w:spacing w:val="-47"/>
        </w:rPr>
        <w:t> </w:t>
      </w:r>
      <w:r>
        <w:rPr>
          <w:spacing w:val="-47"/>
        </w:rPr>
      </w:r>
      <w:r>
        <w:rPr>
          <w:spacing w:val="-2"/>
        </w:rPr>
        <w:t>同一控制下企业合并取得的子公司，以购买日可辨认净资产公允价值为基础对其财务报表进行调整。对于</w:t>
      </w:r>
      <w:r>
        <w:rPr>
          <w:spacing w:val="-42"/>
        </w:rPr>
        <w:t> </w:t>
      </w:r>
      <w:r>
        <w:rPr>
          <w:spacing w:val="-42"/>
        </w:rPr>
      </w:r>
      <w:r>
        <w:rPr>
          <w:spacing w:val="-2"/>
        </w:rPr>
        <w:t>同一控制下企业合并取得的子公司，以其资产、负债（包括最终控制方收购该子公司而形成的商誉）在最</w:t>
      </w:r>
      <w:r>
        <w:rPr>
          <w:spacing w:val="-47"/>
        </w:rPr>
        <w:t> </w:t>
      </w:r>
      <w:r>
        <w:rPr>
          <w:spacing w:val="-47"/>
        </w:rPr>
      </w:r>
      <w:r>
        <w:rPr/>
        <w:t>终控制方财务报表中的账面价值为基础对其财务报表进行调整。</w:t>
      </w:r>
    </w:p>
    <w:p>
      <w:pPr>
        <w:pStyle w:val="BodyText"/>
        <w:spacing w:line="408" w:lineRule="auto" w:before="144"/>
        <w:ind w:right="14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482" w:lineRule="auto" w:before="169"/>
        <w:ind w:left="573" w:right="11" w:firstLine="2"/>
        <w:jc w:val="left"/>
      </w:pPr>
      <w:r>
        <w:rPr>
          <w:rFonts w:ascii="Times New Roman" w:hAnsi="Times New Roman" w:cs="Times New Roman" w:eastAsia="Times New Roman" w:hint="default"/>
          <w:b/>
          <w:bCs/>
        </w:rPr>
        <w:t>1</w:t>
      </w:r>
      <w:r>
        <w:rPr>
          <w:rFonts w:ascii="宋体" w:hAnsi="宋体" w:cs="宋体" w:eastAsia="宋体" w:hint="default"/>
          <w:b/>
          <w:bCs/>
        </w:rPr>
        <w:t>）增加子公司或业务</w:t>
      </w:r>
      <w:r>
        <w:rPr>
          <w:rFonts w:ascii="宋体" w:hAnsi="宋体" w:cs="宋体" w:eastAsia="宋体" w:hint="default"/>
          <w:b/>
          <w:bCs/>
          <w:w w:val="100"/>
        </w:rPr>
        <w:t> </w:t>
      </w:r>
      <w:r>
        <w:rPr>
          <w:spacing w:val="-2"/>
        </w:rPr>
        <w:t>在报告期内，若因同一控制下企业合并增加子公司或业务的，则调整合并资产负债表的期初数；将子</w:t>
      </w:r>
    </w:p>
    <w:p>
      <w:pPr>
        <w:pStyle w:val="BodyText"/>
        <w:spacing w:line="256" w:lineRule="exact"/>
        <w:ind w:right="11"/>
        <w:jc w:val="left"/>
      </w:pPr>
      <w:r>
        <w:rPr/>
        <w:t>公司或业务合并当期期初至报告期末的收入、费用、利润纳入合并利润表；将子公司或业务合并当期期初</w:t>
      </w:r>
    </w:p>
    <w:p>
      <w:pPr>
        <w:spacing w:line="240" w:lineRule="auto" w:before="10"/>
        <w:rPr>
          <w:rFonts w:ascii="宋体" w:hAnsi="宋体" w:cs="宋体" w:eastAsia="宋体" w:hint="default"/>
          <w:sz w:val="14"/>
          <w:szCs w:val="14"/>
        </w:rPr>
      </w:pPr>
    </w:p>
    <w:p>
      <w:pPr>
        <w:pStyle w:val="BodyText"/>
        <w:spacing w:line="408" w:lineRule="auto"/>
        <w:ind w:right="11"/>
        <w:jc w:val="left"/>
      </w:pPr>
      <w:r>
        <w:rPr>
          <w:spacing w:val="-2"/>
        </w:rPr>
        <w:t>至报告期末的现金流量纳入合并现金流量表，同时对比较报表的相关项目进行调整，视同合并后的报告主</w:t>
      </w:r>
      <w:r>
        <w:rPr>
          <w:spacing w:val="-42"/>
        </w:rPr>
        <w:t> </w:t>
      </w:r>
      <w:r>
        <w:rPr>
          <w:spacing w:val="-42"/>
        </w:rPr>
      </w:r>
      <w:r>
        <w:rPr/>
        <w:t>体自最终控制方开始控制时点起一直存在。</w:t>
      </w:r>
    </w:p>
    <w:p>
      <w:pPr>
        <w:pStyle w:val="BodyText"/>
        <w:spacing w:line="408" w:lineRule="auto" w:before="147"/>
        <w:ind w:right="14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Heading4"/>
        <w:spacing w:line="240" w:lineRule="auto" w:before="168"/>
        <w:ind w:right="11"/>
        <w:jc w:val="left"/>
        <w:rPr>
          <w:b w:val="0"/>
          <w:bCs w:val="0"/>
        </w:rPr>
      </w:pPr>
      <w:r>
        <w:rPr>
          <w:rFonts w:ascii="Times New Roman" w:hAnsi="Times New Roman" w:cs="Times New Roman" w:eastAsia="Times New Roman" w:hint="default"/>
        </w:rPr>
        <w:t>2</w:t>
      </w:r>
      <w:r>
        <w:rPr/>
        <w:t>）处置子公司或业务</w:t>
      </w:r>
      <w:r>
        <w:rPr>
          <w:b w:val="0"/>
          <w:bCs w:val="0"/>
        </w:rPr>
      </w:r>
    </w:p>
    <w:p>
      <w:pPr>
        <w:spacing w:line="240" w:lineRule="auto" w:before="7"/>
        <w:rPr>
          <w:rFonts w:ascii="宋体" w:hAnsi="宋体" w:cs="宋体" w:eastAsia="宋体" w:hint="default"/>
          <w:b/>
          <w:bCs/>
          <w:sz w:val="22"/>
          <w:szCs w:val="22"/>
        </w:rPr>
      </w:pPr>
    </w:p>
    <w:p>
      <w:pPr>
        <w:pStyle w:val="BodyText"/>
        <w:spacing w:line="496" w:lineRule="auto"/>
        <w:ind w:left="573" w:right="11"/>
        <w:jc w:val="left"/>
      </w:pPr>
      <w:r>
        <w:rPr/>
        <w:t>①一般处理方法</w:t>
      </w:r>
      <w:r>
        <w:rPr>
          <w:spacing w:val="-103"/>
        </w:rPr>
        <w:t> </w:t>
      </w:r>
      <w:r>
        <w:rPr>
          <w:spacing w:val="-103"/>
        </w:rPr>
      </w:r>
      <w:r>
        <w:rPr>
          <w:spacing w:val="-2"/>
        </w:rPr>
        <w:t>在报告期内，本公司处置子公司或业务，则该子公司或业务期初至处置日的收入、费用、利润纳入合</w:t>
      </w:r>
    </w:p>
    <w:p>
      <w:pPr>
        <w:pStyle w:val="BodyText"/>
        <w:spacing w:line="243" w:lineRule="exact"/>
        <w:ind w:right="11"/>
        <w:jc w:val="left"/>
      </w:pPr>
      <w:r>
        <w:rPr/>
        <w:t>并利润表；该子公司或业务期初至处置日的现金流量纳入合并现金流量表。</w:t>
      </w:r>
    </w:p>
    <w:p>
      <w:pPr>
        <w:spacing w:line="240" w:lineRule="auto" w:before="4"/>
        <w:rPr>
          <w:rFonts w:ascii="宋体" w:hAnsi="宋体" w:cs="宋体" w:eastAsia="宋体" w:hint="default"/>
          <w:sz w:val="22"/>
          <w:szCs w:val="22"/>
        </w:rPr>
      </w:pPr>
    </w:p>
    <w:p>
      <w:pPr>
        <w:pStyle w:val="BodyText"/>
        <w:spacing w:line="408" w:lineRule="auto"/>
        <w:ind w:right="14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p>
    <w:p>
      <w:pPr>
        <w:spacing w:after="0" w:line="408" w:lineRule="auto"/>
        <w:jc w:val="both"/>
        <w:sectPr>
          <w:footerReference w:type="default" r:id="rId57"/>
          <w:pgSz w:w="11910" w:h="16840"/>
          <w:pgMar w:footer="1132" w:header="882" w:top="1280" w:bottom="1320" w:left="980" w:right="980"/>
          <w:pgNumType w:start="152"/>
        </w:sectPr>
      </w:pPr>
    </w:p>
    <w:p>
      <w:pPr>
        <w:spacing w:line="240" w:lineRule="auto" w:before="5"/>
        <w:rPr>
          <w:rFonts w:ascii="宋体" w:hAnsi="宋体" w:cs="宋体" w:eastAsia="宋体" w:hint="default"/>
          <w:sz w:val="13"/>
          <w:szCs w:val="13"/>
        </w:rPr>
      </w:pPr>
    </w:p>
    <w:p>
      <w:pPr>
        <w:pStyle w:val="BodyText"/>
        <w:spacing w:line="408" w:lineRule="auto" w:before="36"/>
        <w:ind w:right="146"/>
        <w:jc w:val="both"/>
      </w:pP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408" w:lineRule="auto" w:before="147"/>
        <w:ind w:right="146" w:firstLine="420"/>
        <w:jc w:val="both"/>
      </w:pPr>
      <w:r>
        <w:rPr>
          <w:spacing w:val="-2"/>
        </w:rPr>
        <w:t>因其他投资方对子公司增资而导致本公司持股比例下降从而丧失控制权的，按照上述原则进行会计处</w:t>
      </w:r>
      <w:r>
        <w:rPr>
          <w:w w:val="100"/>
        </w:rPr>
        <w:t> </w:t>
      </w:r>
      <w:r>
        <w:rPr/>
        <w:t>理。</w:t>
      </w:r>
    </w:p>
    <w:p>
      <w:pPr>
        <w:pStyle w:val="BodyText"/>
        <w:spacing w:line="496" w:lineRule="auto" w:before="144"/>
        <w:ind w:left="573" w:right="11"/>
        <w:jc w:val="left"/>
      </w:pPr>
      <w:r>
        <w:rPr/>
        <w:t>②分步处置子公司</w:t>
      </w:r>
      <w:r>
        <w:rPr>
          <w:w w:val="100"/>
        </w:rPr>
        <w:t> </w:t>
      </w:r>
      <w:r>
        <w:rPr>
          <w:spacing w:val="-2"/>
        </w:rPr>
        <w:t>通过多次交易分步处置对子公司股权投资直至丧失控制权的，处置对子公司股权投资的各项交易的条</w:t>
      </w:r>
    </w:p>
    <w:p>
      <w:pPr>
        <w:pStyle w:val="BodyText"/>
        <w:spacing w:line="243" w:lineRule="exact"/>
        <w:ind w:right="0"/>
        <w:jc w:val="both"/>
      </w:pPr>
      <w:r>
        <w:rPr/>
        <w:t>款、条件以及经济影响符合以下一种或多种情况，通常表明应将多次交易事项作为一揽子交易进行会计处</w:t>
      </w:r>
    </w:p>
    <w:p>
      <w:pPr>
        <w:spacing w:line="240" w:lineRule="auto" w:before="10"/>
        <w:rPr>
          <w:rFonts w:ascii="宋体" w:hAnsi="宋体" w:cs="宋体" w:eastAsia="宋体" w:hint="default"/>
          <w:sz w:val="14"/>
          <w:szCs w:val="14"/>
        </w:rPr>
      </w:pPr>
    </w:p>
    <w:p>
      <w:pPr>
        <w:pStyle w:val="BodyText"/>
        <w:spacing w:line="240" w:lineRule="auto"/>
        <w:ind w:right="0"/>
        <w:jc w:val="both"/>
      </w:pPr>
      <w:r>
        <w:rPr/>
        <w:t>理：</w:t>
      </w:r>
    </w:p>
    <w:p>
      <w:pPr>
        <w:spacing w:line="240" w:lineRule="auto" w:before="6"/>
        <w:rPr>
          <w:rFonts w:ascii="宋体" w:hAnsi="宋体" w:cs="宋体" w:eastAsia="宋体" w:hint="default"/>
          <w:sz w:val="22"/>
          <w:szCs w:val="22"/>
        </w:rPr>
      </w:pPr>
    </w:p>
    <w:p>
      <w:pPr>
        <w:pStyle w:val="BodyText"/>
        <w:spacing w:line="496" w:lineRule="auto"/>
        <w:ind w:left="573" w:right="11"/>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243" w:lineRule="exact"/>
        <w:ind w:right="0"/>
        <w:jc w:val="both"/>
      </w:pPr>
      <w:r>
        <w:rPr/>
        <w:t>置子公司并丧失控制权的交易进行会计处理；但是，在丧失控制权之前每一次处置价款与处置投资对应的</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before="147"/>
        <w:ind w:right="14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spacing w:line="482" w:lineRule="auto" w:before="168"/>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）购买子公司少数股权</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本公司因购买少数股权新取得的长期股权投资与按照新增持股比例计算应享有子公司自购买日（或合</w:t>
      </w:r>
    </w:p>
    <w:p>
      <w:pPr>
        <w:pStyle w:val="BodyText"/>
        <w:spacing w:line="256" w:lineRule="exact"/>
        <w:ind w:right="0"/>
        <w:jc w:val="both"/>
      </w:pPr>
      <w:r>
        <w:rPr/>
        <w:t>并日）开始持续计算的净资产份额之间的差额，调整合并资产负债表中的资本公积中的股本溢价，资本公</w:t>
      </w:r>
    </w:p>
    <w:p>
      <w:pPr>
        <w:spacing w:line="240" w:lineRule="auto" w:before="10"/>
        <w:rPr>
          <w:rFonts w:ascii="宋体" w:hAnsi="宋体" w:cs="宋体" w:eastAsia="宋体" w:hint="default"/>
          <w:sz w:val="14"/>
          <w:szCs w:val="14"/>
        </w:rPr>
      </w:pPr>
    </w:p>
    <w:p>
      <w:pPr>
        <w:pStyle w:val="BodyText"/>
        <w:spacing w:line="240" w:lineRule="auto"/>
        <w:ind w:right="0"/>
        <w:jc w:val="both"/>
      </w:pPr>
      <w:r>
        <w:rPr/>
        <w:t>积中的股本溢价不足冲减的，调整留存收益。</w:t>
      </w:r>
    </w:p>
    <w:p>
      <w:pPr>
        <w:spacing w:line="570" w:lineRule="atLeast" w:before="36"/>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）不丧失控制权的情况下部分处置对子公司的股权投资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在不丧失控制权的情况下因部分处置对子公司的长期股权投资而取得的处置价款与处置长期股权投</w:t>
      </w:r>
    </w:p>
    <w:p>
      <w:pPr>
        <w:spacing w:after="0" w:line="570" w:lineRule="atLeast"/>
        <w:jc w:val="left"/>
        <w:rPr>
          <w:rFonts w:ascii="宋体" w:hAnsi="宋体" w:cs="宋体" w:eastAsia="宋体" w:hint="default"/>
          <w:sz w:val="21"/>
          <w:szCs w:val="21"/>
        </w:rPr>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1"/>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pStyle w:val="Heading3"/>
        <w:spacing w:line="240" w:lineRule="auto" w:before="179"/>
        <w:ind w:right="11"/>
        <w:jc w:val="left"/>
      </w:pPr>
      <w:r>
        <w:rPr>
          <w:rFonts w:ascii="Times New Roman" w:hAnsi="Times New Roman" w:cs="Times New Roman" w:eastAsia="Times New Roman" w:hint="default"/>
        </w:rPr>
        <w:t>7</w:t>
      </w:r>
      <w:r>
        <w:rPr/>
        <w:t>、合营安排分类及共同经营会计处理方法</w:t>
      </w:r>
    </w:p>
    <w:p>
      <w:pPr>
        <w:spacing w:line="240" w:lineRule="auto" w:before="1"/>
        <w:rPr>
          <w:rFonts w:ascii="黑体" w:hAnsi="黑体" w:cs="黑体" w:eastAsia="黑体" w:hint="default"/>
          <w:sz w:val="24"/>
          <w:szCs w:val="24"/>
        </w:rPr>
      </w:pPr>
    </w:p>
    <w:p>
      <w:pPr>
        <w:pStyle w:val="BodyText"/>
        <w:spacing w:line="496" w:lineRule="auto"/>
        <w:ind w:left="573" w:right="11"/>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70"/>
        <w:ind w:left="573" w:right="11"/>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3"/>
        <w:rPr>
          <w:rFonts w:ascii="宋体" w:hAnsi="宋体" w:cs="宋体" w:eastAsia="宋体" w:hint="default"/>
          <w:sz w:val="21"/>
          <w:szCs w:val="21"/>
        </w:rPr>
      </w:pPr>
    </w:p>
    <w:p>
      <w:pPr>
        <w:pStyle w:val="BodyText"/>
        <w:spacing w:line="468" w:lineRule="auto"/>
        <w:ind w:left="573" w:right="11"/>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spacing w:val="-5"/>
          <w:w w:val="100"/>
        </w:rPr>
        <w:t>本公司对合营企业投资的会计政策见本附注</w:t>
      </w:r>
      <w:r>
        <w:rPr>
          <w:rFonts w:ascii="Times New Roman" w:hAnsi="Times New Roman" w:cs="Times New Roman" w:eastAsia="Times New Roman" w:hint="default"/>
          <w:spacing w:val="-5"/>
          <w:w w:val="100"/>
        </w:rPr>
        <w:t>“</w:t>
      </w:r>
      <w:r>
        <w:rPr>
          <w:spacing w:val="-5"/>
          <w:w w:val="100"/>
        </w:rPr>
        <w:t>三、（十四）长期股权投资</w:t>
      </w:r>
      <w:r>
        <w:rPr>
          <w:rFonts w:ascii="Times New Roman" w:hAnsi="Times New Roman" w:cs="Times New Roman" w:eastAsia="Times New Roman" w:hint="default"/>
          <w:spacing w:val="-5"/>
          <w:w w:val="100"/>
        </w:rPr>
        <w:t>”</w:t>
      </w:r>
    </w:p>
    <w:p>
      <w:pPr>
        <w:pStyle w:val="Heading3"/>
        <w:spacing w:line="240" w:lineRule="auto" w:before="89"/>
        <w:ind w:right="11"/>
        <w:jc w:val="left"/>
      </w:pPr>
      <w:r>
        <w:rPr>
          <w:rFonts w:ascii="Times New Roman" w:hAnsi="Times New Roman" w:cs="Times New Roman" w:eastAsia="Times New Roman" w:hint="default"/>
        </w:rPr>
        <w:t>8</w:t>
      </w:r>
      <w:r>
        <w:rPr/>
        <w:t>、现金及现金等价物的确定标准</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在编制现金流量表时，将本公司库存现金以及可以随时用于支付的存款确认为现金。将同时具备期限</w:t>
      </w:r>
      <w:r>
        <w:rPr>
          <w:w w:val="100"/>
        </w:rPr>
        <w:t> </w:t>
      </w:r>
      <w:r>
        <w:rPr>
          <w:spacing w:val="-2"/>
          <w:w w:val="100"/>
        </w:rPr>
        <w:t>短（从购买日起三个月内到期）、流动性强、易于转换为已知现金、价值变动风险很小四个条件的投资，</w:t>
      </w:r>
      <w:r>
        <w:rPr>
          <w:spacing w:val="-94"/>
          <w:w w:val="100"/>
        </w:rPr>
        <w:t> </w:t>
      </w:r>
      <w:r>
        <w:rPr>
          <w:spacing w:val="-94"/>
          <w:w w:val="100"/>
        </w:rPr>
      </w:r>
      <w:r>
        <w:rPr/>
        <w:t>确定为现金等价物。</w:t>
      </w:r>
    </w:p>
    <w:p>
      <w:pPr>
        <w:pStyle w:val="Heading3"/>
        <w:spacing w:line="475" w:lineRule="auto" w:before="179"/>
        <w:ind w:right="6774"/>
        <w:jc w:val="left"/>
      </w:pPr>
      <w:r>
        <w:rPr>
          <w:rFonts w:ascii="Times New Roman" w:hAnsi="Times New Roman" w:cs="Times New Roman" w:eastAsia="Times New Roman" w:hint="default"/>
        </w:rPr>
        <w:t>9</w:t>
      </w:r>
      <w:r>
        <w:rPr/>
        <w:t>、外币业务和外币报表折算 </w:t>
      </w:r>
      <w:r>
        <w:rPr>
          <w:rFonts w:ascii="Times New Roman" w:hAnsi="Times New Roman" w:cs="Times New Roman" w:eastAsia="Times New Roman" w:hint="default"/>
        </w:rPr>
        <w:t>(1)</w:t>
      </w:r>
      <w:r>
        <w:rPr/>
        <w:t>外币业务</w:t>
      </w:r>
    </w:p>
    <w:p>
      <w:pPr>
        <w:pStyle w:val="BodyText"/>
        <w:spacing w:line="496" w:lineRule="auto" w:before="56"/>
        <w:ind w:left="573" w:right="11"/>
        <w:jc w:val="left"/>
      </w:pP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资产负债表日外币货币性项目余额按资产负债表日即期汇率折算，由此产生的汇兑差额，除属于与购</w:t>
      </w:r>
    </w:p>
    <w:p>
      <w:pPr>
        <w:pStyle w:val="BodyText"/>
        <w:spacing w:line="243" w:lineRule="exact"/>
        <w:ind w:right="11"/>
        <w:jc w:val="left"/>
      </w:pPr>
      <w:r>
        <w:rPr/>
        <w:t>建符合资本化条件的资产相关的外币专门借款产生的汇兑差额按照借款费用资本化的原则处理外，均计入</w:t>
      </w:r>
    </w:p>
    <w:p>
      <w:pPr>
        <w:spacing w:line="240" w:lineRule="auto" w:before="10"/>
        <w:rPr>
          <w:rFonts w:ascii="宋体" w:hAnsi="宋体" w:cs="宋体" w:eastAsia="宋体" w:hint="default"/>
          <w:sz w:val="14"/>
          <w:szCs w:val="14"/>
        </w:rPr>
      </w:pPr>
    </w:p>
    <w:p>
      <w:pPr>
        <w:pStyle w:val="BodyText"/>
        <w:spacing w:line="240" w:lineRule="auto"/>
        <w:ind w:right="11"/>
        <w:jc w:val="left"/>
      </w:pPr>
      <w:r>
        <w:rPr/>
        <w:t>当期损益。</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外币财务报表的折算</w:t>
      </w:r>
    </w:p>
    <w:p>
      <w:pPr>
        <w:pStyle w:val="BodyText"/>
        <w:spacing w:line="470" w:lineRule="atLeast" w:before="138"/>
        <w:ind w:right="11" w:firstLine="420"/>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w w:val="100"/>
        </w:rPr>
        <w:t> </w:t>
      </w: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spacing w:after="0" w:line="470" w:lineRule="atLeast"/>
        <w:jc w:val="left"/>
        <w:sectPr>
          <w:footerReference w:type="default" r:id="rId58"/>
          <w:pgSz w:w="11910" w:h="16840"/>
          <w:pgMar w:footer="1132" w:header="882" w:top="1280" w:bottom="1320" w:left="980" w:right="980"/>
          <w:pgNumType w:start="154"/>
        </w:sectPr>
      </w:pPr>
    </w:p>
    <w:p>
      <w:pPr>
        <w:spacing w:line="240" w:lineRule="auto" w:before="5"/>
        <w:rPr>
          <w:rFonts w:ascii="宋体" w:hAnsi="宋体" w:cs="宋体" w:eastAsia="宋体" w:hint="default"/>
          <w:sz w:val="13"/>
          <w:szCs w:val="13"/>
        </w:rPr>
      </w:pPr>
    </w:p>
    <w:p>
      <w:pPr>
        <w:pStyle w:val="BodyText"/>
        <w:spacing w:line="240" w:lineRule="auto" w:before="36"/>
        <w:ind w:right="100"/>
        <w:jc w:val="left"/>
      </w:pPr>
      <w:r>
        <w:rPr/>
        <w:t>汇率折算。</w:t>
      </w:r>
    </w:p>
    <w:p>
      <w:pPr>
        <w:spacing w:line="240" w:lineRule="auto" w:before="6"/>
        <w:rPr>
          <w:rFonts w:ascii="宋体" w:hAnsi="宋体" w:cs="宋体" w:eastAsia="宋体" w:hint="default"/>
          <w:sz w:val="22"/>
          <w:szCs w:val="22"/>
        </w:rPr>
      </w:pPr>
    </w:p>
    <w:p>
      <w:pPr>
        <w:pStyle w:val="BodyText"/>
        <w:spacing w:line="408" w:lineRule="auto"/>
        <w:ind w:right="206" w:firstLine="420"/>
        <w:jc w:val="both"/>
      </w:pPr>
      <w:r>
        <w:rPr>
          <w:spacing w:val="-2"/>
        </w:rPr>
        <w:t>处置境外经营时，将与该境外经营相关的外币财务报表折算差额，自所有者权益项目转入处置当期损</w:t>
      </w:r>
      <w:r>
        <w:rPr>
          <w:w w:val="100"/>
        </w:rPr>
        <w:t> </w:t>
      </w:r>
      <w:r>
        <w:rPr/>
        <w:t>益。</w:t>
      </w:r>
    </w:p>
    <w:p>
      <w:pPr>
        <w:pStyle w:val="Heading3"/>
        <w:spacing w:line="240" w:lineRule="auto" w:before="176"/>
        <w:ind w:right="100"/>
        <w:jc w:val="left"/>
      </w:pPr>
      <w:r>
        <w:rPr>
          <w:rFonts w:ascii="Times New Roman" w:hAnsi="Times New Roman" w:cs="Times New Roman" w:eastAsia="Times New Roman" w:hint="default"/>
        </w:rPr>
        <w:t>10</w:t>
      </w:r>
      <w:r>
        <w:rPr/>
        <w:t>、金融工具</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t>金融工具包括金融资产、金融负债和权益工具。</w:t>
      </w:r>
    </w:p>
    <w:p>
      <w:pPr>
        <w:spacing w:line="240" w:lineRule="auto" w:before="10"/>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）金融工具的分类</w:t>
      </w:r>
    </w:p>
    <w:p>
      <w:pPr>
        <w:spacing w:line="240" w:lineRule="auto" w:before="4"/>
        <w:rPr>
          <w:rFonts w:ascii="黑体" w:hAnsi="黑体" w:cs="黑体" w:eastAsia="黑体" w:hint="default"/>
          <w:sz w:val="24"/>
          <w:szCs w:val="24"/>
        </w:rPr>
      </w:pPr>
    </w:p>
    <w:p>
      <w:pPr>
        <w:pStyle w:val="BodyText"/>
        <w:spacing w:line="408" w:lineRule="auto"/>
        <w:ind w:right="206" w:firstLine="420"/>
        <w:jc w:val="both"/>
      </w:pPr>
      <w:r>
        <w:rPr>
          <w:spacing w:val="-2"/>
        </w:rPr>
        <w:t>金融资产和金融负债于初始确认时分类为：以公允价值计量且其变动计入当期损益的金融资产或金融</w:t>
      </w:r>
      <w:r>
        <w:rPr>
          <w:w w:val="100"/>
        </w:rPr>
        <w:t> </w:t>
      </w: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spacing w:line="477" w:lineRule="auto" w:before="176"/>
        <w:ind w:left="573" w:right="100"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2</w:t>
      </w:r>
      <w:r>
        <w:rPr>
          <w:rFonts w:ascii="黑体" w:hAnsi="黑体" w:cs="黑体" w:eastAsia="黑体" w:hint="default"/>
          <w:sz w:val="24"/>
          <w:szCs w:val="24"/>
        </w:rPr>
        <w:t>）金融工具的确认依据和计量方法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）以公允价值计量且其变动计入当期损益的金融资产（金融负债）</w:t>
      </w:r>
      <w:r>
        <w:rPr>
          <w:rFonts w:ascii="宋体" w:hAnsi="宋体" w:cs="宋体" w:eastAsia="宋体" w:hint="default"/>
          <w:b/>
          <w:bCs/>
          <w:w w:val="100"/>
          <w:sz w:val="21"/>
          <w:szCs w:val="21"/>
        </w:rPr>
        <w:t> </w:t>
      </w:r>
      <w:r>
        <w:rPr>
          <w:rFonts w:ascii="宋体" w:hAnsi="宋体" w:cs="宋体" w:eastAsia="宋体" w:hint="default"/>
          <w:spacing w:val="-2"/>
          <w:sz w:val="21"/>
          <w:szCs w:val="21"/>
        </w:rPr>
        <w:t>取得时以公允价值（扣除已宣告但尚未发放的现金股利或已到付息期但尚未领取的债券利息）作为初</w:t>
      </w:r>
    </w:p>
    <w:p>
      <w:pPr>
        <w:pStyle w:val="BodyText"/>
        <w:spacing w:line="260" w:lineRule="exact"/>
        <w:ind w:right="100"/>
        <w:jc w:val="left"/>
      </w:pPr>
      <w:r>
        <w:rPr/>
        <w:t>始确认金额，相关的交易费用计入当期损益。</w:t>
      </w:r>
    </w:p>
    <w:p>
      <w:pPr>
        <w:spacing w:line="240" w:lineRule="auto" w:before="4"/>
        <w:rPr>
          <w:rFonts w:ascii="宋体" w:hAnsi="宋体" w:cs="宋体" w:eastAsia="宋体" w:hint="default"/>
          <w:sz w:val="22"/>
          <w:szCs w:val="22"/>
        </w:rPr>
      </w:pPr>
    </w:p>
    <w:p>
      <w:pPr>
        <w:pStyle w:val="BodyText"/>
        <w:spacing w:line="499" w:lineRule="auto"/>
        <w:ind w:left="573" w:right="100"/>
        <w:jc w:val="left"/>
      </w:pP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r>
        <w:rPr>
          <w:w w:val="100"/>
        </w:rPr>
        <w:t> </w:t>
      </w:r>
      <w:r>
        <w:rPr>
          <w:rFonts w:ascii="Times New Roman" w:hAnsi="Times New Roman" w:cs="Times New Roman" w:eastAsia="Times New Roman" w:hint="default"/>
          <w:b/>
          <w:bCs/>
        </w:rPr>
        <w:t>2</w:t>
      </w:r>
      <w:r>
        <w:rPr>
          <w:rFonts w:ascii="宋体" w:hAnsi="宋体" w:cs="宋体" w:eastAsia="宋体" w:hint="default"/>
          <w:b/>
          <w:bCs/>
        </w:rPr>
        <w:t>）持有至到期投资</w:t>
      </w:r>
      <w:r>
        <w:rPr>
          <w:rFonts w:ascii="宋体" w:hAnsi="宋体" w:cs="宋体" w:eastAsia="宋体" w:hint="default"/>
          <w:b/>
          <w:bCs/>
          <w:spacing w:val="-103"/>
        </w:rPr>
        <w:t> </w:t>
      </w:r>
      <w:r>
        <w:rPr>
          <w:spacing w:val="-5"/>
        </w:rPr>
        <w:t>取得时按公允价值（扣除已到付息期但尚未领取的债券利息）和相关交易费用之和作为初始确认金额。</w:t>
      </w:r>
    </w:p>
    <w:p>
      <w:pPr>
        <w:pStyle w:val="BodyText"/>
        <w:spacing w:line="241" w:lineRule="exact"/>
        <w:ind w:right="100"/>
        <w:jc w:val="left"/>
      </w:pPr>
      <w:r>
        <w:rPr/>
        <w:t>持有期间按照摊余成本和实际利率计算确认利息收入，计入投资收益。实际利率在取得时确定，在该预期</w:t>
      </w:r>
    </w:p>
    <w:p>
      <w:pPr>
        <w:spacing w:line="240" w:lineRule="auto" w:before="11"/>
        <w:rPr>
          <w:rFonts w:ascii="宋体" w:hAnsi="宋体" w:cs="宋体" w:eastAsia="宋体" w:hint="default"/>
          <w:sz w:val="14"/>
          <w:szCs w:val="14"/>
        </w:rPr>
      </w:pPr>
    </w:p>
    <w:p>
      <w:pPr>
        <w:pStyle w:val="BodyText"/>
        <w:spacing w:line="504" w:lineRule="auto"/>
        <w:ind w:left="573" w:right="2959" w:hanging="421"/>
        <w:jc w:val="left"/>
        <w:rPr>
          <w:rFonts w:ascii="宋体" w:hAnsi="宋体" w:cs="宋体" w:eastAsia="宋体" w:hint="default"/>
        </w:rPr>
      </w:pPr>
      <w:r>
        <w:rPr/>
        <w:t>存续期间或适用的更短期间内保持不变。</w:t>
      </w:r>
      <w:r>
        <w:rPr>
          <w:w w:val="100"/>
        </w:rPr>
        <w:t> </w:t>
      </w:r>
      <w:r>
        <w:rPr>
          <w:spacing w:val="-2"/>
        </w:rPr>
        <w:t>处置时，将所取得价款与该投资账面价值之间的差额计入投资收益。</w:t>
      </w:r>
      <w:r>
        <w:rPr>
          <w:w w:val="100"/>
        </w:rPr>
        <w:t> </w:t>
      </w:r>
      <w:r>
        <w:rPr>
          <w:rFonts w:ascii="Times New Roman" w:hAnsi="Times New Roman" w:cs="Times New Roman" w:eastAsia="Times New Roman" w:hint="default"/>
          <w:b/>
          <w:bCs/>
        </w:rPr>
        <w:t>3</w:t>
      </w:r>
      <w:r>
        <w:rPr>
          <w:rFonts w:ascii="宋体" w:hAnsi="宋体" w:cs="宋体" w:eastAsia="宋体" w:hint="default"/>
          <w:b/>
          <w:bCs/>
        </w:rPr>
        <w:t>）应收款项</w:t>
      </w:r>
      <w:r>
        <w:rPr>
          <w:rFonts w:ascii="宋体" w:hAnsi="宋体" w:cs="宋体" w:eastAsia="宋体" w:hint="default"/>
        </w:rPr>
      </w:r>
    </w:p>
    <w:p>
      <w:pPr>
        <w:pStyle w:val="BodyText"/>
        <w:spacing w:line="408" w:lineRule="auto" w:before="41"/>
        <w:ind w:right="206" w:firstLine="420"/>
        <w:jc w:val="both"/>
      </w:pPr>
      <w:r>
        <w:rPr>
          <w:spacing w:val="-2"/>
        </w:rPr>
        <w:t>公司对外销售商品或提供劳务形成的应收债权，以及公司持有的其他企业的不包括在活跃市场上有报</w:t>
      </w:r>
      <w:r>
        <w:rPr>
          <w:w w:val="100"/>
        </w:rPr>
        <w:t> </w:t>
      </w:r>
      <w:r>
        <w:rPr>
          <w:spacing w:val="-2"/>
        </w:rPr>
        <w:t>价的债务工具的债权，包括应收账款、其他应收款等，以向购货方应收的合同或协议价款作为初始确认金</w:t>
      </w:r>
      <w:r>
        <w:rPr>
          <w:spacing w:val="-43"/>
        </w:rPr>
        <w:t> </w:t>
      </w:r>
      <w:r>
        <w:rPr>
          <w:spacing w:val="-43"/>
        </w:rPr>
      </w:r>
      <w:r>
        <w:rPr>
          <w:spacing w:val="-2"/>
        </w:rPr>
        <w:t>额；具有融资性质的，按其现值进行初始确认。收回或处置时，将取得的价款与该应收款项账面价值之间</w:t>
      </w:r>
      <w:r>
        <w:rPr>
          <w:spacing w:val="-47"/>
        </w:rPr>
        <w:t> </w:t>
      </w:r>
      <w:r>
        <w:rPr>
          <w:spacing w:val="-47"/>
        </w:rPr>
      </w:r>
      <w:r>
        <w:rPr/>
        <w:t>的差额计入当期损益。</w:t>
      </w:r>
    </w:p>
    <w:p>
      <w:pPr>
        <w:spacing w:after="0" w:line="408" w:lineRule="auto"/>
        <w:jc w:val="both"/>
        <w:sectPr>
          <w:pgSz w:w="11910" w:h="16840"/>
          <w:pgMar w:header="882" w:footer="1132" w:top="1280" w:bottom="1320" w:left="980" w:right="920"/>
        </w:sectPr>
      </w:pPr>
    </w:p>
    <w:p>
      <w:pPr>
        <w:spacing w:line="240" w:lineRule="auto" w:before="7"/>
        <w:rPr>
          <w:rFonts w:ascii="宋体" w:hAnsi="宋体" w:cs="宋体" w:eastAsia="宋体" w:hint="default"/>
          <w:sz w:val="13"/>
          <w:szCs w:val="13"/>
        </w:rPr>
      </w:pPr>
    </w:p>
    <w:p>
      <w:pPr>
        <w:pStyle w:val="BodyText"/>
        <w:spacing w:line="482" w:lineRule="auto" w:before="36"/>
        <w:ind w:left="573" w:right="11" w:firstLine="2"/>
        <w:jc w:val="left"/>
      </w:pPr>
      <w:r>
        <w:rPr>
          <w:rFonts w:ascii="Times New Roman" w:hAnsi="Times New Roman" w:cs="Times New Roman" w:eastAsia="Times New Roman" w:hint="default"/>
          <w:b/>
          <w:bCs/>
        </w:rPr>
        <w:t>4</w:t>
      </w:r>
      <w:r>
        <w:rPr>
          <w:rFonts w:ascii="宋体" w:hAnsi="宋体" w:cs="宋体" w:eastAsia="宋体" w:hint="default"/>
          <w:b/>
          <w:bCs/>
        </w:rPr>
        <w:t>）可供出售金融资产</w:t>
      </w:r>
      <w:r>
        <w:rPr>
          <w:rFonts w:ascii="宋体" w:hAnsi="宋体" w:cs="宋体" w:eastAsia="宋体" w:hint="default"/>
          <w:b/>
          <w:bCs/>
          <w:w w:val="100"/>
        </w:rPr>
        <w:t> </w:t>
      </w:r>
      <w:r>
        <w:rPr>
          <w:spacing w:val="-2"/>
        </w:rPr>
        <w:t>取得时按公允价值（扣除已宣告但尚未发放的现金股利或已到付息期但尚未领取的债券利息）和相关</w:t>
      </w:r>
    </w:p>
    <w:p>
      <w:pPr>
        <w:pStyle w:val="BodyText"/>
        <w:spacing w:line="256" w:lineRule="exact"/>
        <w:ind w:right="11"/>
        <w:jc w:val="left"/>
      </w:pPr>
      <w:r>
        <w:rPr/>
        <w:t>交易费用之和作为初始确认金额。</w:t>
      </w:r>
    </w:p>
    <w:p>
      <w:pPr>
        <w:spacing w:line="240" w:lineRule="auto" w:before="6"/>
        <w:rPr>
          <w:rFonts w:ascii="宋体" w:hAnsi="宋体" w:cs="宋体" w:eastAsia="宋体" w:hint="default"/>
          <w:sz w:val="22"/>
          <w:szCs w:val="22"/>
        </w:rPr>
      </w:pPr>
    </w:p>
    <w:p>
      <w:pPr>
        <w:pStyle w:val="BodyText"/>
        <w:spacing w:line="408" w:lineRule="auto"/>
        <w:ind w:right="146" w:firstLine="420"/>
        <w:jc w:val="both"/>
      </w:pPr>
      <w:r>
        <w:rPr>
          <w:spacing w:val="-2"/>
        </w:rPr>
        <w:t>持有期间将取得的利息或现金股利确认为投资收益。期末以公允价值计量且将公允价值变动计入其他</w:t>
      </w:r>
      <w:r>
        <w:rPr>
          <w:w w:val="100"/>
        </w:rPr>
        <w:t> </w:t>
      </w: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408" w:lineRule="auto" w:before="145"/>
        <w:ind w:right="148" w:firstLine="420"/>
        <w:jc w:val="both"/>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482" w:lineRule="auto" w:before="168"/>
        <w:ind w:left="573" w:right="136" w:firstLine="2"/>
        <w:jc w:val="left"/>
      </w:pPr>
      <w:r>
        <w:rPr>
          <w:rFonts w:ascii="Times New Roman" w:hAnsi="Times New Roman" w:cs="Times New Roman" w:eastAsia="Times New Roman" w:hint="default"/>
          <w:b/>
          <w:bCs/>
        </w:rPr>
        <w:t>5</w:t>
      </w:r>
      <w:r>
        <w:rPr>
          <w:rFonts w:ascii="宋体" w:hAnsi="宋体" w:cs="宋体" w:eastAsia="宋体" w:hint="default"/>
          <w:b/>
          <w:bCs/>
        </w:rPr>
        <w:t>）其他金融负债</w:t>
      </w:r>
      <w:r>
        <w:rPr>
          <w:rFonts w:ascii="宋体" w:hAnsi="宋体" w:cs="宋体" w:eastAsia="宋体" w:hint="default"/>
          <w:b/>
          <w:bCs/>
          <w:w w:val="100"/>
        </w:rPr>
        <w:t> </w:t>
      </w:r>
      <w:r>
        <w:rPr>
          <w:spacing w:val="-2"/>
        </w:rPr>
        <w:t>按其公允价值和相关交易费用之和作为初始确认金额。采用摊余成本进行后续计量。</w:t>
      </w:r>
    </w:p>
    <w:p>
      <w:pPr>
        <w:pStyle w:val="Heading3"/>
        <w:spacing w:line="240" w:lineRule="auto" w:before="114"/>
        <w:ind w:right="11"/>
        <w:jc w:val="left"/>
      </w:pPr>
      <w:r>
        <w:rPr/>
        <w:t>（</w:t>
      </w:r>
      <w:r>
        <w:rPr>
          <w:rFonts w:ascii="Times New Roman" w:hAnsi="Times New Roman" w:cs="Times New Roman" w:eastAsia="Times New Roman" w:hint="default"/>
        </w:rPr>
        <w:t>3</w:t>
      </w:r>
      <w:r>
        <w:rPr/>
        <w:t>）金融资产转移的确认依据和计量方法</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公司发生金融资产转移时，如已将金融资产所有权上几乎所有的风险和报酬转移给转入方，则终止确</w:t>
      </w:r>
      <w:r>
        <w:rPr>
          <w:w w:val="100"/>
        </w:rPr>
        <w:t> </w:t>
      </w:r>
      <w:r>
        <w:rPr/>
        <w:t>认该金融资产；如保留了金融资产所有权上几乎所有的风险和报酬的，则不终止确认该金融资产。</w:t>
      </w:r>
    </w:p>
    <w:p>
      <w:pPr>
        <w:pStyle w:val="BodyText"/>
        <w:spacing w:line="408" w:lineRule="auto" w:before="147"/>
        <w:ind w:right="14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144"/>
        <w:ind w:left="573" w:right="11"/>
        <w:jc w:val="left"/>
      </w:pPr>
      <w:r>
        <w:rPr>
          <w:rFonts w:ascii="Times New Roman" w:hAnsi="Times New Roman" w:cs="Times New Roman" w:eastAsia="Times New Roman" w:hint="default"/>
        </w:rPr>
        <w:t>1</w:t>
      </w:r>
      <w:r>
        <w:rPr/>
        <w:t>）所转移金融资产的账面价值；</w:t>
      </w:r>
    </w:p>
    <w:p>
      <w:pPr>
        <w:spacing w:line="240" w:lineRule="auto" w:before="3"/>
        <w:rPr>
          <w:rFonts w:ascii="宋体" w:hAnsi="宋体" w:cs="宋体" w:eastAsia="宋体" w:hint="default"/>
          <w:sz w:val="21"/>
          <w:szCs w:val="21"/>
        </w:rPr>
      </w:pPr>
    </w:p>
    <w:p>
      <w:pPr>
        <w:pStyle w:val="BodyText"/>
        <w:spacing w:line="386" w:lineRule="auto"/>
        <w:ind w:right="156" w:firstLine="420"/>
        <w:jc w:val="both"/>
      </w:pPr>
      <w:r>
        <w:rPr>
          <w:rFonts w:ascii="Times New Roman" w:hAnsi="Times New Roman" w:cs="Times New Roman" w:eastAsia="Times New Roman" w:hint="default"/>
        </w:rPr>
        <w:t>2</w:t>
      </w:r>
      <w:r>
        <w:rPr/>
        <w:t>）因转移而收到的对价，与原直接计入所有者权益的公允价值变动累计额（涉及转移的金融资产为</w:t>
      </w:r>
      <w:r>
        <w:rPr>
          <w:w w:val="100"/>
        </w:rPr>
        <w:t> </w:t>
      </w:r>
      <w:r>
        <w:rPr/>
        <w:t>可供出售金融资产的情形）之和。</w:t>
      </w:r>
    </w:p>
    <w:p>
      <w:pPr>
        <w:pStyle w:val="BodyText"/>
        <w:spacing w:line="408" w:lineRule="auto" w:before="166"/>
        <w:ind w:right="146" w:firstLine="420"/>
        <w:jc w:val="both"/>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144"/>
        <w:ind w:left="573" w:right="11"/>
        <w:jc w:val="left"/>
      </w:pPr>
      <w:r>
        <w:rPr>
          <w:rFonts w:ascii="Times New Roman" w:hAnsi="Times New Roman" w:cs="Times New Roman" w:eastAsia="Times New Roman" w:hint="default"/>
        </w:rPr>
        <w:t>1</w:t>
      </w:r>
      <w:r>
        <w:rPr/>
        <w:t>）终止确认部分的账面价值；</w:t>
      </w:r>
    </w:p>
    <w:p>
      <w:pPr>
        <w:spacing w:line="240" w:lineRule="auto" w:before="3"/>
        <w:rPr>
          <w:rFonts w:ascii="宋体" w:hAnsi="宋体" w:cs="宋体" w:eastAsia="宋体" w:hint="default"/>
          <w:sz w:val="21"/>
          <w:szCs w:val="21"/>
        </w:rPr>
      </w:pPr>
    </w:p>
    <w:p>
      <w:pPr>
        <w:pStyle w:val="BodyText"/>
        <w:spacing w:line="386" w:lineRule="auto"/>
        <w:ind w:right="156" w:firstLine="42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240" w:lineRule="auto" w:before="166"/>
        <w:ind w:left="573" w:right="11"/>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）金融负债终止确认条件</w:t>
      </w:r>
    </w:p>
    <w:p>
      <w:pPr>
        <w:spacing w:after="0" w:line="240" w:lineRule="auto"/>
        <w:jc w:val="left"/>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pStyle w:val="BodyText"/>
        <w:spacing w:line="408" w:lineRule="auto" w:before="36"/>
        <w:ind w:right="146" w:firstLine="420"/>
        <w:jc w:val="both"/>
      </w:pPr>
      <w:r>
        <w:rPr>
          <w:spacing w:val="-2"/>
        </w:rPr>
        <w:t>金融负债的现时义务全部或部分已经解除的，则终止确认该金融负债或其一部分；本公司若与债权人</w:t>
      </w:r>
      <w:r>
        <w:rPr>
          <w:w w:val="100"/>
        </w:rPr>
        <w:t> </w:t>
      </w: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before="147"/>
        <w:ind w:right="14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before="144"/>
        <w:ind w:right="14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before="147"/>
        <w:ind w:right="14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Heading3"/>
        <w:spacing w:line="240" w:lineRule="auto" w:before="179"/>
        <w:ind w:right="11"/>
        <w:jc w:val="left"/>
      </w:pPr>
      <w:r>
        <w:rPr/>
        <w:t>（</w:t>
      </w:r>
      <w:r>
        <w:rPr>
          <w:rFonts w:ascii="Times New Roman" w:hAnsi="Times New Roman" w:cs="Times New Roman" w:eastAsia="Times New Roman" w:hint="default"/>
        </w:rPr>
        <w:t>5</w:t>
      </w:r>
      <w:r>
        <w:rPr/>
        <w:t>）金融资产和金融负债的公允价值的确定方法</w:t>
      </w:r>
    </w:p>
    <w:p>
      <w:pPr>
        <w:spacing w:line="240" w:lineRule="auto" w:before="1"/>
        <w:rPr>
          <w:rFonts w:ascii="黑体" w:hAnsi="黑体" w:cs="黑体" w:eastAsia="黑体" w:hint="default"/>
          <w:sz w:val="24"/>
          <w:szCs w:val="24"/>
        </w:rPr>
      </w:pPr>
    </w:p>
    <w:p>
      <w:pPr>
        <w:pStyle w:val="BodyText"/>
        <w:spacing w:line="408" w:lineRule="auto"/>
        <w:ind w:right="125" w:firstLine="420"/>
        <w:jc w:val="both"/>
      </w:pPr>
      <w:r>
        <w:rPr>
          <w:spacing w:val="-2"/>
        </w:rPr>
        <w:t>存在活跃市场的金融工具，以活跃市场中的报价确定其公允价值。不存在活跃市场的金融工具，采用</w:t>
      </w:r>
      <w:r>
        <w:rPr>
          <w:w w:val="100"/>
        </w:rPr>
        <w:t> </w:t>
      </w: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Heading3"/>
        <w:spacing w:line="240" w:lineRule="auto" w:before="179"/>
        <w:ind w:right="11"/>
        <w:jc w:val="left"/>
      </w:pPr>
      <w:r>
        <w:rPr/>
        <w:t>（</w:t>
      </w:r>
      <w:r>
        <w:rPr>
          <w:rFonts w:ascii="Times New Roman" w:hAnsi="Times New Roman" w:cs="Times New Roman" w:eastAsia="Times New Roman" w:hint="default"/>
        </w:rPr>
        <w:t>6</w:t>
      </w:r>
      <w:r>
        <w:rPr/>
        <w:t>）金融资产（不含应收款项）减值的测试方法及会计处理方法</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除以公允价值计量且其变动计入当期损益的金融资产外，本公司于资产负债表日对金融资产的账面价</w:t>
      </w:r>
      <w:r>
        <w:rPr>
          <w:w w:val="100"/>
        </w:rPr>
        <w:t> </w:t>
      </w:r>
      <w:r>
        <w:rPr/>
        <w:t>值进行检查，如果有客观证据表明某项金融资产发生减值的，计提减值准备。</w:t>
      </w:r>
    </w:p>
    <w:p>
      <w:pPr>
        <w:spacing w:line="482" w:lineRule="auto" w:before="169"/>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）可供出售金融资产的减值准备：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期末如果可供出售金融资产的公允价值发生严重下降，或在综合考虑各种相关因素后，预期这种下降</w:t>
      </w:r>
    </w:p>
    <w:p>
      <w:pPr>
        <w:pStyle w:val="BodyText"/>
        <w:spacing w:line="256" w:lineRule="exact"/>
        <w:ind w:right="11"/>
        <w:jc w:val="left"/>
      </w:pPr>
      <w:r>
        <w:rPr/>
        <w:t>趋势属于非暂时性的，就认定其已发生减值，将原直接计入所有者权益的公允价值下降形成的累计损失一</w:t>
      </w:r>
    </w:p>
    <w:p>
      <w:pPr>
        <w:spacing w:line="240" w:lineRule="auto" w:before="10"/>
        <w:rPr>
          <w:rFonts w:ascii="宋体" w:hAnsi="宋体" w:cs="宋体" w:eastAsia="宋体" w:hint="default"/>
          <w:sz w:val="14"/>
          <w:szCs w:val="14"/>
        </w:rPr>
      </w:pPr>
    </w:p>
    <w:p>
      <w:pPr>
        <w:pStyle w:val="BodyText"/>
        <w:spacing w:line="496" w:lineRule="auto"/>
        <w:ind w:left="573" w:right="11" w:hanging="421"/>
        <w:jc w:val="left"/>
      </w:pPr>
      <w:r>
        <w:rPr/>
        <w:t>并转出，确认减值损失。</w:t>
      </w:r>
      <w:r>
        <w:rPr>
          <w:w w:val="100"/>
        </w:rPr>
        <w:t> </w:t>
      </w:r>
      <w:r>
        <w:rPr>
          <w:spacing w:val="-2"/>
        </w:rPr>
        <w:t>对于已确认减值损失的可供出售债务工具，在随后的会计期间公允价值已上升且客观上与确认原减值</w:t>
      </w:r>
    </w:p>
    <w:p>
      <w:pPr>
        <w:pStyle w:val="BodyText"/>
        <w:spacing w:line="243" w:lineRule="exact"/>
        <w:ind w:right="11"/>
        <w:jc w:val="left"/>
      </w:pPr>
      <w:r>
        <w:rPr/>
        <w:t>损失确认后发生的事项有关的，原确认的减值损失予以转回，计入当期损益。</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t>可供出售权益工具投资发生的减值损失，不通过损益转回。</w:t>
      </w:r>
    </w:p>
    <w:p>
      <w:pPr>
        <w:spacing w:after="0" w:line="240" w:lineRule="auto"/>
        <w:jc w:val="left"/>
        <w:sectPr>
          <w:pgSz w:w="11910" w:h="16840"/>
          <w:pgMar w:header="882" w:footer="1132" w:top="1280" w:bottom="1320" w:left="980" w:right="980"/>
        </w:sectPr>
      </w:pPr>
    </w:p>
    <w:p>
      <w:pPr>
        <w:spacing w:line="240" w:lineRule="auto" w:before="7"/>
        <w:rPr>
          <w:rFonts w:ascii="宋体" w:hAnsi="宋体" w:cs="宋体" w:eastAsia="宋体" w:hint="default"/>
          <w:sz w:val="13"/>
          <w:szCs w:val="13"/>
        </w:rPr>
      </w:pPr>
    </w:p>
    <w:p>
      <w:pPr>
        <w:spacing w:line="482" w:lineRule="auto" w:before="36"/>
        <w:ind w:left="573" w:right="11" w:firstLine="9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）持有至到期投资的减值准备：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pStyle w:val="Heading3"/>
        <w:spacing w:line="240" w:lineRule="auto" w:before="114"/>
        <w:ind w:right="11"/>
        <w:jc w:val="left"/>
      </w:pPr>
      <w:r>
        <w:rPr>
          <w:rFonts w:ascii="Times New Roman" w:hAnsi="Times New Roman" w:cs="Times New Roman" w:eastAsia="Times New Roman" w:hint="default"/>
        </w:rPr>
        <w:t>11</w:t>
      </w:r>
      <w:r>
        <w:rPr/>
        <w:t>、应收款项</w:t>
      </w:r>
    </w:p>
    <w:p>
      <w:pPr>
        <w:spacing w:line="240" w:lineRule="auto" w:before="1"/>
        <w:rPr>
          <w:rFonts w:ascii="黑体" w:hAnsi="黑体" w:cs="黑体" w:eastAsia="黑体" w:hint="default"/>
          <w:sz w:val="22"/>
          <w:szCs w:val="22"/>
        </w:rPr>
      </w:pPr>
    </w:p>
    <w:p>
      <w:pPr>
        <w:pStyle w:val="Heading3"/>
        <w:spacing w:line="240" w:lineRule="auto"/>
        <w:ind w:right="11"/>
        <w:jc w:val="left"/>
      </w:pPr>
      <w:r>
        <w:rPr/>
        <w:t>（</w:t>
      </w:r>
      <w:r>
        <w:rPr>
          <w:rFonts w:ascii="Times New Roman" w:hAnsi="Times New Roman" w:cs="Times New Roman" w:eastAsia="Times New Roman" w:hint="default"/>
        </w:rPr>
        <w:t>1</w:t>
      </w:r>
      <w:r>
        <w:rPr/>
        <w:t>）单项金额重大并单独计提坏账准备的应收款项</w:t>
      </w:r>
    </w:p>
    <w:p>
      <w:pPr>
        <w:spacing w:line="240" w:lineRule="auto" w:before="4"/>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82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3" w:right="17"/>
              <w:jc w:val="left"/>
              <w:rPr>
                <w:rFonts w:ascii="宋体" w:hAnsi="宋体" w:cs="宋体" w:eastAsia="宋体" w:hint="default"/>
                <w:sz w:val="18"/>
                <w:szCs w:val="18"/>
              </w:rPr>
            </w:pPr>
            <w:r>
              <w:rPr>
                <w:rFonts w:ascii="宋体" w:hAnsi="宋体" w:cs="宋体" w:eastAsia="宋体" w:hint="default"/>
                <w:spacing w:val="-3"/>
                <w:sz w:val="18"/>
                <w:szCs w:val="18"/>
              </w:rPr>
              <w:t>本公司（除泰豪智能）将单项金额超过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万元的应收款项 视为重大应收款项。</w:t>
            </w:r>
          </w:p>
        </w:tc>
      </w:tr>
      <w:tr>
        <w:trPr>
          <w:trHeight w:val="144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3" w:right="25"/>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计未来现金流量现值低于其账面价值的差额计提坏账准备，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计入当期损益。单独测试未发生减值的应收款项，将其归入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相应组合计提坏账准备。</w:t>
            </w:r>
          </w:p>
        </w:tc>
      </w:tr>
    </w:tbl>
    <w:p>
      <w:pPr>
        <w:spacing w:line="240" w:lineRule="auto" w:before="12"/>
        <w:rPr>
          <w:rFonts w:ascii="黑体" w:hAnsi="黑体" w:cs="黑体" w:eastAsia="黑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5"/>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2024"/>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24"/>
              <w:jc w:val="righ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2"/>
        <w:rPr>
          <w:rFonts w:ascii="黑体" w:hAnsi="黑体" w:cs="黑体" w:eastAsia="黑体" w:hint="default"/>
          <w:sz w:val="9"/>
          <w:szCs w:val="9"/>
        </w:rPr>
      </w:pPr>
    </w:p>
    <w:p>
      <w:pPr>
        <w:pStyle w:val="BodyText"/>
        <w:spacing w:line="240" w:lineRule="auto" w:before="36"/>
        <w:ind w:left="573" w:right="11"/>
        <w:jc w:val="left"/>
      </w:pPr>
      <w:r>
        <w:rPr/>
        <w:t>组合中，采用账龄分析法计提坏账准备的：</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5.00%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20.00%</w:t>
            </w:r>
          </w:p>
        </w:tc>
      </w:tr>
      <w:tr>
        <w:trPr>
          <w:trHeight w:val="507"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50.00%</w:t>
            </w:r>
          </w:p>
        </w:tc>
      </w:tr>
      <w:tr>
        <w:trPr>
          <w:trHeight w:val="81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397" w:right="47" w:hanging="1349"/>
              <w:jc w:val="left"/>
              <w:rPr>
                <w:rFonts w:ascii="宋体" w:hAnsi="宋体" w:cs="宋体" w:eastAsia="宋体" w:hint="default"/>
                <w:sz w:val="18"/>
                <w:szCs w:val="18"/>
              </w:rPr>
            </w:pPr>
            <w:r>
              <w:rPr>
                <w:rFonts w:ascii="宋体" w:hAnsi="宋体" w:cs="宋体" w:eastAsia="宋体" w:hint="default"/>
                <w:sz w:val="18"/>
                <w:szCs w:val="18"/>
              </w:rPr>
              <w:t>北京泰豪智能工程有限公司计提比例如 下：</w:t>
            </w:r>
          </w:p>
        </w:tc>
        <w:tc>
          <w:tcPr>
            <w:tcW w:w="3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3.00%</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10.00%</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80.00%</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组合中，采用余额百分比法计提坏账准备的：</w:t>
      </w:r>
    </w:p>
    <w:p>
      <w:pPr>
        <w:spacing w:line="240" w:lineRule="auto" w:before="4"/>
        <w:rPr>
          <w:rFonts w:ascii="宋体" w:hAnsi="宋体" w:cs="宋体" w:eastAsia="宋体" w:hint="default"/>
          <w:sz w:val="22"/>
          <w:szCs w:val="22"/>
        </w:rPr>
      </w:pPr>
    </w:p>
    <w:p>
      <w:pPr>
        <w:pStyle w:val="BodyText"/>
        <w:spacing w:line="470" w:lineRule="auto"/>
        <w:ind w:left="573" w:right="4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93"/>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3</w:t>
      </w:r>
      <w:r>
        <w:rPr/>
        <w:t>）单项金额不重大但单独计提坏账准备的应收款项</w:t>
      </w:r>
    </w:p>
    <w:p>
      <w:pPr>
        <w:spacing w:line="240" w:lineRule="auto" w:before="4"/>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44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2"/>
              <w:jc w:val="both"/>
              <w:rPr>
                <w:rFonts w:ascii="宋体" w:hAnsi="宋体" w:cs="宋体" w:eastAsia="宋体" w:hint="default"/>
                <w:sz w:val="18"/>
                <w:szCs w:val="18"/>
              </w:rPr>
            </w:pPr>
            <w:r>
              <w:rPr>
                <w:rFonts w:ascii="宋体" w:hAnsi="宋体" w:cs="宋体" w:eastAsia="宋体" w:hint="default"/>
                <w:sz w:val="18"/>
                <w:szCs w:val="18"/>
              </w:rPr>
              <w:t>对于年末单项金额非重大的应收款项，采用与经单独测试后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9"/>
                <w:sz w:val="18"/>
                <w:szCs w:val="18"/>
              </w:rPr>
              <w:t>未减值的应收款项一起按类似信用风险特征划分为若干组</w:t>
            </w:r>
            <w:r>
              <w:rPr>
                <w:rFonts w:ascii="宋体" w:hAnsi="宋体" w:cs="宋体" w:eastAsia="宋体" w:hint="default"/>
                <w:spacing w:val="9"/>
                <w:sz w:val="18"/>
                <w:szCs w:val="18"/>
              </w:rPr>
              <w:t> </w:t>
            </w:r>
            <w:r>
              <w:rPr>
                <w:rFonts w:ascii="宋体" w:hAnsi="宋体" w:cs="宋体" w:eastAsia="宋体" w:hint="default"/>
                <w:sz w:val="18"/>
                <w:szCs w:val="18"/>
              </w:rPr>
              <w:t>合，再按这些应收款项组合在资产负债表日余额的一定比例</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计算确定减值损失，计提坏账准备。</w:t>
            </w:r>
          </w:p>
        </w:tc>
      </w:tr>
      <w:tr>
        <w:trPr>
          <w:trHeight w:val="82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25"/>
              <w:jc w:val="left"/>
              <w:rPr>
                <w:rFonts w:ascii="宋体" w:hAnsi="宋体" w:cs="宋体" w:eastAsia="宋体" w:hint="default"/>
                <w:sz w:val="18"/>
                <w:szCs w:val="18"/>
              </w:rPr>
            </w:pPr>
            <w:r>
              <w:rPr>
                <w:rFonts w:ascii="宋体" w:hAnsi="宋体" w:cs="宋体" w:eastAsia="宋体" w:hint="default"/>
                <w:sz w:val="18"/>
                <w:szCs w:val="18"/>
              </w:rPr>
              <w:t>该比例反映各项实际发生的减值损失，即各项组合的账面价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值超过其未来现金流量现值的金额。</w:t>
            </w:r>
          </w:p>
        </w:tc>
      </w:tr>
    </w:tbl>
    <w:p>
      <w:pPr>
        <w:spacing w:line="240" w:lineRule="auto" w:before="12"/>
        <w:rPr>
          <w:rFonts w:ascii="黑体" w:hAnsi="黑体" w:cs="黑体" w:eastAsia="黑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12</w:t>
      </w:r>
      <w:r>
        <w:rPr/>
        <w:t>、存货</w:t>
      </w:r>
    </w:p>
    <w:p>
      <w:pPr>
        <w:spacing w:line="240" w:lineRule="auto" w:before="3"/>
        <w:rPr>
          <w:rFonts w:ascii="黑体" w:hAnsi="黑体" w:cs="黑体" w:eastAsia="黑体" w:hint="default"/>
          <w:sz w:val="24"/>
          <w:szCs w:val="24"/>
        </w:rPr>
      </w:pPr>
    </w:p>
    <w:p>
      <w:pPr>
        <w:pStyle w:val="BodyText"/>
        <w:spacing w:line="496" w:lineRule="auto"/>
        <w:ind w:left="573" w:right="5647"/>
        <w:jc w:val="left"/>
      </w:pPr>
      <w:r>
        <w:rPr>
          <w:spacing w:val="-2"/>
        </w:rPr>
        <w:t>公司是否需要遵守特殊行业的披露要求</w:t>
      </w:r>
      <w:r>
        <w:rPr>
          <w:spacing w:val="-72"/>
        </w:rPr>
        <w:t> </w:t>
      </w:r>
      <w:r>
        <w:rPr>
          <w:spacing w:val="-72"/>
        </w:rPr>
      </w:r>
      <w:r>
        <w:rPr/>
        <w:t>否</w:t>
      </w:r>
    </w:p>
    <w:p>
      <w:pPr>
        <w:pStyle w:val="Heading3"/>
        <w:spacing w:line="240" w:lineRule="auto" w:before="101"/>
        <w:ind w:right="11"/>
        <w:jc w:val="left"/>
      </w:pPr>
      <w:r>
        <w:rPr/>
        <w:t>（</w:t>
      </w:r>
      <w:r>
        <w:rPr>
          <w:rFonts w:ascii="Times New Roman" w:hAnsi="Times New Roman" w:cs="Times New Roman" w:eastAsia="Times New Roman" w:hint="default"/>
        </w:rPr>
        <w:t>1</w:t>
      </w:r>
      <w:r>
        <w:rPr/>
        <w:t>）存货的分类</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存货分类为：原材料、库存商品、发出商品、委托加工物资、已经完工未结算工程施工成本等。</w:t>
      </w:r>
    </w:p>
    <w:p>
      <w:pPr>
        <w:spacing w:line="240" w:lineRule="auto" w:before="10"/>
        <w:rPr>
          <w:rFonts w:ascii="宋体" w:hAnsi="宋体" w:cs="宋体" w:eastAsia="宋体" w:hint="default"/>
          <w:sz w:val="24"/>
          <w:szCs w:val="24"/>
        </w:rPr>
      </w:pPr>
    </w:p>
    <w:p>
      <w:pPr>
        <w:spacing w:line="482" w:lineRule="auto" w:before="0"/>
        <w:ind w:left="573" w:right="3694"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2</w:t>
      </w:r>
      <w:r>
        <w:rPr>
          <w:rFonts w:ascii="黑体" w:hAnsi="黑体" w:cs="黑体" w:eastAsia="黑体" w:hint="default"/>
          <w:sz w:val="24"/>
          <w:szCs w:val="24"/>
        </w:rPr>
        <w:t>）发出存货的计价方法 </w:t>
      </w:r>
      <w:r>
        <w:rPr>
          <w:rFonts w:ascii="宋体" w:hAnsi="宋体" w:cs="宋体" w:eastAsia="宋体" w:hint="default"/>
          <w:sz w:val="21"/>
          <w:szCs w:val="21"/>
        </w:rPr>
        <w:t>存货发出时按移动加权平均法计价。</w:t>
      </w:r>
      <w:r>
        <w:rPr>
          <w:rFonts w:ascii="宋体" w:hAnsi="宋体" w:cs="宋体" w:eastAsia="宋体" w:hint="default"/>
          <w:w w:val="100"/>
          <w:sz w:val="21"/>
          <w:szCs w:val="21"/>
        </w:rPr>
        <w:t> </w:t>
      </w:r>
      <w:r>
        <w:rPr>
          <w:rFonts w:ascii="宋体" w:hAnsi="宋体" w:cs="宋体" w:eastAsia="宋体" w:hint="default"/>
          <w:spacing w:val="-2"/>
          <w:sz w:val="21"/>
          <w:szCs w:val="21"/>
        </w:rPr>
        <w:t>北京泰豪智能工程有限公司存货发出时按个别计价法计价。</w:t>
      </w:r>
    </w:p>
    <w:p>
      <w:pPr>
        <w:pStyle w:val="Heading3"/>
        <w:spacing w:line="240" w:lineRule="auto" w:before="114"/>
        <w:ind w:right="11"/>
        <w:jc w:val="left"/>
      </w:pPr>
      <w:r>
        <w:rPr/>
        <w:t>（</w:t>
      </w:r>
      <w:r>
        <w:rPr>
          <w:rFonts w:ascii="Times New Roman" w:hAnsi="Times New Roman" w:cs="Times New Roman" w:eastAsia="Times New Roman" w:hint="default"/>
        </w:rPr>
        <w:t>3</w:t>
      </w:r>
      <w:r>
        <w:rPr/>
        <w:t>）不同类别存货可变现净值的确定依据</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产成品、库存商品和用于出售的材料等直接用于出售的商品存货，在正常生产经营过程中，以该存货</w:t>
      </w:r>
      <w:r>
        <w:rPr>
          <w:w w:val="100"/>
        </w:rPr>
        <w:t> </w:t>
      </w: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46"/>
        <w:jc w:val="both"/>
      </w:pP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408" w:lineRule="auto" w:before="147"/>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10" w:lineRule="auto" w:before="144"/>
        <w:ind w:right="146" w:firstLine="420"/>
        <w:jc w:val="both"/>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before="145"/>
        <w:ind w:left="573" w:right="11"/>
        <w:jc w:val="left"/>
      </w:pPr>
      <w:r>
        <w:rPr/>
        <w:t>本期期末存货项目的可变现净值以资产负债表日市场价格为基础确定。</w:t>
      </w:r>
    </w:p>
    <w:p>
      <w:pPr>
        <w:spacing w:line="240" w:lineRule="auto" w:before="12"/>
        <w:rPr>
          <w:rFonts w:ascii="宋体" w:hAnsi="宋体" w:cs="宋体" w:eastAsia="宋体" w:hint="default"/>
          <w:sz w:val="24"/>
          <w:szCs w:val="24"/>
        </w:rPr>
      </w:pPr>
    </w:p>
    <w:p>
      <w:pPr>
        <w:pStyle w:val="Heading3"/>
        <w:spacing w:line="240" w:lineRule="auto"/>
        <w:ind w:right="0"/>
        <w:jc w:val="both"/>
      </w:pPr>
      <w:r>
        <w:rPr/>
        <w:t>（</w:t>
      </w:r>
      <w:r>
        <w:rPr>
          <w:rFonts w:ascii="Times New Roman" w:hAnsi="Times New Roman" w:cs="Times New Roman" w:eastAsia="Times New Roman" w:hint="default"/>
        </w:rPr>
        <w:t>4</w:t>
      </w:r>
      <w:r>
        <w:rPr/>
        <w:t>）存货的盘存制度</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采用永续盘存制。</w:t>
      </w:r>
    </w:p>
    <w:p>
      <w:pPr>
        <w:spacing w:line="240" w:lineRule="auto" w:before="10"/>
        <w:rPr>
          <w:rFonts w:ascii="宋体" w:hAnsi="宋体" w:cs="宋体" w:eastAsia="宋体" w:hint="default"/>
          <w:sz w:val="24"/>
          <w:szCs w:val="24"/>
        </w:rPr>
      </w:pPr>
    </w:p>
    <w:p>
      <w:pPr>
        <w:pStyle w:val="Heading3"/>
        <w:spacing w:line="240" w:lineRule="auto"/>
        <w:ind w:right="0"/>
        <w:jc w:val="both"/>
      </w:pPr>
      <w:r>
        <w:rPr/>
        <w:t>（</w:t>
      </w:r>
      <w:r>
        <w:rPr>
          <w:rFonts w:ascii="Times New Roman" w:hAnsi="Times New Roman" w:cs="Times New Roman" w:eastAsia="Times New Roman" w:hint="default"/>
        </w:rPr>
        <w:t>5</w:t>
      </w:r>
      <w:r>
        <w:rPr/>
        <w:t>）低值易耗品和包装物的摊销方法</w:t>
      </w:r>
    </w:p>
    <w:p>
      <w:pPr>
        <w:spacing w:line="240" w:lineRule="auto" w:before="4"/>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1</w:t>
      </w:r>
      <w:r>
        <w:rPr/>
        <w:t>）低值易耗品采用一次转销法；</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2</w:t>
      </w:r>
      <w:r>
        <w:rPr/>
        <w:t>）包装物采用一次转销法。</w:t>
      </w:r>
    </w:p>
    <w:p>
      <w:pPr>
        <w:spacing w:line="240" w:lineRule="auto" w:before="9"/>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13</w:t>
      </w:r>
      <w:r>
        <w:rPr/>
        <w:t>、持有待售资产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本公司将同时满足下列条件的非流动资产或处置组划分为持有待售类别：</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spacing w:line="240" w:lineRule="auto" w:before="3"/>
        <w:rPr>
          <w:rFonts w:ascii="宋体" w:hAnsi="宋体" w:cs="宋体" w:eastAsia="宋体" w:hint="default"/>
          <w:sz w:val="21"/>
          <w:szCs w:val="21"/>
        </w:rPr>
      </w:pPr>
    </w:p>
    <w:p>
      <w:pPr>
        <w:pStyle w:val="BodyText"/>
        <w:spacing w:line="386" w:lineRule="auto"/>
        <w:ind w:right="156" w:firstLine="420"/>
        <w:jc w:val="both"/>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12"/>
        <w:rPr>
          <w:rFonts w:ascii="宋体" w:hAnsi="宋体" w:cs="宋体" w:eastAsia="宋体" w:hint="default"/>
          <w:sz w:val="14"/>
          <w:szCs w:val="14"/>
        </w:rPr>
      </w:pPr>
    </w:p>
    <w:p>
      <w:pPr>
        <w:pStyle w:val="Heading3"/>
        <w:spacing w:line="240" w:lineRule="auto"/>
        <w:ind w:right="0"/>
        <w:jc w:val="both"/>
      </w:pPr>
      <w:r>
        <w:rPr>
          <w:rFonts w:ascii="Times New Roman" w:hAnsi="Times New Roman" w:cs="Times New Roman" w:eastAsia="Times New Roman" w:hint="default"/>
        </w:rPr>
        <w:t>14</w:t>
      </w:r>
      <w:r>
        <w:rPr/>
        <w:t>、长期股权投资</w:t>
      </w:r>
    </w:p>
    <w:p>
      <w:pPr>
        <w:spacing w:line="240" w:lineRule="auto" w:before="4"/>
        <w:rPr>
          <w:rFonts w:ascii="黑体" w:hAnsi="黑体" w:cs="黑体" w:eastAsia="黑体" w:hint="default"/>
          <w:sz w:val="22"/>
          <w:szCs w:val="22"/>
        </w:rPr>
      </w:pPr>
    </w:p>
    <w:p>
      <w:pPr>
        <w:pStyle w:val="Heading3"/>
        <w:spacing w:line="240" w:lineRule="auto"/>
        <w:ind w:right="0"/>
        <w:jc w:val="both"/>
      </w:pPr>
      <w:r>
        <w:rPr/>
        <w:t>（</w:t>
      </w:r>
      <w:r>
        <w:rPr>
          <w:rFonts w:ascii="Times New Roman" w:hAnsi="Times New Roman" w:cs="Times New Roman" w:eastAsia="Times New Roman" w:hint="default"/>
        </w:rPr>
        <w:t>1</w:t>
      </w:r>
      <w:r>
        <w:rPr/>
        <w:t>）共同控制、重大影响的判断标准</w:t>
      </w:r>
    </w:p>
    <w:p>
      <w:pPr>
        <w:spacing w:line="240" w:lineRule="auto" w:before="3"/>
        <w:rPr>
          <w:rFonts w:ascii="黑体" w:hAnsi="黑体" w:cs="黑体" w:eastAsia="黑体" w:hint="default"/>
          <w:sz w:val="24"/>
          <w:szCs w:val="24"/>
        </w:rPr>
      </w:pPr>
    </w:p>
    <w:p>
      <w:pPr>
        <w:pStyle w:val="BodyText"/>
        <w:spacing w:line="408" w:lineRule="auto"/>
        <w:ind w:right="146" w:firstLine="420"/>
        <w:jc w:val="both"/>
      </w:pPr>
      <w:r>
        <w:rPr>
          <w:spacing w:val="-2"/>
        </w:rPr>
        <w:t>共同控制，是指按照相关约定对某项安排所共有的控制，并且该安排的相关活动必须经过分享控制权</w:t>
      </w:r>
      <w:r>
        <w:rPr>
          <w:w w:val="100"/>
        </w:rPr>
        <w:t> </w:t>
      </w: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240" w:lineRule="auto" w:before="145"/>
        <w:ind w:left="573" w:right="11"/>
        <w:jc w:val="left"/>
      </w:pPr>
      <w:r>
        <w:rPr/>
        <w:t>重大影响，是指对一个企业的财务和经营决策有参与决策的权力，但并不能够控制或者与其他方一起</w:t>
      </w:r>
    </w:p>
    <w:p>
      <w:pPr>
        <w:spacing w:after="0" w:line="240" w:lineRule="auto"/>
        <w:jc w:val="left"/>
        <w:sectPr>
          <w:footerReference w:type="default" r:id="rId59"/>
          <w:pgSz w:w="11910" w:h="16840"/>
          <w:pgMar w:footer="1132" w:header="882" w:top="1280" w:bottom="1320" w:left="980" w:right="980"/>
          <w:pgNumType w:start="160"/>
        </w:sectPr>
      </w:pPr>
    </w:p>
    <w:p>
      <w:pPr>
        <w:spacing w:line="240" w:lineRule="auto" w:before="5"/>
        <w:rPr>
          <w:rFonts w:ascii="宋体" w:hAnsi="宋体" w:cs="宋体" w:eastAsia="宋体" w:hint="default"/>
          <w:sz w:val="13"/>
          <w:szCs w:val="13"/>
        </w:rPr>
      </w:pPr>
    </w:p>
    <w:p>
      <w:pPr>
        <w:pStyle w:val="BodyText"/>
        <w:spacing w:line="240" w:lineRule="auto" w:before="36"/>
        <w:ind w:right="0"/>
        <w:jc w:val="both"/>
      </w:pPr>
      <w:r>
        <w:rPr/>
        <w:t>共同控制这些政策的制定。本公司能够对被投资单位施加重大影响的，被投资单位为本公司联营企业。</w:t>
      </w:r>
    </w:p>
    <w:p>
      <w:pPr>
        <w:spacing w:line="240" w:lineRule="auto" w:before="12"/>
        <w:rPr>
          <w:rFonts w:ascii="宋体" w:hAnsi="宋体" w:cs="宋体" w:eastAsia="宋体" w:hint="default"/>
          <w:sz w:val="24"/>
          <w:szCs w:val="24"/>
        </w:rPr>
      </w:pPr>
    </w:p>
    <w:p>
      <w:pPr>
        <w:pStyle w:val="Heading3"/>
        <w:spacing w:line="240" w:lineRule="auto"/>
        <w:ind w:right="0"/>
        <w:jc w:val="both"/>
      </w:pPr>
      <w:r>
        <w:rPr/>
        <w:t>（</w:t>
      </w:r>
      <w:r>
        <w:rPr>
          <w:rFonts w:ascii="Times New Roman" w:hAnsi="Times New Roman" w:cs="Times New Roman" w:eastAsia="Times New Roman" w:hint="default"/>
        </w:rPr>
        <w:t>2</w:t>
      </w:r>
      <w:r>
        <w:rPr/>
        <w:t>）初始投资成本的确定</w:t>
      </w:r>
    </w:p>
    <w:p>
      <w:pPr>
        <w:spacing w:line="240" w:lineRule="auto" w:before="1"/>
        <w:rPr>
          <w:rFonts w:ascii="黑体" w:hAnsi="黑体" w:cs="黑体" w:eastAsia="黑体" w:hint="default"/>
          <w:sz w:val="24"/>
          <w:szCs w:val="24"/>
        </w:rPr>
      </w:pPr>
    </w:p>
    <w:p>
      <w:pPr>
        <w:spacing w:line="484" w:lineRule="auto" w:before="0"/>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）企业合并形成的长期股权投资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同一控制下的企业合并：公司以支付现金、转让非现金资产或承担债务方式以及以发行权益性证券作</w:t>
      </w:r>
    </w:p>
    <w:p>
      <w:pPr>
        <w:pStyle w:val="BodyText"/>
        <w:spacing w:line="254" w:lineRule="exact"/>
        <w:ind w:right="0"/>
        <w:jc w:val="both"/>
      </w:pPr>
      <w:r>
        <w:rPr/>
        <w:t>为合并对价的，在合并日按照取得被合并方所有者权益在最终控制方合并财务报表中的账面价值的份额作</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408" w:lineRule="auto" w:before="147"/>
        <w:ind w:right="14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491" w:lineRule="auto" w:before="166"/>
        <w:ind w:left="573" w:right="11" w:firstLine="2"/>
        <w:jc w:val="left"/>
      </w:pPr>
      <w:r>
        <w:rPr>
          <w:rFonts w:ascii="Times New Roman" w:hAnsi="Times New Roman" w:cs="Times New Roman" w:eastAsia="Times New Roman" w:hint="default"/>
          <w:b/>
          <w:bCs/>
        </w:rPr>
        <w:t>2</w:t>
      </w:r>
      <w:r>
        <w:rPr>
          <w:rFonts w:ascii="宋体" w:hAnsi="宋体" w:cs="宋体" w:eastAsia="宋体" w:hint="default"/>
          <w:b/>
          <w:bCs/>
        </w:rPr>
        <w:t>）其他方式取得的长期股权投资</w:t>
      </w:r>
      <w:r>
        <w:rPr>
          <w:rFonts w:ascii="宋体" w:hAnsi="宋体" w:cs="宋体" w:eastAsia="宋体" w:hint="default"/>
          <w:b/>
          <w:bCs/>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247" w:lineRule="exact"/>
        <w:ind w:right="0"/>
        <w:jc w:val="both"/>
      </w:pPr>
      <w:r>
        <w:rPr/>
        <w:t>性资产交换换入的长期股权投资以换出资产的公允价值和应支付的相关税费确定其初始投资成本，除非有</w:t>
      </w:r>
    </w:p>
    <w:p>
      <w:pPr>
        <w:spacing w:line="240" w:lineRule="auto" w:before="10"/>
        <w:rPr>
          <w:rFonts w:ascii="宋体" w:hAnsi="宋体" w:cs="宋体" w:eastAsia="宋体" w:hint="default"/>
          <w:sz w:val="14"/>
          <w:szCs w:val="14"/>
        </w:rPr>
      </w:pPr>
    </w:p>
    <w:p>
      <w:pPr>
        <w:pStyle w:val="BodyText"/>
        <w:spacing w:line="410" w:lineRule="auto"/>
        <w:ind w:right="11"/>
        <w:jc w:val="left"/>
      </w:pP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before="145"/>
        <w:ind w:left="573" w:right="11"/>
        <w:jc w:val="left"/>
      </w:pPr>
      <w:r>
        <w:rPr/>
        <w:t>通过债务重组取得的长期股权投资，其初始投资成本按照公允价值为基础确定。</w:t>
      </w:r>
    </w:p>
    <w:p>
      <w:pPr>
        <w:spacing w:line="240" w:lineRule="auto" w:before="10"/>
        <w:rPr>
          <w:rFonts w:ascii="宋体" w:hAnsi="宋体" w:cs="宋体" w:eastAsia="宋体" w:hint="default"/>
          <w:sz w:val="24"/>
          <w:szCs w:val="24"/>
        </w:rPr>
      </w:pPr>
    </w:p>
    <w:p>
      <w:pPr>
        <w:pStyle w:val="Heading3"/>
        <w:spacing w:line="240" w:lineRule="auto"/>
        <w:ind w:right="0"/>
        <w:jc w:val="both"/>
      </w:pPr>
      <w:r>
        <w:rPr/>
        <w:t>（</w:t>
      </w:r>
      <w:r>
        <w:rPr>
          <w:rFonts w:ascii="Times New Roman" w:hAnsi="Times New Roman" w:cs="Times New Roman" w:eastAsia="Times New Roman" w:hint="default"/>
        </w:rPr>
        <w:t>3</w:t>
      </w:r>
      <w:r>
        <w:rPr/>
        <w:t>）后续计量及损益确认方法</w:t>
      </w:r>
    </w:p>
    <w:p>
      <w:pPr>
        <w:spacing w:line="240" w:lineRule="auto" w:before="3"/>
        <w:rPr>
          <w:rFonts w:ascii="黑体" w:hAnsi="黑体" w:cs="黑体" w:eastAsia="黑体" w:hint="default"/>
          <w:sz w:val="24"/>
          <w:szCs w:val="24"/>
        </w:rPr>
      </w:pPr>
    </w:p>
    <w:p>
      <w:pPr>
        <w:spacing w:line="484" w:lineRule="auto" w:before="0"/>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）成本法核算的长期股权投资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公司对子公司的长期股权投资，采用成本法核算。除取得投资时实际支付的价款或对价中包含的已宣</w:t>
      </w:r>
    </w:p>
    <w:p>
      <w:pPr>
        <w:pStyle w:val="BodyText"/>
        <w:spacing w:line="254" w:lineRule="exact"/>
        <w:ind w:right="0"/>
        <w:jc w:val="both"/>
      </w:pPr>
      <w:r>
        <w:rPr/>
        <w:t>告但尚未发放的现金股利或利润外，公司按照享有被投资单位宣告发放的现金股利或利润确认当期投资收</w:t>
      </w:r>
    </w:p>
    <w:p>
      <w:pPr>
        <w:spacing w:line="240" w:lineRule="auto" w:before="10"/>
        <w:rPr>
          <w:rFonts w:ascii="宋体" w:hAnsi="宋体" w:cs="宋体" w:eastAsia="宋体" w:hint="default"/>
          <w:sz w:val="14"/>
          <w:szCs w:val="14"/>
        </w:rPr>
      </w:pPr>
    </w:p>
    <w:p>
      <w:pPr>
        <w:pStyle w:val="BodyText"/>
        <w:spacing w:line="240" w:lineRule="auto"/>
        <w:ind w:right="0"/>
        <w:jc w:val="both"/>
      </w:pPr>
      <w:r>
        <w:rPr/>
        <w:t>益。</w:t>
      </w:r>
    </w:p>
    <w:p>
      <w:pPr>
        <w:spacing w:after="0" w:line="240" w:lineRule="auto"/>
        <w:jc w:val="both"/>
        <w:sectPr>
          <w:pgSz w:w="11910" w:h="16840"/>
          <w:pgMar w:header="882" w:footer="1132" w:top="1280" w:bottom="1320" w:left="980" w:right="980"/>
        </w:sectPr>
      </w:pPr>
    </w:p>
    <w:p>
      <w:pPr>
        <w:spacing w:line="240" w:lineRule="auto" w:before="7"/>
        <w:rPr>
          <w:rFonts w:ascii="宋体" w:hAnsi="宋体" w:cs="宋体" w:eastAsia="宋体" w:hint="default"/>
          <w:sz w:val="13"/>
          <w:szCs w:val="13"/>
        </w:rPr>
      </w:pPr>
    </w:p>
    <w:p>
      <w:pPr>
        <w:spacing w:line="482" w:lineRule="auto" w:before="36"/>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）权益法核算的长期股权投资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对联营企业和合营企业的长期股权投资，采用权益法核算。初始投资成本大于投资时应享有被投资单</w:t>
      </w:r>
    </w:p>
    <w:p>
      <w:pPr>
        <w:pStyle w:val="BodyText"/>
        <w:spacing w:line="256" w:lineRule="exact"/>
        <w:ind w:right="11"/>
        <w:jc w:val="left"/>
      </w:pPr>
      <w:r>
        <w:rPr/>
        <w:t>位可辨认净资产公允价值份额的差额，不调整长期股权投资的初始投资成本；初始投资成本小于投资时应</w:t>
      </w:r>
    </w:p>
    <w:p>
      <w:pPr>
        <w:spacing w:line="240" w:lineRule="auto" w:before="10"/>
        <w:rPr>
          <w:rFonts w:ascii="宋体" w:hAnsi="宋体" w:cs="宋体" w:eastAsia="宋体" w:hint="default"/>
          <w:sz w:val="14"/>
          <w:szCs w:val="14"/>
        </w:rPr>
      </w:pPr>
    </w:p>
    <w:p>
      <w:pPr>
        <w:pStyle w:val="BodyText"/>
        <w:spacing w:line="496" w:lineRule="auto"/>
        <w:ind w:left="573" w:right="11" w:hanging="421"/>
        <w:jc w:val="left"/>
      </w:pPr>
      <w:r>
        <w:rPr/>
        <w:t>享有被投资单位可辨认净资产公允价值份额的差额，计入当期损益。</w:t>
      </w:r>
      <w:r>
        <w:rPr>
          <w:w w:val="100"/>
        </w:rPr>
        <w:t> </w:t>
      </w:r>
      <w:r>
        <w:rPr>
          <w:spacing w:val="-2"/>
        </w:rPr>
        <w:t>公司按照应享有或应分担的被投资单位实现的净损益和其他综合收益的份额，分别确认投资收益和其</w:t>
      </w:r>
    </w:p>
    <w:p>
      <w:pPr>
        <w:pStyle w:val="BodyText"/>
        <w:spacing w:line="243" w:lineRule="exact"/>
        <w:ind w:right="11"/>
        <w:jc w:val="left"/>
      </w:pPr>
      <w:r>
        <w:rPr/>
        <w:t>他综合收益，同时调整长期股权投资的账面价值；按照被投资单位宣告分派的利润或现金股利计算应享有</w:t>
      </w:r>
    </w:p>
    <w:p>
      <w:pPr>
        <w:spacing w:line="240" w:lineRule="auto" w:before="10"/>
        <w:rPr>
          <w:rFonts w:ascii="宋体" w:hAnsi="宋体" w:cs="宋体" w:eastAsia="宋体" w:hint="default"/>
          <w:sz w:val="14"/>
          <w:szCs w:val="14"/>
        </w:rPr>
      </w:pPr>
    </w:p>
    <w:p>
      <w:pPr>
        <w:pStyle w:val="BodyText"/>
        <w:spacing w:line="410" w:lineRule="auto"/>
        <w:ind w:right="11"/>
        <w:jc w:val="left"/>
      </w:pP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408" w:lineRule="auto" w:before="142"/>
        <w:ind w:right="146"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408" w:lineRule="auto" w:before="147"/>
        <w:ind w:right="147"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4"/>
          <w:w w:val="100"/>
        </w:rPr>
        <w:t>附注</w:t>
      </w:r>
      <w:r>
        <w:rPr>
          <w:rFonts w:ascii="MS Gothic" w:hAnsi="MS Gothic" w:cs="MS Gothic" w:eastAsia="MS Gothic" w:hint="default"/>
          <w:spacing w:val="-4"/>
          <w:w w:val="100"/>
        </w:rPr>
        <w:t>｡六、（一）非同一控制下企</w:t>
      </w:r>
      <w:r>
        <w:rPr>
          <w:spacing w:val="-4"/>
          <w:w w:val="100"/>
        </w:rPr>
        <w:t>业合并的会计处理方法</w:t>
      </w:r>
      <w:r>
        <w:rPr>
          <w:rFonts w:ascii="MS Gothic" w:hAnsi="MS Gothic" w:cs="MS Gothic" w:eastAsia="MS Gothic" w:hint="default"/>
          <w:spacing w:val="-4"/>
          <w:w w:val="100"/>
        </w:rPr>
        <w:t>｡、｡六、（二）同一控制下企</w:t>
      </w:r>
      <w:r>
        <w:rPr>
          <w:spacing w:val="-4"/>
          <w:w w:val="100"/>
        </w:rPr>
        <w:t>业合并的会计处理方</w:t>
      </w:r>
      <w:r>
        <w:rPr>
          <w:spacing w:val="-98"/>
          <w:w w:val="100"/>
        </w:rPr>
        <w:t> </w:t>
      </w:r>
      <w:r>
        <w:rPr>
          <w:spacing w:val="-98"/>
          <w:w w:val="100"/>
        </w:rPr>
      </w:r>
      <w:r>
        <w:rPr>
          <w:spacing w:val="-5"/>
          <w:w w:val="100"/>
        </w:rPr>
        <w:t>法</w:t>
      </w:r>
      <w:r>
        <w:rPr>
          <w:rFonts w:ascii="MS Gothic" w:hAnsi="MS Gothic" w:cs="MS Gothic" w:eastAsia="MS Gothic" w:hint="default"/>
          <w:spacing w:val="-5"/>
          <w:w w:val="100"/>
        </w:rPr>
        <w:t>｡和｡三、（</w:t>
      </w:r>
      <w:r>
        <w:rPr>
          <w:spacing w:val="-5"/>
          <w:w w:val="100"/>
        </w:rPr>
        <w:t>六）合并财务报表的编制方法</w:t>
      </w:r>
      <w:r>
        <w:rPr>
          <w:rFonts w:ascii="MS Gothic" w:hAnsi="MS Gothic" w:cs="MS Gothic" w:eastAsia="MS Gothic" w:hint="default"/>
          <w:spacing w:val="-5"/>
          <w:w w:val="100"/>
        </w:rPr>
        <w:t>｡中披露的相关政策</w:t>
      </w:r>
      <w:r>
        <w:rPr>
          <w:spacing w:val="-5"/>
          <w:w w:val="100"/>
        </w:rPr>
        <w:t>进行会计处理。</w:t>
      </w:r>
    </w:p>
    <w:p>
      <w:pPr>
        <w:pStyle w:val="BodyText"/>
        <w:spacing w:line="408" w:lineRule="auto" w:before="147"/>
        <w:ind w:right="14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spacing w:line="484" w:lineRule="auto" w:before="166"/>
        <w:ind w:left="573" w:right="183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处置长期股权投资，其账面价值与实际取得价款的差额，计入当期损益。</w:t>
      </w:r>
    </w:p>
    <w:p>
      <w:pPr>
        <w:pStyle w:val="BodyText"/>
        <w:spacing w:line="408" w:lineRule="auto" w:before="77"/>
        <w:ind w:right="14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4"/>
        </w:rPr>
        <w:t> </w:t>
      </w:r>
      <w:r>
        <w:rPr>
          <w:spacing w:val="-44"/>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20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408" w:lineRule="auto" w:before="147"/>
        <w:ind w:right="206"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3"/>
        </w:rPr>
        <w:t> </w:t>
      </w:r>
      <w:r>
        <w:rPr>
          <w:spacing w:val="-43"/>
        </w:rPr>
      </w:r>
      <w:r>
        <w:rPr/>
        <w:t>公允价值与账面价值间的差额计入当期损益。</w:t>
      </w:r>
    </w:p>
    <w:p>
      <w:pPr>
        <w:pStyle w:val="BodyText"/>
        <w:spacing w:line="408" w:lineRule="auto" w:before="144"/>
        <w:ind w:right="20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487" w:lineRule="auto" w:before="179"/>
        <w:ind w:left="573" w:right="6933" w:hanging="421"/>
        <w:jc w:val="left"/>
        <w:rPr>
          <w:rFonts w:ascii="宋体" w:hAnsi="宋体" w:cs="宋体" w:eastAsia="宋体" w:hint="default"/>
          <w:sz w:val="21"/>
          <w:szCs w:val="21"/>
        </w:rPr>
      </w:pPr>
      <w:r>
        <w:rPr>
          <w:rFonts w:ascii="Times New Roman" w:hAnsi="Times New Roman" w:cs="Times New Roman" w:eastAsia="Times New Roman" w:hint="default"/>
          <w:sz w:val="24"/>
          <w:szCs w:val="24"/>
        </w:rPr>
        <w:t>15</w:t>
      </w:r>
      <w:r>
        <w:rPr>
          <w:rFonts w:ascii="黑体" w:hAnsi="黑体" w:cs="黑体" w:eastAsia="黑体" w:hint="default"/>
          <w:sz w:val="24"/>
          <w:szCs w:val="24"/>
        </w:rPr>
        <w:t>、投资性房地产 </w:t>
      </w:r>
      <w:r>
        <w:rPr>
          <w:rFonts w:ascii="宋体" w:hAnsi="宋体" w:cs="宋体" w:eastAsia="宋体" w:hint="default"/>
          <w:spacing w:val="-2"/>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sz w:val="21"/>
          <w:szCs w:val="21"/>
        </w:rPr>
        <w:t>成本法计量</w:t>
      </w:r>
      <w:r>
        <w:rPr>
          <w:rFonts w:ascii="宋体" w:hAnsi="宋体" w:cs="宋体" w:eastAsia="宋体" w:hint="default"/>
          <w:w w:val="100"/>
          <w:sz w:val="21"/>
          <w:szCs w:val="21"/>
        </w:rPr>
        <w:t> </w:t>
      </w:r>
      <w:r>
        <w:rPr>
          <w:rFonts w:ascii="宋体" w:hAnsi="宋体" w:cs="宋体" w:eastAsia="宋体" w:hint="default"/>
          <w:sz w:val="21"/>
          <w:szCs w:val="21"/>
        </w:rPr>
        <w:t>折旧或摊销方法</w:t>
      </w:r>
    </w:p>
    <w:p>
      <w:pPr>
        <w:pStyle w:val="BodyText"/>
        <w:spacing w:line="408" w:lineRule="auto" w:before="75"/>
        <w:ind w:right="184"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spacing w:val="-6"/>
          <w:w w:val="100"/>
        </w:rPr>
        <w:t>以及正在建造或开发过程中将来用于出租的建筑物）。</w:t>
      </w:r>
    </w:p>
    <w:p>
      <w:pPr>
        <w:pStyle w:val="BodyText"/>
        <w:spacing w:line="408" w:lineRule="auto" w:before="147"/>
        <w:ind w:right="206" w:firstLine="420"/>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pStyle w:val="Heading3"/>
        <w:spacing w:line="240" w:lineRule="auto" w:before="179"/>
        <w:ind w:right="100"/>
        <w:jc w:val="left"/>
      </w:pPr>
      <w:r>
        <w:rPr>
          <w:rFonts w:ascii="Times New Roman" w:hAnsi="Times New Roman" w:cs="Times New Roman" w:eastAsia="Times New Roman" w:hint="default"/>
        </w:rPr>
        <w:t>16</w:t>
      </w:r>
      <w:r>
        <w:rPr/>
        <w:t>、固定资产</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）确认条件</w:t>
      </w:r>
    </w:p>
    <w:p>
      <w:pPr>
        <w:pStyle w:val="BodyText"/>
        <w:spacing w:line="480" w:lineRule="atLeast" w:before="112"/>
        <w:ind w:right="100" w:firstLine="526"/>
        <w:jc w:val="left"/>
      </w:pPr>
      <w:r>
        <w:rPr/>
        <w:t>固定资产指为生产商品、提供劳务、出租或经营管理而持有，并且使用寿命超过一个会计年度的有</w:t>
      </w:r>
      <w:r>
        <w:rPr>
          <w:w w:val="100"/>
        </w:rPr>
        <w:t> </w:t>
      </w:r>
      <w:r>
        <w:rPr>
          <w:spacing w:val="-4"/>
        </w:rPr>
        <w:t>形资产。固定资产在同时满足下列条件时予以确认：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w:t>
      </w:r>
    </w:p>
    <w:p>
      <w:pPr>
        <w:spacing w:after="0" w:line="480" w:lineRule="atLeast"/>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11"/>
        <w:jc w:val="left"/>
      </w:pPr>
      <w:r>
        <w:rPr/>
        <w:t>该固定资产的成本能够可靠地计量。</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）折旧方法</w:t>
      </w:r>
    </w:p>
    <w:p>
      <w:pPr>
        <w:spacing w:line="240" w:lineRule="auto" w:before="2"/>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0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4.75%</w:t>
            </w: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19%</w:t>
            </w:r>
          </w:p>
        </w:tc>
      </w:tr>
      <w:tr>
        <w:trPr>
          <w:trHeight w:val="50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9.5%</w:t>
            </w:r>
          </w:p>
        </w:tc>
      </w:tr>
      <w:tr>
        <w:trPr>
          <w:trHeight w:val="144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81"/>
              <w:jc w:val="both"/>
              <w:rPr>
                <w:rFonts w:ascii="宋体" w:hAnsi="宋体" w:cs="宋体" w:eastAsia="宋体" w:hint="default"/>
                <w:sz w:val="18"/>
                <w:szCs w:val="18"/>
              </w:rPr>
            </w:pPr>
            <w:r>
              <w:rPr>
                <w:rFonts w:ascii="宋体" w:hAnsi="宋体" w:cs="宋体" w:eastAsia="宋体" w:hint="default"/>
                <w:sz w:val="18"/>
                <w:szCs w:val="18"/>
              </w:rPr>
              <w:t>北京泰豪智能工程有限 公司各类固定资产的折 旧方法、折旧年限和年 折旧率如下：</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4.85%</w:t>
            </w:r>
          </w:p>
        </w:tc>
      </w:tr>
      <w:tr>
        <w:trPr>
          <w:trHeight w:val="50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5-20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4.85%-19.4%</w:t>
            </w: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19.4%</w:t>
            </w: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19.4%</w:t>
            </w:r>
          </w:p>
        </w:tc>
      </w:tr>
      <w:tr>
        <w:trPr>
          <w:trHeight w:val="5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19.4%</w:t>
            </w:r>
          </w:p>
        </w:tc>
      </w:tr>
    </w:tbl>
    <w:p>
      <w:pPr>
        <w:spacing w:line="240" w:lineRule="auto" w:before="11"/>
        <w:rPr>
          <w:rFonts w:ascii="黑体" w:hAnsi="黑体" w:cs="黑体" w:eastAsia="黑体" w:hint="default"/>
          <w:sz w:val="9"/>
          <w:szCs w:val="9"/>
        </w:rPr>
      </w:pPr>
    </w:p>
    <w:p>
      <w:pPr>
        <w:pStyle w:val="BodyText"/>
        <w:spacing w:line="408" w:lineRule="auto" w:before="36"/>
        <w:ind w:right="146" w:firstLine="420"/>
        <w:jc w:val="both"/>
      </w:pP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408" w:lineRule="auto" w:before="147"/>
        <w:ind w:right="14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Heading3"/>
        <w:spacing w:line="240" w:lineRule="auto" w:before="179"/>
        <w:ind w:right="11"/>
        <w:jc w:val="left"/>
      </w:pPr>
      <w:r>
        <w:rPr/>
        <w:t>（</w:t>
      </w:r>
      <w:r>
        <w:rPr>
          <w:rFonts w:ascii="Times New Roman" w:hAnsi="Times New Roman" w:cs="Times New Roman" w:eastAsia="Times New Roman" w:hint="default"/>
        </w:rPr>
        <w:t>3</w:t>
      </w:r>
      <w:r>
        <w:rPr/>
        <w:t>）融资租入固定资产的认定依据、计价和折旧方法</w:t>
      </w:r>
    </w:p>
    <w:p>
      <w:pPr>
        <w:spacing w:line="240" w:lineRule="auto" w:before="1"/>
        <w:rPr>
          <w:rFonts w:ascii="黑体" w:hAnsi="黑体" w:cs="黑体" w:eastAsia="黑体" w:hint="default"/>
          <w:sz w:val="24"/>
          <w:szCs w:val="24"/>
        </w:rPr>
      </w:pPr>
    </w:p>
    <w:p>
      <w:pPr>
        <w:pStyle w:val="BodyText"/>
        <w:spacing w:line="396" w:lineRule="auto"/>
        <w:ind w:right="146" w:firstLine="420"/>
        <w:jc w:val="both"/>
      </w:pPr>
      <w:r>
        <w:rPr>
          <w:spacing w:val="-5"/>
          <w:w w:val="100"/>
        </w:rPr>
        <w:t>公司与租赁方所签订的租赁协议条款中规定了下列条件之一的，确认为融资租入资产：（</w:t>
      </w:r>
      <w:r>
        <w:rPr>
          <w:rFonts w:ascii="Times New Roman" w:hAnsi="Times New Roman" w:cs="Times New Roman" w:eastAsia="Times New Roman" w:hint="default"/>
          <w:spacing w:val="-5"/>
          <w:w w:val="100"/>
        </w:rPr>
        <w:t>1</w:t>
      </w:r>
      <w:r>
        <w:rPr>
          <w:spacing w:val="-5"/>
          <w:w w:val="100"/>
        </w:rPr>
        <w:t>）租赁期满</w:t>
      </w:r>
      <w:r>
        <w:rPr>
          <w:w w:val="100"/>
        </w:rPr>
        <w:t> </w:t>
      </w:r>
      <w:r>
        <w:rPr>
          <w:spacing w:val="-5"/>
          <w:w w:val="100"/>
        </w:rPr>
        <w:t>后租赁资产的所有权归属于本公司；（</w:t>
      </w:r>
      <w:r>
        <w:rPr>
          <w:rFonts w:ascii="Times New Roman" w:hAnsi="Times New Roman" w:cs="Times New Roman" w:eastAsia="Times New Roman" w:hint="default"/>
          <w:spacing w:val="-5"/>
          <w:w w:val="100"/>
        </w:rPr>
        <w:t>2</w:t>
      </w:r>
      <w:r>
        <w:rPr>
          <w:spacing w:val="-5"/>
          <w:w w:val="100"/>
        </w:rPr>
        <w:t>）公司具有购买资产的选择权，购买价款远低于行使选择权时该资</w:t>
      </w:r>
      <w:r>
        <w:rPr>
          <w:spacing w:val="-62"/>
          <w:w w:val="100"/>
        </w:rPr>
        <w:t> </w:t>
      </w:r>
      <w:r>
        <w:rPr>
          <w:spacing w:val="-62"/>
          <w:w w:val="100"/>
        </w:rPr>
      </w:r>
      <w:r>
        <w:rPr>
          <w:spacing w:val="-7"/>
          <w:w w:val="100"/>
        </w:rPr>
        <w:t>产的公允价值；（</w:t>
      </w:r>
      <w:r>
        <w:rPr>
          <w:rFonts w:ascii="Times New Roman" w:hAnsi="Times New Roman" w:cs="Times New Roman" w:eastAsia="Times New Roman" w:hint="default"/>
          <w:spacing w:val="-7"/>
          <w:w w:val="100"/>
        </w:rPr>
        <w:t>3</w:t>
      </w:r>
      <w:r>
        <w:rPr>
          <w:spacing w:val="-7"/>
          <w:w w:val="100"/>
        </w:rPr>
        <w:t>）租赁期占所租赁资产使用寿命的大部分；（</w:t>
      </w:r>
      <w:r>
        <w:rPr>
          <w:rFonts w:ascii="Times New Roman" w:hAnsi="Times New Roman" w:cs="Times New Roman" w:eastAsia="Times New Roman" w:hint="default"/>
          <w:spacing w:val="-7"/>
          <w:w w:val="100"/>
        </w:rPr>
        <w:t>4</w:t>
      </w:r>
      <w:r>
        <w:rPr>
          <w:spacing w:val="-7"/>
          <w:w w:val="100"/>
        </w:rPr>
        <w:t>）租赁开始日的最低租赁付款额现值，与</w:t>
      </w:r>
      <w:r>
        <w:rPr>
          <w:spacing w:val="-65"/>
          <w:w w:val="100"/>
        </w:rPr>
        <w:t> </w:t>
      </w:r>
      <w:r>
        <w:rPr>
          <w:spacing w:val="-65"/>
          <w:w w:val="100"/>
        </w:rPr>
      </w:r>
      <w:r>
        <w:rPr>
          <w:spacing w:val="-2"/>
        </w:rPr>
        <w:t>该资产的公允价值不存在较大的差异。公司在承租开始日，将租赁资产公允价值与最低租赁付款额现值两</w:t>
      </w:r>
      <w:r>
        <w:rPr>
          <w:spacing w:val="-44"/>
        </w:rPr>
        <w:t> </w:t>
      </w:r>
      <w:r>
        <w:rPr>
          <w:spacing w:val="-44"/>
        </w:rPr>
      </w:r>
      <w:r>
        <w:rPr>
          <w:spacing w:val="-2"/>
        </w:rPr>
        <w:t>者中较低者作为租入资产的入账价值，将最低租赁付款额作为长期应付款的入账价值，其差额作为未确认</w:t>
      </w:r>
      <w:r>
        <w:rPr>
          <w:spacing w:val="-43"/>
        </w:rPr>
        <w:t> </w:t>
      </w:r>
      <w:r>
        <w:rPr>
          <w:spacing w:val="-43"/>
        </w:rPr>
      </w:r>
      <w:r>
        <w:rPr/>
        <w:t>的融资费。</w:t>
      </w:r>
    </w:p>
    <w:p>
      <w:pPr>
        <w:spacing w:after="0" w:line="396" w:lineRule="auto"/>
        <w:jc w:val="both"/>
        <w:sectPr>
          <w:footerReference w:type="default" r:id="rId60"/>
          <w:pgSz w:w="11910" w:h="16840"/>
          <w:pgMar w:footer="1132" w:header="882" w:top="1280" w:bottom="1320" w:left="980" w:right="980"/>
          <w:pgNumType w:start="164"/>
        </w:sectPr>
      </w:pPr>
    </w:p>
    <w:p>
      <w:pPr>
        <w:spacing w:line="240" w:lineRule="auto" w:before="2"/>
        <w:rPr>
          <w:rFonts w:ascii="宋体" w:hAnsi="宋体" w:cs="宋体" w:eastAsia="宋体" w:hint="default"/>
          <w:sz w:val="15"/>
          <w:szCs w:val="15"/>
        </w:rPr>
      </w:pPr>
    </w:p>
    <w:p>
      <w:pPr>
        <w:spacing w:line="480" w:lineRule="auto" w:before="26"/>
        <w:ind w:left="573" w:right="5707" w:hanging="421"/>
        <w:jc w:val="left"/>
        <w:rPr>
          <w:rFonts w:ascii="宋体" w:hAnsi="宋体" w:cs="宋体" w:eastAsia="宋体" w:hint="default"/>
          <w:sz w:val="21"/>
          <w:szCs w:val="21"/>
        </w:rPr>
      </w:pPr>
      <w:r>
        <w:rPr>
          <w:rFonts w:ascii="Times New Roman" w:hAnsi="Times New Roman" w:cs="Times New Roman" w:eastAsia="Times New Roman" w:hint="default"/>
          <w:sz w:val="24"/>
          <w:szCs w:val="24"/>
        </w:rPr>
        <w:t>17</w:t>
      </w:r>
      <w:r>
        <w:rPr>
          <w:rFonts w:ascii="黑体" w:hAnsi="黑体" w:cs="黑体" w:eastAsia="黑体" w:hint="default"/>
          <w:sz w:val="24"/>
          <w:szCs w:val="24"/>
        </w:rPr>
        <w:t>、在建工程 </w:t>
      </w:r>
      <w:r>
        <w:rPr>
          <w:rFonts w:ascii="宋体" w:hAnsi="宋体" w:cs="宋体" w:eastAsia="宋体" w:hint="default"/>
          <w:spacing w:val="-2"/>
          <w:sz w:val="21"/>
          <w:szCs w:val="21"/>
        </w:rPr>
        <w:t>公司是否需要遵守特殊行业的披露要求</w:t>
      </w:r>
      <w:r>
        <w:rPr>
          <w:rFonts w:ascii="宋体" w:hAnsi="宋体" w:cs="宋体" w:eastAsia="宋体" w:hint="default"/>
          <w:w w:val="100"/>
          <w:sz w:val="21"/>
          <w:szCs w:val="21"/>
        </w:rPr>
        <w:t> </w:t>
      </w:r>
      <w:r>
        <w:rPr>
          <w:rFonts w:ascii="宋体" w:hAnsi="宋体" w:cs="宋体" w:eastAsia="宋体" w:hint="default"/>
          <w:sz w:val="21"/>
          <w:szCs w:val="21"/>
        </w:rPr>
        <w:t>否</w:t>
      </w:r>
    </w:p>
    <w:p>
      <w:pPr>
        <w:pStyle w:val="BodyText"/>
        <w:spacing w:line="408" w:lineRule="auto" w:before="84"/>
        <w:ind w:right="100"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pStyle w:val="Heading3"/>
        <w:spacing w:line="240" w:lineRule="auto" w:before="179"/>
        <w:ind w:right="100"/>
        <w:jc w:val="left"/>
      </w:pPr>
      <w:r>
        <w:rPr>
          <w:rFonts w:ascii="Times New Roman" w:hAnsi="Times New Roman" w:cs="Times New Roman" w:eastAsia="Times New Roman" w:hint="default"/>
        </w:rPr>
        <w:t>18</w:t>
      </w:r>
      <w:r>
        <w:rPr/>
        <w:t>、借款费用</w:t>
      </w:r>
    </w:p>
    <w:p>
      <w:pPr>
        <w:spacing w:line="240" w:lineRule="auto" w:before="11"/>
        <w:rPr>
          <w:rFonts w:ascii="黑体" w:hAnsi="黑体" w:cs="黑体" w:eastAsia="黑体" w:hint="default"/>
          <w:sz w:val="24"/>
          <w:szCs w:val="24"/>
        </w:rPr>
      </w:pPr>
    </w:p>
    <w:p>
      <w:pPr>
        <w:pStyle w:val="BodyText"/>
        <w:spacing w:line="482" w:lineRule="auto"/>
        <w:ind w:left="573" w:right="100" w:hanging="421"/>
        <w:jc w:val="left"/>
      </w:pPr>
      <w:r>
        <w:rPr>
          <w:rFonts w:ascii="黑体" w:hAnsi="黑体" w:cs="黑体" w:eastAsia="黑体" w:hint="default"/>
          <w:sz w:val="24"/>
          <w:szCs w:val="24"/>
        </w:rPr>
        <w:t>（</w:t>
      </w:r>
      <w:r>
        <w:rPr>
          <w:rFonts w:ascii="Times New Roman" w:hAnsi="Times New Roman" w:cs="Times New Roman" w:eastAsia="Times New Roman" w:hint="default"/>
          <w:sz w:val="24"/>
          <w:szCs w:val="24"/>
        </w:rPr>
        <w:t>1</w:t>
      </w:r>
      <w:r>
        <w:rPr>
          <w:rFonts w:ascii="黑体" w:hAnsi="黑体" w:cs="黑体" w:eastAsia="黑体" w:hint="default"/>
          <w:sz w:val="24"/>
          <w:szCs w:val="24"/>
        </w:rPr>
        <w:t>）借款费用资本化的确认原则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256" w:lineRule="exact"/>
        <w:ind w:right="100"/>
        <w:jc w:val="left"/>
      </w:pPr>
      <w:r>
        <w:rPr/>
        <w:t>关资产成本；其他借款费用，在发生时根据其发生额确认为费用，计入当期损益。</w:t>
      </w:r>
    </w:p>
    <w:p>
      <w:pPr>
        <w:spacing w:line="240" w:lineRule="auto" w:before="7"/>
        <w:rPr>
          <w:rFonts w:ascii="宋体" w:hAnsi="宋体" w:cs="宋体" w:eastAsia="宋体" w:hint="default"/>
          <w:sz w:val="22"/>
          <w:szCs w:val="22"/>
        </w:rPr>
      </w:pPr>
    </w:p>
    <w:p>
      <w:pPr>
        <w:pStyle w:val="BodyText"/>
        <w:spacing w:line="408" w:lineRule="auto"/>
        <w:ind w:right="100"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before="147"/>
        <w:ind w:left="573" w:right="100"/>
        <w:jc w:val="left"/>
      </w:pPr>
      <w:r>
        <w:rPr/>
        <w:t>借款费用同时满足下列条件时开始资本化：</w:t>
      </w:r>
    </w:p>
    <w:p>
      <w:pPr>
        <w:spacing w:line="240" w:lineRule="auto" w:before="4"/>
        <w:rPr>
          <w:rFonts w:ascii="宋体" w:hAnsi="宋体" w:cs="宋体" w:eastAsia="宋体" w:hint="default"/>
          <w:sz w:val="22"/>
          <w:szCs w:val="22"/>
        </w:rPr>
      </w:pPr>
    </w:p>
    <w:p>
      <w:pPr>
        <w:pStyle w:val="BodyText"/>
        <w:spacing w:line="386" w:lineRule="auto"/>
        <w:ind w:right="100" w:firstLine="42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166"/>
        <w:ind w:left="573" w:right="100"/>
        <w:jc w:val="left"/>
      </w:pPr>
      <w:r>
        <w:rPr>
          <w:rFonts w:ascii="Times New Roman" w:hAnsi="Times New Roman" w:cs="Times New Roman" w:eastAsia="Times New Roman" w:hint="default"/>
        </w:rPr>
        <w:t>2</w:t>
      </w:r>
      <w:r>
        <w:rPr/>
        <w:t>）借款费用已经发生；</w:t>
      </w:r>
    </w:p>
    <w:p>
      <w:pPr>
        <w:spacing w:line="240" w:lineRule="auto" w:before="4"/>
        <w:rPr>
          <w:rFonts w:ascii="宋体" w:hAnsi="宋体" w:cs="宋体" w:eastAsia="宋体" w:hint="default"/>
          <w:sz w:val="21"/>
          <w:szCs w:val="21"/>
        </w:rPr>
      </w:pPr>
    </w:p>
    <w:p>
      <w:pPr>
        <w:pStyle w:val="BodyText"/>
        <w:spacing w:line="240" w:lineRule="auto"/>
        <w:ind w:left="573" w:right="100"/>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7"/>
        <w:rPr>
          <w:rFonts w:ascii="宋体" w:hAnsi="宋体" w:cs="宋体" w:eastAsia="宋体" w:hint="default"/>
          <w:sz w:val="23"/>
          <w:szCs w:val="23"/>
        </w:rPr>
      </w:pPr>
    </w:p>
    <w:p>
      <w:pPr>
        <w:pStyle w:val="Heading3"/>
        <w:spacing w:line="240" w:lineRule="auto"/>
        <w:ind w:right="100"/>
        <w:jc w:val="left"/>
      </w:pPr>
      <w:r>
        <w:rPr/>
        <w:t>（</w:t>
      </w:r>
      <w:r>
        <w:rPr>
          <w:rFonts w:ascii="Times New Roman" w:hAnsi="Times New Roman" w:cs="Times New Roman" w:eastAsia="Times New Roman" w:hint="default"/>
        </w:rPr>
        <w:t>2</w:t>
      </w:r>
      <w:r>
        <w:rPr/>
        <w:t>）借款费用资本化期间</w:t>
      </w:r>
    </w:p>
    <w:p>
      <w:pPr>
        <w:spacing w:line="240" w:lineRule="auto" w:before="1"/>
        <w:rPr>
          <w:rFonts w:ascii="黑体" w:hAnsi="黑体" w:cs="黑体" w:eastAsia="黑体" w:hint="default"/>
          <w:sz w:val="24"/>
          <w:szCs w:val="24"/>
        </w:rPr>
      </w:pPr>
    </w:p>
    <w:p>
      <w:pPr>
        <w:pStyle w:val="BodyText"/>
        <w:spacing w:line="408" w:lineRule="auto"/>
        <w:ind w:right="100" w:firstLine="420"/>
        <w:jc w:val="left"/>
      </w:pPr>
      <w:r>
        <w:rPr>
          <w:spacing w:val="-2"/>
        </w:rPr>
        <w:t>资本化期间，指从借款费用开始资本化时点到停止资本化时点的期间，借款费用暂停资本化的期间不</w:t>
      </w:r>
      <w:r>
        <w:rPr>
          <w:w w:val="100"/>
        </w:rPr>
        <w:t> </w:t>
      </w:r>
      <w:r>
        <w:rPr/>
        <w:t>包括在内。</w:t>
      </w:r>
    </w:p>
    <w:p>
      <w:pPr>
        <w:pStyle w:val="BodyText"/>
        <w:spacing w:line="496" w:lineRule="auto" w:before="147"/>
        <w:ind w:left="573" w:right="10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4" w:lineRule="exact"/>
        <w:ind w:right="100"/>
        <w:jc w:val="left"/>
      </w:pPr>
      <w:r>
        <w:rPr/>
        <w:t>止资本化。</w:t>
      </w:r>
    </w:p>
    <w:p>
      <w:pPr>
        <w:spacing w:after="0" w:line="244" w:lineRule="exact"/>
        <w:jc w:val="left"/>
        <w:sectPr>
          <w:footerReference w:type="default" r:id="rId61"/>
          <w:pgSz w:w="11910" w:h="16840"/>
          <w:pgMar w:footer="1132" w:header="882" w:top="1280" w:bottom="1320" w:left="980" w:right="920"/>
          <w:pgNumType w:start="165"/>
        </w:sectPr>
      </w:pPr>
    </w:p>
    <w:p>
      <w:pPr>
        <w:spacing w:line="240" w:lineRule="auto" w:before="5"/>
        <w:rPr>
          <w:rFonts w:ascii="宋体" w:hAnsi="宋体" w:cs="宋体" w:eastAsia="宋体" w:hint="default"/>
          <w:sz w:val="13"/>
          <w:szCs w:val="13"/>
        </w:rPr>
      </w:pPr>
    </w:p>
    <w:p>
      <w:pPr>
        <w:pStyle w:val="BodyText"/>
        <w:spacing w:line="408" w:lineRule="auto" w:before="36"/>
        <w:ind w:right="14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Heading3"/>
        <w:spacing w:line="240" w:lineRule="auto" w:before="179"/>
        <w:ind w:right="11"/>
        <w:jc w:val="left"/>
      </w:pPr>
      <w:r>
        <w:rPr/>
        <w:t>（</w:t>
      </w:r>
      <w:r>
        <w:rPr>
          <w:rFonts w:ascii="Times New Roman" w:hAnsi="Times New Roman" w:cs="Times New Roman" w:eastAsia="Times New Roman" w:hint="default"/>
        </w:rPr>
        <w:t>3</w:t>
      </w:r>
      <w:r>
        <w:rPr/>
        <w:t>）暂停资本化期间</w:t>
      </w:r>
    </w:p>
    <w:p>
      <w:pPr>
        <w:spacing w:line="240" w:lineRule="auto" w:before="1"/>
        <w:rPr>
          <w:rFonts w:ascii="黑体" w:hAnsi="黑体" w:cs="黑体" w:eastAsia="黑体" w:hint="default"/>
          <w:sz w:val="24"/>
          <w:szCs w:val="24"/>
        </w:rPr>
      </w:pPr>
    </w:p>
    <w:p>
      <w:pPr>
        <w:pStyle w:val="BodyText"/>
        <w:spacing w:line="400" w:lineRule="auto"/>
        <w:ind w:right="146" w:firstLine="420"/>
        <w:jc w:val="both"/>
      </w:pPr>
      <w:r>
        <w:rPr/>
        <w:t>符合资本化条件的资产在购建或生产过程中发生的非正常中断、且中断时间连续超过</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3"/>
        </w:rPr>
        <w:t>个月的，则借</w:t>
      </w:r>
      <w:r>
        <w:rPr>
          <w:w w:val="100"/>
        </w:rPr>
        <w:t> </w:t>
      </w: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13"/>
        <w:rPr>
          <w:rFonts w:ascii="宋体" w:hAnsi="宋体" w:cs="宋体" w:eastAsia="宋体" w:hint="default"/>
          <w:sz w:val="13"/>
          <w:szCs w:val="13"/>
        </w:rPr>
      </w:pPr>
    </w:p>
    <w:p>
      <w:pPr>
        <w:pStyle w:val="Heading3"/>
        <w:spacing w:line="240" w:lineRule="auto"/>
        <w:ind w:right="11"/>
        <w:jc w:val="left"/>
      </w:pPr>
      <w:r>
        <w:rPr/>
        <w:t>（</w:t>
      </w:r>
      <w:r>
        <w:rPr>
          <w:rFonts w:ascii="Times New Roman" w:hAnsi="Times New Roman" w:cs="Times New Roman" w:eastAsia="Times New Roman" w:hint="default"/>
        </w:rPr>
        <w:t>4</w:t>
      </w:r>
      <w:r>
        <w:rPr/>
        <w:t>）借款费用资本化率、资本化金额的计算方法</w:t>
      </w:r>
    </w:p>
    <w:p>
      <w:pPr>
        <w:spacing w:line="240" w:lineRule="auto" w:before="3"/>
        <w:rPr>
          <w:rFonts w:ascii="黑体" w:hAnsi="黑体" w:cs="黑体" w:eastAsia="黑体" w:hint="default"/>
          <w:sz w:val="24"/>
          <w:szCs w:val="24"/>
        </w:rPr>
      </w:pPr>
    </w:p>
    <w:p>
      <w:pPr>
        <w:pStyle w:val="BodyText"/>
        <w:spacing w:line="408" w:lineRule="auto"/>
        <w:ind w:right="146" w:firstLine="420"/>
        <w:jc w:val="both"/>
      </w:pPr>
      <w:r>
        <w:rPr>
          <w:spacing w:val="2"/>
        </w:rPr>
        <w:t>对于为购建或者生产符合资本化条件的资产而借入的专门借款，以专门借款当期实际发生的借款费</w:t>
      </w:r>
      <w:r>
        <w:rPr>
          <w:w w:val="100"/>
        </w:rPr>
        <w:t> </w:t>
      </w: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408" w:lineRule="auto" w:before="144"/>
        <w:ind w:right="125"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pStyle w:val="Heading3"/>
        <w:spacing w:line="240" w:lineRule="auto" w:before="179"/>
        <w:ind w:right="11"/>
        <w:jc w:val="left"/>
      </w:pPr>
      <w:r>
        <w:rPr>
          <w:rFonts w:ascii="Times New Roman" w:hAnsi="Times New Roman" w:cs="Times New Roman" w:eastAsia="Times New Roman" w:hint="default"/>
        </w:rPr>
        <w:t>19</w:t>
      </w:r>
      <w:r>
        <w:rPr/>
        <w:t>、生物资产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20</w:t>
      </w:r>
      <w:r>
        <w:rPr/>
        <w:t>、油气资产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21</w:t>
      </w:r>
      <w:r>
        <w:rPr/>
        <w:t>、无形资产</w:t>
      </w:r>
    </w:p>
    <w:p>
      <w:pPr>
        <w:spacing w:line="240" w:lineRule="auto" w:before="1"/>
        <w:rPr>
          <w:rFonts w:ascii="黑体" w:hAnsi="黑体" w:cs="黑体" w:eastAsia="黑体" w:hint="default"/>
          <w:sz w:val="25"/>
          <w:szCs w:val="25"/>
        </w:rPr>
      </w:pPr>
    </w:p>
    <w:p>
      <w:pPr>
        <w:spacing w:line="482" w:lineRule="auto" w:before="0"/>
        <w:ind w:left="573" w:right="5798" w:hanging="421"/>
        <w:jc w:val="both"/>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1</w:t>
      </w:r>
      <w:r>
        <w:rPr>
          <w:rFonts w:ascii="黑体" w:hAnsi="黑体" w:cs="黑体" w:eastAsia="黑体" w:hint="default"/>
          <w:sz w:val="24"/>
          <w:szCs w:val="24"/>
        </w:rPr>
        <w:t>）计价方法、使用寿命、减值测试 </w:t>
      </w:r>
      <w:r>
        <w:rPr>
          <w:rFonts w:ascii="宋体" w:hAnsi="宋体" w:cs="宋体" w:eastAsia="宋体" w:hint="default"/>
          <w:spacing w:val="-2"/>
          <w:sz w:val="21"/>
          <w:szCs w:val="21"/>
        </w:rPr>
        <w:t>公司是否需要遵守特殊行业的披露要求</w:t>
      </w:r>
      <w:r>
        <w:rPr>
          <w:rFonts w:ascii="宋体" w:hAnsi="宋体" w:cs="宋体" w:eastAsia="宋体" w:hint="default"/>
          <w:w w:val="100"/>
          <w:sz w:val="21"/>
          <w:szCs w:val="21"/>
        </w:rPr>
        <w:t> </w:t>
      </w:r>
      <w:r>
        <w:rPr>
          <w:rFonts w:ascii="宋体" w:hAnsi="宋体" w:cs="宋体" w:eastAsia="宋体" w:hint="default"/>
          <w:sz w:val="21"/>
          <w:szCs w:val="21"/>
        </w:rPr>
        <w:t>否</w:t>
      </w:r>
    </w:p>
    <w:p>
      <w:pPr>
        <w:pStyle w:val="Heading4"/>
        <w:spacing w:line="240" w:lineRule="auto" w:before="103"/>
        <w:ind w:right="11"/>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570" w:lineRule="atLeast"/>
        <w:ind w:left="573" w:right="11"/>
        <w:jc w:val="left"/>
      </w:pPr>
      <w:r>
        <w:rPr/>
        <w:t>①公司取得无形资产时按成本进行初始计量；</w:t>
      </w:r>
      <w:r>
        <w:rPr>
          <w:w w:val="100"/>
        </w:rPr>
        <w:t> </w:t>
      </w:r>
      <w:r>
        <w:rPr>
          <w:spacing w:val="-2"/>
        </w:rPr>
        <w:t>外购无形资产的成本，包括购买价款、相关税费以及直接归属于使该项资产达到预定用途所发生的其</w:t>
      </w:r>
    </w:p>
    <w:p>
      <w:pPr>
        <w:spacing w:after="0" w:line="570" w:lineRule="atLeast"/>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1"/>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before="147"/>
        <w:ind w:right="14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before="144"/>
        <w:ind w:right="14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96" w:lineRule="auto" w:before="147"/>
        <w:ind w:left="573" w:right="4599"/>
        <w:jc w:val="left"/>
      </w:pPr>
      <w:r>
        <w:rPr/>
        <w:t>②后续计量</w:t>
      </w:r>
      <w:r>
        <w:rPr>
          <w:spacing w:val="-102"/>
        </w:rPr>
        <w:t> </w:t>
      </w:r>
      <w:r>
        <w:rPr>
          <w:spacing w:val="-102"/>
        </w:rPr>
      </w:r>
      <w:r>
        <w:rPr>
          <w:spacing w:val="-2"/>
        </w:rPr>
        <w:t>在取得无形资产时分析判断其使用寿命。</w:t>
      </w:r>
    </w:p>
    <w:p>
      <w:pPr>
        <w:pStyle w:val="BodyText"/>
        <w:spacing w:line="408" w:lineRule="auto" w:before="67"/>
        <w:ind w:right="14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Heading4"/>
        <w:spacing w:line="240" w:lineRule="auto" w:before="168"/>
        <w:ind w:left="753" w:right="11"/>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9"/>
        <w:rPr>
          <w:rFonts w:ascii="宋体" w:hAnsi="宋体" w:cs="宋体" w:eastAsia="宋体" w:hint="default"/>
          <w:b/>
          <w:bCs/>
          <w:sz w:val="18"/>
          <w:szCs w:val="18"/>
        </w:rPr>
      </w:pPr>
    </w:p>
    <w:tbl>
      <w:tblPr>
        <w:tblW w:w="0" w:type="auto"/>
        <w:jc w:val="left"/>
        <w:tblInd w:w="1058" w:type="dxa"/>
        <w:tblLayout w:type="fixed"/>
        <w:tblCellMar>
          <w:top w:w="0" w:type="dxa"/>
          <w:left w:w="0" w:type="dxa"/>
          <w:bottom w:w="0" w:type="dxa"/>
          <w:right w:w="0" w:type="dxa"/>
        </w:tblCellMar>
        <w:tblLook w:val="01E0"/>
      </w:tblPr>
      <w:tblGrid>
        <w:gridCol w:w="2569"/>
        <w:gridCol w:w="2410"/>
        <w:gridCol w:w="2835"/>
      </w:tblGrid>
      <w:tr>
        <w:trPr>
          <w:trHeight w:val="520" w:hRule="exact"/>
        </w:trPr>
        <w:tc>
          <w:tcPr>
            <w:tcW w:w="2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0"/>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33"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535"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11"/>
        <w:rPr>
          <w:rFonts w:ascii="宋体" w:hAnsi="宋体" w:cs="宋体" w:eastAsia="宋体" w:hint="default"/>
          <w:b/>
          <w:bCs/>
          <w:sz w:val="9"/>
          <w:szCs w:val="9"/>
        </w:rPr>
      </w:pPr>
    </w:p>
    <w:p>
      <w:pPr>
        <w:pStyle w:val="BodyText"/>
        <w:spacing w:line="487" w:lineRule="auto" w:before="36"/>
        <w:ind w:left="573" w:right="11"/>
        <w:jc w:val="left"/>
      </w:pPr>
      <w:r>
        <w:rPr/>
        <w:t>每年度终了，对使用寿命有限的无形资产的使用寿命及摊销方法进行复核。</w:t>
      </w:r>
      <w:r>
        <w:rPr>
          <w:w w:val="100"/>
        </w:rPr>
        <w:t> </w:t>
      </w:r>
      <w:r>
        <w:rPr/>
        <w:t>经复核，本年期末无形资产的使用寿命及摊销方法与以前估计未有不同。</w:t>
      </w:r>
      <w:r>
        <w:rPr>
          <w:w w:val="100"/>
        </w:rPr>
        <w:t> </w:t>
      </w:r>
      <w:r>
        <w:rPr>
          <w:rFonts w:ascii="Times New Roman" w:hAnsi="Times New Roman" w:cs="Times New Roman" w:eastAsia="Times New Roman" w:hint="default"/>
          <w:spacing w:val="-2"/>
        </w:rPr>
        <w:t>3</w:t>
      </w:r>
      <w:r>
        <w:rPr>
          <w:spacing w:val="-2"/>
        </w:rPr>
        <w:t>）使用寿命不确定的无形资产的判断依据以及对其使用寿命进行复核的程序</w:t>
      </w:r>
      <w:r>
        <w:rPr>
          <w:spacing w:val="-42"/>
        </w:rPr>
        <w:t> </w:t>
      </w:r>
      <w:r>
        <w:rPr>
          <w:spacing w:val="-42"/>
        </w:rPr>
      </w:r>
      <w:r>
        <w:rPr/>
        <w:t>截至资产负债表日</w:t>
      </w:r>
      <w:r>
        <w:rPr>
          <w:rFonts w:ascii="Times New Roman" w:hAnsi="Times New Roman" w:cs="Times New Roman" w:eastAsia="Times New Roman" w:hint="default"/>
        </w:rPr>
        <w:t>,</w:t>
      </w:r>
      <w:r>
        <w:rPr/>
        <w:t>本公司没有使用寿命不确定的无形资产</w:t>
      </w:r>
    </w:p>
    <w:p>
      <w:pPr>
        <w:spacing w:line="477" w:lineRule="auto" w:before="70"/>
        <w:ind w:left="573" w:right="3140"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2</w:t>
      </w:r>
      <w:r>
        <w:rPr>
          <w:rFonts w:ascii="黑体" w:hAnsi="黑体" w:cs="黑体" w:eastAsia="黑体" w:hint="default"/>
          <w:sz w:val="24"/>
          <w:szCs w:val="24"/>
        </w:rPr>
        <w:t>）内部研究开发支出会计政策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公司内部研究开发项目的支出分为研究阶段支出和开发阶段支出。</w:t>
      </w:r>
    </w:p>
    <w:p>
      <w:pPr>
        <w:pStyle w:val="BodyText"/>
        <w:spacing w:line="496" w:lineRule="auto" w:before="86"/>
        <w:ind w:left="573" w:right="11"/>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spacing w:after="0" w:line="496"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right="0"/>
        <w:jc w:val="both"/>
      </w:pPr>
      <w:r>
        <w:rPr/>
        <w:t>的或具有实质性改进的材料、装置、产品等活动的阶段。</w:t>
      </w:r>
    </w:p>
    <w:p>
      <w:pPr>
        <w:spacing w:line="240" w:lineRule="auto" w:before="2"/>
        <w:rPr>
          <w:rFonts w:ascii="宋体" w:hAnsi="宋体" w:cs="宋体" w:eastAsia="宋体" w:hint="default"/>
          <w:sz w:val="24"/>
          <w:szCs w:val="24"/>
        </w:rPr>
      </w:pPr>
    </w:p>
    <w:p>
      <w:pPr>
        <w:pStyle w:val="Heading4"/>
        <w:spacing w:line="240" w:lineRule="auto"/>
        <w:ind w:right="11"/>
        <w:jc w:val="left"/>
        <w:rPr>
          <w:b w:val="0"/>
          <w:bCs w:val="0"/>
        </w:rPr>
      </w:pPr>
      <w:r>
        <w:rPr>
          <w:rFonts w:ascii="Times New Roman" w:hAnsi="Times New Roman" w:cs="Times New Roman" w:eastAsia="Times New Roman" w:hint="default"/>
        </w:rPr>
        <w:t>2</w:t>
      </w:r>
      <w:r>
        <w:rPr/>
        <w:t>）开发阶段支出资本化的具体条件</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left="573" w:right="11"/>
        <w:jc w:val="left"/>
      </w:pPr>
      <w:r>
        <w:rPr/>
        <w:t>①完成该无形资产以使其能够使用或出售在技术上具有可行性；</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②具有完成该无形资产并使用或出售的意图；</w:t>
      </w:r>
    </w:p>
    <w:p>
      <w:pPr>
        <w:spacing w:line="240" w:lineRule="auto" w:before="4"/>
        <w:rPr>
          <w:rFonts w:ascii="宋体" w:hAnsi="宋体" w:cs="宋体" w:eastAsia="宋体" w:hint="default"/>
          <w:sz w:val="22"/>
          <w:szCs w:val="22"/>
        </w:rPr>
      </w:pPr>
    </w:p>
    <w:p>
      <w:pPr>
        <w:pStyle w:val="BodyText"/>
        <w:spacing w:line="408" w:lineRule="auto"/>
        <w:ind w:right="146" w:firstLine="420"/>
        <w:jc w:val="both"/>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408" w:lineRule="auto" w:before="147"/>
        <w:ind w:right="146" w:firstLine="420"/>
        <w:jc w:val="both"/>
      </w:pPr>
      <w:r>
        <w:rPr>
          <w:spacing w:val="-2"/>
        </w:rPr>
        <w:t>④有足够的技术、财务资源和其他资源支持，以完成该无形资产的开发，并有能力使用或出售该无形</w:t>
      </w:r>
      <w:r>
        <w:rPr>
          <w:w w:val="100"/>
        </w:rPr>
        <w:t> </w:t>
      </w:r>
      <w:r>
        <w:rPr/>
        <w:t>资产；</w:t>
      </w:r>
    </w:p>
    <w:p>
      <w:pPr>
        <w:pStyle w:val="BodyText"/>
        <w:spacing w:line="494" w:lineRule="auto" w:before="147"/>
        <w:ind w:left="573" w:right="11"/>
        <w:jc w:val="left"/>
      </w:pPr>
      <w:r>
        <w:rPr/>
        <w:t>⑤归属于该无形资产开发阶段的支出能够可靠地计量。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5" w:lineRule="exact"/>
        <w:ind w:right="0"/>
        <w:jc w:val="both"/>
      </w:pPr>
      <w:r>
        <w:rPr/>
        <w:t>期损益。</w:t>
      </w:r>
    </w:p>
    <w:p>
      <w:pPr>
        <w:spacing w:line="240" w:lineRule="auto" w:before="12"/>
        <w:rPr>
          <w:rFonts w:ascii="宋体" w:hAnsi="宋体" w:cs="宋体" w:eastAsia="宋体" w:hint="default"/>
          <w:sz w:val="24"/>
          <w:szCs w:val="24"/>
        </w:rPr>
      </w:pPr>
    </w:p>
    <w:p>
      <w:pPr>
        <w:pStyle w:val="Heading3"/>
        <w:spacing w:line="240" w:lineRule="auto"/>
        <w:ind w:right="0"/>
        <w:jc w:val="both"/>
      </w:pPr>
      <w:r>
        <w:rPr>
          <w:rFonts w:ascii="Times New Roman" w:hAnsi="Times New Roman" w:cs="Times New Roman" w:eastAsia="Times New Roman" w:hint="default"/>
        </w:rPr>
        <w:t>22</w:t>
      </w:r>
      <w:r>
        <w:rPr/>
        <w:t>、长期资产减值</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长期股权投资、采用成本模式计量的投资性房地产、固定资产、在建工程、使用寿命有限的无形资产</w:t>
      </w:r>
      <w:r>
        <w:rPr>
          <w:w w:val="100"/>
        </w:rPr>
        <w:t> </w:t>
      </w: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BodyText"/>
        <w:spacing w:line="494" w:lineRule="auto" w:before="147"/>
        <w:ind w:left="573" w:right="11"/>
        <w:jc w:val="left"/>
      </w:pPr>
      <w:r>
        <w:rPr/>
        <w:t>商誉至少在每年年度终了进行减值测试。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245" w:lineRule="exact"/>
        <w:ind w:right="0"/>
        <w:jc w:val="both"/>
      </w:pPr>
      <w:r>
        <w:rPr/>
        <w:t>至相关的资产组；难以分摊至相关的资产组的，将其分摊至相关的资产组组合。在将商誉的账面价值分摊</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408" w:lineRule="auto" w:before="147"/>
        <w:ind w:right="14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24"/>
        <w:jc w:val="both"/>
      </w:pPr>
      <w:r>
        <w:rPr>
          <w:spacing w:val="-2"/>
        </w:rPr>
        <w:t>关资产组或者资产组组合的账面价值（包括所分摊的商誉的账面价值部分）与其可收回金额，如相关资产</w:t>
      </w:r>
      <w:r>
        <w:rPr>
          <w:spacing w:val="-43"/>
        </w:rPr>
        <w:t> </w:t>
      </w:r>
      <w:r>
        <w:rPr>
          <w:spacing w:val="-43"/>
        </w:rPr>
      </w:r>
      <w:r>
        <w:rPr>
          <w:spacing w:val="-2"/>
        </w:rPr>
        <w:t>组或者资产组组合的可收回金额低于其账面价值的，确认商誉的减值损失。上述资产减值损失一经确认，</w:t>
      </w:r>
      <w:r>
        <w:rPr>
          <w:spacing w:val="-20"/>
        </w:rPr>
        <w:t> </w:t>
      </w:r>
      <w:r>
        <w:rPr>
          <w:spacing w:val="-20"/>
        </w:rPr>
      </w:r>
      <w:r>
        <w:rPr/>
        <w:t>在以后会计期间不予转回。</w:t>
      </w:r>
    </w:p>
    <w:p>
      <w:pPr>
        <w:pStyle w:val="Heading3"/>
        <w:spacing w:line="240" w:lineRule="auto" w:before="179"/>
        <w:ind w:right="11"/>
        <w:jc w:val="left"/>
      </w:pPr>
      <w:r>
        <w:rPr>
          <w:rFonts w:ascii="Times New Roman" w:hAnsi="Times New Roman" w:cs="Times New Roman" w:eastAsia="Times New Roman" w:hint="default"/>
        </w:rPr>
        <w:t>23</w:t>
      </w:r>
      <w:r>
        <w:rPr/>
        <w:t>、长期待摊费用</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长期待摊费用为已经发生但应由本期和以后各期负担的分摊期限在一年以上的各项费用。本公司长期</w:t>
      </w:r>
      <w:r>
        <w:rPr>
          <w:w w:val="100"/>
        </w:rPr>
        <w:t> </w:t>
      </w:r>
      <w:r>
        <w:rPr/>
        <w:t>待摊费用为经营租赁房屋改良支出与维护费。</w:t>
      </w:r>
    </w:p>
    <w:p>
      <w:pPr>
        <w:pStyle w:val="BodyText"/>
        <w:spacing w:line="470" w:lineRule="auto" w:before="145"/>
        <w:ind w:left="573" w:right="5647"/>
        <w:jc w:val="left"/>
      </w:pPr>
      <w:r>
        <w:rPr>
          <w:rFonts w:ascii="Times New Roman" w:hAnsi="Times New Roman" w:cs="Times New Roman" w:eastAsia="Times New Roman" w:hint="default"/>
        </w:rPr>
        <w:t>1</w:t>
      </w:r>
      <w:r>
        <w:rPr/>
        <w:t>、摊销方法</w:t>
      </w:r>
      <w:r>
        <w:rPr>
          <w:w w:val="100"/>
        </w:rPr>
        <w:t> </w:t>
      </w:r>
      <w:r>
        <w:rPr>
          <w:spacing w:val="-2"/>
        </w:rPr>
        <w:t>长期待摊费用在受益期内平均摊销。</w:t>
      </w:r>
    </w:p>
    <w:p>
      <w:pPr>
        <w:pStyle w:val="Heading3"/>
        <w:spacing w:line="240" w:lineRule="auto" w:before="124"/>
        <w:ind w:right="11"/>
        <w:jc w:val="left"/>
      </w:pPr>
      <w:r>
        <w:rPr>
          <w:rFonts w:ascii="Times New Roman" w:hAnsi="Times New Roman" w:cs="Times New Roman" w:eastAsia="Times New Roman" w:hint="default"/>
        </w:rPr>
        <w:t>24</w:t>
      </w:r>
      <w:r>
        <w:rPr/>
        <w:t>、职工薪酬</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）短期薪酬的会计处理方法</w:t>
      </w:r>
    </w:p>
    <w:p>
      <w:pPr>
        <w:spacing w:line="240" w:lineRule="auto" w:before="3"/>
        <w:rPr>
          <w:rFonts w:ascii="黑体" w:hAnsi="黑体" w:cs="黑体" w:eastAsia="黑体" w:hint="default"/>
          <w:sz w:val="24"/>
          <w:szCs w:val="24"/>
        </w:rPr>
      </w:pPr>
    </w:p>
    <w:p>
      <w:pPr>
        <w:pStyle w:val="BodyText"/>
        <w:spacing w:line="408" w:lineRule="auto"/>
        <w:ind w:right="146" w:firstLine="420"/>
        <w:jc w:val="both"/>
      </w:pPr>
      <w:r>
        <w:rPr>
          <w:spacing w:val="-2"/>
        </w:rPr>
        <w:t>本公司在职工为本公司提供服务的会计期间，将实际发生的短期薪酬确认为负债，并计入当期损益或</w:t>
      </w:r>
      <w:r>
        <w:rPr>
          <w:w w:val="100"/>
        </w:rPr>
        <w:t> </w:t>
      </w:r>
      <w:r>
        <w:rPr/>
        <w:t>相关资产成本。</w:t>
      </w:r>
    </w:p>
    <w:p>
      <w:pPr>
        <w:pStyle w:val="BodyText"/>
        <w:spacing w:line="408" w:lineRule="auto" w:before="145"/>
        <w:ind w:right="146" w:firstLine="420"/>
        <w:jc w:val="both"/>
      </w:pPr>
      <w:r>
        <w:rPr>
          <w:spacing w:val="-2"/>
        </w:rPr>
        <w:t>本公司为职工缴纳的社会保险费和住房公积金，以及按规定提取的工会经费和职工教育经费，在职工</w:t>
      </w:r>
      <w:r>
        <w:rPr>
          <w:w w:val="100"/>
        </w:rPr>
        <w:t> </w:t>
      </w:r>
      <w:r>
        <w:rPr/>
        <w:t>为本公司提供服务的会计期间，根据规定的计提基础和计提比例计算确定相应的职工薪酬金额。</w:t>
      </w:r>
    </w:p>
    <w:p>
      <w:pPr>
        <w:pStyle w:val="BodyText"/>
        <w:spacing w:line="240" w:lineRule="auto" w:before="147"/>
        <w:ind w:left="573" w:right="11"/>
        <w:jc w:val="left"/>
      </w:pPr>
      <w:r>
        <w:rPr/>
        <w:t>职工福利费为非货币性福利的，如能够可靠计量的，按照公允价值计量。</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）离职后福利的会计处理方法</w:t>
      </w:r>
    </w:p>
    <w:p>
      <w:pPr>
        <w:spacing w:line="240" w:lineRule="auto" w:before="1"/>
        <w:rPr>
          <w:rFonts w:ascii="黑体" w:hAnsi="黑体" w:cs="黑体" w:eastAsia="黑体" w:hint="default"/>
          <w:sz w:val="24"/>
          <w:szCs w:val="24"/>
        </w:rPr>
      </w:pPr>
    </w:p>
    <w:p>
      <w:pPr>
        <w:pStyle w:val="BodyText"/>
        <w:spacing w:line="468" w:lineRule="auto"/>
        <w:ind w:left="573" w:right="11"/>
        <w:jc w:val="left"/>
      </w:pP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本公司按当地政府的相关规定为职工缴纳基本养老保险和失业保险，在职工为本公司提供服务的会计</w:t>
      </w:r>
    </w:p>
    <w:p>
      <w:pPr>
        <w:pStyle w:val="BodyText"/>
        <w:spacing w:line="482" w:lineRule="auto"/>
        <w:ind w:left="573" w:right="11" w:hanging="421"/>
        <w:jc w:val="left"/>
      </w:pPr>
      <w:r>
        <w:rPr>
          <w:spacing w:val="-2"/>
        </w:rPr>
        <w:t>期间，按以当地规定的缴纳基数和比例计算应缴纳金额，确认为负债，并计入当期损益或相关资产成本。</w:t>
      </w:r>
      <w:r>
        <w:rPr>
          <w:spacing w:val="-24"/>
        </w:rPr>
        <w:t> </w:t>
      </w:r>
      <w:r>
        <w:rPr>
          <w:spacing w:val="-24"/>
        </w:rPr>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本公司根据预期累计福利单位法确定的公式将设定受益计划产生的福利义务归属于职工提供服务的</w:t>
      </w:r>
    </w:p>
    <w:p>
      <w:pPr>
        <w:pStyle w:val="BodyText"/>
        <w:spacing w:line="256" w:lineRule="exact"/>
        <w:ind w:right="11"/>
        <w:jc w:val="left"/>
      </w:pPr>
      <w:r>
        <w:rPr/>
        <w:t>期间，并计入当期损益或相关资产成本。</w:t>
      </w:r>
    </w:p>
    <w:p>
      <w:pPr>
        <w:spacing w:line="240" w:lineRule="auto" w:before="4"/>
        <w:rPr>
          <w:rFonts w:ascii="宋体" w:hAnsi="宋体" w:cs="宋体" w:eastAsia="宋体" w:hint="default"/>
          <w:sz w:val="22"/>
          <w:szCs w:val="22"/>
        </w:rPr>
      </w:pPr>
    </w:p>
    <w:p>
      <w:pPr>
        <w:pStyle w:val="BodyText"/>
        <w:spacing w:line="408" w:lineRule="auto"/>
        <w:ind w:right="146" w:firstLine="420"/>
        <w:jc w:val="both"/>
      </w:pPr>
      <w:r>
        <w:rPr>
          <w:spacing w:val="2"/>
        </w:rPr>
        <w:t>设定受益计划义务现值减去设定受益计划资产公允价值所形成的赤字或盈余确认为一项设定受益计</w:t>
      </w:r>
      <w:r>
        <w:rPr>
          <w:w w:val="100"/>
        </w:rPr>
        <w:t> </w:t>
      </w:r>
      <w:r>
        <w:rPr>
          <w:spacing w:val="-2"/>
        </w:rPr>
        <w:t>划净负债或净资产。设定受益计划存在盈余的，本公司以设定受益计划的盈余和资产上限两项的孰低者计</w:t>
      </w:r>
      <w:r>
        <w:rPr>
          <w:spacing w:val="-43"/>
        </w:rPr>
        <w:t> </w:t>
      </w:r>
      <w:r>
        <w:rPr>
          <w:spacing w:val="-43"/>
        </w:rPr>
      </w:r>
      <w:r>
        <w:rPr/>
        <w:t>量设定受益计划净资产。</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24" w:firstLine="420"/>
        <w:jc w:val="both"/>
      </w:pPr>
      <w:r>
        <w:rPr>
          <w:spacing w:val="-2"/>
        </w:rPr>
        <w:t>所有设定受益计划义务，包括预期在职工提供服务的年度报告期间结束后的十二个月内支付的义务，</w:t>
      </w:r>
      <w:r>
        <w:rPr>
          <w:w w:val="100"/>
        </w:rPr>
        <w:t> </w:t>
      </w:r>
      <w:r>
        <w:rPr>
          <w:spacing w:val="2"/>
        </w:rPr>
        <w:t>根据资产负债表日与设定受益计划义务期限和币种相匹配的国债或活跃市场上的高质量公司债券的市场</w:t>
      </w:r>
      <w:r>
        <w:rPr>
          <w:spacing w:val="-30"/>
        </w:rPr>
        <w:t> </w:t>
      </w:r>
      <w:r>
        <w:rPr>
          <w:spacing w:val="-30"/>
        </w:rPr>
      </w:r>
      <w:r>
        <w:rPr/>
        <w:t>收益率予以折现。</w:t>
      </w:r>
    </w:p>
    <w:p>
      <w:pPr>
        <w:pStyle w:val="BodyText"/>
        <w:spacing w:line="408" w:lineRule="auto" w:before="147"/>
        <w:ind w:right="127" w:firstLine="420"/>
        <w:jc w:val="right"/>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84"/>
        </w:rPr>
        <w:t> </w:t>
      </w:r>
      <w:r>
        <w:rPr>
          <w:spacing w:val="-84"/>
        </w:rPr>
      </w:r>
      <w:r>
        <w:rPr>
          <w:spacing w:val="-2"/>
        </w:rPr>
        <w:t>回至损益，在原设定受益计划终止时在权益范围内将原计入其他综合收益的部分全部结转至未分配利润。</w:t>
      </w:r>
    </w:p>
    <w:p>
      <w:pPr>
        <w:pStyle w:val="BodyText"/>
        <w:spacing w:line="410" w:lineRule="auto" w:before="144"/>
        <w:ind w:right="11" w:firstLine="420"/>
        <w:jc w:val="left"/>
      </w:pPr>
      <w:r>
        <w:rPr>
          <w:spacing w:val="-2"/>
        </w:rPr>
        <w:t>在设定受益计划结算时，按在结算日确定的设定受益计划义务现值和结算价格两者的差额，确认结算</w:t>
      </w:r>
      <w:r>
        <w:rPr>
          <w:w w:val="100"/>
        </w:rPr>
        <w:t> </w:t>
      </w:r>
      <w:r>
        <w:rPr/>
        <w:t>利得或损失。</w:t>
      </w:r>
    </w:p>
    <w:p>
      <w:pPr>
        <w:pStyle w:val="Heading3"/>
        <w:spacing w:line="240" w:lineRule="auto" w:before="177"/>
        <w:ind w:right="11"/>
        <w:jc w:val="left"/>
      </w:pPr>
      <w:r>
        <w:rPr/>
        <w:t>（</w:t>
      </w:r>
      <w:r>
        <w:rPr>
          <w:rFonts w:ascii="Times New Roman" w:hAnsi="Times New Roman" w:cs="Times New Roman" w:eastAsia="Times New Roman" w:hint="default"/>
        </w:rPr>
        <w:t>3</w:t>
      </w:r>
      <w:r>
        <w:rPr/>
        <w:t>）辞退福利的会计处理方法</w:t>
      </w:r>
    </w:p>
    <w:p>
      <w:pPr>
        <w:spacing w:line="240" w:lineRule="auto" w:before="1"/>
        <w:rPr>
          <w:rFonts w:ascii="黑体" w:hAnsi="黑体" w:cs="黑体" w:eastAsia="黑体" w:hint="default"/>
          <w:sz w:val="24"/>
          <w:szCs w:val="24"/>
        </w:rPr>
      </w:pPr>
    </w:p>
    <w:p>
      <w:pPr>
        <w:pStyle w:val="BodyText"/>
        <w:spacing w:line="408" w:lineRule="auto"/>
        <w:ind w:right="11" w:firstLine="420"/>
        <w:jc w:val="left"/>
      </w:pPr>
      <w:r>
        <w:rPr>
          <w:spacing w:val="-2"/>
        </w:rPr>
        <w:t>本公司在不能单方面撤回因解除劳动关系计划或裁减建议所提供的辞退福利时，或确认与涉及支付辞</w:t>
      </w:r>
      <w:r>
        <w:rPr>
          <w:w w:val="100"/>
        </w:rPr>
        <w:t> </w:t>
      </w:r>
      <w:r>
        <w:rPr>
          <w:spacing w:val="-4"/>
          <w:w w:val="100"/>
        </w:rPr>
        <w:t>退福利的重组相关的成本或费用时（两者孰早），确认辞退福利产生的职工薪酬负债，并计入当期损益。</w:t>
      </w:r>
    </w:p>
    <w:p>
      <w:pPr>
        <w:pStyle w:val="Heading3"/>
        <w:spacing w:line="240" w:lineRule="auto" w:before="179"/>
        <w:ind w:right="11"/>
        <w:jc w:val="left"/>
      </w:pPr>
      <w:r>
        <w:rPr/>
        <w:t>（</w:t>
      </w:r>
      <w:r>
        <w:rPr>
          <w:rFonts w:ascii="Times New Roman" w:hAnsi="Times New Roman" w:cs="Times New Roman" w:eastAsia="Times New Roman" w:hint="default"/>
        </w:rPr>
        <w:t>4</w:t>
      </w:r>
      <w:r>
        <w:rPr/>
        <w:t>）其他长期职工福利的会计处理方法</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25</w:t>
      </w:r>
      <w:r>
        <w:rPr/>
        <w:t>、预计负债</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）预计负债的确认标准</w:t>
      </w:r>
    </w:p>
    <w:p>
      <w:pPr>
        <w:spacing w:line="240" w:lineRule="auto" w:before="1"/>
        <w:rPr>
          <w:rFonts w:ascii="黑体" w:hAnsi="黑体" w:cs="黑体" w:eastAsia="黑体" w:hint="default"/>
          <w:sz w:val="24"/>
          <w:szCs w:val="24"/>
        </w:rPr>
      </w:pPr>
    </w:p>
    <w:p>
      <w:pPr>
        <w:pStyle w:val="BodyText"/>
        <w:spacing w:line="408" w:lineRule="auto"/>
        <w:ind w:right="11" w:firstLine="420"/>
        <w:jc w:val="left"/>
      </w:pPr>
      <w:r>
        <w:rPr>
          <w:spacing w:val="-2"/>
        </w:rPr>
        <w:t>与诉讼、债务担保、亏损合同、重组事项等或有事项相关的义务同时满足下列条件时，本公司确认为</w:t>
      </w:r>
      <w:r>
        <w:rPr>
          <w:w w:val="100"/>
        </w:rPr>
        <w:t> </w:t>
      </w:r>
      <w:r>
        <w:rPr/>
        <w:t>预计负债：</w:t>
      </w:r>
    </w:p>
    <w:p>
      <w:pPr>
        <w:pStyle w:val="BodyText"/>
        <w:spacing w:line="240" w:lineRule="auto" w:before="147"/>
        <w:ind w:left="573" w:right="11"/>
        <w:jc w:val="left"/>
      </w:pP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2</w:t>
      </w:r>
      <w:r>
        <w:rPr/>
        <w:t>）履行该义务很可能导致经济利益流出本公司；</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3</w:t>
      </w:r>
      <w:r>
        <w:rPr/>
        <w:t>）该义务的金额能够可靠地计量。</w:t>
      </w:r>
    </w:p>
    <w:p>
      <w:pPr>
        <w:spacing w:line="240" w:lineRule="auto" w:before="9"/>
        <w:rPr>
          <w:rFonts w:ascii="宋体" w:hAnsi="宋体" w:cs="宋体" w:eastAsia="宋体" w:hint="default"/>
          <w:sz w:val="23"/>
          <w:szCs w:val="23"/>
        </w:rPr>
      </w:pPr>
    </w:p>
    <w:p>
      <w:pPr>
        <w:pStyle w:val="BodyText"/>
        <w:spacing w:line="482" w:lineRule="auto"/>
        <w:ind w:left="573" w:right="11" w:hanging="421"/>
        <w:jc w:val="left"/>
      </w:pPr>
      <w:r>
        <w:rPr>
          <w:rFonts w:ascii="黑体" w:hAnsi="黑体" w:cs="黑体" w:eastAsia="黑体" w:hint="default"/>
          <w:sz w:val="24"/>
          <w:szCs w:val="24"/>
        </w:rPr>
        <w:t>（</w:t>
      </w:r>
      <w:r>
        <w:rPr>
          <w:rFonts w:ascii="Times New Roman" w:hAnsi="Times New Roman" w:cs="Times New Roman" w:eastAsia="Times New Roman" w:hint="default"/>
          <w:sz w:val="24"/>
          <w:szCs w:val="24"/>
        </w:rPr>
        <w:t>2</w:t>
      </w:r>
      <w:r>
        <w:rPr>
          <w:rFonts w:ascii="黑体" w:hAnsi="黑体" w:cs="黑体" w:eastAsia="黑体" w:hint="default"/>
          <w:sz w:val="24"/>
          <w:szCs w:val="24"/>
        </w:rPr>
        <w:t>）各类预计负债的计量方法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256" w:lineRule="exact"/>
        <w:ind w:right="11"/>
        <w:jc w:val="left"/>
      </w:pPr>
      <w:r>
        <w:rPr/>
        <w:t>于货币时间价值影响重大的，通过对相关未来现金流出进行折现后确定最佳估计数。</w:t>
      </w:r>
    </w:p>
    <w:p>
      <w:pPr>
        <w:spacing w:line="240" w:lineRule="auto" w:before="7"/>
        <w:rPr>
          <w:rFonts w:ascii="宋体" w:hAnsi="宋体" w:cs="宋体" w:eastAsia="宋体" w:hint="default"/>
          <w:sz w:val="22"/>
          <w:szCs w:val="22"/>
        </w:rPr>
      </w:pPr>
    </w:p>
    <w:p>
      <w:pPr>
        <w:pStyle w:val="BodyText"/>
        <w:spacing w:line="240" w:lineRule="auto"/>
        <w:ind w:left="573" w:right="11"/>
        <w:jc w:val="left"/>
      </w:pPr>
      <w:r>
        <w:rPr/>
        <w:t>最佳估计数分别以下情况处理：</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209" w:firstLine="420"/>
        <w:jc w:val="left"/>
      </w:pPr>
      <w:r>
        <w:rPr>
          <w:spacing w:val="-2"/>
          <w:w w:val="100"/>
        </w:rPr>
        <w:t>所需支出存在一个连续范围（或区间），且该范围内各种结果发生的可能性相同的，则最佳估计数按</w:t>
      </w:r>
      <w:r>
        <w:rPr>
          <w:w w:val="100"/>
        </w:rPr>
        <w:t> </w:t>
      </w:r>
      <w:r>
        <w:rPr/>
        <w:t>照该范围的中间值即上下限金额的平均数确定。</w:t>
      </w:r>
    </w:p>
    <w:p>
      <w:pPr>
        <w:pStyle w:val="BodyText"/>
        <w:spacing w:line="408" w:lineRule="auto" w:before="147"/>
        <w:ind w:right="206" w:firstLine="420"/>
        <w:jc w:val="both"/>
      </w:pPr>
      <w:r>
        <w:rPr>
          <w:spacing w:val="-2"/>
          <w:w w:val="100"/>
        </w:rPr>
        <w:t>所需支出不存在一个连续范围（或区间），或虽然存在一个连续范围但该范围内各种结果发生的可能</w:t>
      </w:r>
      <w:r>
        <w:rPr>
          <w:w w:val="100"/>
        </w:rPr>
        <w:t> </w:t>
      </w: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before="144"/>
        <w:ind w:right="10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pStyle w:val="Heading3"/>
        <w:spacing w:line="240" w:lineRule="auto" w:before="179"/>
        <w:ind w:right="0"/>
        <w:jc w:val="both"/>
      </w:pPr>
      <w:r>
        <w:rPr>
          <w:rFonts w:ascii="Times New Roman" w:hAnsi="Times New Roman" w:cs="Times New Roman" w:eastAsia="Times New Roman" w:hint="default"/>
        </w:rPr>
        <w:t>26</w:t>
      </w:r>
      <w:r>
        <w:rPr/>
        <w:t>、股份支付</w:t>
      </w:r>
    </w:p>
    <w:p>
      <w:pPr>
        <w:spacing w:line="240" w:lineRule="auto" w:before="1"/>
        <w:rPr>
          <w:rFonts w:ascii="黑体" w:hAnsi="黑体" w:cs="黑体" w:eastAsia="黑体" w:hint="default"/>
          <w:sz w:val="24"/>
          <w:szCs w:val="24"/>
        </w:rPr>
      </w:pPr>
    </w:p>
    <w:p>
      <w:pPr>
        <w:pStyle w:val="BodyText"/>
        <w:spacing w:line="386" w:lineRule="auto"/>
        <w:ind w:right="100" w:firstLine="42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w:t>
      </w:r>
      <w:r>
        <w:rPr>
          <w:w w:val="100"/>
        </w:rPr>
        <w:t> </w:t>
      </w:r>
      <w:r>
        <w:rPr/>
        <w:t>定的负债的交易。本公司的股份支付分为以权益结算的股份支付和以现金结算的股份支付。</w:t>
      </w:r>
    </w:p>
    <w:p>
      <w:pPr>
        <w:spacing w:line="240" w:lineRule="auto" w:before="4"/>
        <w:rPr>
          <w:rFonts w:ascii="宋体" w:hAnsi="宋体" w:cs="宋体" w:eastAsia="宋体" w:hint="default"/>
          <w:sz w:val="14"/>
          <w:szCs w:val="14"/>
        </w:rPr>
      </w:pPr>
    </w:p>
    <w:p>
      <w:pPr>
        <w:spacing w:line="482" w:lineRule="auto" w:before="0"/>
        <w:ind w:left="573"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以权益结算的股份支付换取职工提供服务的，以授予职工权益工具的公允价值计量。本公司以限制性</w:t>
      </w:r>
    </w:p>
    <w:p>
      <w:pPr>
        <w:pStyle w:val="BodyText"/>
        <w:spacing w:line="256" w:lineRule="exact"/>
        <w:ind w:right="0"/>
        <w:jc w:val="both"/>
      </w:pPr>
      <w:r>
        <w:rPr/>
        <w:t>股票进行股份支付的，职工出资认购股票，股票在达到解锁条件并解锁前不得上市流通或转让；如果最终</w:t>
      </w:r>
    </w:p>
    <w:p>
      <w:pPr>
        <w:spacing w:line="240" w:lineRule="auto" w:before="10"/>
        <w:rPr>
          <w:rFonts w:ascii="宋体" w:hAnsi="宋体" w:cs="宋体" w:eastAsia="宋体" w:hint="default"/>
          <w:sz w:val="14"/>
          <w:szCs w:val="14"/>
        </w:rPr>
      </w:pPr>
    </w:p>
    <w:p>
      <w:pPr>
        <w:pStyle w:val="BodyText"/>
        <w:spacing w:line="400" w:lineRule="auto"/>
        <w:ind w:right="206"/>
        <w:jc w:val="both"/>
      </w:pPr>
      <w:r>
        <w:rPr>
          <w:spacing w:val="-2"/>
        </w:rPr>
        <w:t>股权激励计划规定的解锁条件未能达到，则本公司按照事先约定的价格回购股票。本公司取得职工认购限</w:t>
      </w:r>
      <w:r>
        <w:rPr>
          <w:spacing w:val="-42"/>
        </w:rPr>
        <w:t> </w:t>
      </w:r>
      <w:r>
        <w:rPr>
          <w:spacing w:val="-42"/>
        </w:rPr>
      </w:r>
      <w:r>
        <w:rPr>
          <w:spacing w:val="-2"/>
          <w:w w:val="100"/>
        </w:rPr>
        <w:t>制性股票支付的款项时，按照取得的认股款确认股本和资本公积（股本溢价），同时就回购义务全额确认</w:t>
      </w:r>
      <w:r>
        <w:rPr>
          <w:spacing w:val="-94"/>
          <w:w w:val="100"/>
        </w:rPr>
        <w:t> </w:t>
      </w:r>
      <w:r>
        <w:rPr>
          <w:spacing w:val="-94"/>
          <w:w w:val="100"/>
        </w:rPr>
      </w:r>
      <w:r>
        <w:rPr>
          <w:spacing w:val="-7"/>
        </w:rPr>
        <w:t>一项负债并确认库存股。在等待期内每个资产负债表日，本公司根据最新取得的</w:t>
      </w:r>
      <w:r>
        <w:rPr>
          <w:rFonts w:ascii="Times New Roman" w:hAnsi="Times New Roman" w:cs="Times New Roman" w:eastAsia="Times New Roman" w:hint="default"/>
          <w:spacing w:val="-7"/>
        </w:rPr>
        <w:t>[</w:t>
      </w:r>
      <w:r>
        <w:rPr>
          <w:spacing w:val="-7"/>
        </w:rPr>
        <w:t>可行权职工人数变动</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是</w:t>
      </w:r>
      <w:r>
        <w:rPr>
          <w:spacing w:val="-3"/>
        </w:rPr>
        <w:t> </w:t>
      </w:r>
      <w:r>
        <w:rPr>
          <w:spacing w:val="-4"/>
        </w:rPr>
        <w:t>否达到规定业绩条件</w:t>
      </w:r>
      <w:r>
        <w:rPr>
          <w:rFonts w:ascii="Times New Roman" w:hAnsi="Times New Roman" w:cs="Times New Roman" w:eastAsia="Times New Roman" w:hint="default"/>
          <w:spacing w:val="-4"/>
        </w:rPr>
        <w:t>]</w:t>
      </w:r>
      <w:r>
        <w:rPr>
          <w:spacing w:val="-4"/>
        </w:rPr>
        <w:t>等后续信息对可行权权益工具数量作出最佳估计，以此为基础，按照授予日的公允价</w:t>
      </w:r>
      <w:r>
        <w:rPr>
          <w:spacing w:val="-20"/>
        </w:rPr>
        <w:t> </w:t>
      </w:r>
      <w:r>
        <w:rPr>
          <w:spacing w:val="-20"/>
        </w:rPr>
      </w:r>
      <w:r>
        <w:rPr>
          <w:spacing w:val="-2"/>
        </w:rPr>
        <w:t>值，将当期取得的服务计入相关成本或费用，相应增加资本公积。在可行权日之后不再对已确认的相关成</w:t>
      </w:r>
      <w:r>
        <w:rPr>
          <w:spacing w:val="-43"/>
        </w:rPr>
        <w:t> </w:t>
      </w:r>
      <w:r>
        <w:rPr>
          <w:spacing w:val="-43"/>
        </w:rPr>
      </w:r>
      <w:r>
        <w:rPr>
          <w:spacing w:val="-2"/>
        </w:rPr>
        <w:t>本或费用和所有者权益总额进行调整。但授予后立即可行权的，在授予日按照公允价值计入相关成本或费</w:t>
      </w:r>
      <w:r>
        <w:rPr>
          <w:spacing w:val="-44"/>
        </w:rPr>
        <w:t> </w:t>
      </w:r>
      <w:r>
        <w:rPr>
          <w:spacing w:val="-44"/>
        </w:rPr>
      </w:r>
      <w:r>
        <w:rPr/>
        <w:t>用，相应增加资本公积。</w:t>
      </w:r>
    </w:p>
    <w:p>
      <w:pPr>
        <w:pStyle w:val="BodyText"/>
        <w:spacing w:line="408" w:lineRule="auto" w:before="153"/>
        <w:ind w:right="100"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408" w:lineRule="auto" w:before="144"/>
        <w:ind w:right="100"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408" w:lineRule="auto" w:before="147"/>
        <w:ind w:right="100"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spacing w:val="2"/>
        </w:rPr>
        <w:t>如果授予新的权益工具，并在新权益工具授予日认定所授予的新权益工具是用于替代被取消的权益工具</w:t>
      </w:r>
    </w:p>
    <w:p>
      <w:pPr>
        <w:spacing w:after="0" w:line="408"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499" w:lineRule="auto" w:before="36"/>
        <w:ind w:left="573" w:right="11" w:hanging="421"/>
        <w:jc w:val="left"/>
      </w:pPr>
      <w:r>
        <w:rPr/>
        <w:t>的，则以与处理原权益工具条款和条件修改相同的方式，对所授予的替代权益工具进行处理。</w:t>
      </w:r>
      <w:r>
        <w:rPr>
          <w:w w:val="100"/>
        </w:rPr>
        <w:t> </w:t>
      </w:r>
      <w:r>
        <w:rPr>
          <w:rFonts w:ascii="Times New Roman" w:hAnsi="Times New Roman" w:cs="Times New Roman" w:eastAsia="Times New Roman" w:hint="default"/>
          <w:b/>
          <w:bCs/>
        </w:rPr>
        <w:t>2</w:t>
      </w:r>
      <w:r>
        <w:rPr>
          <w:rFonts w:ascii="宋体" w:hAnsi="宋体" w:cs="宋体" w:eastAsia="宋体" w:hint="default"/>
          <w:b/>
          <w:bCs/>
        </w:rPr>
        <w:t>、以现金结算的股份支付及权益工具</w:t>
      </w:r>
      <w:r>
        <w:rPr>
          <w:rFonts w:ascii="宋体" w:hAnsi="宋体" w:cs="宋体" w:eastAsia="宋体" w:hint="default"/>
          <w:b/>
          <w:bCs/>
          <w:w w:val="100"/>
        </w:rPr>
        <w:t> </w:t>
      </w:r>
      <w:r>
        <w:rPr>
          <w:spacing w:val="-2"/>
        </w:rPr>
        <w:t>以现金结算的股份支付，按照本公司承担的以股份或其他权益工具为基础计算确定的负债的公允价值</w:t>
      </w:r>
    </w:p>
    <w:p>
      <w:pPr>
        <w:pStyle w:val="BodyText"/>
        <w:spacing w:line="257" w:lineRule="exact"/>
        <w:ind w:right="11"/>
        <w:jc w:val="left"/>
      </w:pPr>
      <w:r>
        <w:rPr>
          <w:spacing w:val="-5"/>
        </w:rPr>
        <w:t>计量。初始采用 </w:t>
      </w:r>
      <w:r>
        <w:rPr>
          <w:rFonts w:ascii="Times New Roman" w:hAnsi="Times New Roman" w:cs="Times New Roman" w:eastAsia="Times New Roman" w:hint="default"/>
        </w:rPr>
        <w:t>BlackScholes </w:t>
      </w:r>
      <w:r>
        <w:rPr>
          <w:spacing w:val="-6"/>
        </w:rPr>
        <w:t>模型（</w:t>
      </w:r>
      <w:r>
        <w:rPr>
          <w:rFonts w:ascii="Times New Roman" w:hAnsi="Times New Roman" w:cs="Times New Roman" w:eastAsia="Times New Roman" w:hint="default"/>
          <w:spacing w:val="-6"/>
        </w:rPr>
        <w:t>BS</w:t>
      </w:r>
      <w:r>
        <w:rPr>
          <w:rFonts w:ascii="Times New Roman" w:hAnsi="Times New Roman" w:cs="Times New Roman" w:eastAsia="Times New Roman" w:hint="default"/>
          <w:spacing w:val="5"/>
        </w:rPr>
        <w:t> </w:t>
      </w:r>
      <w:r>
        <w:rPr>
          <w:spacing w:val="-4"/>
        </w:rPr>
        <w:t>模型）模型按照授予日的公允价值计量，并考虑授予权益工具的条</w:t>
      </w:r>
    </w:p>
    <w:p>
      <w:pPr>
        <w:pStyle w:val="BodyText"/>
        <w:spacing w:line="403" w:lineRule="auto" w:before="177"/>
        <w:ind w:right="146"/>
        <w:jc w:val="both"/>
      </w:pPr>
      <w:r>
        <w:rPr>
          <w:spacing w:val="-2"/>
        </w:rPr>
        <w:t>款和条件，详见本附注</w:t>
      </w:r>
      <w:r>
        <w:rPr>
          <w:rFonts w:ascii="Times New Roman" w:hAnsi="Times New Roman" w:cs="Times New Roman" w:eastAsia="Times New Roman" w:hint="default"/>
          <w:spacing w:val="-2"/>
        </w:rPr>
        <w:t>“</w:t>
      </w:r>
      <w:r>
        <w:rPr>
          <w:spacing w:val="-2"/>
        </w:rPr>
        <w:t>十一、股份支付</w:t>
      </w:r>
      <w:r>
        <w:rPr>
          <w:rFonts w:ascii="Times New Roman" w:hAnsi="Times New Roman" w:cs="Times New Roman" w:eastAsia="Times New Roman" w:hint="default"/>
          <w:spacing w:val="-2"/>
        </w:rPr>
        <w:t>”</w:t>
      </w:r>
      <w:r>
        <w:rPr>
          <w:spacing w:val="-2"/>
        </w:rPr>
        <w:t>。授予后立即可行权的，在授予日以承担负债的公允价值计入成</w:t>
      </w:r>
      <w:r>
        <w:rPr>
          <w:spacing w:val="-21"/>
        </w:rPr>
        <w:t> </w:t>
      </w:r>
      <w:r>
        <w:rPr>
          <w:spacing w:val="-21"/>
        </w:rPr>
      </w:r>
      <w:r>
        <w:rPr>
          <w:spacing w:val="-2"/>
        </w:rPr>
        <w:t>本或费用，相应增加负债；完成等待期内的服务或达到规定业绩条件才可行权的，在等待期内以对可行权</w:t>
      </w:r>
      <w:r>
        <w:rPr>
          <w:spacing w:val="-45"/>
        </w:rPr>
        <w:t> </w:t>
      </w:r>
      <w:r>
        <w:rPr>
          <w:spacing w:val="-45"/>
        </w:rPr>
      </w:r>
      <w:r>
        <w:rPr>
          <w:spacing w:val="-2"/>
        </w:rPr>
        <w:t>情况的最佳估计为基础，按照承担负债的公允价值，将当期取得的服务计入相关成本或费用，增加相应负</w:t>
      </w:r>
      <w:r>
        <w:rPr>
          <w:spacing w:val="-44"/>
        </w:rPr>
        <w:t> </w:t>
      </w:r>
      <w:r>
        <w:rPr>
          <w:spacing w:val="-44"/>
        </w:rPr>
      </w:r>
      <w:r>
        <w:rPr>
          <w:spacing w:val="-2"/>
        </w:rPr>
        <w:t>债。在相关负债结算前的每个资产负债表日以及结算日，对负债的公允价值重新计量，其变动计入当期损</w:t>
      </w:r>
      <w:r>
        <w:rPr>
          <w:spacing w:val="-44"/>
        </w:rPr>
        <w:t> </w:t>
      </w:r>
      <w:r>
        <w:rPr>
          <w:spacing w:val="-44"/>
        </w:rPr>
      </w:r>
      <w:r>
        <w:rPr/>
        <w:t>益。</w:t>
      </w:r>
    </w:p>
    <w:p>
      <w:pPr>
        <w:spacing w:line="240" w:lineRule="auto" w:before="0"/>
        <w:rPr>
          <w:rFonts w:ascii="宋体" w:hAnsi="宋体" w:cs="宋体" w:eastAsia="宋体" w:hint="default"/>
          <w:sz w:val="14"/>
          <w:szCs w:val="14"/>
        </w:rPr>
      </w:pPr>
    </w:p>
    <w:p>
      <w:pPr>
        <w:pStyle w:val="Heading3"/>
        <w:spacing w:line="240" w:lineRule="auto"/>
        <w:ind w:right="11"/>
        <w:jc w:val="left"/>
      </w:pPr>
      <w:r>
        <w:rPr>
          <w:rFonts w:ascii="Times New Roman" w:hAnsi="Times New Roman" w:cs="Times New Roman" w:eastAsia="Times New Roman" w:hint="default"/>
        </w:rPr>
        <w:t>27</w:t>
      </w:r>
      <w:r>
        <w:rPr/>
        <w:t>、优先股、永续债等其他金融工具</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28</w:t>
      </w:r>
      <w:r>
        <w:rPr/>
        <w:t>、收入</w:t>
      </w:r>
    </w:p>
    <w:p>
      <w:pPr>
        <w:spacing w:line="240" w:lineRule="auto" w:before="4"/>
        <w:rPr>
          <w:rFonts w:ascii="黑体" w:hAnsi="黑体" w:cs="黑体" w:eastAsia="黑体" w:hint="default"/>
          <w:sz w:val="24"/>
          <w:szCs w:val="24"/>
        </w:rPr>
      </w:pPr>
    </w:p>
    <w:p>
      <w:pPr>
        <w:pStyle w:val="BodyText"/>
        <w:spacing w:line="494" w:lineRule="auto"/>
        <w:ind w:left="573" w:right="5647"/>
        <w:jc w:val="left"/>
      </w:pPr>
      <w:r>
        <w:rPr>
          <w:spacing w:val="-2"/>
        </w:rPr>
        <w:t>公司是否需要遵守特殊行业的披露要求</w:t>
      </w:r>
      <w:r>
        <w:rPr>
          <w:spacing w:val="-72"/>
        </w:rPr>
        <w:t> </w:t>
      </w:r>
      <w:r>
        <w:rPr>
          <w:spacing w:val="-72"/>
        </w:rPr>
      </w:r>
      <w:r>
        <w:rPr/>
        <w:t>否</w:t>
      </w:r>
    </w:p>
    <w:p>
      <w:pPr>
        <w:pStyle w:val="Heading4"/>
        <w:spacing w:line="240" w:lineRule="auto" w:before="93"/>
        <w:ind w:right="11"/>
        <w:jc w:val="left"/>
        <w:rPr>
          <w:b w:val="0"/>
          <w:bCs w:val="0"/>
        </w:rPr>
      </w:pPr>
      <w:r>
        <w:rPr>
          <w:rFonts w:ascii="Times New Roman" w:hAnsi="Times New Roman" w:cs="Times New Roman" w:eastAsia="Times New Roman" w:hint="default"/>
        </w:rPr>
        <w:t>1</w:t>
      </w:r>
      <w:r>
        <w:rPr/>
        <w:t>、销售商品收入确认的一般原则：</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left="573" w:right="11"/>
        <w:jc w:val="left"/>
      </w:pPr>
      <w:r>
        <w:rPr/>
        <w:t>（</w:t>
      </w:r>
      <w:r>
        <w:rPr>
          <w:rFonts w:ascii="Times New Roman" w:hAnsi="Times New Roman" w:cs="Times New Roman" w:eastAsia="Times New Roman" w:hint="default"/>
        </w:rPr>
        <w:t>1</w:t>
      </w:r>
      <w:r>
        <w:rPr/>
        <w:t>）本公司已将商品所有权上的主要风险和报酬转移给购货方；</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3</w:t>
      </w:r>
      <w:r>
        <w:rPr/>
        <w:t>）收入的金额能够可靠地计量；</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4</w:t>
      </w:r>
      <w:r>
        <w:rPr/>
        <w:t>）相关的经济利益很可能流入本公司；</w:t>
      </w:r>
    </w:p>
    <w:p>
      <w:pPr>
        <w:spacing w:line="240" w:lineRule="auto" w:before="3"/>
        <w:rPr>
          <w:rFonts w:ascii="宋体" w:hAnsi="宋体" w:cs="宋体" w:eastAsia="宋体" w:hint="default"/>
          <w:sz w:val="21"/>
          <w:szCs w:val="21"/>
        </w:rPr>
      </w:pPr>
    </w:p>
    <w:p>
      <w:pPr>
        <w:spacing w:line="484" w:lineRule="auto" w:before="0"/>
        <w:ind w:left="573" w:right="18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、销售商品收入确认具体原则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本公司销售商品收入确认的确认标准及收入确认时间的具体判断标准：</w:t>
      </w:r>
    </w:p>
    <w:p>
      <w:pPr>
        <w:pStyle w:val="BodyText"/>
        <w:spacing w:line="408" w:lineRule="auto" w:before="79"/>
        <w:ind w:right="11" w:firstLine="420"/>
        <w:jc w:val="left"/>
      </w:pPr>
      <w:r>
        <w:rPr>
          <w:spacing w:val="-2"/>
        </w:rPr>
        <w:t>嵌入式系统测试产品和嵌入式工业智能移动终端：需要安装调试的为产品交付购货方、安装调试结束</w:t>
      </w:r>
      <w:r>
        <w:rPr>
          <w:w w:val="100"/>
        </w:rPr>
        <w:t> </w:t>
      </w:r>
      <w:r>
        <w:rPr/>
        <w:t>并经对方验收合格后确认收入；不需要安装调试的为产品交付购货方、经对方签收后确认收入。</w:t>
      </w:r>
    </w:p>
    <w:p>
      <w:pPr>
        <w:pStyle w:val="BodyText"/>
        <w:spacing w:line="240" w:lineRule="auto" w:before="145"/>
        <w:ind w:left="573" w:right="11"/>
        <w:jc w:val="left"/>
      </w:pPr>
      <w:r>
        <w:rPr>
          <w:w w:val="100"/>
        </w:rPr>
        <w:t>嵌入</w:t>
      </w:r>
      <w:r>
        <w:rPr>
          <w:spacing w:val="-3"/>
          <w:w w:val="100"/>
        </w:rPr>
        <w:t>式</w:t>
      </w:r>
      <w:r>
        <w:rPr>
          <w:w w:val="100"/>
        </w:rPr>
        <w:t>税</w:t>
      </w:r>
      <w:r>
        <w:rPr>
          <w:spacing w:val="-3"/>
          <w:w w:val="100"/>
        </w:rPr>
        <w:t>务</w:t>
      </w:r>
      <w:r>
        <w:rPr>
          <w:w w:val="100"/>
        </w:rPr>
        <w:t>信</w:t>
      </w:r>
      <w:r>
        <w:rPr>
          <w:spacing w:val="-3"/>
          <w:w w:val="100"/>
        </w:rPr>
        <w:t>息</w:t>
      </w:r>
      <w:r>
        <w:rPr>
          <w:w w:val="100"/>
        </w:rPr>
        <w:t>化</w:t>
      </w:r>
      <w:r>
        <w:rPr>
          <w:spacing w:val="-3"/>
          <w:w w:val="100"/>
        </w:rPr>
        <w:t>产</w:t>
      </w:r>
      <w:r>
        <w:rPr>
          <w:w w:val="100"/>
        </w:rPr>
        <w:t>品</w:t>
      </w:r>
      <w:r>
        <w:rPr>
          <w:spacing w:val="-3"/>
          <w:w w:val="100"/>
        </w:rPr>
        <w:t>（</w:t>
      </w:r>
      <w:r>
        <w:rPr>
          <w:w w:val="100"/>
        </w:rPr>
        <w:t>包括</w:t>
      </w:r>
      <w:r>
        <w:rPr>
          <w:spacing w:val="-55"/>
        </w:rPr>
        <w:t> </w:t>
      </w:r>
      <w:r>
        <w:rPr>
          <w:rFonts w:ascii="Times New Roman" w:hAnsi="Times New Roman" w:cs="Times New Roman" w:eastAsia="Times New Roman" w:hint="default"/>
          <w:w w:val="100"/>
        </w:rPr>
        <w:t>U</w:t>
      </w:r>
      <w:r>
        <w:rPr>
          <w:rFonts w:ascii="Times New Roman" w:hAnsi="Times New Roman" w:cs="Times New Roman" w:eastAsia="Times New Roman" w:hint="default"/>
          <w:spacing w:val="-3"/>
          <w:w w:val="100"/>
        </w:rPr>
        <w:t>S</w:t>
      </w:r>
      <w:r>
        <w:rPr>
          <w:rFonts w:ascii="Times New Roman" w:hAnsi="Times New Roman" w:cs="Times New Roman" w:eastAsia="Times New Roman" w:hint="default"/>
          <w:w w:val="100"/>
        </w:rPr>
        <w:t>B</w:t>
      </w:r>
      <w:r>
        <w:rPr>
          <w:rFonts w:ascii="Times New Roman" w:hAnsi="Times New Roman" w:cs="Times New Roman" w:eastAsia="Times New Roman" w:hint="default"/>
          <w:spacing w:val="-4"/>
          <w:w w:val="100"/>
        </w:rPr>
        <w:t>K</w:t>
      </w:r>
      <w:r>
        <w:rPr>
          <w:rFonts w:ascii="Times New Roman" w:hAnsi="Times New Roman" w:cs="Times New Roman" w:eastAsia="Times New Roman" w:hint="default"/>
          <w:w w:val="100"/>
        </w:rPr>
        <w:t>E</w:t>
      </w:r>
      <w:r>
        <w:rPr>
          <w:rFonts w:ascii="Times New Roman" w:hAnsi="Times New Roman" w:cs="Times New Roman" w:eastAsia="Times New Roman" w:hint="default"/>
          <w:spacing w:val="-1"/>
          <w:w w:val="100"/>
        </w:rPr>
        <w:t>Y</w:t>
      </w:r>
      <w:r>
        <w:rPr>
          <w:w w:val="100"/>
        </w:rPr>
        <w:t>、</w:t>
      </w:r>
      <w:r>
        <w:rPr>
          <w:spacing w:val="-3"/>
          <w:w w:val="100"/>
        </w:rPr>
        <w:t>税</w:t>
      </w:r>
      <w:r>
        <w:rPr>
          <w:w w:val="100"/>
        </w:rPr>
        <w:t>务</w:t>
      </w:r>
      <w:r>
        <w:rPr>
          <w:spacing w:val="-3"/>
          <w:w w:val="100"/>
        </w:rPr>
        <w:t>信息</w:t>
      </w:r>
      <w:r>
        <w:rPr>
          <w:w w:val="100"/>
        </w:rPr>
        <w:t>化</w:t>
      </w:r>
      <w:r>
        <w:rPr>
          <w:spacing w:val="-106"/>
          <w:w w:val="100"/>
        </w:rPr>
        <w:t>）</w:t>
      </w:r>
      <w:r>
        <w:rPr>
          <w:spacing w:val="-3"/>
          <w:w w:val="100"/>
        </w:rPr>
        <w:t>：</w:t>
      </w:r>
      <w:r>
        <w:rPr>
          <w:w w:val="100"/>
        </w:rPr>
        <w:t>产</w:t>
      </w:r>
      <w:r>
        <w:rPr>
          <w:spacing w:val="-3"/>
          <w:w w:val="100"/>
        </w:rPr>
        <w:t>品</w:t>
      </w:r>
      <w:r>
        <w:rPr>
          <w:w w:val="100"/>
        </w:rPr>
        <w:t>交</w:t>
      </w:r>
      <w:r>
        <w:rPr>
          <w:spacing w:val="-3"/>
          <w:w w:val="100"/>
        </w:rPr>
        <w:t>付</w:t>
      </w:r>
      <w:r>
        <w:rPr>
          <w:w w:val="100"/>
        </w:rPr>
        <w:t>购</w:t>
      </w:r>
      <w:r>
        <w:rPr>
          <w:spacing w:val="-3"/>
          <w:w w:val="100"/>
        </w:rPr>
        <w:t>货</w:t>
      </w:r>
      <w:r>
        <w:rPr>
          <w:w w:val="100"/>
        </w:rPr>
        <w:t>方</w:t>
      </w:r>
      <w:r>
        <w:rPr>
          <w:spacing w:val="-3"/>
          <w:w w:val="100"/>
        </w:rPr>
        <w:t>、经</w:t>
      </w:r>
      <w:r>
        <w:rPr>
          <w:w w:val="100"/>
        </w:rPr>
        <w:t>对方</w:t>
      </w:r>
      <w:r>
        <w:rPr>
          <w:spacing w:val="-3"/>
          <w:w w:val="100"/>
        </w:rPr>
        <w:t>签</w:t>
      </w:r>
      <w:r>
        <w:rPr>
          <w:w w:val="100"/>
        </w:rPr>
        <w:t>收</w:t>
      </w:r>
      <w:r>
        <w:rPr>
          <w:spacing w:val="-3"/>
          <w:w w:val="100"/>
        </w:rPr>
        <w:t>后</w:t>
      </w:r>
      <w:r>
        <w:rPr>
          <w:w w:val="100"/>
        </w:rPr>
        <w:t>确</w:t>
      </w:r>
      <w:r>
        <w:rPr>
          <w:spacing w:val="-3"/>
          <w:w w:val="100"/>
        </w:rPr>
        <w:t>认</w:t>
      </w:r>
      <w:r>
        <w:rPr>
          <w:w w:val="100"/>
        </w:rPr>
        <w:t>收</w:t>
      </w:r>
      <w:r>
        <w:rPr>
          <w:spacing w:val="-3"/>
          <w:w w:val="100"/>
        </w:rPr>
        <w:t>入</w:t>
      </w:r>
      <w:r>
        <w:rPr>
          <w:w w:val="100"/>
        </w:rPr>
        <w:t>。</w:t>
      </w:r>
    </w:p>
    <w:p>
      <w:pPr>
        <w:spacing w:after="0" w:line="240" w:lineRule="auto"/>
        <w:jc w:val="left"/>
        <w:sectPr>
          <w:pgSz w:w="11910" w:h="16840"/>
          <w:pgMar w:header="882" w:footer="1132" w:top="1280" w:bottom="1320" w:left="980" w:right="980"/>
        </w:sectPr>
      </w:pPr>
    </w:p>
    <w:p>
      <w:pPr>
        <w:spacing w:line="240" w:lineRule="auto" w:before="7"/>
        <w:rPr>
          <w:rFonts w:ascii="宋体" w:hAnsi="宋体" w:cs="宋体" w:eastAsia="宋体" w:hint="default"/>
          <w:sz w:val="13"/>
          <w:szCs w:val="13"/>
        </w:rPr>
      </w:pPr>
    </w:p>
    <w:p>
      <w:pPr>
        <w:spacing w:line="482" w:lineRule="auto" w:before="36"/>
        <w:ind w:left="573" w:right="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、建造合同收入的确认依据和方法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当建造合同的结果能够可靠地估计时，与其相关的合同收入和合同费用在资产负债表日按完工百分比</w:t>
      </w:r>
    </w:p>
    <w:p>
      <w:pPr>
        <w:pStyle w:val="BodyText"/>
        <w:spacing w:line="256" w:lineRule="exact"/>
        <w:ind w:right="0"/>
        <w:jc w:val="both"/>
      </w:pPr>
      <w:r>
        <w:rPr/>
        <w:t>法予以确认。完工百分比法，是指根据合同完工进度确认合同收入和合同费用的方法。合同完工进度按照</w:t>
      </w:r>
    </w:p>
    <w:p>
      <w:pPr>
        <w:spacing w:line="240" w:lineRule="auto" w:before="10"/>
        <w:rPr>
          <w:rFonts w:ascii="宋体" w:hAnsi="宋体" w:cs="宋体" w:eastAsia="宋体" w:hint="default"/>
          <w:sz w:val="14"/>
          <w:szCs w:val="14"/>
        </w:rPr>
      </w:pPr>
    </w:p>
    <w:p>
      <w:pPr>
        <w:pStyle w:val="BodyText"/>
        <w:spacing w:line="496" w:lineRule="auto"/>
        <w:ind w:left="573" w:right="11" w:hanging="421"/>
        <w:jc w:val="left"/>
      </w:pPr>
      <w:r>
        <w:rPr/>
        <w:t>累计实际发生的合同费用占合同预计总成本的比例确定。</w:t>
      </w:r>
      <w:r>
        <w:rPr>
          <w:w w:val="100"/>
        </w:rPr>
        <w:t> </w:t>
      </w:r>
      <w:r>
        <w:rPr>
          <w:spacing w:val="-2"/>
        </w:rPr>
        <w:t>固定造价合同的结果能够可靠估计，是指同时满足下列条件：</w:t>
      </w:r>
    </w:p>
    <w:p>
      <w:pPr>
        <w:pStyle w:val="BodyText"/>
        <w:spacing w:line="240" w:lineRule="auto" w:before="67"/>
        <w:ind w:left="573" w:right="11"/>
        <w:jc w:val="left"/>
      </w:pPr>
      <w:r>
        <w:rPr/>
        <w:t>（</w:t>
      </w:r>
      <w:r>
        <w:rPr>
          <w:rFonts w:ascii="Times New Roman" w:hAnsi="Times New Roman" w:cs="Times New Roman" w:eastAsia="Times New Roman" w:hint="default"/>
        </w:rPr>
        <w:t>1</w:t>
      </w:r>
      <w:r>
        <w:rPr/>
        <w:t>）合同总收入能够可靠地计量；</w:t>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2</w:t>
      </w:r>
      <w:r>
        <w:rPr/>
        <w:t>）与合同相关的经济利益很可能流入企业；</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t>（</w:t>
      </w:r>
      <w:r>
        <w:rPr>
          <w:rFonts w:ascii="Times New Roman" w:hAnsi="Times New Roman" w:cs="Times New Roman" w:eastAsia="Times New Roman" w:hint="default"/>
        </w:rPr>
        <w:t>3</w:t>
      </w:r>
      <w:r>
        <w:rPr/>
        <w:t>）实际发生的合同成本能够清楚地区分和可靠地计量；</w:t>
      </w:r>
    </w:p>
    <w:p>
      <w:pPr>
        <w:spacing w:line="240" w:lineRule="auto" w:before="1"/>
        <w:rPr>
          <w:rFonts w:ascii="宋体" w:hAnsi="宋体" w:cs="宋体" w:eastAsia="宋体" w:hint="default"/>
          <w:sz w:val="21"/>
          <w:szCs w:val="21"/>
        </w:rPr>
      </w:pPr>
    </w:p>
    <w:p>
      <w:pPr>
        <w:pStyle w:val="BodyText"/>
        <w:spacing w:line="470" w:lineRule="auto"/>
        <w:ind w:left="573" w:right="11"/>
        <w:jc w:val="left"/>
      </w:pPr>
      <w:r>
        <w:rPr>
          <w:spacing w:val="-2"/>
        </w:rPr>
        <w:t>（</w:t>
      </w:r>
      <w:r>
        <w:rPr>
          <w:rFonts w:ascii="Times New Roman" w:hAnsi="Times New Roman" w:cs="Times New Roman" w:eastAsia="Times New Roman" w:hint="default"/>
          <w:spacing w:val="-2"/>
        </w:rPr>
        <w:t>4</w:t>
      </w:r>
      <w:r>
        <w:rPr>
          <w:spacing w:val="-2"/>
        </w:rPr>
        <w:t>）合同完工进度和为完成合同尚需发生的成本能够可靠地确定。</w:t>
      </w:r>
      <w:r>
        <w:rPr>
          <w:spacing w:val="-49"/>
        </w:rPr>
        <w:t> </w:t>
      </w:r>
      <w:r>
        <w:rPr>
          <w:spacing w:val="-49"/>
        </w:rPr>
      </w:r>
      <w:r>
        <w:rPr/>
        <w:t>成本加成合同的结果能够可靠估计，是指同时满足下列条件：</w:t>
      </w:r>
    </w:p>
    <w:p>
      <w:pPr>
        <w:pStyle w:val="BodyText"/>
        <w:spacing w:line="240" w:lineRule="auto" w:before="92"/>
        <w:ind w:left="573" w:right="11"/>
        <w:jc w:val="left"/>
      </w:pPr>
      <w:r>
        <w:rPr/>
        <w:t>（</w:t>
      </w:r>
      <w:r>
        <w:rPr>
          <w:rFonts w:ascii="Times New Roman" w:hAnsi="Times New Roman" w:cs="Times New Roman" w:eastAsia="Times New Roman" w:hint="default"/>
        </w:rPr>
        <w:t>1</w:t>
      </w:r>
      <w:r>
        <w:rPr/>
        <w:t>）与合同相关的经济利益很可能流入企业；</w:t>
      </w:r>
    </w:p>
    <w:p>
      <w:pPr>
        <w:spacing w:line="240" w:lineRule="auto" w:before="1"/>
        <w:rPr>
          <w:rFonts w:ascii="宋体" w:hAnsi="宋体" w:cs="宋体" w:eastAsia="宋体" w:hint="default"/>
          <w:sz w:val="21"/>
          <w:szCs w:val="21"/>
        </w:rPr>
      </w:pPr>
    </w:p>
    <w:p>
      <w:pPr>
        <w:pStyle w:val="BodyText"/>
        <w:spacing w:line="470" w:lineRule="auto"/>
        <w:ind w:left="573" w:right="11"/>
        <w:jc w:val="left"/>
      </w:pPr>
      <w:r>
        <w:rPr/>
        <w:t>（</w:t>
      </w:r>
      <w:r>
        <w:rPr>
          <w:rFonts w:ascii="Times New Roman" w:hAnsi="Times New Roman" w:cs="Times New Roman" w:eastAsia="Times New Roman" w:hint="default"/>
        </w:rPr>
        <w:t>2</w:t>
      </w:r>
      <w:r>
        <w:rPr/>
        <w:t>）实际发生的合同成本能够清楚地区分和可靠地计量。</w:t>
      </w:r>
      <w:r>
        <w:rPr>
          <w:w w:val="100"/>
        </w:rPr>
        <w:t> </w:t>
      </w:r>
      <w:r>
        <w:rPr>
          <w:spacing w:val="-2"/>
        </w:rPr>
        <w:t>在资产负债表日，按照合同总收入乘以完工进度扣除以前会计期间累计已确认收入后的金额，确认为</w:t>
      </w:r>
    </w:p>
    <w:p>
      <w:pPr>
        <w:pStyle w:val="BodyText"/>
        <w:spacing w:line="408" w:lineRule="auto"/>
        <w:ind w:right="146"/>
        <w:jc w:val="both"/>
      </w:pPr>
      <w:r>
        <w:rPr>
          <w:spacing w:val="-2"/>
        </w:rPr>
        <w:t>当期合同收入；同时，按照合同预计总成本乘以完工进度扣除以前会计期间累计已确认费用后的金额，确</w:t>
      </w:r>
      <w:r>
        <w:rPr>
          <w:spacing w:val="-44"/>
        </w:rPr>
        <w:t> </w:t>
      </w:r>
      <w:r>
        <w:rPr>
          <w:spacing w:val="-44"/>
        </w:rPr>
      </w:r>
      <w:r>
        <w:rPr>
          <w:spacing w:val="-2"/>
        </w:rPr>
        <w:t>认为当期合同费用。合同工程的变动、索赔及奖金以可能带来收入并能可靠计算的数额为限计入合同总收</w:t>
      </w:r>
      <w:r>
        <w:rPr>
          <w:spacing w:val="-43"/>
        </w:rPr>
        <w:t> </w:t>
      </w:r>
      <w:r>
        <w:rPr>
          <w:spacing w:val="-43"/>
        </w:rPr>
      </w:r>
      <w:r>
        <w:rPr/>
        <w:t>入。</w:t>
      </w:r>
    </w:p>
    <w:p>
      <w:pPr>
        <w:pStyle w:val="BodyText"/>
        <w:spacing w:line="240" w:lineRule="auto" w:before="147"/>
        <w:ind w:left="573" w:right="11"/>
        <w:jc w:val="left"/>
      </w:pPr>
      <w:r>
        <w:rPr/>
        <w:t>建造合同的结果不能可靠估计的，分别下列情况处理：</w:t>
      </w:r>
    </w:p>
    <w:p>
      <w:pPr>
        <w:spacing w:line="240" w:lineRule="auto" w:before="4"/>
        <w:rPr>
          <w:rFonts w:ascii="宋体" w:hAnsi="宋体" w:cs="宋体" w:eastAsia="宋体" w:hint="default"/>
          <w:sz w:val="22"/>
          <w:szCs w:val="22"/>
        </w:rPr>
      </w:pPr>
    </w:p>
    <w:p>
      <w:pPr>
        <w:pStyle w:val="BodyText"/>
        <w:spacing w:line="386" w:lineRule="auto"/>
        <w:ind w:right="11" w:firstLine="420"/>
        <w:jc w:val="left"/>
      </w:pPr>
      <w:r>
        <w:rPr/>
        <w:t>（</w:t>
      </w:r>
      <w:r>
        <w:rPr>
          <w:rFonts w:ascii="Times New Roman" w:hAnsi="Times New Roman" w:cs="Times New Roman" w:eastAsia="Times New Roman" w:hint="default"/>
        </w:rPr>
        <w:t>1</w:t>
      </w:r>
      <w:r>
        <w:rPr/>
        <w:t>）合同成本能够收回的，合同收入根据能够收回的实际合同成本予以确认，合同成本在其发生的</w:t>
      </w:r>
      <w:r>
        <w:rPr>
          <w:w w:val="100"/>
        </w:rPr>
        <w:t> </w:t>
      </w:r>
      <w:r>
        <w:rPr/>
        <w:t>当期确认为合同费用。</w:t>
      </w:r>
    </w:p>
    <w:p>
      <w:pPr>
        <w:pStyle w:val="BodyText"/>
        <w:spacing w:line="482" w:lineRule="auto" w:before="166"/>
        <w:ind w:left="573" w:right="11"/>
        <w:jc w:val="left"/>
      </w:pPr>
      <w:r>
        <w:rPr/>
        <w:t>（</w:t>
      </w:r>
      <w:r>
        <w:rPr>
          <w:rFonts w:ascii="Times New Roman" w:hAnsi="Times New Roman" w:cs="Times New Roman" w:eastAsia="Times New Roman" w:hint="default"/>
        </w:rPr>
        <w:t>2</w:t>
      </w:r>
      <w:r>
        <w:rPr/>
        <w:t>）合同成本不可能收回的，在发生时立即确认为合同费用，不确认合同收入。</w:t>
      </w:r>
      <w:r>
        <w:rPr>
          <w:w w:val="100"/>
        </w:rPr>
        <w:t> </w:t>
      </w:r>
      <w:r>
        <w:rPr/>
        <w:t>如果合同总成本很可能超过合同总收入，则预期损失立即确认为费用。</w:t>
      </w:r>
      <w:r>
        <w:rPr>
          <w:w w:val="100"/>
        </w:rPr>
        <w:t> </w:t>
      </w:r>
      <w:r>
        <w:rPr>
          <w:spacing w:val="-2"/>
        </w:rPr>
        <w:t>公司收入具体分为三种类型：商品销售收入、技术服务收入、工程收入。商品销售收入以收到客户货</w:t>
      </w:r>
    </w:p>
    <w:p>
      <w:pPr>
        <w:pStyle w:val="BodyText"/>
        <w:spacing w:line="256" w:lineRule="exact"/>
        <w:ind w:right="0"/>
        <w:jc w:val="both"/>
      </w:pPr>
      <w:r>
        <w:rPr/>
        <w:t>物验收单为收入确认时点和依据；技术服务收入以双方验收获取对方盖章的验收报告为依据；工程收入按</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照建造合同收入确认原则确认。公司建造合同收入确认的具体方法①确定完工进度期末根据累计实际发生</w:t>
      </w:r>
      <w:r>
        <w:rPr>
          <w:spacing w:val="-43"/>
        </w:rPr>
        <w:t> </w:t>
      </w:r>
      <w:r>
        <w:rPr>
          <w:spacing w:val="-43"/>
        </w:rPr>
      </w:r>
      <w:r>
        <w:rPr>
          <w:spacing w:val="-2"/>
        </w:rPr>
        <w:t>的合同成本占合同预计总成本的比例确定合同完工进度，计算公式如下：合同完工进度＝累计实际发生的</w:t>
      </w:r>
      <w:r>
        <w:rPr>
          <w:spacing w:val="-42"/>
        </w:rPr>
        <w:t> </w:t>
      </w:r>
      <w:r>
        <w:rPr>
          <w:spacing w:val="-42"/>
        </w:rPr>
      </w:r>
      <w:r>
        <w:rPr/>
        <w:t>合同成本</w:t>
      </w:r>
      <w:r>
        <w:rPr>
          <w:rFonts w:ascii="Times New Roman" w:hAnsi="Times New Roman" w:cs="Times New Roman" w:eastAsia="Times New Roman" w:hint="default"/>
        </w:rPr>
        <w:t>÷</w:t>
      </w:r>
      <w:r>
        <w:rPr/>
        <w:t>合同预计总成本。其中，合同预计总成本包括项目产品成本和材料成本、劳务费及其他费用。</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1"/>
        <w:jc w:val="left"/>
      </w:pPr>
      <w:r>
        <w:rPr>
          <w:spacing w:val="-2"/>
        </w:rPr>
        <w:t>实际发生的合同成本是指已安装的产品成本和材料成本、劳务费及其他费用。②计算当期合同收入和合同</w:t>
      </w:r>
      <w:r>
        <w:rPr>
          <w:spacing w:val="-42"/>
        </w:rPr>
        <w:t> </w:t>
      </w:r>
      <w:r>
        <w:rPr>
          <w:spacing w:val="-42"/>
        </w:rPr>
      </w:r>
      <w:r>
        <w:rPr/>
        <w:t>成本当期确认的建造合同收入＝合同总收入</w:t>
      </w:r>
      <w:r>
        <w:rPr>
          <w:rFonts w:ascii="Times New Roman" w:hAnsi="Times New Roman" w:cs="Times New Roman" w:eastAsia="Times New Roman" w:hint="default"/>
        </w:rPr>
        <w:t>×</w:t>
      </w:r>
      <w:r>
        <w:rPr/>
        <w:t>完工进度以前会计期间累计已确认的收入。</w:t>
      </w:r>
    </w:p>
    <w:p>
      <w:pPr>
        <w:pStyle w:val="Heading3"/>
        <w:spacing w:line="240" w:lineRule="auto" w:before="147"/>
        <w:ind w:right="11"/>
        <w:jc w:val="left"/>
      </w:pPr>
      <w:r>
        <w:rPr>
          <w:rFonts w:ascii="Times New Roman" w:hAnsi="Times New Roman" w:cs="Times New Roman" w:eastAsia="Times New Roman" w:hint="default"/>
        </w:rPr>
        <w:t>29</w:t>
      </w:r>
      <w:r>
        <w:rPr/>
        <w:t>、政府补助</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）与资产相关的政府补助判断依据及会计处理方法</w:t>
      </w:r>
    </w:p>
    <w:p>
      <w:pPr>
        <w:spacing w:line="240" w:lineRule="auto" w:before="3"/>
        <w:rPr>
          <w:rFonts w:ascii="黑体" w:hAnsi="黑体" w:cs="黑体" w:eastAsia="黑体" w:hint="default"/>
          <w:sz w:val="24"/>
          <w:szCs w:val="24"/>
        </w:rPr>
      </w:pPr>
    </w:p>
    <w:p>
      <w:pPr>
        <w:pStyle w:val="BodyText"/>
        <w:spacing w:line="408" w:lineRule="auto"/>
        <w:ind w:right="146" w:firstLine="420"/>
        <w:jc w:val="both"/>
      </w:pPr>
      <w:r>
        <w:rPr>
          <w:spacing w:val="-2"/>
        </w:rPr>
        <w:t>政府补助，是本公司从政府无偿取得的货币性资产与非货币性资产。分为与资产相关的政府补助和与</w:t>
      </w:r>
      <w:r>
        <w:rPr>
          <w:w w:val="100"/>
        </w:rPr>
        <w:t> </w:t>
      </w:r>
      <w:r>
        <w:rPr/>
        <w:t>收益相关的政府补助。</w:t>
      </w:r>
    </w:p>
    <w:p>
      <w:pPr>
        <w:pStyle w:val="BodyText"/>
        <w:spacing w:line="496" w:lineRule="auto" w:before="145"/>
        <w:ind w:left="573" w:right="11"/>
        <w:jc w:val="left"/>
      </w:pPr>
      <w:r>
        <w:rPr/>
        <w:t>与资产相关的政府补助，是指本公司取得的、用于购建或以其他方式形成长期资产的政府补助。</w:t>
      </w:r>
      <w:r>
        <w:rPr>
          <w:w w:val="100"/>
        </w:rPr>
        <w:t> </w:t>
      </w:r>
      <w:r>
        <w:rPr>
          <w:spacing w:val="-2"/>
        </w:rPr>
        <w:t>本公司将政府补助划分为与资产相关的具体标准为：公司取得的、用于购建或以其他方式形成固定资</w:t>
      </w:r>
    </w:p>
    <w:p>
      <w:pPr>
        <w:pStyle w:val="BodyText"/>
        <w:spacing w:line="243" w:lineRule="exact"/>
        <w:ind w:right="11"/>
        <w:jc w:val="left"/>
      </w:pPr>
      <w:r>
        <w:rPr/>
        <w:t>产或无形资产的政府补助。</w:t>
      </w:r>
    </w:p>
    <w:p>
      <w:pPr>
        <w:spacing w:line="240" w:lineRule="auto" w:before="6"/>
        <w:rPr>
          <w:rFonts w:ascii="宋体" w:hAnsi="宋体" w:cs="宋体" w:eastAsia="宋体" w:hint="default"/>
          <w:sz w:val="22"/>
          <w:szCs w:val="22"/>
        </w:rPr>
      </w:pPr>
    </w:p>
    <w:p>
      <w:pPr>
        <w:pStyle w:val="BodyText"/>
        <w:spacing w:line="408" w:lineRule="auto"/>
        <w:ind w:right="146" w:firstLine="420"/>
        <w:jc w:val="both"/>
      </w:pPr>
      <w:r>
        <w:rPr>
          <w:spacing w:val="-2"/>
        </w:rPr>
        <w:t>对于政府文件未明确规定补助对象的，本公司将该政府补助划分为与资产相关或与收益相关的判断依</w:t>
      </w:r>
      <w:r>
        <w:rPr>
          <w:w w:val="100"/>
        </w:rPr>
        <w:t> </w:t>
      </w:r>
      <w:r>
        <w:rPr/>
        <w:t>据为：本公司按照上述原则进行判断。</w:t>
      </w:r>
    </w:p>
    <w:p>
      <w:pPr>
        <w:pStyle w:val="BodyText"/>
        <w:spacing w:line="496" w:lineRule="auto" w:before="144"/>
        <w:ind w:left="573" w:right="2640"/>
        <w:jc w:val="left"/>
      </w:pPr>
      <w:r>
        <w:rPr/>
        <w:t>确认时点：</w:t>
      </w:r>
      <w:r>
        <w:rPr>
          <w:spacing w:val="-102"/>
        </w:rPr>
        <w:t> </w:t>
      </w:r>
      <w:r>
        <w:rPr>
          <w:spacing w:val="-102"/>
        </w:rPr>
      </w:r>
      <w:r>
        <w:rPr>
          <w:spacing w:val="-2"/>
        </w:rPr>
        <w:t>以实际收到政府补助的货币性资产与非货币性资产时作为确认时点。</w:t>
      </w:r>
      <w:r>
        <w:rPr>
          <w:spacing w:val="-48"/>
        </w:rPr>
        <w:t> </w:t>
      </w:r>
      <w:r>
        <w:rPr>
          <w:spacing w:val="-48"/>
        </w:rPr>
      </w:r>
      <w:r>
        <w:rPr/>
        <w:t>会计处理：</w:t>
      </w:r>
    </w:p>
    <w:p>
      <w:pPr>
        <w:pStyle w:val="BodyText"/>
        <w:spacing w:line="408" w:lineRule="auto" w:before="67"/>
        <w:ind w:right="146" w:firstLine="420"/>
        <w:jc w:val="both"/>
      </w:pPr>
      <w:r>
        <w:rPr>
          <w:spacing w:val="-2"/>
        </w:rPr>
        <w:t>与资产相关的政府补助，冲减相关资产账面价值或确认为递延收益。确认为递延收益的，在相关资产</w:t>
      </w:r>
      <w:r>
        <w:rPr>
          <w:w w:val="100"/>
        </w:rPr>
        <w:t> </w:t>
      </w:r>
      <w:r>
        <w:rPr>
          <w:spacing w:val="-2"/>
        </w:rPr>
        <w:t>使用寿命内按照合理、系统的方法分期计入当期损益（与本公司日常活动相关的，计入其他收益；与本公</w:t>
      </w:r>
      <w:r>
        <w:rPr>
          <w:spacing w:val="-47"/>
        </w:rPr>
        <w:t> </w:t>
      </w:r>
      <w:r>
        <w:rPr>
          <w:spacing w:val="-47"/>
        </w:rPr>
      </w:r>
      <w:r>
        <w:rPr>
          <w:spacing w:val="-7"/>
          <w:w w:val="100"/>
        </w:rPr>
        <w:t>司日常活动无关的，计入营业外收入）。</w:t>
      </w:r>
    </w:p>
    <w:p>
      <w:pPr>
        <w:spacing w:line="487" w:lineRule="auto" w:before="179"/>
        <w:ind w:left="573" w:right="11"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2</w:t>
      </w:r>
      <w:r>
        <w:rPr>
          <w:rFonts w:ascii="黑体" w:hAnsi="黑体" w:cs="黑体" w:eastAsia="黑体" w:hint="default"/>
          <w:sz w:val="24"/>
          <w:szCs w:val="24"/>
        </w:rPr>
        <w:t>）与收益相关的政府补助判断依据及会计处理方法 </w:t>
      </w:r>
      <w:r>
        <w:rPr>
          <w:rFonts w:ascii="宋体" w:hAnsi="宋体" w:cs="宋体" w:eastAsia="宋体" w:hint="default"/>
          <w:sz w:val="21"/>
          <w:szCs w:val="21"/>
        </w:rPr>
        <w:t>与收益相关的政府补助，是指除与资产相关的政府补助之外的政府补助。</w:t>
      </w:r>
      <w:r>
        <w:rPr>
          <w:rFonts w:ascii="宋体" w:hAnsi="宋体" w:cs="宋体" w:eastAsia="宋体" w:hint="default"/>
          <w:w w:val="100"/>
          <w:sz w:val="21"/>
          <w:szCs w:val="21"/>
        </w:rPr>
        <w:t> </w:t>
      </w:r>
      <w:r>
        <w:rPr>
          <w:rFonts w:ascii="宋体" w:hAnsi="宋体" w:cs="宋体" w:eastAsia="宋体" w:hint="default"/>
          <w:spacing w:val="-2"/>
          <w:sz w:val="21"/>
          <w:szCs w:val="21"/>
        </w:rPr>
        <w:t>本公司将政府补助划分为与收益相关的具体标准为：不能形成固定资产或无形资产的政府补助。</w:t>
      </w:r>
      <w:r>
        <w:rPr>
          <w:rFonts w:ascii="宋体" w:hAnsi="宋体" w:cs="宋体" w:eastAsia="宋体" w:hint="default"/>
          <w:w w:val="100"/>
          <w:sz w:val="21"/>
          <w:szCs w:val="21"/>
        </w:rPr>
        <w:t> </w:t>
      </w:r>
      <w:r>
        <w:rPr>
          <w:rFonts w:ascii="宋体" w:hAnsi="宋体" w:cs="宋体" w:eastAsia="宋体" w:hint="default"/>
          <w:sz w:val="21"/>
          <w:szCs w:val="21"/>
        </w:rPr>
        <w:t>确认时点：</w:t>
      </w:r>
    </w:p>
    <w:p>
      <w:pPr>
        <w:pStyle w:val="BodyText"/>
        <w:spacing w:line="496" w:lineRule="auto" w:before="77"/>
        <w:ind w:left="573" w:right="2640"/>
        <w:jc w:val="left"/>
      </w:pPr>
      <w:r>
        <w:rPr>
          <w:spacing w:val="-2"/>
        </w:rPr>
        <w:t>以实际收到政府补助的货币性资产与非货币性资产时作为确认时点。</w:t>
      </w:r>
      <w:r>
        <w:rPr>
          <w:spacing w:val="-48"/>
        </w:rPr>
        <w:t> </w:t>
      </w:r>
      <w:r>
        <w:rPr>
          <w:spacing w:val="-48"/>
        </w:rPr>
      </w:r>
      <w:r>
        <w:rPr/>
        <w:t>会计处理：</w:t>
      </w:r>
    </w:p>
    <w:p>
      <w:pPr>
        <w:pStyle w:val="BodyText"/>
        <w:spacing w:line="408" w:lineRule="auto" w:before="67"/>
        <w:ind w:right="14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46"/>
        <w:jc w:val="both"/>
      </w:pP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before="147"/>
        <w:ind w:left="573" w:right="11"/>
        <w:jc w:val="left"/>
      </w:pPr>
      <w:r>
        <w:rPr/>
        <w:t>本公司取得的政策性优惠贷款贴息，区分以下两种情况，分别进行会计处理：</w:t>
      </w:r>
    </w:p>
    <w:p>
      <w:pPr>
        <w:spacing w:line="240" w:lineRule="auto" w:before="4"/>
        <w:rPr>
          <w:rFonts w:ascii="宋体" w:hAnsi="宋体" w:cs="宋体" w:eastAsia="宋体" w:hint="default"/>
          <w:sz w:val="22"/>
          <w:szCs w:val="22"/>
        </w:rPr>
      </w:pPr>
    </w:p>
    <w:p>
      <w:pPr>
        <w:pStyle w:val="BodyText"/>
        <w:spacing w:line="386" w:lineRule="auto"/>
        <w:ind w:right="156" w:firstLine="42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pStyle w:val="BodyText"/>
        <w:spacing w:line="240" w:lineRule="auto" w:before="166"/>
        <w:ind w:left="573" w:right="11"/>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9"/>
        <w:rPr>
          <w:rFonts w:ascii="宋体" w:hAnsi="宋体" w:cs="宋体" w:eastAsia="宋体" w:hint="default"/>
          <w:sz w:val="23"/>
          <w:szCs w:val="23"/>
        </w:rPr>
      </w:pPr>
    </w:p>
    <w:p>
      <w:pPr>
        <w:pStyle w:val="Heading3"/>
        <w:spacing w:line="240" w:lineRule="auto"/>
        <w:ind w:right="0"/>
        <w:jc w:val="both"/>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p>
    <w:p>
      <w:pPr>
        <w:spacing w:line="240" w:lineRule="auto" w:before="1"/>
        <w:rPr>
          <w:rFonts w:ascii="黑体" w:hAnsi="黑体" w:cs="黑体" w:eastAsia="黑体" w:hint="default"/>
          <w:sz w:val="24"/>
          <w:szCs w:val="24"/>
        </w:rPr>
      </w:pPr>
    </w:p>
    <w:p>
      <w:pPr>
        <w:pStyle w:val="BodyText"/>
        <w:spacing w:line="408" w:lineRule="auto"/>
        <w:ind w:right="146" w:firstLine="420"/>
        <w:jc w:val="both"/>
      </w:pPr>
      <w:r>
        <w:rPr>
          <w:spacing w:val="-2"/>
        </w:rPr>
        <w:t>对于可抵扣暂时性差异确认递延所得税资产，以未来期间很可能取得的用来抵扣可抵扣暂时性差异的</w:t>
      </w:r>
      <w:r>
        <w:rPr>
          <w:w w:val="100"/>
        </w:rPr>
        <w:t> </w:t>
      </w: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496" w:lineRule="auto" w:before="144"/>
        <w:ind w:left="573" w:right="11"/>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243" w:lineRule="exact"/>
        <w:ind w:right="0"/>
        <w:jc w:val="both"/>
      </w:pPr>
      <w:r>
        <w:rPr/>
        <w:t>时既不影响会计利润也不影响应纳税所得额（或可抵扣亏损）的其他交易或事项。</w:t>
      </w:r>
    </w:p>
    <w:p>
      <w:pPr>
        <w:spacing w:line="240" w:lineRule="auto" w:before="6"/>
        <w:rPr>
          <w:rFonts w:ascii="宋体" w:hAnsi="宋体" w:cs="宋体" w:eastAsia="宋体" w:hint="default"/>
          <w:sz w:val="22"/>
          <w:szCs w:val="22"/>
        </w:rPr>
      </w:pPr>
    </w:p>
    <w:p>
      <w:pPr>
        <w:pStyle w:val="BodyText"/>
        <w:spacing w:line="408" w:lineRule="auto"/>
        <w:ind w:right="146" w:firstLine="420"/>
        <w:jc w:val="both"/>
      </w:pPr>
      <w:r>
        <w:rPr>
          <w:spacing w:val="-2"/>
        </w:rPr>
        <w:t>当拥有以净额结算的法定权利，且意图以净额结算或取得资产、清偿负债同时进行时，当期所得税资</w:t>
      </w:r>
      <w:r>
        <w:rPr>
          <w:w w:val="100"/>
        </w:rPr>
        <w:t> </w:t>
      </w:r>
      <w:r>
        <w:rPr/>
        <w:t>产及当期所得税负债以抵销后的净额列报。</w:t>
      </w:r>
    </w:p>
    <w:p>
      <w:pPr>
        <w:pStyle w:val="BodyText"/>
        <w:spacing w:line="408" w:lineRule="auto" w:before="144"/>
        <w:ind w:right="146" w:firstLine="420"/>
        <w:jc w:val="both"/>
      </w:pPr>
      <w:r>
        <w:rPr>
          <w:spacing w:val="-2"/>
        </w:rPr>
        <w:t>当拥有以净额结算当期所得税资产及当期所得税负债的法定权利，且递延所得税资产及递延所得税负</w:t>
      </w:r>
      <w:r>
        <w:rPr>
          <w:w w:val="100"/>
        </w:rPr>
        <w:t> </w:t>
      </w: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pStyle w:val="Heading3"/>
        <w:spacing w:line="240" w:lineRule="auto" w:before="179"/>
        <w:ind w:right="0"/>
        <w:jc w:val="both"/>
      </w:pPr>
      <w:r>
        <w:rPr>
          <w:rFonts w:ascii="Times New Roman" w:hAnsi="Times New Roman" w:cs="Times New Roman" w:eastAsia="Times New Roman" w:hint="default"/>
        </w:rPr>
        <w:t>31</w:t>
      </w:r>
      <w:r>
        <w:rPr/>
        <w:t>、租赁</w:t>
      </w:r>
    </w:p>
    <w:p>
      <w:pPr>
        <w:spacing w:line="240" w:lineRule="auto" w:before="11"/>
        <w:rPr>
          <w:rFonts w:ascii="黑体" w:hAnsi="黑体" w:cs="黑体" w:eastAsia="黑体" w:hint="default"/>
          <w:sz w:val="24"/>
          <w:szCs w:val="24"/>
        </w:rPr>
      </w:pPr>
    </w:p>
    <w:p>
      <w:pPr>
        <w:pStyle w:val="Heading3"/>
        <w:spacing w:line="240" w:lineRule="auto"/>
        <w:ind w:right="0"/>
        <w:jc w:val="both"/>
      </w:pPr>
      <w:r>
        <w:rPr/>
        <w:t>（</w:t>
      </w:r>
      <w:r>
        <w:rPr>
          <w:rFonts w:ascii="Times New Roman" w:hAnsi="Times New Roman" w:cs="Times New Roman" w:eastAsia="Times New Roman" w:hint="default"/>
        </w:rPr>
        <w:t>1</w:t>
      </w:r>
      <w:r>
        <w:rPr/>
        <w:t>）经营租赁的会计处理方法</w:t>
      </w:r>
    </w:p>
    <w:p>
      <w:pPr>
        <w:spacing w:line="240" w:lineRule="auto" w:before="3"/>
        <w:rPr>
          <w:rFonts w:ascii="黑体" w:hAnsi="黑体" w:cs="黑体" w:eastAsia="黑体" w:hint="default"/>
          <w:sz w:val="24"/>
          <w:szCs w:val="24"/>
        </w:rPr>
      </w:pPr>
    </w:p>
    <w:p>
      <w:pPr>
        <w:pStyle w:val="BodyText"/>
        <w:spacing w:line="386" w:lineRule="auto"/>
        <w:ind w:right="156" w:firstLine="420"/>
        <w:jc w:val="both"/>
      </w:pPr>
      <w:r>
        <w:rPr>
          <w:rFonts w:ascii="Times New Roman" w:hAnsi="Times New Roman" w:cs="Times New Roman" w:eastAsia="Times New Roman" w:hint="default"/>
        </w:rPr>
        <w:t>1</w:t>
      </w:r>
      <w:r>
        <w:rPr/>
        <w:t>）公司租入资产所支付的租赁费，在不扣除免租期的整个租赁期内，按直线法进行分摊，计入当期</w:t>
      </w:r>
      <w:r>
        <w:rPr>
          <w:w w:val="100"/>
        </w:rPr>
        <w:t> </w:t>
      </w:r>
      <w:r>
        <w:rPr/>
        <w:t>费用。公司支付的与租赁交易相关的初始直接费用，计入当期费用。</w:t>
      </w:r>
    </w:p>
    <w:p>
      <w:pPr>
        <w:pStyle w:val="BodyText"/>
        <w:spacing w:line="408" w:lineRule="auto" w:before="166"/>
        <w:ind w:right="14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spacing w:after="0" w:line="408" w:lineRule="auto"/>
        <w:jc w:val="both"/>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398" w:lineRule="auto" w:before="36"/>
        <w:ind w:right="100" w:firstLine="420"/>
        <w:jc w:val="left"/>
      </w:pPr>
      <w:r>
        <w:rPr>
          <w:rFonts w:ascii="Times New Roman" w:hAnsi="Times New Roman" w:cs="Times New Roman" w:eastAsia="Times New Roman" w:hint="default"/>
        </w:rPr>
        <w:t>2</w:t>
      </w:r>
      <w:r>
        <w:rPr/>
        <w:t>）公司出租资产所收取的租赁费，在不扣除免租期的整个租赁期内，按直线法进行分摊，确认为租</w:t>
      </w:r>
      <w:r>
        <w:rPr>
          <w:w w:val="100"/>
        </w:rPr>
        <w:t> </w:t>
      </w:r>
      <w:r>
        <w:rPr>
          <w:spacing w:val="-5"/>
        </w:rPr>
        <w:t>赁相关收入。公司支付的与租赁交易相关的初始直接费用，计入当期费用；如金额较大的，则予以资本化，</w:t>
      </w:r>
      <w:r>
        <w:rPr>
          <w:spacing w:val="-8"/>
        </w:rPr>
        <w:t> </w:t>
      </w:r>
      <w:r>
        <w:rPr>
          <w:spacing w:val="-8"/>
        </w:rPr>
      </w:r>
      <w:r>
        <w:rPr/>
        <w:t>在整个租赁期间内按照与租赁相关收入确认相同的基础分期计入当期收益。</w:t>
      </w:r>
    </w:p>
    <w:p>
      <w:pPr>
        <w:pStyle w:val="BodyText"/>
        <w:spacing w:line="408" w:lineRule="auto" w:before="155"/>
        <w:ind w:right="100"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pStyle w:val="Heading3"/>
        <w:spacing w:line="240" w:lineRule="auto" w:before="176"/>
        <w:ind w:right="100"/>
        <w:jc w:val="left"/>
      </w:pPr>
      <w:r>
        <w:rPr/>
        <w:t>（</w:t>
      </w:r>
      <w:r>
        <w:rPr>
          <w:rFonts w:ascii="Times New Roman" w:hAnsi="Times New Roman" w:cs="Times New Roman" w:eastAsia="Times New Roman" w:hint="default"/>
        </w:rPr>
        <w:t>2</w:t>
      </w:r>
      <w:r>
        <w:rPr/>
        <w:t>）融资租赁的会计处理方法</w:t>
      </w:r>
    </w:p>
    <w:p>
      <w:pPr>
        <w:spacing w:line="240" w:lineRule="auto" w:before="1"/>
        <w:rPr>
          <w:rFonts w:ascii="黑体" w:hAnsi="黑体" w:cs="黑体" w:eastAsia="黑体" w:hint="default"/>
          <w:sz w:val="24"/>
          <w:szCs w:val="24"/>
        </w:rPr>
      </w:pPr>
    </w:p>
    <w:p>
      <w:pPr>
        <w:pStyle w:val="BodyText"/>
        <w:spacing w:line="400" w:lineRule="auto"/>
        <w:ind w:right="185" w:firstLine="42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r>
        <w:rPr>
          <w:spacing w:val="-21"/>
        </w:rPr>
        <w:t> </w:t>
      </w:r>
      <w:r>
        <w:rPr>
          <w:spacing w:val="-21"/>
        </w:rPr>
      </w:r>
      <w:r>
        <w:rPr>
          <w:spacing w:val="-2"/>
        </w:rPr>
        <w:t>公司采用实际利率法对未确认的融资费用，在资产租赁期间内摊销，计入财务费用。公司发生的初始直接</w:t>
      </w:r>
      <w:r>
        <w:rPr>
          <w:spacing w:val="-43"/>
        </w:rPr>
        <w:t> </w:t>
      </w:r>
      <w:r>
        <w:rPr>
          <w:spacing w:val="-43"/>
        </w:rPr>
      </w:r>
      <w:r>
        <w:rPr/>
        <w:t>费用，计入租入资产价值。</w:t>
      </w:r>
    </w:p>
    <w:p>
      <w:pPr>
        <w:pStyle w:val="BodyText"/>
        <w:spacing w:line="398" w:lineRule="auto" w:before="153"/>
        <w:ind w:right="206" w:firstLine="420"/>
        <w:jc w:val="both"/>
      </w:pPr>
      <w:r>
        <w:rPr>
          <w:rFonts w:ascii="Times New Roman" w:hAnsi="Times New Roman" w:cs="Times New Roman" w:eastAsia="Times New Roman" w:hint="default"/>
        </w:rPr>
        <w:t>2</w:t>
      </w:r>
      <w:r>
        <w:rPr/>
        <w:t>）融资租出资产：公司在租赁开始日，将应收融资租赁款，未担保余值之和与其现值的差额确认为</w:t>
      </w:r>
      <w:r>
        <w:rPr>
          <w:w w:val="100"/>
        </w:rPr>
        <w:t> </w:t>
      </w: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line="240" w:lineRule="auto" w:before="5"/>
        <w:rPr>
          <w:rFonts w:ascii="宋体" w:hAnsi="宋体" w:cs="宋体" w:eastAsia="宋体" w:hint="default"/>
          <w:sz w:val="14"/>
          <w:szCs w:val="14"/>
        </w:rPr>
      </w:pPr>
    </w:p>
    <w:p>
      <w:pPr>
        <w:pStyle w:val="Heading3"/>
        <w:spacing w:line="240" w:lineRule="auto"/>
        <w:ind w:right="100"/>
        <w:jc w:val="left"/>
      </w:pPr>
      <w:r>
        <w:rPr>
          <w:rFonts w:ascii="Times New Roman" w:hAnsi="Times New Roman" w:cs="Times New Roman" w:eastAsia="Times New Roman" w:hint="default"/>
        </w:rPr>
        <w:t>32</w:t>
      </w:r>
      <w:r>
        <w:rPr/>
        <w:t>、其他重要的会计政策和会计估计</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）终止经营</w:t>
      </w:r>
    </w:p>
    <w:p>
      <w:pPr>
        <w:spacing w:line="240" w:lineRule="auto" w:before="3"/>
        <w:rPr>
          <w:rFonts w:ascii="黑体" w:hAnsi="黑体" w:cs="黑体" w:eastAsia="黑体" w:hint="default"/>
          <w:sz w:val="24"/>
          <w:szCs w:val="24"/>
        </w:rPr>
      </w:pPr>
    </w:p>
    <w:p>
      <w:pPr>
        <w:pStyle w:val="BodyText"/>
        <w:spacing w:line="408" w:lineRule="auto"/>
        <w:ind w:right="100" w:firstLine="420"/>
        <w:jc w:val="left"/>
      </w:pPr>
      <w:r>
        <w:rPr>
          <w:spacing w:val="-2"/>
        </w:rPr>
        <w:t>终止经营是满足下列条件之一的、能够单独区分的组成部分，且该组成部分已被本公司处置或被本公</w:t>
      </w:r>
      <w:r>
        <w:rPr>
          <w:w w:val="100"/>
        </w:rPr>
        <w:t> </w:t>
      </w:r>
      <w:r>
        <w:rPr/>
        <w:t>司划归为持有待售类别：</w:t>
      </w:r>
    </w:p>
    <w:p>
      <w:pPr>
        <w:pStyle w:val="BodyText"/>
        <w:spacing w:line="240" w:lineRule="auto" w:before="144"/>
        <w:ind w:left="573" w:right="100"/>
        <w:jc w:val="left"/>
      </w:pPr>
      <w:r>
        <w:rPr>
          <w:rFonts w:ascii="Times New Roman" w:hAnsi="Times New Roman" w:cs="Times New Roman" w:eastAsia="Times New Roman" w:hint="default"/>
        </w:rPr>
        <w:t>1</w:t>
      </w:r>
      <w:r>
        <w:rPr/>
        <w:t>）该组成部分代表一项独立的主要业务或一个单独的主要经营地区；</w:t>
      </w:r>
    </w:p>
    <w:p>
      <w:pPr>
        <w:spacing w:line="240" w:lineRule="auto" w:before="4"/>
        <w:rPr>
          <w:rFonts w:ascii="宋体" w:hAnsi="宋体" w:cs="宋体" w:eastAsia="宋体" w:hint="default"/>
          <w:sz w:val="21"/>
          <w:szCs w:val="21"/>
        </w:rPr>
      </w:pPr>
    </w:p>
    <w:p>
      <w:pPr>
        <w:pStyle w:val="BodyText"/>
        <w:spacing w:line="386" w:lineRule="auto"/>
        <w:ind w:right="100" w:firstLine="420"/>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w:t>
      </w:r>
      <w:r>
        <w:rPr>
          <w:w w:val="100"/>
        </w:rPr>
        <w:t> </w:t>
      </w:r>
      <w:r>
        <w:rPr/>
        <w:t>一部分；</w:t>
      </w:r>
    </w:p>
    <w:p>
      <w:pPr>
        <w:pStyle w:val="BodyText"/>
        <w:spacing w:line="240" w:lineRule="auto" w:before="166"/>
        <w:ind w:left="573" w:right="100"/>
        <w:jc w:val="left"/>
      </w:pPr>
      <w:r>
        <w:rPr>
          <w:rFonts w:ascii="Times New Roman" w:hAnsi="Times New Roman" w:cs="Times New Roman" w:eastAsia="Times New Roman" w:hint="default"/>
        </w:rPr>
        <w:t>3</w:t>
      </w:r>
      <w:r>
        <w:rPr/>
        <w:t>）该组成部分是专为转售而取得的子公司。</w:t>
      </w:r>
    </w:p>
    <w:p>
      <w:pPr>
        <w:spacing w:line="240" w:lineRule="auto" w:before="7"/>
        <w:rPr>
          <w:rFonts w:ascii="宋体" w:hAnsi="宋体" w:cs="宋体" w:eastAsia="宋体" w:hint="default"/>
          <w:sz w:val="23"/>
          <w:szCs w:val="23"/>
        </w:rPr>
      </w:pPr>
    </w:p>
    <w:p>
      <w:pPr>
        <w:pStyle w:val="Heading3"/>
        <w:spacing w:line="240" w:lineRule="auto"/>
        <w:ind w:right="100"/>
        <w:jc w:val="left"/>
      </w:pPr>
      <w:r>
        <w:rPr/>
        <w:t>（</w:t>
      </w:r>
      <w:r>
        <w:rPr>
          <w:rFonts w:ascii="Times New Roman" w:hAnsi="Times New Roman" w:cs="Times New Roman" w:eastAsia="Times New Roman" w:hint="default"/>
        </w:rPr>
        <w:t>2</w:t>
      </w:r>
      <w:r>
        <w:rPr/>
        <w:t>） 回购公司股份</w:t>
      </w:r>
    </w:p>
    <w:p>
      <w:pPr>
        <w:spacing w:line="240" w:lineRule="auto" w:before="1"/>
        <w:rPr>
          <w:rFonts w:ascii="黑体" w:hAnsi="黑体" w:cs="黑体" w:eastAsia="黑体" w:hint="default"/>
          <w:sz w:val="24"/>
          <w:szCs w:val="24"/>
        </w:rPr>
      </w:pPr>
    </w:p>
    <w:p>
      <w:pPr>
        <w:pStyle w:val="BodyText"/>
        <w:spacing w:line="408" w:lineRule="auto"/>
        <w:ind w:right="100" w:firstLine="420"/>
        <w:jc w:val="left"/>
      </w:pPr>
      <w:r>
        <w:rPr>
          <w:spacing w:val="-5"/>
        </w:rPr>
        <w:t>公司对回购自身权益工具支付的对价和交易费用，记入库存股项目，减少股东权益。除股份支付之外，</w:t>
      </w:r>
      <w:r>
        <w:rPr>
          <w:w w:val="100"/>
        </w:rPr>
        <w:t> </w:t>
      </w:r>
      <w:r>
        <w:rPr/>
        <w:t>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、回购、出售或注销自身权益工具，作为权益的变动处理。</w:t>
      </w:r>
    </w:p>
    <w:p>
      <w:pPr>
        <w:pStyle w:val="Heading3"/>
        <w:spacing w:line="240" w:lineRule="auto" w:before="148"/>
        <w:ind w:right="100"/>
        <w:jc w:val="left"/>
      </w:pPr>
      <w:r>
        <w:rPr>
          <w:rFonts w:ascii="Times New Roman" w:hAnsi="Times New Roman" w:cs="Times New Roman" w:eastAsia="Times New Roman" w:hint="default"/>
        </w:rPr>
        <w:t>33</w:t>
      </w:r>
      <w:r>
        <w:rPr/>
        <w:t>、重要会计政策和会计估计变更</w:t>
      </w:r>
    </w:p>
    <w:p>
      <w:pPr>
        <w:spacing w:after="0" w:line="240" w:lineRule="auto"/>
        <w:jc w:val="left"/>
        <w:sectPr>
          <w:pgSz w:w="11910" w:h="16840"/>
          <w:pgMar w:header="882" w:footer="1132" w:top="1280" w:bottom="1320" w:left="980" w:right="920"/>
        </w:sectPr>
      </w:pPr>
    </w:p>
    <w:p>
      <w:pPr>
        <w:spacing w:line="240" w:lineRule="auto" w:before="13"/>
        <w:rPr>
          <w:rFonts w:ascii="黑体" w:hAnsi="黑体" w:cs="黑体" w:eastAsia="黑体" w:hint="default"/>
          <w:sz w:val="14"/>
          <w:szCs w:val="14"/>
        </w:rPr>
      </w:pPr>
      <w:r>
        <w:rPr/>
        <w:pict>
          <v:group style="position:absolute;margin-left:216.529999pt;margin-top:223.105988pt;width:157.85pt;height:26.1pt;mso-position-horizontal-relative:page;mso-position-vertical-relative:page;z-index:-1195984" coordorigin="4331,4462" coordsize="3157,522">
            <v:group style="position:absolute;left:4343;top:4474;width:2;height:498" coordorigin="4343,4474" coordsize="2,498">
              <v:shape style="position:absolute;left:4343;top:4474;width:2;height:498" coordorigin="4343,4474" coordsize="0,498" path="m4343,4474l4343,4971e" filled="false" stroked="true" strokeweight="1.2pt" strokecolor="#ffffff">
                <v:path arrowok="t"/>
              </v:shape>
            </v:group>
            <v:group style="position:absolute;left:4355;top:4474;width:3133;height:498" coordorigin="4355,4474" coordsize="3133,498">
              <v:shape style="position:absolute;left:4355;top:4474;width:3133;height:498" coordorigin="4355,4474" coordsize="3133,498" path="m4355,4971l7487,4971,7487,4474,4355,4474,4355,4971xe" filled="true" fillcolor="#ffffff" stroked="false">
                <v:path arrowok="t"/>
                <v:fill type="solid"/>
              </v:shape>
            </v:group>
            <w10:wrap type="none"/>
          </v:group>
        </w:pict>
      </w:r>
    </w:p>
    <w:p>
      <w:pPr>
        <w:pStyle w:val="Heading3"/>
        <w:spacing w:line="240" w:lineRule="auto" w:before="26"/>
        <w:ind w:left="134" w:right="7312"/>
        <w:jc w:val="center"/>
      </w:pPr>
      <w:r>
        <w:rPr/>
        <w:t>（</w:t>
      </w:r>
      <w:r>
        <w:rPr>
          <w:rFonts w:ascii="Times New Roman" w:hAnsi="Times New Roman" w:cs="Times New Roman" w:eastAsia="Times New Roman" w:hint="default"/>
        </w:rPr>
        <w:t>1</w:t>
      </w:r>
      <w:r>
        <w:rPr/>
        <w:t>）重要会计政策变更</w:t>
      </w:r>
    </w:p>
    <w:p>
      <w:pPr>
        <w:spacing w:line="240" w:lineRule="auto" w:before="3"/>
        <w:rPr>
          <w:rFonts w:ascii="黑体" w:hAnsi="黑体" w:cs="黑体" w:eastAsia="黑体" w:hint="default"/>
          <w:sz w:val="24"/>
          <w:szCs w:val="24"/>
        </w:rPr>
      </w:pPr>
    </w:p>
    <w:p>
      <w:pPr>
        <w:pStyle w:val="BodyText"/>
        <w:spacing w:line="240" w:lineRule="auto"/>
        <w:ind w:left="65" w:right="731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50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13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21"/>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6"/>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pacing w:val="-24"/>
                <w:sz w:val="18"/>
                <w:szCs w:val="18"/>
              </w:rPr>
              <w:t> </w:t>
            </w:r>
            <w:r>
              <w:rPr>
                <w:rFonts w:ascii="宋体" w:hAnsi="宋体" w:cs="宋体" w:eastAsia="宋体" w:hint="default"/>
                <w:sz w:val="18"/>
                <w:szCs w:val="18"/>
              </w:rPr>
              <w:t>示</w:t>
            </w:r>
            <w:r>
              <w:rPr>
                <w:rFonts w:ascii="宋体" w:hAnsi="宋体" w:cs="宋体" w:eastAsia="宋体" w:hint="default"/>
                <w:spacing w:val="-24"/>
                <w:sz w:val="18"/>
                <w:szCs w:val="18"/>
              </w:rPr>
              <w:t> </w:t>
            </w:r>
            <w:r>
              <w:rPr>
                <w:rFonts w:ascii="宋体" w:hAnsi="宋体" w:cs="宋体" w:eastAsia="宋体" w:hint="default"/>
                <w:sz w:val="18"/>
                <w:szCs w:val="18"/>
              </w:rPr>
              <w:t>持</w:t>
            </w:r>
            <w:r>
              <w:rPr>
                <w:rFonts w:ascii="宋体" w:hAnsi="宋体" w:cs="宋体" w:eastAsia="宋体" w:hint="default"/>
                <w:spacing w:val="-26"/>
                <w:sz w:val="18"/>
                <w:szCs w:val="18"/>
              </w:rPr>
              <w:t> </w:t>
            </w:r>
            <w:r>
              <w:rPr>
                <w:rFonts w:ascii="宋体" w:hAnsi="宋体" w:cs="宋体" w:eastAsia="宋体" w:hint="default"/>
                <w:sz w:val="18"/>
                <w:szCs w:val="18"/>
              </w:rPr>
              <w:t>续</w:t>
            </w:r>
            <w:r>
              <w:rPr>
                <w:rFonts w:ascii="宋体" w:hAnsi="宋体" w:cs="宋体" w:eastAsia="宋体" w:hint="default"/>
                <w:spacing w:val="-24"/>
                <w:sz w:val="18"/>
                <w:szCs w:val="18"/>
              </w:rPr>
              <w:t> </w:t>
            </w:r>
            <w:r>
              <w:rPr>
                <w:rFonts w:ascii="宋体" w:hAnsi="宋体" w:cs="宋体" w:eastAsia="宋体" w:hint="default"/>
                <w:sz w:val="18"/>
                <w:szCs w:val="18"/>
              </w:rPr>
              <w:t>经</w:t>
            </w:r>
            <w:r>
              <w:rPr>
                <w:rFonts w:ascii="宋体" w:hAnsi="宋体" w:cs="宋体" w:eastAsia="宋体" w:hint="default"/>
                <w:spacing w:val="-26"/>
                <w:sz w:val="18"/>
                <w:szCs w:val="18"/>
              </w:rPr>
              <w:t> </w:t>
            </w:r>
            <w:r>
              <w:rPr>
                <w:rFonts w:ascii="宋体" w:hAnsi="宋体" w:cs="宋体" w:eastAsia="宋体" w:hint="default"/>
                <w:sz w:val="18"/>
                <w:szCs w:val="18"/>
              </w:rPr>
              <w:t>营</w:t>
            </w:r>
            <w:r>
              <w:rPr>
                <w:rFonts w:ascii="宋体" w:hAnsi="宋体" w:cs="宋体" w:eastAsia="宋体" w:hint="default"/>
                <w:spacing w:val="-24"/>
                <w:sz w:val="18"/>
                <w:szCs w:val="18"/>
              </w:rPr>
              <w:t> </w:t>
            </w:r>
            <w:r>
              <w:rPr>
                <w:rFonts w:ascii="宋体" w:hAnsi="宋体" w:cs="宋体" w:eastAsia="宋体" w:hint="default"/>
                <w:sz w:val="18"/>
                <w:szCs w:val="18"/>
              </w:rPr>
              <w:t>净</w:t>
            </w:r>
            <w:r>
              <w:rPr>
                <w:rFonts w:ascii="宋体" w:hAnsi="宋体" w:cs="宋体" w:eastAsia="宋体" w:hint="default"/>
                <w:spacing w:val="-26"/>
                <w:sz w:val="18"/>
                <w:szCs w:val="18"/>
              </w:rPr>
              <w:t> </w:t>
            </w:r>
            <w:r>
              <w:rPr>
                <w:rFonts w:ascii="宋体" w:hAnsi="宋体" w:cs="宋体" w:eastAsia="宋体" w:hint="default"/>
                <w:sz w:val="18"/>
                <w:szCs w:val="18"/>
              </w:rPr>
              <w:t>利</w:t>
            </w:r>
            <w:r>
              <w:rPr>
                <w:rFonts w:ascii="宋体" w:hAnsi="宋体" w:cs="宋体" w:eastAsia="宋体" w:hint="default"/>
                <w:spacing w:val="-24"/>
                <w:sz w:val="18"/>
                <w:szCs w:val="18"/>
              </w:rPr>
              <w:t> </w:t>
            </w:r>
            <w:r>
              <w:rPr>
                <w:rFonts w:ascii="宋体" w:hAnsi="宋体" w:cs="宋体" w:eastAsia="宋体" w:hint="default"/>
                <w:sz w:val="18"/>
                <w:szCs w:val="18"/>
              </w:rPr>
              <w:t>润</w:t>
            </w:r>
            <w:r>
              <w:rPr>
                <w:rFonts w:ascii="宋体" w:hAnsi="宋体" w:cs="宋体" w:eastAsia="宋体" w:hint="default"/>
                <w:spacing w:val="-26"/>
                <w:sz w:val="18"/>
                <w:szCs w:val="18"/>
              </w:rPr>
              <w:t> </w:t>
            </w:r>
            <w:r>
              <w:rPr>
                <w:rFonts w:ascii="宋体" w:hAnsi="宋体" w:cs="宋体" w:eastAsia="宋体" w:hint="default"/>
                <w:sz w:val="18"/>
                <w:szCs w:val="18"/>
              </w:rPr>
              <w:t>本</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金</w:t>
            </w:r>
            <w:r>
              <w:rPr>
                <w:rFonts w:ascii="宋体" w:hAnsi="宋体" w:cs="宋体" w:eastAsia="宋体" w:hint="default"/>
                <w:spacing w:val="-24"/>
                <w:sz w:val="18"/>
                <w:szCs w:val="18"/>
              </w:rPr>
              <w:t> </w:t>
            </w:r>
            <w:r>
              <w:rPr>
                <w:rFonts w:ascii="宋体" w:hAnsi="宋体" w:cs="宋体" w:eastAsia="宋体" w:hint="default"/>
                <w:sz w:val="18"/>
                <w:szCs w:val="18"/>
              </w:rPr>
              <w:t>额</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510,688,824.082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元；列示终止经营净利</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81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）部分与资产相关的政府补助，冲减</w:t>
            </w:r>
            <w:r>
              <w:rPr>
                <w:rFonts w:ascii="宋体" w:hAnsi="宋体" w:cs="宋体" w:eastAsia="宋体" w:hint="default"/>
                <w:sz w:val="18"/>
                <w:szCs w:val="18"/>
              </w:rPr>
              <w:t> 了相关资产账面价值。比较数据不调整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161" w:lineRule="exact"/>
              <w:ind w:right="3079"/>
              <w:jc w:val="center"/>
              <w:rPr>
                <w:rFonts w:ascii="Times New Roman" w:hAnsi="Times New Roman" w:cs="Times New Roman" w:eastAsia="Times New Roman" w:hint="default"/>
                <w:sz w:val="18"/>
                <w:szCs w:val="18"/>
              </w:rPr>
            </w:pPr>
            <w:r>
              <w:rPr>
                <w:rFonts w:ascii="Times New Roman"/>
                <w:sz w:val="18"/>
              </w:rPr>
              <w:t>/</w:t>
            </w:r>
          </w:p>
          <w:p>
            <w:pPr>
              <w:pStyle w:val="TableParagraph"/>
              <w:spacing w:line="189" w:lineRule="exact"/>
              <w:ind w:left="-124" w:right="3119"/>
              <w:jc w:val="center"/>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82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04"/>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）部分与收益相关的政府补助，冲减</w:t>
            </w:r>
            <w:r>
              <w:rPr>
                <w:rFonts w:ascii="宋体" w:hAnsi="宋体" w:cs="宋体" w:eastAsia="宋体" w:hint="default"/>
                <w:sz w:val="18"/>
                <w:szCs w:val="18"/>
              </w:rPr>
              <w:t> 了相关成本费用。比较数据不调整。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13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4" w:right="18"/>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）与本公司日常活动相关的政府补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助，计入其他收益，不再计入营业外收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37,700,969.26</w:t>
            </w:r>
          </w:p>
        </w:tc>
      </w:tr>
      <w:tr>
        <w:trPr>
          <w:trHeight w:val="144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1"/>
              <w:ind w:left="24" w:right="1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r>
              <w:rPr>
                <w:rFonts w:ascii="宋体" w:hAnsi="宋体" w:cs="宋体" w:eastAsia="宋体" w:hint="default"/>
                <w:spacing w:val="-78"/>
                <w:sz w:val="18"/>
                <w:szCs w:val="18"/>
              </w:rPr>
              <w:t> </w:t>
            </w:r>
            <w:r>
              <w:rPr>
                <w:rFonts w:ascii="宋体" w:hAnsi="宋体" w:cs="宋体" w:eastAsia="宋体" w:hint="default"/>
                <w:sz w:val="18"/>
                <w:szCs w:val="18"/>
              </w:rPr>
              <w:t>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营业外收入、营业 </w:t>
            </w:r>
            <w:r>
              <w:rPr>
                <w:rFonts w:ascii="宋体" w:hAnsi="宋体" w:cs="宋体" w:eastAsia="宋体" w:hint="default"/>
                <w:spacing w:val="6"/>
                <w:sz w:val="18"/>
                <w:szCs w:val="18"/>
              </w:rPr>
              <w:t>外支出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的资产处置损益重分类至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资产</w:t>
            </w:r>
            <w:r>
              <w:rPr>
                <w:rFonts w:ascii="宋体" w:hAnsi="宋体" w:cs="宋体" w:eastAsia="宋体" w:hint="default"/>
                <w:spacing w:val="-87"/>
                <w:sz w:val="18"/>
                <w:szCs w:val="18"/>
              </w:rPr>
              <w:t> </w:t>
            </w:r>
            <w:r>
              <w:rPr>
                <w:rFonts w:ascii="宋体" w:hAnsi="宋体" w:cs="宋体" w:eastAsia="宋体" w:hint="default"/>
                <w:sz w:val="18"/>
                <w:szCs w:val="18"/>
              </w:rPr>
              <w:t>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z w:val="18"/>
                <w:szCs w:val="18"/>
              </w:rPr>
              <w:t>营业外支出减少 </w:t>
            </w:r>
            <w:r>
              <w:rPr>
                <w:rFonts w:ascii="Times New Roman" w:hAnsi="Times New Roman" w:cs="Times New Roman" w:eastAsia="Times New Roman" w:hint="default"/>
                <w:sz w:val="18"/>
                <w:szCs w:val="18"/>
              </w:rPr>
              <w:t>409,174.94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元，重分类 至资产处置收益。</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rPr>
          <w:rFonts w:ascii="Times New Roman" w:hAnsi="Times New Roman" w:cs="Times New Roman" w:eastAsia="Times New Roman" w:hint="default"/>
        </w:rPr>
      </w:pPr>
      <w:r>
        <w:rPr>
          <w:w w:val="100"/>
        </w:rPr>
        <w:t>执行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36"/>
        </w:rPr>
        <w:t> </w:t>
      </w:r>
      <w:r>
        <w:rPr>
          <w:rFonts w:ascii="Times New Roman" w:hAnsi="Times New Roman" w:cs="Times New Roman" w:eastAsia="Times New Roman" w:hint="default"/>
          <w:w w:val="100"/>
        </w:rPr>
        <w:t>42</w:t>
      </w:r>
      <w:r>
        <w:rPr>
          <w:rFonts w:ascii="Times New Roman" w:hAnsi="Times New Roman" w:cs="Times New Roman" w:eastAsia="Times New Roman" w:hint="default"/>
          <w:spacing w:val="-7"/>
        </w:rPr>
        <w:t> </w:t>
      </w: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持</w:t>
      </w:r>
      <w:r>
        <w:rPr>
          <w:spacing w:val="-3"/>
          <w:w w:val="100"/>
        </w:rPr>
        <w:t>有</w:t>
      </w:r>
      <w:r>
        <w:rPr>
          <w:w w:val="100"/>
        </w:rPr>
        <w:t>待</w:t>
      </w:r>
      <w:r>
        <w:rPr>
          <w:spacing w:val="-3"/>
          <w:w w:val="100"/>
        </w:rPr>
        <w:t>售</w:t>
      </w:r>
      <w:r>
        <w:rPr>
          <w:w w:val="100"/>
        </w:rPr>
        <w:t>的</w:t>
      </w:r>
      <w:r>
        <w:rPr>
          <w:spacing w:val="-3"/>
          <w:w w:val="100"/>
        </w:rPr>
        <w:t>非</w:t>
      </w:r>
      <w:r>
        <w:rPr>
          <w:w w:val="100"/>
        </w:rPr>
        <w:t>流</w:t>
      </w:r>
      <w:r>
        <w:rPr>
          <w:spacing w:val="-3"/>
          <w:w w:val="100"/>
        </w:rPr>
        <w:t>动</w:t>
      </w:r>
      <w:r>
        <w:rPr>
          <w:w w:val="100"/>
        </w:rPr>
        <w:t>资产</w:t>
      </w:r>
      <w:r>
        <w:rPr>
          <w:spacing w:val="-3"/>
          <w:w w:val="100"/>
        </w:rPr>
        <w:t>、</w:t>
      </w:r>
      <w:r>
        <w:rPr>
          <w:w w:val="100"/>
        </w:rPr>
        <w:t>处</w:t>
      </w:r>
      <w:r>
        <w:rPr>
          <w:spacing w:val="-3"/>
          <w:w w:val="100"/>
        </w:rPr>
        <w:t>置</w:t>
      </w:r>
      <w:r>
        <w:rPr>
          <w:w w:val="100"/>
        </w:rPr>
        <w:t>组</w:t>
      </w:r>
      <w:r>
        <w:rPr>
          <w:spacing w:val="-3"/>
          <w:w w:val="100"/>
        </w:rPr>
        <w:t>和</w:t>
      </w:r>
      <w:r>
        <w:rPr>
          <w:w w:val="100"/>
        </w:rPr>
        <w:t>终</w:t>
      </w:r>
      <w:r>
        <w:rPr>
          <w:spacing w:val="-3"/>
          <w:w w:val="100"/>
        </w:rPr>
        <w:t>止</w:t>
      </w:r>
      <w:r>
        <w:rPr>
          <w:w w:val="100"/>
        </w:rPr>
        <w:t>经</w:t>
      </w:r>
      <w:r>
        <w:rPr>
          <w:spacing w:val="-3"/>
          <w:w w:val="100"/>
        </w:rPr>
        <w:t>营</w:t>
      </w:r>
      <w:r>
        <w:rPr>
          <w:spacing w:val="-108"/>
          <w:w w:val="100"/>
        </w:rPr>
        <w:t>》</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36"/>
        </w:rPr>
        <w:t> </w:t>
      </w:r>
      <w:r>
        <w:rPr>
          <w:rFonts w:ascii="Times New Roman" w:hAnsi="Times New Roman" w:cs="Times New Roman" w:eastAsia="Times New Roman" w:hint="default"/>
          <w:spacing w:val="-3"/>
          <w:w w:val="100"/>
        </w:rPr>
        <w:t>16</w:t>
      </w:r>
      <w:r>
        <w:rPr>
          <w:rFonts w:ascii="Times New Roman" w:hAnsi="Times New Roman" w:cs="Times New Roman" w:eastAsia="Times New Roman" w:hint="default"/>
          <w:w w:val="100"/>
        </w:rPr>
      </w:r>
    </w:p>
    <w:p>
      <w:pPr>
        <w:pStyle w:val="BodyText"/>
        <w:spacing w:line="240" w:lineRule="auto" w:before="175"/>
        <w:ind w:right="100"/>
        <w:jc w:val="left"/>
      </w:pP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政</w:t>
      </w:r>
      <w:r>
        <w:rPr>
          <w:spacing w:val="-3"/>
          <w:w w:val="100"/>
        </w:rPr>
        <w:t>府</w:t>
      </w:r>
      <w:r>
        <w:rPr>
          <w:w w:val="100"/>
        </w:rPr>
        <w:t>补</w:t>
      </w:r>
      <w:r>
        <w:rPr>
          <w:spacing w:val="-3"/>
          <w:w w:val="100"/>
        </w:rPr>
        <w:t>助</w:t>
      </w:r>
      <w:r>
        <w:rPr>
          <w:w w:val="100"/>
        </w:rPr>
        <w:t>》</w:t>
      </w:r>
      <w:r>
        <w:rPr>
          <w:spacing w:val="-3"/>
          <w:w w:val="100"/>
        </w:rPr>
        <w:t>和</w:t>
      </w:r>
      <w:r>
        <w:rPr>
          <w:w w:val="100"/>
        </w:rPr>
        <w:t>《</w:t>
      </w:r>
      <w:r>
        <w:rPr>
          <w:spacing w:val="-3"/>
          <w:w w:val="100"/>
        </w:rPr>
        <w:t>财</w:t>
      </w:r>
      <w:r>
        <w:rPr>
          <w:w w:val="100"/>
        </w:rPr>
        <w:t>政部</w:t>
      </w:r>
      <w:r>
        <w:rPr>
          <w:spacing w:val="-3"/>
          <w:w w:val="100"/>
        </w:rPr>
        <w:t>关</w:t>
      </w:r>
      <w:r>
        <w:rPr>
          <w:w w:val="100"/>
        </w:rPr>
        <w:t>于</w:t>
      </w:r>
      <w:r>
        <w:rPr>
          <w:spacing w:val="-3"/>
          <w:w w:val="100"/>
        </w:rPr>
        <w:t>修</w:t>
      </w:r>
      <w:r>
        <w:rPr>
          <w:w w:val="100"/>
        </w:rPr>
        <w:t>订</w:t>
      </w:r>
      <w:r>
        <w:rPr>
          <w:spacing w:val="-3"/>
          <w:w w:val="100"/>
        </w:rPr>
        <w:t>印</w:t>
      </w:r>
      <w:r>
        <w:rPr>
          <w:w w:val="100"/>
        </w:rPr>
        <w:t>发</w:t>
      </w:r>
      <w:r>
        <w:rPr>
          <w:spacing w:val="-3"/>
          <w:w w:val="100"/>
        </w:rPr>
        <w:t>一</w:t>
      </w:r>
      <w:r>
        <w:rPr>
          <w:w w:val="100"/>
        </w:rPr>
        <w:t>般</w:t>
      </w:r>
      <w:r>
        <w:rPr>
          <w:spacing w:val="-3"/>
          <w:w w:val="100"/>
        </w:rPr>
        <w:t>企</w:t>
      </w:r>
      <w:r>
        <w:rPr>
          <w:w w:val="100"/>
        </w:rPr>
        <w:t>业财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108"/>
          <w:w w:val="100"/>
        </w:rPr>
        <w:t>》</w:t>
      </w:r>
      <w:r>
        <w:rPr>
          <w:w w:val="100"/>
        </w:rPr>
        <w:t>。</w:t>
      </w:r>
    </w:p>
    <w:p>
      <w:pPr>
        <w:spacing w:line="240" w:lineRule="auto" w:before="3"/>
        <w:rPr>
          <w:rFonts w:ascii="宋体" w:hAnsi="宋体" w:cs="宋体" w:eastAsia="宋体" w:hint="default"/>
          <w:sz w:val="21"/>
          <w:szCs w:val="21"/>
        </w:rPr>
      </w:pPr>
    </w:p>
    <w:p>
      <w:pPr>
        <w:pStyle w:val="BodyText"/>
        <w:spacing w:line="240" w:lineRule="auto"/>
        <w:ind w:left="573" w:right="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年</w:t>
      </w:r>
      <w:r>
        <w:rPr>
          <w:w w:val="100"/>
        </w:rPr>
        <w:t>度</w:t>
      </w:r>
      <w:r>
        <w:rPr>
          <w:spacing w:val="-3"/>
          <w:w w:val="100"/>
        </w:rPr>
        <w:t>发</w:t>
      </w:r>
      <w:r>
        <w:rPr>
          <w:w w:val="100"/>
        </w:rPr>
        <w:t>布</w:t>
      </w:r>
      <w:r>
        <w:rPr>
          <w:spacing w:val="-3"/>
          <w:w w:val="100"/>
        </w:rPr>
        <w:t>了</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5"/>
        </w:rPr>
        <w:t> </w:t>
      </w:r>
      <w:r>
        <w:rPr>
          <w:rFonts w:ascii="Times New Roman" w:hAnsi="Times New Roman" w:cs="Times New Roman" w:eastAsia="Times New Roman" w:hint="default"/>
          <w:w w:val="100"/>
        </w:rPr>
        <w:t>42</w:t>
      </w:r>
      <w:r>
        <w:rPr>
          <w:rFonts w:ascii="Times New Roman" w:hAnsi="Times New Roman" w:cs="Times New Roman" w:eastAsia="Times New Roman" w:hint="default"/>
          <w:spacing w:val="-12"/>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持</w:t>
      </w:r>
      <w:r>
        <w:rPr>
          <w:spacing w:val="-3"/>
          <w:w w:val="100"/>
        </w:rPr>
        <w:t>有</w:t>
      </w:r>
      <w:r>
        <w:rPr>
          <w:w w:val="100"/>
        </w:rPr>
        <w:t>待</w:t>
      </w:r>
      <w:r>
        <w:rPr>
          <w:spacing w:val="-3"/>
          <w:w w:val="100"/>
        </w:rPr>
        <w:t>售</w:t>
      </w:r>
      <w:r>
        <w:rPr>
          <w:w w:val="100"/>
        </w:rPr>
        <w:t>的</w:t>
      </w:r>
      <w:r>
        <w:rPr>
          <w:spacing w:val="-3"/>
          <w:w w:val="100"/>
        </w:rPr>
        <w:t>非</w:t>
      </w:r>
      <w:r>
        <w:rPr>
          <w:w w:val="100"/>
        </w:rPr>
        <w:t>流</w:t>
      </w:r>
      <w:r>
        <w:rPr>
          <w:spacing w:val="-3"/>
          <w:w w:val="100"/>
        </w:rPr>
        <w:t>动</w:t>
      </w:r>
      <w:r>
        <w:rPr>
          <w:w w:val="100"/>
        </w:rPr>
        <w:t>资</w:t>
      </w:r>
      <w:r>
        <w:rPr>
          <w:spacing w:val="-3"/>
          <w:w w:val="100"/>
        </w:rPr>
        <w:t>产</w:t>
      </w:r>
      <w:r>
        <w:rPr>
          <w:w w:val="100"/>
        </w:rPr>
        <w:t>、</w:t>
      </w:r>
      <w:r>
        <w:rPr>
          <w:spacing w:val="-3"/>
          <w:w w:val="100"/>
        </w:rPr>
        <w:t>处</w:t>
      </w:r>
      <w:r>
        <w:rPr>
          <w:w w:val="100"/>
        </w:rPr>
        <w:t>置</w:t>
      </w:r>
      <w:r>
        <w:rPr>
          <w:spacing w:val="-3"/>
          <w:w w:val="100"/>
        </w:rPr>
        <w:t>组</w:t>
      </w:r>
      <w:r>
        <w:rPr>
          <w:w w:val="100"/>
        </w:rPr>
        <w:t>和</w:t>
      </w:r>
      <w:r>
        <w:rPr>
          <w:spacing w:val="-3"/>
          <w:w w:val="100"/>
        </w:rPr>
        <w:t>终</w:t>
      </w:r>
      <w:r>
        <w:rPr>
          <w:w w:val="100"/>
        </w:rPr>
        <w:t>止</w:t>
      </w:r>
      <w:r>
        <w:rPr>
          <w:spacing w:val="-3"/>
          <w:w w:val="100"/>
        </w:rPr>
        <w:t>经</w:t>
      </w:r>
      <w:r>
        <w:rPr>
          <w:w w:val="100"/>
        </w:rPr>
        <w:t>营</w:t>
      </w:r>
      <w:r>
        <w:rPr>
          <w:spacing w:val="-106"/>
          <w:w w:val="100"/>
        </w:rPr>
        <w:t>》</w:t>
      </w:r>
      <w:r>
        <w:rPr>
          <w:w w:val="100"/>
        </w:rPr>
        <w:t>，</w:t>
      </w:r>
    </w:p>
    <w:p>
      <w:pPr>
        <w:pStyle w:val="BodyText"/>
        <w:spacing w:line="386" w:lineRule="auto" w:before="177"/>
        <w:ind w:right="100"/>
        <w:jc w:val="left"/>
      </w:pPr>
      <w:r>
        <w:rPr/>
        <w:t>自</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日起施行，对于施行日存在的持有待售的非流动资产、处置组和终止经营，要求采用未</w:t>
      </w:r>
      <w:r>
        <w:rPr>
          <w:spacing w:val="-3"/>
          <w:w w:val="100"/>
        </w:rPr>
        <w:t> </w:t>
      </w:r>
      <w:r>
        <w:rPr/>
        <w:t>来适用法处理。</w:t>
      </w:r>
    </w:p>
    <w:p>
      <w:pPr>
        <w:pStyle w:val="BodyText"/>
        <w:spacing w:line="240" w:lineRule="auto" w:before="166"/>
        <w:ind w:left="573" w:right="100"/>
        <w:jc w:val="left"/>
        <w:rPr>
          <w:rFonts w:ascii="Times New Roman" w:hAnsi="Times New Roman" w:cs="Times New Roman" w:eastAsia="Times New Roman" w:hint="default"/>
        </w:rPr>
      </w:pPr>
      <w:r>
        <w:rPr>
          <w:w w:val="100"/>
        </w:rPr>
        <w:t>财政</w:t>
      </w:r>
      <w:r>
        <w:rPr>
          <w:spacing w:val="-3"/>
          <w:w w:val="100"/>
        </w:rPr>
        <w:t>部</w:t>
      </w:r>
      <w:r>
        <w:rPr>
          <w:w w:val="100"/>
        </w:rPr>
        <w:t>于</w:t>
      </w:r>
      <w:r>
        <w:rPr>
          <w:spacing w:val="-2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rPr>
        <w:t> </w:t>
      </w:r>
      <w:r>
        <w:rPr>
          <w:spacing w:val="-3"/>
          <w:w w:val="100"/>
        </w:rPr>
        <w:t>年</w:t>
      </w:r>
      <w:r>
        <w:rPr>
          <w:w w:val="100"/>
        </w:rPr>
        <w:t>度</w:t>
      </w:r>
      <w:r>
        <w:rPr>
          <w:spacing w:val="-3"/>
          <w:w w:val="100"/>
        </w:rPr>
        <w:t>修</w:t>
      </w:r>
      <w:r>
        <w:rPr>
          <w:w w:val="100"/>
        </w:rPr>
        <w:t>订</w:t>
      </w:r>
      <w:r>
        <w:rPr>
          <w:spacing w:val="-3"/>
          <w:w w:val="100"/>
        </w:rPr>
        <w:t>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29"/>
        </w:rPr>
        <w:t> </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政</w:t>
      </w:r>
      <w:r>
        <w:rPr>
          <w:spacing w:val="-3"/>
          <w:w w:val="100"/>
        </w:rPr>
        <w:t>府</w:t>
      </w:r>
      <w:r>
        <w:rPr>
          <w:w w:val="100"/>
        </w:rPr>
        <w:t>补</w:t>
      </w:r>
      <w:r>
        <w:rPr>
          <w:spacing w:val="-3"/>
          <w:w w:val="100"/>
        </w:rPr>
        <w:t>助</w:t>
      </w:r>
      <w:r>
        <w:rPr>
          <w:spacing w:val="-106"/>
          <w:w w:val="100"/>
        </w:rPr>
        <w:t>》</w:t>
      </w:r>
      <w:r>
        <w:rPr>
          <w:spacing w:val="-3"/>
          <w:w w:val="100"/>
        </w:rPr>
        <w:t>，</w:t>
      </w:r>
      <w:r>
        <w:rPr>
          <w:w w:val="100"/>
        </w:rPr>
        <w:t>修</w:t>
      </w:r>
      <w:r>
        <w:rPr>
          <w:spacing w:val="-3"/>
          <w:w w:val="100"/>
        </w:rPr>
        <w:t>订</w:t>
      </w:r>
      <w:r>
        <w:rPr>
          <w:w w:val="100"/>
        </w:rPr>
        <w:t>后</w:t>
      </w:r>
      <w:r>
        <w:rPr>
          <w:spacing w:val="-3"/>
          <w:w w:val="100"/>
        </w:rPr>
        <w:t>的准</w:t>
      </w:r>
      <w:r>
        <w:rPr>
          <w:w w:val="100"/>
        </w:rPr>
        <w:t>则自</w:t>
      </w:r>
      <w:r>
        <w:rPr>
          <w:spacing w:val="-2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rPr>
        <w:t> </w:t>
      </w:r>
      <w:r>
        <w:rPr>
          <w:w w:val="100"/>
        </w:rPr>
        <w:t>年</w:t>
      </w:r>
      <w:r>
        <w:rPr>
          <w:spacing w:val="-29"/>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29"/>
        </w:rPr>
        <w:t> </w:t>
      </w:r>
      <w:r>
        <w:rPr>
          <w:rFonts w:ascii="Times New Roman" w:hAnsi="Times New Roman" w:cs="Times New Roman" w:eastAsia="Times New Roman" w:hint="default"/>
          <w:w w:val="100"/>
        </w:rPr>
        <w:t>12</w:t>
      </w:r>
    </w:p>
    <w:p>
      <w:pPr>
        <w:pStyle w:val="BodyText"/>
        <w:spacing w:line="386" w:lineRule="auto" w:before="177"/>
        <w:ind w:right="100"/>
        <w:jc w:val="left"/>
      </w:pPr>
      <w:r>
        <w:rPr/>
        <w:t>日起施行，对于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日存在的政府补助，要求采用未来适用法处理；对于</w:t>
      </w:r>
      <w:r>
        <w:rPr>
          <w:spacing w:val="-44"/>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3"/>
        </w:rPr>
        <w:t>日至施</w:t>
      </w:r>
      <w:r>
        <w:rPr>
          <w:spacing w:val="-3"/>
          <w:w w:val="100"/>
        </w:rPr>
        <w:t> </w:t>
      </w:r>
      <w:r>
        <w:rPr/>
        <w:t>行日新增的政府补助，也要求按照修订后的准则进行调整。</w:t>
      </w:r>
    </w:p>
    <w:p>
      <w:pPr>
        <w:pStyle w:val="BodyText"/>
        <w:spacing w:line="240" w:lineRule="auto" w:before="163"/>
        <w:ind w:left="573" w:right="10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spacing w:val="-3"/>
          <w:w w:val="100"/>
        </w:rPr>
        <w:t>年</w:t>
      </w:r>
      <w:r>
        <w:rPr>
          <w:w w:val="100"/>
        </w:rPr>
        <w:t>度</w:t>
      </w:r>
      <w:r>
        <w:rPr>
          <w:spacing w:val="-3"/>
          <w:w w:val="100"/>
        </w:rPr>
        <w:t>发</w:t>
      </w:r>
      <w:r>
        <w:rPr>
          <w:w w:val="100"/>
        </w:rPr>
        <w:t>布</w:t>
      </w:r>
      <w:r>
        <w:rPr>
          <w:spacing w:val="-8"/>
          <w:w w:val="100"/>
        </w:rPr>
        <w:t>了</w:t>
      </w:r>
      <w:r>
        <w:rPr>
          <w:w w:val="100"/>
        </w:rPr>
        <w:t>《</w:t>
      </w:r>
      <w:r>
        <w:rPr>
          <w:spacing w:val="-3"/>
          <w:w w:val="100"/>
        </w:rPr>
        <w:t>财</w:t>
      </w:r>
      <w:r>
        <w:rPr>
          <w:w w:val="100"/>
        </w:rPr>
        <w:t>政</w:t>
      </w:r>
      <w:r>
        <w:rPr>
          <w:spacing w:val="-3"/>
          <w:w w:val="100"/>
        </w:rPr>
        <w:t>部</w:t>
      </w:r>
      <w:r>
        <w:rPr>
          <w:w w:val="100"/>
        </w:rPr>
        <w:t>关</w:t>
      </w:r>
      <w:r>
        <w:rPr>
          <w:spacing w:val="-3"/>
          <w:w w:val="100"/>
        </w:rPr>
        <w:t>于</w:t>
      </w:r>
      <w:r>
        <w:rPr>
          <w:w w:val="100"/>
        </w:rPr>
        <w:t>修</w:t>
      </w:r>
      <w:r>
        <w:rPr>
          <w:spacing w:val="-3"/>
          <w:w w:val="100"/>
        </w:rPr>
        <w:t>订</w:t>
      </w:r>
      <w:r>
        <w:rPr>
          <w:w w:val="100"/>
        </w:rPr>
        <w:t>印</w:t>
      </w:r>
      <w:r>
        <w:rPr>
          <w:spacing w:val="-3"/>
          <w:w w:val="100"/>
        </w:rPr>
        <w:t>发一</w:t>
      </w:r>
      <w:r>
        <w:rPr>
          <w:w w:val="100"/>
        </w:rPr>
        <w:t>般企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108"/>
          <w:w w:val="100"/>
        </w:rPr>
        <w:t>》</w:t>
      </w:r>
      <w:r>
        <w:rPr>
          <w:spacing w:val="-5"/>
          <w:w w:val="100"/>
        </w:rPr>
        <w:t>，</w:t>
      </w:r>
      <w:r>
        <w:rPr>
          <w:spacing w:val="-3"/>
          <w:w w:val="100"/>
        </w:rPr>
        <w:t>对</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w:t>
      </w:r>
    </w:p>
    <w:p>
      <w:pPr>
        <w:pStyle w:val="BodyText"/>
        <w:spacing w:line="240" w:lineRule="auto" w:before="177"/>
        <w:ind w:right="100"/>
        <w:jc w:val="left"/>
      </w:pPr>
      <w:r>
        <w:rPr/>
        <w:t>表格式进行了修订，适用于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年度及以后期间的财务报表。</w:t>
      </w:r>
    </w:p>
    <w:p>
      <w:pPr>
        <w:spacing w:line="240" w:lineRule="auto" w:before="9"/>
        <w:rPr>
          <w:rFonts w:ascii="宋体" w:hAnsi="宋体" w:cs="宋体" w:eastAsia="宋体" w:hint="default"/>
          <w:sz w:val="23"/>
          <w:szCs w:val="23"/>
        </w:rPr>
      </w:pPr>
    </w:p>
    <w:p>
      <w:pPr>
        <w:pStyle w:val="Heading3"/>
        <w:spacing w:line="240" w:lineRule="auto"/>
        <w:ind w:right="100"/>
        <w:jc w:val="left"/>
      </w:pPr>
      <w:r>
        <w:rPr/>
        <w:t>（</w:t>
      </w:r>
      <w:r>
        <w:rPr>
          <w:rFonts w:ascii="Times New Roman" w:hAnsi="Times New Roman" w:cs="Times New Roman" w:eastAsia="Times New Roman" w:hint="default"/>
        </w:rPr>
        <w:t>2</w:t>
      </w:r>
      <w:r>
        <w:rPr/>
        <w:t>）重要会计估计变更</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2" w:footer="1132" w:top="1280" w:bottom="1320" w:left="980" w:right="920"/>
        </w:sectPr>
      </w:pPr>
    </w:p>
    <w:p>
      <w:pPr>
        <w:spacing w:line="240" w:lineRule="auto" w:before="2"/>
        <w:rPr>
          <w:rFonts w:ascii="宋体" w:hAnsi="宋体" w:cs="宋体" w:eastAsia="宋体" w:hint="default"/>
          <w:sz w:val="15"/>
          <w:szCs w:val="15"/>
        </w:rPr>
      </w:pPr>
    </w:p>
    <w:p>
      <w:pPr>
        <w:spacing w:line="578" w:lineRule="auto" w:before="26"/>
        <w:ind w:left="152" w:right="7734" w:firstLine="0"/>
        <w:jc w:val="left"/>
        <w:rPr>
          <w:rFonts w:ascii="黑体" w:hAnsi="黑体" w:cs="黑体" w:eastAsia="黑体" w:hint="default"/>
          <w:sz w:val="24"/>
          <w:szCs w:val="24"/>
        </w:rPr>
      </w:pPr>
      <w:r>
        <w:rPr/>
        <w:pict>
          <v:shape style="position:absolute;margin-left:56.400002pt;margin-top:114.555634pt;width:479.3pt;height:164.5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101"/>
                          <w:ind w:left="17" w:right="15"/>
                          <w:jc w:val="both"/>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收入为基础计算销项税额，在扣除当期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允许抵扣的进项税额后，差额部分为应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7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500"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4" w:lineRule="auto" w:before="101"/>
                          <w:ind w:left="17" w:right="15"/>
                          <w:jc w:val="left"/>
                          <w:rPr>
                            <w:rFonts w:ascii="宋体" w:hAnsi="宋体" w:cs="宋体" w:eastAsia="宋体" w:hint="default"/>
                            <w:sz w:val="18"/>
                            <w:szCs w:val="18"/>
                          </w:rPr>
                        </w:pPr>
                        <w:r>
                          <w:rPr>
                            <w:rFonts w:ascii="宋体" w:hAnsi="宋体" w:cs="宋体" w:eastAsia="宋体" w:hint="default"/>
                            <w:spacing w:val="3"/>
                            <w:sz w:val="18"/>
                            <w:szCs w:val="18"/>
                          </w:rPr>
                          <w:t>按实际缴纳的营业税、增值税及消费税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w:t>
                        </w:r>
                      </w:p>
                    </w:tc>
                  </w:tr>
                  <w:tr>
                    <w:trPr>
                      <w:trHeight w:val="497"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bl>
                <w:p>
                  <w:pPr/>
                </w:p>
              </w:txbxContent>
            </v:textbox>
            <w10:wrap type="none"/>
          </v:shape>
        </w:pict>
      </w:r>
      <w:r>
        <w:rPr>
          <w:rFonts w:ascii="Times New Roman" w:hAnsi="Times New Roman" w:cs="Times New Roman" w:eastAsia="Times New Roman" w:hint="default"/>
          <w:sz w:val="24"/>
          <w:szCs w:val="24"/>
        </w:rPr>
        <w:t>34</w:t>
      </w:r>
      <w:r>
        <w:rPr>
          <w:rFonts w:ascii="黑体" w:hAnsi="黑体" w:cs="黑体" w:eastAsia="黑体" w:hint="default"/>
          <w:sz w:val="24"/>
          <w:szCs w:val="24"/>
        </w:rPr>
        <w:t>、其他 </w:t>
      </w:r>
      <w:r>
        <w:rPr>
          <w:rFonts w:ascii="黑体" w:hAnsi="黑体" w:cs="黑体" w:eastAsia="黑体" w:hint="default"/>
          <w:sz w:val="28"/>
          <w:szCs w:val="28"/>
        </w:rPr>
        <w:t>六、税项</w:t>
      </w:r>
      <w:r>
        <w:rPr>
          <w:rFonts w:ascii="黑体" w:hAnsi="黑体" w:cs="黑体" w:eastAsia="黑体" w:hint="default"/>
          <w:spacing w:val="-137"/>
          <w:sz w:val="28"/>
          <w:szCs w:val="28"/>
        </w:rPr>
        <w:t> </w:t>
      </w:r>
      <w:r>
        <w:rPr>
          <w:rFonts w:ascii="黑体" w:hAnsi="黑体" w:cs="黑体" w:eastAsia="黑体" w:hint="default"/>
          <w:spacing w:val="-137"/>
          <w:sz w:val="28"/>
          <w:szCs w:val="28"/>
        </w:rPr>
      </w:r>
      <w:r>
        <w:rPr>
          <w:rFonts w:ascii="Times New Roman" w:hAnsi="Times New Roman" w:cs="Times New Roman" w:eastAsia="Times New Roman" w:hint="default"/>
          <w:sz w:val="24"/>
          <w:szCs w:val="24"/>
        </w:rPr>
        <w:t>1</w:t>
      </w:r>
      <w:r>
        <w:rPr>
          <w:rFonts w:ascii="黑体" w:hAnsi="黑体" w:cs="黑体" w:eastAsia="黑体" w:hint="default"/>
          <w:sz w:val="24"/>
          <w:szCs w:val="24"/>
        </w:rPr>
        <w:t>、主要税种及税率</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4"/>
          <w:szCs w:val="14"/>
        </w:rPr>
      </w:pPr>
    </w:p>
    <w:p>
      <w:pPr>
        <w:pStyle w:val="BodyText"/>
        <w:spacing w:line="240" w:lineRule="auto"/>
        <w:ind w:left="573" w:right="11"/>
        <w:jc w:val="left"/>
      </w:pPr>
      <w:r>
        <w:rPr/>
        <w:t>存在不同企业所得税税率纳税主体的，披露情况说明</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北京中软金卡信息有限公司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旋极国际（香港）有限公司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16.5%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北京泰豪太阳能电源技术有限公司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15%</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江西汇水科技有限公司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航泰恒通（北京）科技有限公司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20%</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陕西西谷泰思特微电子有限公司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18"/>
                <w:szCs w:val="18"/>
              </w:rPr>
            </w:pPr>
            <w:r>
              <w:rPr>
                <w:rFonts w:ascii="Times New Roman"/>
                <w:sz w:val="18"/>
              </w:rPr>
              <w:t>20%</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12"/>
        <w:rPr>
          <w:rFonts w:ascii="宋体" w:hAnsi="宋体" w:cs="宋体" w:eastAsia="宋体" w:hint="default"/>
          <w:sz w:val="12"/>
          <w:szCs w:val="12"/>
        </w:rPr>
      </w:pPr>
    </w:p>
    <w:p>
      <w:pPr>
        <w:pStyle w:val="Heading3"/>
        <w:spacing w:line="240" w:lineRule="auto" w:before="26"/>
        <w:ind w:right="100"/>
        <w:jc w:val="left"/>
      </w:pPr>
      <w:r>
        <w:rPr>
          <w:rFonts w:ascii="Times New Roman" w:hAnsi="Times New Roman" w:cs="Times New Roman" w:eastAsia="Times New Roman" w:hint="default"/>
        </w:rPr>
        <w:t>2</w:t>
      </w:r>
      <w:r>
        <w:rPr/>
        <w:t>、税收优惠</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spacing w:val="-6"/>
        </w:rPr>
        <w:t>1</w:t>
      </w:r>
      <w:r>
        <w:rPr>
          <w:spacing w:val="-6"/>
        </w:rPr>
        <w:t>、本公司于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spacing w:val="-4"/>
        </w:rPr>
        <w:t>日时取得高新技术企业证书，证书编号：</w:t>
      </w:r>
      <w:r>
        <w:rPr>
          <w:rFonts w:ascii="Times New Roman" w:hAnsi="Times New Roman" w:cs="Times New Roman" w:eastAsia="Times New Roman" w:hint="default"/>
          <w:spacing w:val="-4"/>
        </w:rPr>
        <w:t>GR201711002712</w:t>
      </w:r>
      <w:r>
        <w:rPr>
          <w:spacing w:val="-4"/>
        </w:rPr>
        <w:t>；上海旋极信</w:t>
      </w:r>
    </w:p>
    <w:p>
      <w:pPr>
        <w:pStyle w:val="BodyText"/>
        <w:spacing w:line="240" w:lineRule="auto" w:before="177"/>
        <w:ind w:right="100"/>
        <w:jc w:val="left"/>
      </w:pPr>
      <w:r>
        <w:rPr/>
        <w:t>息技术有限公司于</w:t>
      </w:r>
      <w:r>
        <w:rPr>
          <w:spacing w:val="-52"/>
        </w:rPr>
        <w:t> </w:t>
      </w:r>
      <w:r>
        <w:rPr>
          <w:rFonts w:ascii="Times New Roman" w:hAnsi="Times New Roman" w:cs="Times New Roman" w:eastAsia="Times New Roman" w:hint="default"/>
        </w:rPr>
        <w:t>2015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日取得高新技术企业证书，证书编号：</w:t>
      </w:r>
      <w:r>
        <w:rPr>
          <w:rFonts w:ascii="Times New Roman" w:hAnsi="Times New Roman" w:cs="Times New Roman" w:eastAsia="Times New Roman" w:hint="default"/>
        </w:rPr>
        <w:t>GF201531000389</w:t>
      </w:r>
      <w:r>
        <w:rPr/>
        <w:t>；成都旋极历</w:t>
      </w:r>
    </w:p>
    <w:p>
      <w:pPr>
        <w:pStyle w:val="BodyText"/>
        <w:spacing w:line="240" w:lineRule="auto" w:before="177"/>
        <w:ind w:right="100"/>
        <w:jc w:val="left"/>
      </w:pPr>
      <w:r>
        <w:rPr/>
        <w:t>通信息技术有限公司于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日重新取得高新技术企业证书，证书编号为：</w:t>
      </w:r>
      <w:r>
        <w:rPr>
          <w:rFonts w:ascii="Times New Roman" w:hAnsi="Times New Roman" w:cs="Times New Roman" w:eastAsia="Times New Roman" w:hint="default"/>
        </w:rPr>
        <w:t>GR201751000264</w:t>
      </w:r>
      <w:r>
        <w:rPr/>
        <w:t>，</w:t>
      </w:r>
    </w:p>
    <w:p>
      <w:pPr>
        <w:pStyle w:val="BodyText"/>
        <w:spacing w:line="240" w:lineRule="auto" w:before="178"/>
        <w:ind w:right="0"/>
        <w:jc w:val="left"/>
      </w:pPr>
      <w:r>
        <w:rPr>
          <w:w w:val="100"/>
        </w:rPr>
        <w:t>北京</w:t>
      </w:r>
      <w:r>
        <w:rPr>
          <w:spacing w:val="-3"/>
          <w:w w:val="100"/>
        </w:rPr>
        <w:t>中</w:t>
      </w:r>
      <w:r>
        <w:rPr>
          <w:w w:val="100"/>
        </w:rPr>
        <w:t>软</w:t>
      </w:r>
      <w:r>
        <w:rPr>
          <w:spacing w:val="-3"/>
          <w:w w:val="100"/>
        </w:rPr>
        <w:t>金</w:t>
      </w:r>
      <w:r>
        <w:rPr>
          <w:w w:val="100"/>
        </w:rPr>
        <w:t>卡</w:t>
      </w:r>
      <w:r>
        <w:rPr>
          <w:spacing w:val="-3"/>
          <w:w w:val="100"/>
        </w:rPr>
        <w:t>信</w:t>
      </w:r>
      <w:r>
        <w:rPr>
          <w:w w:val="100"/>
        </w:rPr>
        <w:t>息</w:t>
      </w:r>
      <w:r>
        <w:rPr>
          <w:spacing w:val="-3"/>
          <w:w w:val="100"/>
        </w:rPr>
        <w:t>有</w:t>
      </w:r>
      <w:r>
        <w:rPr>
          <w:w w:val="100"/>
        </w:rPr>
        <w:t>限</w:t>
      </w:r>
      <w:r>
        <w:rPr>
          <w:spacing w:val="-3"/>
          <w:w w:val="100"/>
        </w:rPr>
        <w:t>公</w:t>
      </w:r>
      <w:r>
        <w:rPr>
          <w:w w:val="100"/>
        </w:rPr>
        <w:t>司于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日</w:t>
      </w:r>
      <w:r>
        <w:rPr>
          <w:spacing w:val="-3"/>
          <w:w w:val="100"/>
        </w:rPr>
        <w:t>重</w:t>
      </w:r>
      <w:r>
        <w:rPr>
          <w:w w:val="100"/>
        </w:rPr>
        <w:t>新取</w:t>
      </w:r>
      <w:r>
        <w:rPr>
          <w:spacing w:val="-3"/>
          <w:w w:val="100"/>
        </w:rPr>
        <w:t>得</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证</w:t>
      </w:r>
      <w:r>
        <w:rPr>
          <w:spacing w:val="-3"/>
          <w:w w:val="100"/>
        </w:rPr>
        <w:t>书</w:t>
      </w:r>
      <w:r>
        <w:rPr>
          <w:spacing w:val="-104"/>
          <w:w w:val="100"/>
        </w:rPr>
        <w:t>，</w:t>
      </w:r>
      <w:r>
        <w:rPr>
          <w:w w:val="100"/>
        </w:rPr>
        <w:t>证书</w:t>
      </w:r>
      <w:r>
        <w:rPr>
          <w:spacing w:val="-3"/>
          <w:w w:val="100"/>
        </w:rPr>
        <w:t>编</w:t>
      </w:r>
      <w:r>
        <w:rPr>
          <w:w w:val="100"/>
        </w:rPr>
        <w:t>号</w:t>
      </w:r>
      <w:r>
        <w:rPr>
          <w:spacing w:val="-103"/>
          <w:w w:val="100"/>
        </w:rPr>
        <w:t>：</w:t>
      </w:r>
      <w:r>
        <w:rPr>
          <w:rFonts w:ascii="Times New Roman" w:hAnsi="Times New Roman" w:cs="Times New Roman" w:eastAsia="Times New Roman" w:hint="default"/>
          <w:spacing w:val="-2"/>
          <w:w w:val="100"/>
        </w:rPr>
        <w:t>G</w:t>
      </w:r>
      <w:r>
        <w:rPr>
          <w:rFonts w:ascii="Times New Roman" w:hAnsi="Times New Roman" w:cs="Times New Roman" w:eastAsia="Times New Roman" w:hint="default"/>
          <w:w w:val="100"/>
        </w:rPr>
        <w:t>R2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007</w:t>
      </w:r>
      <w:r>
        <w:rPr>
          <w:rFonts w:ascii="Times New Roman" w:hAnsi="Times New Roman" w:cs="Times New Roman" w:eastAsia="Times New Roman" w:hint="default"/>
          <w:spacing w:val="-3"/>
          <w:w w:val="100"/>
        </w:rPr>
        <w:t>34</w:t>
      </w:r>
      <w:r>
        <w:rPr>
          <w:rFonts w:ascii="Times New Roman" w:hAnsi="Times New Roman" w:cs="Times New Roman" w:eastAsia="Times New Roman" w:hint="default"/>
          <w:spacing w:val="-1"/>
          <w:w w:val="100"/>
        </w:rPr>
        <w:t>6</w:t>
      </w:r>
      <w:r>
        <w:rPr>
          <w:w w:val="100"/>
        </w:rPr>
        <w:t>；</w:t>
      </w:r>
    </w:p>
    <w:p>
      <w:pPr>
        <w:pStyle w:val="BodyText"/>
        <w:spacing w:line="240" w:lineRule="auto" w:before="177"/>
        <w:ind w:right="100"/>
        <w:jc w:val="left"/>
      </w:pPr>
      <w:r>
        <w:rPr/>
        <w:t>北京泰豪智能工程有限公司于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6"/>
        </w:rPr>
        <w:t>日取得高新技术企业证书，证书编号：</w:t>
      </w:r>
      <w:r>
        <w:rPr>
          <w:rFonts w:ascii="Times New Roman" w:hAnsi="Times New Roman" w:cs="Times New Roman" w:eastAsia="Times New Roman" w:hint="default"/>
          <w:spacing w:val="-6"/>
        </w:rPr>
        <w:t>GR201711000470</w:t>
      </w:r>
      <w:r>
        <w:rPr>
          <w:spacing w:val="-6"/>
        </w:rPr>
        <w:t>；北</w:t>
      </w:r>
      <w:r>
        <w:rPr/>
      </w:r>
    </w:p>
    <w:p>
      <w:pPr>
        <w:pStyle w:val="BodyText"/>
        <w:spacing w:line="240" w:lineRule="auto" w:before="177"/>
        <w:ind w:right="0"/>
        <w:jc w:val="left"/>
      </w:pPr>
      <w:r>
        <w:rPr>
          <w:w w:val="100"/>
        </w:rPr>
        <w:t>京泰</w:t>
      </w:r>
      <w:r>
        <w:rPr>
          <w:spacing w:val="-2"/>
          <w:w w:val="100"/>
        </w:rPr>
        <w:t>豪</w:t>
      </w:r>
      <w:r>
        <w:rPr>
          <w:w w:val="100"/>
        </w:rPr>
        <w:t>太</w:t>
      </w:r>
      <w:r>
        <w:rPr>
          <w:spacing w:val="-3"/>
          <w:w w:val="100"/>
        </w:rPr>
        <w:t>阳</w:t>
      </w:r>
      <w:r>
        <w:rPr>
          <w:w w:val="100"/>
        </w:rPr>
        <w:t>能</w:t>
      </w:r>
      <w:r>
        <w:rPr>
          <w:spacing w:val="-3"/>
          <w:w w:val="100"/>
        </w:rPr>
        <w:t>电</w:t>
      </w:r>
      <w:r>
        <w:rPr>
          <w:w w:val="100"/>
        </w:rPr>
        <w:t>源</w:t>
      </w:r>
      <w:r>
        <w:rPr>
          <w:spacing w:val="-3"/>
          <w:w w:val="100"/>
        </w:rPr>
        <w:t>技</w:t>
      </w:r>
      <w:r>
        <w:rPr>
          <w:w w:val="100"/>
        </w:rPr>
        <w:t>术</w:t>
      </w:r>
      <w:r>
        <w:rPr>
          <w:spacing w:val="-3"/>
          <w:w w:val="100"/>
        </w:rPr>
        <w:t>有</w:t>
      </w:r>
      <w:r>
        <w:rPr>
          <w:w w:val="100"/>
        </w:rPr>
        <w:t>限公</w:t>
      </w:r>
      <w:r>
        <w:rPr>
          <w:spacing w:val="-3"/>
          <w:w w:val="100"/>
        </w:rPr>
        <w:t>司</w:t>
      </w:r>
      <w:r>
        <w:rPr>
          <w:w w:val="100"/>
        </w:rPr>
        <w:t>于</w:t>
      </w:r>
      <w:r>
        <w:rPr>
          <w:spacing w:val="-69"/>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72"/>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9"/>
        </w:rPr>
        <w:t> </w:t>
      </w:r>
      <w:r>
        <w:rPr>
          <w:w w:val="100"/>
        </w:rPr>
        <w:t>日取</w:t>
      </w:r>
      <w:r>
        <w:rPr>
          <w:spacing w:val="-3"/>
          <w:w w:val="100"/>
        </w:rPr>
        <w:t>得</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证</w:t>
      </w:r>
      <w:r>
        <w:rPr>
          <w:spacing w:val="-3"/>
          <w:w w:val="100"/>
        </w:rPr>
        <w:t>书</w:t>
      </w:r>
      <w:r>
        <w:rPr>
          <w:spacing w:val="-108"/>
          <w:w w:val="100"/>
        </w:rPr>
        <w:t>，</w:t>
      </w:r>
      <w:r>
        <w:rPr>
          <w:w w:val="100"/>
        </w:rPr>
        <w:t>证书</w:t>
      </w:r>
      <w:r>
        <w:rPr>
          <w:spacing w:val="-3"/>
          <w:w w:val="100"/>
        </w:rPr>
        <w:t>编</w:t>
      </w:r>
      <w:r>
        <w:rPr>
          <w:w w:val="100"/>
        </w:rPr>
        <w:t>号</w:t>
      </w:r>
      <w:r>
        <w:rPr>
          <w:spacing w:val="-108"/>
          <w:w w:val="100"/>
        </w:rPr>
        <w:t>：</w:t>
      </w:r>
      <w:r>
        <w:rPr>
          <w:rFonts w:ascii="Times New Roman" w:hAnsi="Times New Roman" w:cs="Times New Roman" w:eastAsia="Times New Roman" w:hint="default"/>
          <w:spacing w:val="-2"/>
          <w:w w:val="100"/>
        </w:rPr>
        <w:t>G</w:t>
      </w:r>
      <w:r>
        <w:rPr>
          <w:rFonts w:ascii="Times New Roman" w:hAnsi="Times New Roman" w:cs="Times New Roman" w:eastAsia="Times New Roman" w:hint="default"/>
          <w:w w:val="100"/>
        </w:rPr>
        <w:t>R20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003</w:t>
      </w:r>
      <w:r>
        <w:rPr>
          <w:rFonts w:ascii="Times New Roman" w:hAnsi="Times New Roman" w:cs="Times New Roman" w:eastAsia="Times New Roman" w:hint="default"/>
          <w:spacing w:val="-3"/>
          <w:w w:val="100"/>
        </w:rPr>
        <w:t>43</w:t>
      </w:r>
      <w:r>
        <w:rPr>
          <w:rFonts w:ascii="Times New Roman" w:hAnsi="Times New Roman" w:cs="Times New Roman" w:eastAsia="Times New Roman" w:hint="default"/>
          <w:spacing w:val="-1"/>
          <w:w w:val="100"/>
        </w:rPr>
        <w:t>9</w:t>
      </w:r>
      <w:r>
        <w:rPr>
          <w:w w:val="100"/>
        </w:rPr>
        <w:t>；</w:t>
      </w:r>
    </w:p>
    <w:p>
      <w:pPr>
        <w:pStyle w:val="BodyText"/>
        <w:spacing w:line="240" w:lineRule="auto" w:before="177"/>
        <w:ind w:right="100"/>
        <w:jc w:val="left"/>
      </w:pPr>
      <w:r>
        <w:rPr/>
        <w:t>上海信业智能科技股份有限公司于</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年取得高新技术企业证书，证书编号：</w:t>
      </w:r>
      <w:r>
        <w:rPr>
          <w:rFonts w:ascii="Times New Roman" w:hAnsi="Times New Roman" w:cs="Times New Roman" w:eastAsia="Times New Roman" w:hint="default"/>
        </w:rPr>
        <w:t>GR201731001308</w:t>
      </w:r>
      <w:r>
        <w:rPr/>
        <w:t>；北京百</w:t>
      </w:r>
    </w:p>
    <w:p>
      <w:pPr>
        <w:pStyle w:val="BodyText"/>
        <w:spacing w:line="240" w:lineRule="auto" w:before="177"/>
        <w:ind w:right="100"/>
        <w:jc w:val="left"/>
      </w:pPr>
      <w:r>
        <w:rPr/>
        <w:t>旺金赋科技有限公于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日取得高新技术企业证书，证书编号：</w:t>
      </w:r>
      <w:r>
        <w:rPr>
          <w:rFonts w:ascii="Times New Roman" w:hAnsi="Times New Roman" w:cs="Times New Roman" w:eastAsia="Times New Roman" w:hint="default"/>
        </w:rPr>
        <w:t>GR201511001220</w:t>
      </w:r>
      <w:r>
        <w:rPr/>
        <w:t>；西安西谷</w:t>
      </w:r>
    </w:p>
    <w:p>
      <w:pPr>
        <w:pStyle w:val="BodyText"/>
        <w:spacing w:line="240" w:lineRule="auto" w:before="177"/>
        <w:ind w:right="100"/>
        <w:jc w:val="left"/>
      </w:pPr>
      <w:r>
        <w:rPr/>
        <w:t>微电子有限责任公司于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4"/>
        </w:rPr>
        <w:t>月取得高新技术企业证书，证书编号：</w:t>
      </w:r>
      <w:r>
        <w:rPr>
          <w:rFonts w:ascii="Times New Roman" w:hAnsi="Times New Roman" w:cs="Times New Roman" w:eastAsia="Times New Roman" w:hint="default"/>
          <w:spacing w:val="-4"/>
        </w:rPr>
        <w:t>GR201761000097</w:t>
      </w:r>
      <w:r>
        <w:rPr>
          <w:spacing w:val="-4"/>
        </w:rPr>
        <w:t>；百望金赋科技</w:t>
      </w:r>
    </w:p>
    <w:p>
      <w:pPr>
        <w:pStyle w:val="BodyText"/>
        <w:spacing w:line="386" w:lineRule="auto" w:before="177"/>
        <w:ind w:right="100"/>
        <w:jc w:val="left"/>
      </w:pPr>
      <w:r>
        <w:rPr/>
        <w:t>有限公司于</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7"/>
        </w:rPr>
        <w:t>日取得高新技术企业证书，证书编号：</w:t>
      </w:r>
      <w:r>
        <w:rPr>
          <w:rFonts w:ascii="Times New Roman" w:hAnsi="Times New Roman" w:cs="Times New Roman" w:eastAsia="Times New Roman" w:hint="default"/>
          <w:spacing w:val="-7"/>
        </w:rPr>
        <w:t>GR201611000198</w:t>
      </w:r>
      <w:r>
        <w:rPr>
          <w:spacing w:val="-7"/>
        </w:rPr>
        <w:t>；根据《企业所得税法》</w:t>
      </w:r>
      <w:r>
        <w:rPr>
          <w:spacing w:val="-100"/>
        </w:rPr>
        <w:t> </w:t>
      </w:r>
      <w:r>
        <w:rPr>
          <w:spacing w:val="-100"/>
        </w:rPr>
      </w:r>
      <w:r>
        <w:rPr/>
        <w:t>第二十八条规定，以上公司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年度执行</w:t>
      </w:r>
      <w:r>
        <w:rPr>
          <w:spacing w:val="-55"/>
        </w:rPr>
        <w:t> </w:t>
      </w:r>
      <w:r>
        <w:rPr>
          <w:rFonts w:ascii="Times New Roman" w:hAnsi="Times New Roman" w:cs="Times New Roman" w:eastAsia="Times New Roman" w:hint="default"/>
        </w:rPr>
        <w:t>15%</w:t>
      </w:r>
      <w:r>
        <w:rPr/>
        <w:t>的企业所得税率。</w:t>
      </w:r>
    </w:p>
    <w:p>
      <w:pPr>
        <w:pStyle w:val="BodyText"/>
        <w:spacing w:line="400" w:lineRule="auto" w:before="136"/>
        <w:ind w:right="100" w:firstLine="420"/>
        <w:jc w:val="left"/>
      </w:pPr>
      <w:r>
        <w:rPr>
          <w:rFonts w:ascii="Times New Roman" w:hAnsi="Times New Roman" w:cs="Times New Roman" w:eastAsia="Times New Roman" w:hint="default"/>
          <w:spacing w:val="-1"/>
          <w:w w:val="100"/>
        </w:rPr>
        <w:t>2</w:t>
      </w:r>
      <w:r>
        <w:rPr>
          <w:spacing w:val="-1"/>
          <w:w w:val="100"/>
        </w:rPr>
        <w:t>、根据财税【</w:t>
      </w:r>
      <w:r>
        <w:rPr>
          <w:rFonts w:ascii="Times New Roman" w:hAnsi="Times New Roman" w:cs="Times New Roman" w:eastAsia="Times New Roman" w:hint="default"/>
          <w:spacing w:val="-1"/>
          <w:w w:val="100"/>
        </w:rPr>
        <w:t>2012</w:t>
      </w:r>
      <w:r>
        <w:rPr>
          <w:spacing w:val="-1"/>
          <w:w w:val="100"/>
        </w:rPr>
        <w:t>】</w:t>
      </w:r>
      <w:r>
        <w:rPr>
          <w:rFonts w:ascii="Times New Roman" w:hAnsi="Times New Roman" w:cs="Times New Roman" w:eastAsia="Times New Roman" w:hint="default"/>
          <w:spacing w:val="-1"/>
          <w:w w:val="100"/>
        </w:rPr>
        <w:t>27</w:t>
      </w:r>
      <w:r>
        <w:rPr>
          <w:rFonts w:ascii="Times New Roman" w:hAnsi="Times New Roman" w:cs="Times New Roman" w:eastAsia="Times New Roman" w:hint="default"/>
          <w:spacing w:val="12"/>
          <w:w w:val="100"/>
        </w:rPr>
        <w:t> </w:t>
      </w:r>
      <w:r>
        <w:rPr>
          <w:spacing w:val="-5"/>
          <w:w w:val="100"/>
        </w:rPr>
        <w:t>号《关于进一步鼓励软件产业和集成电路产业发展企业所得税政策的通知》，</w:t>
      </w:r>
      <w:r>
        <w:rPr>
          <w:w w:val="100"/>
        </w:rPr>
        <w:t> </w:t>
      </w:r>
      <w:r>
        <w:rPr>
          <w:spacing w:val="-2"/>
        </w:rPr>
        <w:t>为鼓励软件产业和集成电路产业发展，软件生产企业实行增值税即征即退政策所退还的税款，由企业专项</w:t>
      </w:r>
      <w:r>
        <w:rPr>
          <w:spacing w:val="-44"/>
        </w:rPr>
        <w:t> </w:t>
      </w:r>
      <w:r>
        <w:rPr>
          <w:spacing w:val="-44"/>
        </w:rPr>
      </w:r>
      <w:r>
        <w:rPr>
          <w:spacing w:val="-2"/>
        </w:rPr>
        <w:t>用于软件产品研发和扩大再生产并单独进行核算，可以作为不征税收入，在计算应纳税所得额时从收入总</w:t>
      </w:r>
      <w:r>
        <w:rPr>
          <w:spacing w:val="-43"/>
        </w:rPr>
        <w:t> </w:t>
      </w:r>
      <w:r>
        <w:rPr>
          <w:spacing w:val="-43"/>
        </w:rPr>
      </w:r>
      <w:r>
        <w:rPr/>
        <w:t>额中减除。</w:t>
      </w:r>
    </w:p>
    <w:p>
      <w:pPr>
        <w:pStyle w:val="BodyText"/>
        <w:spacing w:line="391" w:lineRule="auto" w:before="153"/>
        <w:ind w:right="206" w:firstLine="420"/>
        <w:jc w:val="both"/>
      </w:pPr>
      <w:r>
        <w:rPr>
          <w:rFonts w:ascii="Times New Roman" w:hAnsi="Times New Roman" w:cs="Times New Roman" w:eastAsia="Times New Roman" w:hint="default"/>
        </w:rPr>
        <w:t>3</w:t>
      </w:r>
      <w:r>
        <w:rPr/>
        <w:t>、江西汇水科技有限公司、郑州众合景轩信息技术有限公司、航泰恒通（北京）科技有限公司、陕</w:t>
      </w:r>
      <w:r>
        <w:rPr>
          <w:w w:val="100"/>
        </w:rPr>
        <w:t> </w:t>
      </w:r>
      <w:r>
        <w:rPr>
          <w:spacing w:val="-2"/>
        </w:rPr>
        <w:t>西西谷泰思特微电子有限公司为小型微利企业。根据《财政部国家税务总局关于小型微利企业所得税优惠</w:t>
      </w:r>
      <w:r>
        <w:rPr>
          <w:spacing w:val="-43"/>
        </w:rPr>
        <w:t> </w:t>
      </w:r>
      <w:r>
        <w:rPr>
          <w:spacing w:val="-43"/>
        </w:rPr>
      </w:r>
      <w:r>
        <w:rPr>
          <w:spacing w:val="-8"/>
          <w:w w:val="100"/>
        </w:rPr>
        <w:t>政策的通知》（财税〔</w:t>
      </w:r>
      <w:r>
        <w:rPr>
          <w:rFonts w:ascii="Times New Roman" w:hAnsi="Times New Roman" w:cs="Times New Roman" w:eastAsia="Times New Roman" w:hint="default"/>
          <w:spacing w:val="-8"/>
          <w:w w:val="100"/>
        </w:rPr>
        <w:t>2015</w:t>
      </w:r>
      <w:r>
        <w:rPr>
          <w:spacing w:val="-8"/>
          <w:w w:val="100"/>
        </w:rPr>
        <w:t>〕</w:t>
      </w:r>
      <w:r>
        <w:rPr>
          <w:rFonts w:ascii="Times New Roman" w:hAnsi="Times New Roman" w:cs="Times New Roman" w:eastAsia="Times New Roman" w:hint="default"/>
          <w:spacing w:val="-8"/>
          <w:w w:val="100"/>
        </w:rPr>
        <w:t>34</w:t>
      </w:r>
      <w:r>
        <w:rPr>
          <w:rFonts w:ascii="Times New Roman" w:hAnsi="Times New Roman" w:cs="Times New Roman" w:eastAsia="Times New Roman" w:hint="default"/>
          <w:spacing w:val="1"/>
          <w:w w:val="100"/>
        </w:rPr>
        <w:t> </w:t>
      </w:r>
      <w:r>
        <w:rPr>
          <w:spacing w:val="-1"/>
          <w:w w:val="100"/>
        </w:rPr>
        <w:t>号）规定：自</w:t>
      </w:r>
      <w:r>
        <w:rPr>
          <w:spacing w:val="-50"/>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1"/>
          <w:w w:val="100"/>
        </w:rPr>
        <w:t> </w:t>
      </w:r>
      <w:r>
        <w:rPr>
          <w:w w:val="100"/>
        </w:rPr>
        <w:t>年</w:t>
      </w:r>
      <w:r>
        <w:rPr>
          <w:spacing w:val="-5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日至</w:t>
      </w:r>
      <w:r>
        <w:rPr>
          <w:spacing w:val="-50"/>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w w:val="100"/>
        </w:rPr>
        <w:t>年</w:t>
      </w:r>
      <w:r>
        <w:rPr>
          <w:spacing w:val="-50"/>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
          <w:w w:val="100"/>
        </w:rPr>
        <w:t> </w:t>
      </w:r>
      <w:r>
        <w:rPr>
          <w:spacing w:val="-2"/>
          <w:w w:val="100"/>
        </w:rPr>
        <w:t>日，对年应纳税所得额</w:t>
      </w:r>
      <w:r>
        <w:rPr>
          <w:w w:val="100"/>
        </w:rPr>
        <w:t> </w:t>
      </w:r>
      <w:r>
        <w:rPr/>
        <w:t>低于</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6"/>
        </w:rPr>
        <w:t>万元（含</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4"/>
        </w:rPr>
        <w:t>万元）的小型微利企业，其所得减按</w:t>
      </w:r>
      <w:r>
        <w:rPr>
          <w:spacing w:val="-42"/>
        </w:rPr>
        <w:t> </w:t>
      </w:r>
      <w:r>
        <w:rPr>
          <w:rFonts w:ascii="Times New Roman" w:hAnsi="Times New Roman" w:cs="Times New Roman" w:eastAsia="Times New Roman" w:hint="default"/>
          <w:spacing w:val="-3"/>
        </w:rPr>
        <w:t>50%</w:t>
      </w:r>
      <w:r>
        <w:rPr>
          <w:spacing w:val="-3"/>
        </w:rPr>
        <w:t>计入应纳税所得额，按</w:t>
      </w:r>
      <w:r>
        <w:rPr>
          <w:spacing w:val="-42"/>
        </w:rPr>
        <w:t> </w:t>
      </w:r>
      <w:r>
        <w:rPr>
          <w:rFonts w:ascii="Times New Roman" w:hAnsi="Times New Roman" w:cs="Times New Roman" w:eastAsia="Times New Roman" w:hint="default"/>
        </w:rPr>
        <w:t>20%</w:t>
      </w:r>
      <w:r>
        <w:rPr/>
        <w:t>的税率缴纳企业</w:t>
      </w:r>
      <w:r>
        <w:rPr>
          <w:spacing w:val="-101"/>
        </w:rPr>
        <w:t> </w:t>
      </w:r>
      <w:r>
        <w:rPr>
          <w:spacing w:val="-101"/>
        </w:rPr>
      </w:r>
      <w:r>
        <w:rPr/>
        <w:t>所得税。</w:t>
      </w:r>
    </w:p>
    <w:p>
      <w:pPr>
        <w:pStyle w:val="BodyText"/>
        <w:spacing w:line="391" w:lineRule="auto" w:before="159"/>
        <w:ind w:right="100" w:firstLine="420"/>
        <w:jc w:val="left"/>
      </w:pPr>
      <w:r>
        <w:rPr>
          <w:rFonts w:ascii="Times New Roman" w:hAnsi="Times New Roman" w:cs="Times New Roman" w:eastAsia="Times New Roman" w:hint="default"/>
        </w:rPr>
        <w:t>4</w:t>
      </w:r>
      <w:r>
        <w:rPr/>
        <w:t>、公司及其控股子公司深圳旋极历通科技有限公司、成都旋极历通信息技术有限公司、上海旋极信</w:t>
      </w:r>
      <w:r>
        <w:rPr>
          <w:w w:val="100"/>
        </w:rPr>
        <w:t> </w:t>
      </w:r>
      <w:r>
        <w:rPr>
          <w:spacing w:val="-3"/>
        </w:rPr>
        <w:t>息技术有限公司、北京中软金卡信息有限公司均被认定为软件企业。根据财税【</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25 </w:t>
      </w:r>
      <w:r>
        <w:rPr>
          <w:spacing w:val="-5"/>
        </w:rPr>
        <w:t>号《财政部、国</w:t>
      </w:r>
      <w:r>
        <w:rPr>
          <w:spacing w:val="-28"/>
        </w:rPr>
        <w:t> </w:t>
      </w:r>
      <w:r>
        <w:rPr>
          <w:spacing w:val="-28"/>
        </w:rPr>
      </w:r>
      <w:r>
        <w:rPr>
          <w:spacing w:val="-2"/>
          <w:w w:val="100"/>
        </w:rPr>
        <w:t>家税务总局、海关总署关于鼓励软件产业和集成电路产业发展有关税收政策问题的通知》，为鼓励软件产</w:t>
      </w:r>
      <w:r>
        <w:rPr>
          <w:spacing w:val="-91"/>
          <w:w w:val="100"/>
        </w:rPr>
        <w:t> </w:t>
      </w:r>
      <w:r>
        <w:rPr>
          <w:spacing w:val="-91"/>
          <w:w w:val="100"/>
        </w:rPr>
      </w:r>
      <w:r>
        <w:rPr>
          <w:spacing w:val="-4"/>
        </w:rPr>
        <w:t>业发展，自</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日起至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年底以前，对增值税一般纳税人销售其自行开发生产的软件产品，</w:t>
      </w:r>
      <w:r>
        <w:rPr>
          <w:w w:val="100"/>
        </w:rPr>
        <w:t> 按</w:t>
      </w:r>
      <w:r>
        <w:rPr>
          <w:spacing w:val="-47"/>
          <w:w w:val="100"/>
        </w:rPr>
        <w:t> </w:t>
      </w:r>
      <w:r>
        <w:rPr>
          <w:rFonts w:ascii="Times New Roman" w:hAnsi="Times New Roman" w:cs="Times New Roman" w:eastAsia="Times New Roman" w:hint="default"/>
          <w:spacing w:val="-5"/>
          <w:w w:val="100"/>
        </w:rPr>
        <w:t>17%</w:t>
      </w:r>
      <w:r>
        <w:rPr>
          <w:spacing w:val="-5"/>
          <w:w w:val="100"/>
        </w:rPr>
        <w:t>的法定税率征收增值税后，对其增值税实际税负超过</w:t>
      </w:r>
      <w:r>
        <w:rPr>
          <w:spacing w:val="-48"/>
          <w:w w:val="100"/>
        </w:rPr>
        <w:t> </w:t>
      </w:r>
      <w:r>
        <w:rPr>
          <w:rFonts w:ascii="Times New Roman" w:hAnsi="Times New Roman" w:cs="Times New Roman" w:eastAsia="Times New Roman" w:hint="default"/>
          <w:spacing w:val="-9"/>
          <w:w w:val="100"/>
        </w:rPr>
        <w:t>3%</w:t>
      </w:r>
      <w:r>
        <w:rPr>
          <w:spacing w:val="-9"/>
          <w:w w:val="100"/>
        </w:rPr>
        <w:t>的部分实行即征即退政策。根据国发【</w:t>
      </w:r>
      <w:r>
        <w:rPr>
          <w:rFonts w:ascii="Times New Roman" w:hAnsi="Times New Roman" w:cs="Times New Roman" w:eastAsia="Times New Roman" w:hint="default"/>
          <w:spacing w:val="-9"/>
          <w:w w:val="100"/>
        </w:rPr>
        <w:t>2011</w:t>
      </w:r>
      <w:r>
        <w:rPr>
          <w:spacing w:val="-9"/>
          <w:w w:val="100"/>
        </w:rPr>
        <w:t>】</w:t>
      </w:r>
    </w:p>
    <w:p>
      <w:pPr>
        <w:spacing w:after="0" w:line="391"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386" w:lineRule="auto" w:before="36"/>
        <w:ind w:right="11"/>
        <w:jc w:val="left"/>
      </w:pPr>
      <w:r>
        <w:rPr>
          <w:rFonts w:ascii="Times New Roman" w:hAnsi="Times New Roman" w:cs="Times New Roman" w:eastAsia="Times New Roman" w:hint="default"/>
          <w:w w:val="100"/>
        </w:rPr>
        <w:t>4 </w:t>
      </w:r>
      <w:r>
        <w:rPr>
          <w:spacing w:val="-6"/>
          <w:w w:val="100"/>
        </w:rPr>
        <w:t>号《国务院关于印发进一步鼓励软件产业和集成电路产业发展若干政策的通知》，继续实施软件增值税优</w:t>
      </w:r>
      <w:r>
        <w:rPr>
          <w:spacing w:val="-77"/>
          <w:w w:val="100"/>
        </w:rPr>
        <w:t> </w:t>
      </w:r>
      <w:r>
        <w:rPr>
          <w:spacing w:val="-77"/>
          <w:w w:val="100"/>
        </w:rPr>
      </w:r>
      <w:r>
        <w:rPr/>
        <w:t>惠政策。</w:t>
      </w:r>
    </w:p>
    <w:p>
      <w:pPr>
        <w:pStyle w:val="BodyText"/>
        <w:spacing w:line="398" w:lineRule="auto" w:before="166"/>
        <w:ind w:right="146" w:firstLine="420"/>
        <w:jc w:val="both"/>
      </w:pPr>
      <w:r>
        <w:rPr>
          <w:rFonts w:ascii="Times New Roman" w:hAnsi="Times New Roman" w:cs="Times New Roman" w:eastAsia="Times New Roman" w:hint="default"/>
        </w:rPr>
        <w:t>5</w:t>
      </w:r>
      <w:r>
        <w:rPr/>
        <w:t>、根据财税字【</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rFonts w:ascii="Times New Roman" w:hAnsi="Times New Roman" w:cs="Times New Roman" w:eastAsia="Times New Roman" w:hint="default"/>
          <w:spacing w:val="23"/>
        </w:rPr>
        <w:t> </w:t>
      </w:r>
      <w:r>
        <w:rPr/>
        <w:t>号《财政部、国家税务总局关于在全国开展交通运输业和部分现代服务业</w:t>
      </w:r>
      <w:r>
        <w:rPr>
          <w:w w:val="100"/>
        </w:rPr>
        <w:t> </w:t>
      </w:r>
      <w:r>
        <w:rPr>
          <w:spacing w:val="-2"/>
          <w:w w:val="100"/>
        </w:rPr>
        <w:t>营业税改征增值税试点税收政策的通知》，对企业提供技术转让、技术开发和与之相关的技术咨询、技术</w:t>
      </w:r>
      <w:r>
        <w:rPr>
          <w:spacing w:val="-90"/>
          <w:w w:val="100"/>
        </w:rPr>
        <w:t> </w:t>
      </w:r>
      <w:r>
        <w:rPr>
          <w:spacing w:val="-90"/>
          <w:w w:val="100"/>
        </w:rPr>
      </w:r>
      <w:r>
        <w:rPr/>
        <w:t>服务，免征增值税。</w:t>
      </w:r>
    </w:p>
    <w:p>
      <w:pPr>
        <w:spacing w:line="240" w:lineRule="auto" w:before="2"/>
        <w:rPr>
          <w:rFonts w:ascii="宋体" w:hAnsi="宋体" w:cs="宋体" w:eastAsia="宋体" w:hint="default"/>
          <w:sz w:val="14"/>
          <w:szCs w:val="14"/>
        </w:rPr>
      </w:pPr>
    </w:p>
    <w:p>
      <w:pPr>
        <w:pStyle w:val="Heading3"/>
        <w:spacing w:line="240" w:lineRule="auto"/>
        <w:ind w:right="11"/>
        <w:jc w:val="left"/>
      </w:pPr>
      <w:r>
        <w:rPr>
          <w:rFonts w:ascii="Times New Roman" w:hAnsi="Times New Roman" w:cs="Times New Roman" w:eastAsia="Times New Roman" w:hint="default"/>
        </w:rPr>
        <w:t>3</w:t>
      </w:r>
      <w:r>
        <w:rPr/>
        <w:t>、其他</w:t>
      </w:r>
    </w:p>
    <w:p>
      <w:pPr>
        <w:spacing w:line="240" w:lineRule="auto" w:before="1"/>
        <w:rPr>
          <w:rFonts w:ascii="黑体" w:hAnsi="黑体" w:cs="黑体" w:eastAsia="黑体" w:hint="default"/>
          <w:sz w:val="24"/>
          <w:szCs w:val="24"/>
        </w:rPr>
      </w:pPr>
    </w:p>
    <w:p>
      <w:pPr>
        <w:pStyle w:val="BodyText"/>
        <w:spacing w:line="240" w:lineRule="auto"/>
        <w:ind w:left="135" w:right="8510"/>
        <w:jc w:val="center"/>
      </w:pPr>
      <w:r>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0"/>
        <w:ind w:right="11"/>
        <w:jc w:val="left"/>
      </w:pPr>
      <w:r>
        <w:rPr/>
        <w:t>七、合并财务报表项目注释</w:t>
      </w:r>
    </w:p>
    <w:p>
      <w:pPr>
        <w:spacing w:line="240" w:lineRule="auto" w:before="9"/>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、货币资金</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14,705,510.06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5,558,892.34</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3,006,456,183.96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2,443,696,963.65</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42,587,164.57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32,062,042.28</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3,063,748,858.59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2,481,317,898.27</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40,499,263.43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28,196,596.30</w:t>
            </w:r>
          </w:p>
        </w:tc>
      </w:tr>
    </w:tbl>
    <w:p>
      <w:pPr>
        <w:spacing w:line="240" w:lineRule="auto" w:before="11"/>
        <w:rPr>
          <w:rFonts w:ascii="宋体" w:hAnsi="宋体" w:cs="宋体" w:eastAsia="宋体" w:hint="default"/>
          <w:sz w:val="9"/>
          <w:szCs w:val="9"/>
        </w:rPr>
      </w:pPr>
    </w:p>
    <w:p>
      <w:pPr>
        <w:pStyle w:val="BodyText"/>
        <w:spacing w:line="494" w:lineRule="auto" w:before="36"/>
        <w:ind w:left="573" w:right="11"/>
        <w:jc w:val="left"/>
        <w:rPr>
          <w:rFonts w:ascii="Times New Roman" w:hAnsi="Times New Roman" w:cs="Times New Roman" w:eastAsia="Times New Roman" w:hint="default"/>
        </w:rPr>
      </w:pPr>
      <w:r>
        <w:rPr/>
        <w:pict>
          <v:shape style="position:absolute;margin-left:55.799999pt;margin-top:55.373665pt;width:484.1pt;height:160.6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7"/>
                    <w:gridCol w:w="2768"/>
                    <w:gridCol w:w="2765"/>
                  </w:tblGrid>
                  <w:tr>
                    <w:trPr>
                      <w:trHeight w:val="516" w:hRule="exact"/>
                    </w:trPr>
                    <w:tc>
                      <w:tcPr>
                        <w:tcW w:w="4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50" w:hRule="exact"/>
                    </w:trPr>
                    <w:tc>
                      <w:tcPr>
                        <w:tcW w:w="4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16,909,255.34</w:t>
                        </w:r>
                      </w:p>
                    </w:tc>
                    <w:tc>
                      <w:tcPr>
                        <w:tcW w:w="27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8,582,023.08</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3,476,106.16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12,201,054.46</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预付款保证金</w:t>
                        </w:r>
                      </w:p>
                    </w:tc>
                    <w:tc>
                      <w:tcPr>
                        <w:tcW w:w="2768" w:type="dxa"/>
                        <w:tcBorders>
                          <w:top w:val="single" w:sz="6" w:space="0" w:color="000000"/>
                          <w:left w:val="single" w:sz="6"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5,515,262.45</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768" w:type="dxa"/>
                        <w:tcBorders>
                          <w:top w:val="single" w:sz="6" w:space="0" w:color="000000"/>
                          <w:left w:val="single" w:sz="6"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580,000.00</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2" w:right="0"/>
                          <w:jc w:val="left"/>
                          <w:rPr>
                            <w:rFonts w:ascii="宋体" w:hAnsi="宋体" w:cs="宋体" w:eastAsia="宋体" w:hint="default"/>
                            <w:sz w:val="18"/>
                            <w:szCs w:val="18"/>
                          </w:rPr>
                        </w:pPr>
                        <w:r>
                          <w:rPr>
                            <w:rFonts w:ascii="宋体" w:hAnsi="宋体" w:cs="宋体" w:eastAsia="宋体" w:hint="default"/>
                            <w:sz w:val="18"/>
                            <w:szCs w:val="18"/>
                          </w:rPr>
                          <w:t>农民工保证金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1,336,695.01</w:t>
                        </w:r>
                      </w:p>
                    </w:tc>
                  </w:tr>
                </w:tbl>
                <w:p>
                  <w:pPr/>
                </w:p>
              </w:txbxContent>
            </v:textbox>
            <w10:wrap type="none"/>
          </v:shape>
        </w:pict>
      </w:r>
      <w:r>
        <w:rPr/>
        <w:t>其他说明</w:t>
      </w:r>
      <w:r>
        <w:rPr>
          <w:w w:val="100"/>
        </w:rPr>
        <w:t> </w:t>
      </w:r>
      <w:r>
        <w:rPr>
          <w:spacing w:val="-2"/>
        </w:rPr>
        <w:t>其中因抵押、质押或冻结等对使用有限制，以及放在境外且资金汇回受到限制的货币资金明细如下</w:t>
      </w:r>
      <w:r>
        <w:rPr>
          <w:rFonts w:ascii="Times New Roman" w:hAnsi="Times New Roman" w:cs="Times New Roman" w:eastAsia="Times New Roman" w:hint="default"/>
          <w:spacing w:val="-2"/>
        </w:rPr>
        <w:t>:</w:t>
      </w:r>
    </w:p>
    <w:p>
      <w:pPr>
        <w:spacing w:after="0" w:line="494" w:lineRule="auto"/>
        <w:jc w:val="left"/>
        <w:rPr>
          <w:rFonts w:ascii="Times New Roman" w:hAnsi="Times New Roman" w:cs="Times New Roman" w:eastAsia="Times New Roman" w:hint="default"/>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127"/>
        <w:gridCol w:w="2768"/>
        <w:gridCol w:w="2765"/>
      </w:tblGrid>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涉外保证金</w:t>
            </w:r>
          </w:p>
        </w:tc>
        <w:tc>
          <w:tcPr>
            <w:tcW w:w="2768" w:type="dxa"/>
            <w:tcBorders>
              <w:top w:val="single" w:sz="6" w:space="0" w:color="000000"/>
              <w:left w:val="single" w:sz="6"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right"/>
              <w:rPr>
                <w:rFonts w:ascii="Times New Roman" w:hAnsi="Times New Roman" w:cs="Times New Roman" w:eastAsia="Times New Roman" w:hint="default"/>
                <w:sz w:val="18"/>
                <w:szCs w:val="18"/>
              </w:rPr>
            </w:pPr>
            <w:r>
              <w:rPr>
                <w:rFonts w:ascii="Times New Roman"/>
                <w:spacing w:val="-1"/>
                <w:sz w:val="18"/>
              </w:rPr>
              <w:t>214,000.00</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21,701,803.07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3,178,166.23</w:t>
            </w:r>
          </w:p>
        </w:tc>
      </w:tr>
      <w:tr>
        <w:trPr>
          <w:trHeight w:val="533"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42,587,164.57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31,607,201.23</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right="11"/>
        <w:jc w:val="left"/>
      </w:pPr>
      <w:r>
        <w:rPr>
          <w:rFonts w:ascii="Times New Roman" w:hAnsi="Times New Roman" w:cs="Times New Roman" w:eastAsia="Times New Roman" w:hint="default"/>
        </w:rPr>
        <w:t>2</w:t>
      </w:r>
      <w:r>
        <w:rPr/>
        <w:t>、以公允价值计量且其变动计入当期损益的金融资产</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67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43" w:right="0"/>
              <w:jc w:val="left"/>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、衍生金融资产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4</w:t>
      </w:r>
      <w:r>
        <w:rPr/>
        <w:t>、应收票据</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）应收票据分类列示</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22,795,194.03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39,358,683.93</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74,056,959.04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48,341,815.47</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96,852,153.07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87,700,499.40</w:t>
            </w:r>
          </w:p>
        </w:tc>
      </w:tr>
    </w:tbl>
    <w:p>
      <w:pPr>
        <w:spacing w:line="240" w:lineRule="auto" w:before="13"/>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）期末公司已质押的应收票据</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12,277,711.49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50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4,037,341.30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16,315,052.79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4</w:t>
      </w:r>
      <w:r>
        <w:rPr/>
        <w:t>）期末公司因出票人未履约而将其转应收账款的票据</w:t>
      </w:r>
    </w:p>
    <w:p>
      <w:pPr>
        <w:spacing w:line="240" w:lineRule="auto" w:before="3"/>
        <w:rPr>
          <w:rFonts w:ascii="黑体" w:hAnsi="黑体" w:cs="黑体" w:eastAsia="黑体" w:hint="default"/>
          <w:sz w:val="24"/>
          <w:szCs w:val="24"/>
        </w:rPr>
      </w:pPr>
    </w:p>
    <w:p>
      <w:pPr>
        <w:pStyle w:val="BodyText"/>
        <w:spacing w:line="240" w:lineRule="auto"/>
        <w:ind w:left="555" w:right="136"/>
        <w:jc w:val="center"/>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w:t>
      </w:r>
      <w:r>
        <w:rPr/>
        <w:t>、应收账款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）应收账款分类披露</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50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right w:val="single" w:sz="4" w:space="0" w:color="000000"/>
            </w:tcBorders>
            <w:shd w:val="clear" w:color="auto" w:fill="D2D2D2"/>
          </w:tcPr>
          <w:p>
            <w:pPr/>
          </w:p>
        </w:tc>
        <w:tc>
          <w:tcPr>
            <w:tcW w:w="1526" w:type="dxa"/>
            <w:gridSpan w:val="2"/>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right w:val="single" w:sz="4" w:space="0" w:color="000000"/>
            </w:tcBorders>
            <w:shd w:val="clear" w:color="auto" w:fill="D2D2D2"/>
          </w:tcPr>
          <w:p>
            <w:pPr/>
          </w:p>
        </w:tc>
        <w:tc>
          <w:tcPr>
            <w:tcW w:w="1748" w:type="dxa"/>
            <w:gridSpan w:val="2"/>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624" w:type="dxa"/>
            <w:vMerge/>
            <w:tcBorders>
              <w:left w:val="single" w:sz="4" w:space="0" w:color="000000"/>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6"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247"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54"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13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2"/>
              <w:jc w:val="both"/>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935,894,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884.37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74,885,2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861,009,6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756,651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,007.18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55,790,75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700,860,25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1.86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44"/>
              <w:ind w:left="84" w:right="0"/>
              <w:jc w:val="center"/>
              <w:rPr>
                <w:rFonts w:ascii="Times New Roman" w:hAnsi="Times New Roman" w:cs="Times New Roman" w:eastAsia="Times New Roman" w:hint="default"/>
                <w:sz w:val="18"/>
                <w:szCs w:val="18"/>
              </w:rPr>
            </w:pPr>
            <w:r>
              <w:rPr>
                <w:rFonts w:ascii="Times New Roman"/>
                <w:sz w:val="18"/>
              </w:rPr>
              <w:t>935,894,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884.37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74,885,2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43.66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861,009,6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40.71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44"/>
              <w:ind w:left="38" w:right="0"/>
              <w:jc w:val="left"/>
              <w:rPr>
                <w:rFonts w:ascii="Times New Roman" w:hAnsi="Times New Roman" w:cs="Times New Roman" w:eastAsia="Times New Roman" w:hint="default"/>
                <w:sz w:val="18"/>
                <w:szCs w:val="18"/>
              </w:rPr>
            </w:pPr>
            <w:r>
              <w:rPr>
                <w:rFonts w:ascii="Times New Roman"/>
                <w:sz w:val="18"/>
              </w:rPr>
              <w:t>756,651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,007.18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55,790,75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7.37%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44"/>
              <w:ind w:left="88" w:right="0"/>
              <w:jc w:val="left"/>
              <w:rPr>
                <w:rFonts w:ascii="Times New Roman" w:hAnsi="Times New Roman" w:cs="Times New Roman" w:eastAsia="Times New Roman" w:hint="default"/>
                <w:sz w:val="18"/>
                <w:szCs w:val="18"/>
              </w:rPr>
            </w:pPr>
            <w:r>
              <w:rPr>
                <w:rFonts w:ascii="Times New Roman"/>
                <w:sz w:val="18"/>
              </w:rPr>
              <w:t>700,860,25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1.86</w:t>
            </w:r>
          </w:p>
        </w:tc>
      </w:tr>
      <w:tr>
        <w:trPr>
          <w:trHeight w:val="499"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期末单项金额重大并单项计提坏账准备的应收账款：</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92"/>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509"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8"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08"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82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2"/>
              <w:jc w:val="left"/>
              <w:rPr>
                <w:rFonts w:ascii="宋体" w:hAnsi="宋体" w:cs="宋体" w:eastAsia="宋体" w:hint="default"/>
                <w:sz w:val="18"/>
                <w:szCs w:val="18"/>
              </w:rPr>
            </w:pPr>
            <w:r>
              <w:rPr>
                <w:rFonts w:ascii="宋体" w:hAnsi="宋体" w:cs="宋体" w:eastAsia="宋体" w:hint="default"/>
                <w:spacing w:val="14"/>
                <w:sz w:val="18"/>
                <w:szCs w:val="18"/>
              </w:rPr>
              <w:t>北京泰豪智能工程有限公司</w:t>
            </w:r>
            <w:r>
              <w:rPr>
                <w:rFonts w:ascii="宋体" w:hAnsi="宋体" w:cs="宋体" w:eastAsia="宋体" w:hint="default"/>
                <w:sz w:val="18"/>
                <w:szCs w:val="18"/>
              </w:rPr>
              <w:t> 账龄及坏账准备明细如下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459,629,976.20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13,788,899.30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94,905,107.45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9,490,510.75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40,718,973.00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8,143,794.59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10,660,590.03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5,330,295.03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2,470,000.41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1,976,000.33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80.00%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4,338,794.62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4,338,794.62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612,723,441.71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43,068,294.62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both"/>
              <w:rPr>
                <w:rFonts w:ascii="宋体" w:hAnsi="宋体" w:cs="宋体" w:eastAsia="宋体" w:hint="default"/>
                <w:sz w:val="18"/>
                <w:szCs w:val="18"/>
              </w:rPr>
            </w:pPr>
            <w:r>
              <w:rPr>
                <w:rFonts w:ascii="宋体" w:hAnsi="宋体" w:cs="宋体" w:eastAsia="宋体" w:hint="default"/>
                <w:sz w:val="18"/>
                <w:szCs w:val="18"/>
              </w:rPr>
              <w:t>组合中，除北京泰豪智能工程 有限公司外，其他公司账龄及 坏账准备明细如下：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220,742,211.49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2"/>
                <w:sz w:val="18"/>
              </w:rPr>
              <w:t>11,037,110.59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5.00%</w:t>
            </w:r>
          </w:p>
        </w:tc>
      </w:tr>
      <w:tr>
        <w:trPr>
          <w:trHeight w:val="50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68,485,925.70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6,848,592.57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19,846,308.46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3,969,261.68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5,481,227.16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2,740,613.58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2,788,798.45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1,394,399.22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5,826,971.40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5,826,971.40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323,171,442.66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31,816,949.04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494" w:lineRule="auto" w:before="36"/>
        <w:ind w:left="573" w:right="11"/>
        <w:jc w:val="left"/>
      </w:pPr>
      <w:r>
        <w:rPr/>
        <w:t>确定该组合依据的说明：</w:t>
      </w:r>
      <w:r>
        <w:rPr>
          <w:w w:val="100"/>
        </w:rPr>
        <w:t> </w:t>
      </w:r>
      <w:r>
        <w:rPr>
          <w:spacing w:val="-2"/>
        </w:rPr>
        <w:t>北京泰豪智能工程有限公司因业务性质，故应收款项账龄坏账准备计提比例与其他公司不同，详见应</w:t>
      </w:r>
    </w:p>
    <w:p>
      <w:pPr>
        <w:pStyle w:val="BodyText"/>
        <w:spacing w:line="245" w:lineRule="exact"/>
        <w:ind w:right="11"/>
        <w:jc w:val="left"/>
      </w:pPr>
      <w:r>
        <w:rPr/>
        <w:t>收款项会计政策。</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组合中，采用余额百分比法计提坏账准备的应收账款：</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Heading3"/>
        <w:spacing w:line="240" w:lineRule="auto" w:before="124"/>
        <w:ind w:right="11"/>
        <w:jc w:val="left"/>
      </w:pPr>
      <w:r>
        <w:rPr/>
        <w:t>（</w:t>
      </w:r>
      <w:r>
        <w:rPr>
          <w:rFonts w:ascii="Times New Roman" w:hAnsi="Times New Roman" w:cs="Times New Roman" w:eastAsia="Times New Roman" w:hint="default"/>
        </w:rPr>
        <w:t>2</w:t>
      </w:r>
      <w:r>
        <w:rPr/>
        <w:t>）本期计提、收回或转回的坏账准备情况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本期计提坏账准备金额</w:t>
      </w:r>
      <w:r>
        <w:rPr>
          <w:spacing w:val="-55"/>
        </w:rPr>
        <w:t> </w:t>
      </w:r>
      <w:r>
        <w:rPr>
          <w:rFonts w:ascii="Times New Roman" w:hAnsi="Times New Roman" w:cs="Times New Roman" w:eastAsia="Times New Roman" w:hint="default"/>
        </w:rPr>
        <w:t>19,574,921.29</w:t>
      </w:r>
      <w:r>
        <w:rPr>
          <w:rFonts w:ascii="Times New Roman" w:hAnsi="Times New Roman" w:cs="Times New Roman" w:eastAsia="Times New Roman" w:hint="default"/>
          <w:spacing w:val="-4"/>
        </w:rPr>
        <w:t> </w:t>
      </w:r>
      <w:r>
        <w:rPr/>
        <w:t>元；本期收回或转回坏账准备金额元。</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496" w:lineRule="auto" w:before="36"/>
        <w:ind w:left="573" w:right="4811"/>
        <w:jc w:val="left"/>
      </w:pPr>
      <w:r>
        <w:rPr>
          <w:spacing w:val="-2"/>
        </w:rPr>
        <w:t>其中本期坏账准备收回或转回金额重要的：</w:t>
      </w:r>
      <w:r>
        <w:rPr>
          <w:spacing w:val="-69"/>
        </w:rPr>
        <w:t> </w:t>
      </w:r>
      <w:r>
        <w:rPr>
          <w:spacing w:val="-69"/>
        </w:rPr>
      </w:r>
      <w:r>
        <w:rPr/>
        <w:t>单位：</w:t>
      </w:r>
      <w:r>
        <w:rPr>
          <w:spacing w:val="2"/>
        </w:rPr>
        <w:t> </w:t>
      </w:r>
      <w:r>
        <w:rPr/>
        <w:t>元</w:t>
      </w:r>
    </w:p>
    <w:tbl>
      <w:tblPr>
        <w:tblW w:w="0" w:type="auto"/>
        <w:jc w:val="left"/>
        <w:tblInd w:w="146" w:type="dxa"/>
        <w:tblLayout w:type="fixed"/>
        <w:tblCellMar>
          <w:top w:w="0" w:type="dxa"/>
          <w:left w:w="0" w:type="dxa"/>
          <w:bottom w:w="0" w:type="dxa"/>
          <w:right w:w="0" w:type="dxa"/>
        </w:tblCellMar>
        <w:tblLook w:val="01E0"/>
      </w:tblPr>
      <w:tblGrid>
        <w:gridCol w:w="3192"/>
        <w:gridCol w:w="3190"/>
        <w:gridCol w:w="3179"/>
      </w:tblGrid>
      <w:tr>
        <w:trPr>
          <w:trHeight w:val="509"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13"/>
          <w:szCs w:val="13"/>
        </w:rPr>
      </w:pPr>
    </w:p>
    <w:p>
      <w:pPr>
        <w:pStyle w:val="Heading3"/>
        <w:spacing w:line="240" w:lineRule="auto" w:before="26"/>
        <w:ind w:right="11"/>
        <w:jc w:val="left"/>
      </w:pPr>
      <w:r>
        <w:rPr/>
        <w:t>（</w:t>
      </w:r>
      <w:r>
        <w:rPr>
          <w:rFonts w:ascii="Times New Roman" w:hAnsi="Times New Roman" w:cs="Times New Roman" w:eastAsia="Times New Roman" w:hint="default"/>
        </w:rPr>
        <w:t>3</w:t>
      </w:r>
      <w:r>
        <w:rPr/>
        <w:t>）本期实际核销的应收账款情况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480,432.95</w:t>
            </w:r>
          </w:p>
        </w:tc>
      </w:tr>
    </w:tbl>
    <w:p>
      <w:pPr>
        <w:spacing w:line="240" w:lineRule="auto" w:before="11"/>
        <w:rPr>
          <w:rFonts w:ascii="宋体" w:hAnsi="宋体" w:cs="宋体" w:eastAsia="宋体" w:hint="default"/>
          <w:sz w:val="9"/>
          <w:szCs w:val="9"/>
        </w:rPr>
      </w:pPr>
    </w:p>
    <w:p>
      <w:pPr>
        <w:pStyle w:val="BodyText"/>
        <w:spacing w:line="494" w:lineRule="auto" w:before="36"/>
        <w:ind w:left="573" w:right="5851"/>
        <w:jc w:val="left"/>
      </w:pPr>
      <w:r>
        <w:rPr>
          <w:spacing w:val="-2"/>
        </w:rPr>
        <w:t>其中重要的应收账款核销情况：</w:t>
      </w:r>
      <w:r>
        <w:rPr>
          <w:spacing w:val="-76"/>
        </w:rPr>
        <w:t> </w:t>
      </w:r>
      <w:r>
        <w:rPr>
          <w:spacing w:val="-76"/>
        </w:rPr>
      </w:r>
      <w:r>
        <w:rPr/>
        <w:t>单位：</w:t>
      </w:r>
      <w:r>
        <w:rPr>
          <w:spacing w:val="2"/>
        </w:rPr>
        <w:t> </w:t>
      </w:r>
      <w:r>
        <w:rPr/>
        <w:t>元</w:t>
      </w: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82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
              <w:jc w:val="left"/>
              <w:rPr>
                <w:rFonts w:ascii="宋体" w:hAnsi="宋体" w:cs="宋体" w:eastAsia="宋体" w:hint="default"/>
                <w:sz w:val="18"/>
                <w:szCs w:val="18"/>
              </w:rPr>
            </w:pPr>
            <w:r>
              <w:rPr>
                <w:rFonts w:ascii="宋体" w:hAnsi="宋体" w:cs="宋体" w:eastAsia="宋体" w:hint="default"/>
                <w:spacing w:val="14"/>
                <w:sz w:val="18"/>
                <w:szCs w:val="18"/>
              </w:rPr>
              <w:t>款项是否由关联交 </w:t>
            </w:r>
            <w:r>
              <w:rPr>
                <w:rFonts w:ascii="宋体" w:hAnsi="宋体" w:cs="宋体" w:eastAsia="宋体" w:hint="default"/>
                <w:sz w:val="18"/>
                <w:szCs w:val="18"/>
              </w:rPr>
              <w:t>易产生</w:t>
            </w:r>
          </w:p>
        </w:tc>
      </w:tr>
    </w:tbl>
    <w:p>
      <w:pPr>
        <w:spacing w:line="240" w:lineRule="auto" w:before="5"/>
        <w:rPr>
          <w:rFonts w:ascii="宋体" w:hAnsi="宋体" w:cs="宋体" w:eastAsia="宋体" w:hint="default"/>
          <w:sz w:val="10"/>
          <w:szCs w:val="10"/>
        </w:rPr>
      </w:pPr>
    </w:p>
    <w:p>
      <w:pPr>
        <w:pStyle w:val="BodyText"/>
        <w:spacing w:line="240" w:lineRule="auto" w:before="36"/>
        <w:ind w:left="573" w:right="11"/>
        <w:jc w:val="left"/>
      </w:pPr>
      <w:r>
        <w:rPr/>
        <w:t>应收账款核销说明：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黑体" w:hAnsi="黑体" w:cs="黑体" w:eastAsia="黑体" w:hint="default"/>
          <w:sz w:val="24"/>
          <w:szCs w:val="24"/>
        </w:rPr>
      </w:pPr>
    </w:p>
    <w:p>
      <w:pPr>
        <w:pStyle w:val="BodyText"/>
        <w:spacing w:line="496" w:lineRule="auto"/>
        <w:ind w:left="573" w:right="5647"/>
        <w:jc w:val="left"/>
      </w:pPr>
      <w:r>
        <w:rPr>
          <w:spacing w:val="-2"/>
        </w:rPr>
        <w:t>公司是否需要遵守特殊行业的披露要求</w:t>
      </w:r>
      <w:r>
        <w:rPr>
          <w:spacing w:val="-72"/>
        </w:rPr>
        <w:t> </w:t>
      </w:r>
      <w:r>
        <w:rPr>
          <w:spacing w:val="-72"/>
        </w:rPr>
      </w:r>
      <w:r>
        <w:rPr/>
        <w:t>否</w:t>
      </w:r>
    </w:p>
    <w:tbl>
      <w:tblPr>
        <w:tblW w:w="0" w:type="auto"/>
        <w:jc w:val="left"/>
        <w:tblInd w:w="145" w:type="dxa"/>
        <w:tblLayout w:type="fixed"/>
        <w:tblCellMar>
          <w:top w:w="0" w:type="dxa"/>
          <w:left w:w="0" w:type="dxa"/>
          <w:bottom w:w="0" w:type="dxa"/>
          <w:right w:w="0" w:type="dxa"/>
        </w:tblCellMar>
        <w:tblLook w:val="01E0"/>
      </w:tblPr>
      <w:tblGrid>
        <w:gridCol w:w="3776"/>
        <w:gridCol w:w="1474"/>
        <w:gridCol w:w="1714"/>
        <w:gridCol w:w="1561"/>
      </w:tblGrid>
      <w:tr>
        <w:trPr>
          <w:trHeight w:val="533" w:hRule="exact"/>
        </w:trPr>
        <w:tc>
          <w:tcPr>
            <w:tcW w:w="377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4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45" w:hRule="exact"/>
        </w:trPr>
        <w:tc>
          <w:tcPr>
            <w:tcW w:w="3776" w:type="dxa"/>
            <w:vMerge/>
            <w:tcBorders>
              <w:left w:val="single" w:sz="6" w:space="0" w:color="000000"/>
              <w:bottom w:val="single" w:sz="6" w:space="0" w:color="000000"/>
              <w:right w:val="single" w:sz="6" w:space="0" w:color="000000"/>
            </w:tcBorders>
            <w:shd w:val="clear" w:color="auto" w:fill="D9D9D9"/>
          </w:tcPr>
          <w:p>
            <w:pPr/>
          </w:p>
        </w:tc>
        <w:tc>
          <w:tcPr>
            <w:tcW w:w="14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11"/>
              <w:ind w:left="535" w:right="36"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3"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中国石油天然气股份有限公司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24" w:right="0"/>
              <w:jc w:val="left"/>
              <w:rPr>
                <w:rFonts w:ascii="Times New Roman" w:hAnsi="Times New Roman" w:cs="Times New Roman" w:eastAsia="Times New Roman" w:hint="default"/>
                <w:sz w:val="18"/>
                <w:szCs w:val="18"/>
              </w:rPr>
            </w:pPr>
            <w:r>
              <w:rPr>
                <w:rFonts w:ascii="Times New Roman"/>
                <w:sz w:val="18"/>
              </w:rPr>
              <w:t>33,713,421.25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3.60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2,875,132.62</w:t>
            </w:r>
          </w:p>
        </w:tc>
      </w:tr>
      <w:tr>
        <w:trPr>
          <w:trHeight w:val="533"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24" w:right="0"/>
              <w:jc w:val="left"/>
              <w:rPr>
                <w:rFonts w:ascii="Times New Roman" w:hAnsi="Times New Roman" w:cs="Times New Roman" w:eastAsia="Times New Roman" w:hint="default"/>
                <w:sz w:val="18"/>
                <w:szCs w:val="18"/>
              </w:rPr>
            </w:pPr>
            <w:r>
              <w:rPr>
                <w:rFonts w:ascii="Times New Roman"/>
                <w:sz w:val="18"/>
              </w:rPr>
              <w:t>28,350,270.84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3.03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Times New Roman" w:hAnsi="Times New Roman" w:cs="Times New Roman" w:eastAsia="Times New Roman" w:hint="default"/>
                <w:sz w:val="18"/>
                <w:szCs w:val="18"/>
              </w:rPr>
            </w:pPr>
            <w:r>
              <w:rPr>
                <w:rFonts w:ascii="Times New Roman"/>
                <w:spacing w:val="-1"/>
                <w:sz w:val="18"/>
              </w:rPr>
              <w:t>1,000,287.83</w:t>
            </w:r>
          </w:p>
        </w:tc>
      </w:tr>
      <w:tr>
        <w:trPr>
          <w:trHeight w:val="533"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北京天恒建设工程有限公司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24" w:right="0"/>
              <w:jc w:val="left"/>
              <w:rPr>
                <w:rFonts w:ascii="Times New Roman" w:hAnsi="Times New Roman" w:cs="Times New Roman" w:eastAsia="Times New Roman" w:hint="default"/>
                <w:sz w:val="18"/>
                <w:szCs w:val="18"/>
              </w:rPr>
            </w:pPr>
            <w:r>
              <w:rPr>
                <w:rFonts w:ascii="Times New Roman"/>
                <w:sz w:val="18"/>
              </w:rPr>
              <w:t>25,214,514.66</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2.69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Times New Roman" w:hAnsi="Times New Roman" w:cs="Times New Roman" w:eastAsia="Times New Roman" w:hint="default"/>
                <w:sz w:val="18"/>
                <w:szCs w:val="18"/>
              </w:rPr>
            </w:pPr>
            <w:r>
              <w:rPr>
                <w:rFonts w:ascii="Times New Roman"/>
                <w:spacing w:val="-1"/>
                <w:sz w:val="18"/>
              </w:rPr>
              <w:t>1,228,800.73</w:t>
            </w:r>
          </w:p>
        </w:tc>
      </w:tr>
      <w:tr>
        <w:trPr>
          <w:trHeight w:val="533"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中航机场系统设施建设有限公司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24" w:right="0"/>
              <w:jc w:val="left"/>
              <w:rPr>
                <w:rFonts w:ascii="Times New Roman" w:hAnsi="Times New Roman" w:cs="Times New Roman" w:eastAsia="Times New Roman" w:hint="default"/>
                <w:sz w:val="18"/>
                <w:szCs w:val="18"/>
              </w:rPr>
            </w:pPr>
            <w:r>
              <w:rPr>
                <w:rFonts w:ascii="Times New Roman"/>
                <w:sz w:val="18"/>
              </w:rPr>
              <w:t>20,835,122.25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2.23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625,053.67</w:t>
            </w:r>
          </w:p>
        </w:tc>
      </w:tr>
      <w:tr>
        <w:trPr>
          <w:trHeight w:val="93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成都凯天质检技术服务有限责任公司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424" w:right="0"/>
              <w:jc w:val="left"/>
              <w:rPr>
                <w:rFonts w:ascii="Times New Roman" w:hAnsi="Times New Roman" w:cs="Times New Roman" w:eastAsia="Times New Roman" w:hint="default"/>
                <w:sz w:val="18"/>
                <w:szCs w:val="18"/>
              </w:rPr>
            </w:pPr>
            <w:r>
              <w:rPr>
                <w:rFonts w:ascii="Times New Roman"/>
                <w:sz w:val="18"/>
              </w:rPr>
              <w:t>18,731,809.95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1,045,774.27</w:t>
            </w:r>
          </w:p>
        </w:tc>
      </w:tr>
      <w:tr>
        <w:trPr>
          <w:trHeight w:val="533"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333" w:right="0"/>
              <w:jc w:val="left"/>
              <w:rPr>
                <w:rFonts w:ascii="Times New Roman" w:hAnsi="Times New Roman" w:cs="Times New Roman" w:eastAsia="Times New Roman" w:hint="default"/>
                <w:sz w:val="18"/>
                <w:szCs w:val="18"/>
              </w:rPr>
            </w:pPr>
            <w:r>
              <w:rPr>
                <w:rFonts w:ascii="Times New Roman"/>
                <w:sz w:val="18"/>
              </w:rPr>
              <w:t>126,845,138.95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13.55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right"/>
              <w:rPr>
                <w:rFonts w:ascii="Times New Roman" w:hAnsi="Times New Roman" w:cs="Times New Roman" w:eastAsia="Times New Roman" w:hint="default"/>
                <w:sz w:val="18"/>
                <w:szCs w:val="18"/>
              </w:rPr>
            </w:pPr>
            <w:r>
              <w:rPr>
                <w:rFonts w:ascii="Times New Roman"/>
                <w:spacing w:val="-1"/>
                <w:sz w:val="18"/>
              </w:rPr>
              <w:t>6,775,049.12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776"/>
        <w:gridCol w:w="1474"/>
        <w:gridCol w:w="1714"/>
        <w:gridCol w:w="1561"/>
      </w:tblGrid>
      <w:tr>
        <w:trPr>
          <w:trHeight w:val="442" w:hRule="exact"/>
        </w:trPr>
        <w:tc>
          <w:tcPr>
            <w:tcW w:w="3776"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）因金融资产转移而终止确认的应收账款</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6</w:t>
      </w:r>
      <w:r>
        <w:rPr/>
        <w:t>）转移应收账款且继续涉入形成的资产、负债金额</w:t>
      </w:r>
    </w:p>
    <w:p>
      <w:pPr>
        <w:spacing w:line="240" w:lineRule="auto" w:before="1"/>
        <w:rPr>
          <w:rFonts w:ascii="黑体" w:hAnsi="黑体" w:cs="黑体" w:eastAsia="黑体" w:hint="default"/>
          <w:sz w:val="24"/>
          <w:szCs w:val="24"/>
        </w:rPr>
      </w:pPr>
    </w:p>
    <w:p>
      <w:pPr>
        <w:pStyle w:val="BodyText"/>
        <w:spacing w:line="496" w:lineRule="auto"/>
        <w:ind w:left="573" w:right="8303"/>
        <w:jc w:val="left"/>
      </w:pPr>
      <w:r>
        <w:rPr/>
        <w:t>无</w:t>
      </w:r>
      <w:r>
        <w:rPr>
          <w:w w:val="100"/>
        </w:rPr>
        <w:t> </w:t>
      </w:r>
      <w:r>
        <w:rPr/>
        <w:t>其他说明：</w:t>
      </w:r>
      <w:r>
        <w:rPr>
          <w:spacing w:val="-102"/>
        </w:rPr>
        <w:t> </w:t>
      </w:r>
      <w:r>
        <w:rPr>
          <w:spacing w:val="-102"/>
        </w:rPr>
      </w:r>
      <w:r>
        <w:rPr/>
        <w:t>无</w:t>
      </w:r>
    </w:p>
    <w:p>
      <w:pPr>
        <w:pStyle w:val="Heading3"/>
        <w:spacing w:line="240" w:lineRule="auto" w:before="101"/>
        <w:ind w:right="11"/>
        <w:jc w:val="left"/>
      </w:pPr>
      <w:r>
        <w:rPr>
          <w:rFonts w:ascii="Times New Roman" w:hAnsi="Times New Roman" w:cs="Times New Roman" w:eastAsia="Times New Roman" w:hint="default"/>
        </w:rPr>
        <w:t>6</w:t>
      </w:r>
      <w:r>
        <w:rPr/>
        <w:t>、预付款项</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）预付款项按账龄列示</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59"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4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59"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87,779,691.14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91.04%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80,028,263.89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85.78%</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5,885,739.09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11,482,727.95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12.31%</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2,408,797.29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1,303,544.19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1.40%</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351,290.82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478,516.25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0.51%</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96,425,518.34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93,293,052.28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1"/>
        <w:rPr>
          <w:rFonts w:ascii="宋体" w:hAnsi="宋体" w:cs="宋体" w:eastAsia="宋体" w:hint="default"/>
          <w:sz w:val="21"/>
          <w:szCs w:val="21"/>
        </w:rPr>
      </w:pPr>
    </w:p>
    <w:p>
      <w:pPr>
        <w:pStyle w:val="BodyText"/>
        <w:spacing w:line="386" w:lineRule="auto"/>
        <w:ind w:right="143" w:firstLine="420"/>
        <w:jc w:val="left"/>
      </w:pPr>
      <w:r>
        <w:rPr/>
        <w:t>账龄超过一年且金额重大的预付款项为 </w:t>
      </w:r>
      <w:r>
        <w:rPr>
          <w:rFonts w:ascii="Times New Roman" w:hAnsi="Times New Roman" w:cs="Times New Roman" w:eastAsia="Times New Roman" w:hint="default"/>
        </w:rPr>
        <w:t>8,645,827.20</w:t>
      </w:r>
      <w:r>
        <w:rPr>
          <w:rFonts w:ascii="Times New Roman" w:hAnsi="Times New Roman" w:cs="Times New Roman" w:eastAsia="Times New Roman" w:hint="default"/>
          <w:spacing w:val="-29"/>
        </w:rPr>
        <w:t> </w:t>
      </w:r>
      <w:r>
        <w:rPr/>
        <w:t>元，主要为预付项目款项，因为项目尚未结束，</w:t>
      </w:r>
      <w:r>
        <w:rPr>
          <w:w w:val="100"/>
        </w:rPr>
        <w:t> </w:t>
      </w:r>
      <w:r>
        <w:rPr/>
        <w:t>该款项尚未结算。</w:t>
      </w:r>
    </w:p>
    <w:p>
      <w:pPr>
        <w:spacing w:line="240" w:lineRule="auto" w:before="2"/>
        <w:rPr>
          <w:rFonts w:ascii="宋体" w:hAnsi="宋体" w:cs="宋体" w:eastAsia="宋体" w:hint="default"/>
          <w:sz w:val="15"/>
          <w:szCs w:val="15"/>
        </w:rPr>
      </w:pPr>
    </w:p>
    <w:p>
      <w:pPr>
        <w:pStyle w:val="Heading3"/>
        <w:spacing w:line="240" w:lineRule="auto"/>
        <w:ind w:right="11"/>
        <w:jc w:val="left"/>
      </w:pPr>
      <w:r>
        <w:rPr/>
        <w:t>（</w:t>
      </w:r>
      <w:r>
        <w:rPr>
          <w:rFonts w:ascii="Times New Roman" w:hAnsi="Times New Roman" w:cs="Times New Roman" w:eastAsia="Times New Roman" w:hint="default"/>
        </w:rPr>
        <w:t>2</w:t>
      </w:r>
      <w:r>
        <w:rPr/>
        <w:t>）按预付对象归集的期末余额前五名的预付款情况</w:t>
      </w:r>
    </w:p>
    <w:p>
      <w:pPr>
        <w:spacing w:line="240" w:lineRule="auto" w:before="7"/>
        <w:rPr>
          <w:rFonts w:ascii="黑体" w:hAnsi="黑体" w:cs="黑体" w:eastAsia="黑体"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3858"/>
        <w:gridCol w:w="2972"/>
        <w:gridCol w:w="2830"/>
      </w:tblGrid>
      <w:tr>
        <w:trPr>
          <w:trHeight w:val="840" w:hRule="exact"/>
        </w:trPr>
        <w:tc>
          <w:tcPr>
            <w:tcW w:w="3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29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pacing w:val="7"/>
                <w:sz w:val="18"/>
                <w:szCs w:val="18"/>
              </w:rPr>
              <w:t>占预付款项期末余额合计数的比例</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33"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湖南弘熙交通科技有限公司</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5,115,000.00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5.30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858"/>
        <w:gridCol w:w="2972"/>
        <w:gridCol w:w="2830"/>
      </w:tblGrid>
      <w:tr>
        <w:trPr>
          <w:trHeight w:val="533"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研究所</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right"/>
              <w:rPr>
                <w:rFonts w:ascii="Times New Roman" w:hAnsi="Times New Roman" w:cs="Times New Roman" w:eastAsia="Times New Roman" w:hint="default"/>
                <w:sz w:val="18"/>
                <w:szCs w:val="18"/>
              </w:rPr>
            </w:pPr>
            <w:r>
              <w:rPr>
                <w:rFonts w:ascii="Times New Roman"/>
                <w:spacing w:val="-1"/>
                <w:sz w:val="18"/>
              </w:rPr>
              <w:t>2,860,000.00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2.97</w:t>
            </w:r>
          </w:p>
        </w:tc>
      </w:tr>
      <w:tr>
        <w:trPr>
          <w:trHeight w:val="533"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常州科勒动力设备有限公司</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2,852,491.13</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2.96</w:t>
            </w:r>
          </w:p>
        </w:tc>
      </w:tr>
      <w:tr>
        <w:trPr>
          <w:trHeight w:val="533"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六星空气净化技术（湖南）有限公司</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2,484,112.00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2.58</w:t>
            </w:r>
          </w:p>
        </w:tc>
      </w:tr>
      <w:tr>
        <w:trPr>
          <w:trHeight w:val="533"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ALTA </w:t>
            </w:r>
            <w:r>
              <w:rPr>
                <w:rFonts w:ascii="Times New Roman" w:hAnsi="Times New Roman" w:cs="Times New Roman" w:eastAsia="Times New Roman" w:hint="default"/>
                <w:spacing w:val="-9"/>
                <w:sz w:val="18"/>
                <w:szCs w:val="18"/>
              </w:rPr>
              <w:t>DATA</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TECHNOLOGIES</w:t>
            </w:r>
            <w:r>
              <w:rPr>
                <w:rFonts w:ascii="宋体" w:hAnsi="宋体" w:cs="宋体" w:eastAsia="宋体" w:hint="default"/>
                <w:sz w:val="18"/>
                <w:szCs w:val="18"/>
              </w:rPr>
              <w:t>，</w:t>
            </w:r>
            <w:r>
              <w:rPr>
                <w:rFonts w:ascii="Times New Roman" w:hAnsi="Times New Roman" w:cs="Times New Roman" w:eastAsia="Times New Roman" w:hint="default"/>
                <w:sz w:val="18"/>
                <w:szCs w:val="18"/>
              </w:rPr>
              <w:t>LLC</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2,076,840.47</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2.15</w:t>
            </w:r>
          </w:p>
        </w:tc>
      </w:tr>
      <w:tr>
        <w:trPr>
          <w:trHeight w:val="535" w:hRule="exact"/>
        </w:trPr>
        <w:tc>
          <w:tcPr>
            <w:tcW w:w="3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15,388,443.60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15.96</w:t>
            </w:r>
          </w:p>
        </w:tc>
      </w:tr>
    </w:tbl>
    <w:p>
      <w:pPr>
        <w:spacing w:line="240" w:lineRule="auto" w:before="11"/>
        <w:rPr>
          <w:rFonts w:ascii="黑体" w:hAnsi="黑体" w:cs="黑体" w:eastAsia="黑体" w:hint="default"/>
          <w:sz w:val="9"/>
          <w:szCs w:val="9"/>
        </w:rPr>
      </w:pPr>
    </w:p>
    <w:p>
      <w:pPr>
        <w:pStyle w:val="BodyText"/>
        <w:spacing w:line="240" w:lineRule="auto" w:before="36"/>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7</w:t>
      </w:r>
      <w:r>
        <w:rPr/>
        <w:t>、应收利息</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）应收利息分类</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50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15,622,710.97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15,622,710.97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Heading4"/>
        <w:spacing w:line="240" w:lineRule="auto" w:before="36"/>
        <w:ind w:right="11"/>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82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是否发生减值及其判断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依据</w:t>
            </w:r>
          </w:p>
        </w:tc>
      </w:tr>
    </w:tbl>
    <w:p>
      <w:pPr>
        <w:spacing w:line="240" w:lineRule="auto" w:before="12"/>
        <w:rPr>
          <w:rFonts w:ascii="宋体" w:hAnsi="宋体" w:cs="宋体" w:eastAsia="宋体" w:hint="default"/>
          <w:b/>
          <w:bCs/>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8</w:t>
      </w:r>
      <w:r>
        <w:rPr/>
        <w:t>、应收股利</w:t>
      </w:r>
    </w:p>
    <w:p>
      <w:pPr>
        <w:spacing w:line="240" w:lineRule="auto" w:before="12"/>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）应收股利</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79"/>
      </w:tblGrid>
      <w:tr>
        <w:trPr>
          <w:trHeight w:val="508"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）重要的账龄超过</w:t>
      </w:r>
      <w:r>
        <w:rPr>
          <w:spacing w:val="-61"/>
        </w:rPr>
        <w:t> </w:t>
      </w:r>
      <w:r>
        <w:rPr>
          <w:rFonts w:ascii="Times New Roman" w:hAnsi="Times New Roman" w:cs="Times New Roman" w:eastAsia="Times New Roman" w:hint="default"/>
        </w:rPr>
        <w:t>1 </w:t>
      </w:r>
      <w:r>
        <w:rPr/>
        <w:t>年的应收股利</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82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是否发生减值及其判断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依据</w:t>
            </w:r>
          </w:p>
        </w:tc>
      </w:tr>
    </w:tbl>
    <w:p>
      <w:pPr>
        <w:spacing w:after="0" w:line="319"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9</w:t>
      </w:r>
      <w:r>
        <w:rPr/>
        <w:t>、其他应收款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）其他应收款分类披露</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04"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5"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right w:val="single" w:sz="4" w:space="0" w:color="000000"/>
            </w:tcBorders>
            <w:shd w:val="clear" w:color="auto" w:fill="D2D2D2"/>
          </w:tcPr>
          <w:p>
            <w:pPr/>
          </w:p>
        </w:tc>
        <w:tc>
          <w:tcPr>
            <w:tcW w:w="1526" w:type="dxa"/>
            <w:gridSpan w:val="2"/>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right w:val="single" w:sz="4" w:space="0" w:color="000000"/>
            </w:tcBorders>
            <w:shd w:val="clear" w:color="auto" w:fill="D2D2D2"/>
          </w:tcPr>
          <w:p>
            <w:pPr/>
          </w:p>
        </w:tc>
        <w:tc>
          <w:tcPr>
            <w:tcW w:w="1748" w:type="dxa"/>
            <w:gridSpan w:val="2"/>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612" w:type="dxa"/>
            <w:vMerge/>
            <w:tcBorders>
              <w:left w:val="single" w:sz="4" w:space="0" w:color="000000"/>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24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54"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13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2"/>
              <w:jc w:val="both"/>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106,158,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521.60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16,736,7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15.77%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89,421,76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126,634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,911.93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12,697,69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113,937,21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8.05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44"/>
              <w:ind w:left="84" w:right="0"/>
              <w:jc w:val="center"/>
              <w:rPr>
                <w:rFonts w:ascii="Times New Roman" w:hAnsi="Times New Roman" w:cs="Times New Roman" w:eastAsia="Times New Roman" w:hint="default"/>
                <w:sz w:val="18"/>
                <w:szCs w:val="18"/>
              </w:rPr>
            </w:pPr>
            <w:r>
              <w:rPr>
                <w:rFonts w:ascii="Times New Roman"/>
                <w:sz w:val="18"/>
              </w:rPr>
              <w:t>106,158,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521.60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16,736,7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56.24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15.77%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89,421,76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44"/>
              <w:ind w:left="38" w:right="0"/>
              <w:jc w:val="left"/>
              <w:rPr>
                <w:rFonts w:ascii="Times New Roman" w:hAnsi="Times New Roman" w:cs="Times New Roman" w:eastAsia="Times New Roman" w:hint="default"/>
                <w:sz w:val="18"/>
                <w:szCs w:val="18"/>
              </w:rPr>
            </w:pPr>
            <w:r>
              <w:rPr>
                <w:rFonts w:ascii="Times New Roman"/>
                <w:sz w:val="18"/>
              </w:rPr>
              <w:t>126,634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,911.93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12,697,69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44"/>
              <w:ind w:left="96" w:right="0"/>
              <w:jc w:val="left"/>
              <w:rPr>
                <w:rFonts w:ascii="Times New Roman" w:hAnsi="Times New Roman" w:cs="Times New Roman" w:eastAsia="Times New Roman" w:hint="default"/>
                <w:sz w:val="18"/>
                <w:szCs w:val="18"/>
              </w:rPr>
            </w:pPr>
            <w:r>
              <w:rPr>
                <w:rFonts w:ascii="Times New Roman"/>
                <w:sz w:val="18"/>
              </w:rPr>
              <w:t>113,937,21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8.05</w:t>
            </w:r>
          </w:p>
        </w:tc>
      </w:tr>
      <w:tr>
        <w:trPr>
          <w:trHeight w:val="499"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期末单项金额重大并单项计提坏账准备的其他应收款：</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470" w:lineRule="auto" w:before="90"/>
        <w:ind w:left="573" w:right="7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单位：</w:t>
      </w:r>
      <w:r>
        <w:rPr>
          <w:spacing w:val="2"/>
        </w:rPr>
        <w:t> </w:t>
      </w:r>
      <w:r>
        <w:rPr/>
        <w:t>元</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50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509"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81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left"/>
              <w:rPr>
                <w:rFonts w:ascii="宋体" w:hAnsi="宋体" w:cs="宋体" w:eastAsia="宋体" w:hint="default"/>
                <w:sz w:val="18"/>
                <w:szCs w:val="18"/>
              </w:rPr>
            </w:pPr>
            <w:r>
              <w:rPr>
                <w:rFonts w:ascii="宋体" w:hAnsi="宋体" w:cs="宋体" w:eastAsia="宋体" w:hint="default"/>
                <w:spacing w:val="14"/>
                <w:sz w:val="18"/>
                <w:szCs w:val="18"/>
              </w:rPr>
              <w:t>北京泰豪智能工程有限公司</w:t>
            </w:r>
            <w:r>
              <w:rPr>
                <w:rFonts w:ascii="宋体" w:hAnsi="宋体" w:cs="宋体" w:eastAsia="宋体" w:hint="default"/>
                <w:sz w:val="18"/>
                <w:szCs w:val="18"/>
              </w:rPr>
              <w:t> 账龄及坏账准备明细如下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41,687,691.94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1,250,630.76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3.00%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19,255,453.99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1,925,545.40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7,231,963.77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1,446,392.75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2,702,905.67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1,351,452.84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7,535,616.53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6,028,493.23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80.00%</w:t>
            </w: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666,743.36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666,743.36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79,080,375.26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12,669,258.34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组合中，除北京泰豪智能工程 </w:t>
            </w:r>
            <w:r>
              <w:rPr>
                <w:rFonts w:ascii="宋体" w:hAnsi="宋体" w:cs="宋体" w:eastAsia="宋体" w:hint="default"/>
                <w:spacing w:val="14"/>
                <w:sz w:val="18"/>
                <w:szCs w:val="18"/>
              </w:rPr>
              <w:t>有限公司其他公司账龄及坏</w:t>
            </w:r>
            <w:r>
              <w:rPr>
                <w:rFonts w:ascii="宋体" w:hAnsi="宋体" w:cs="宋体" w:eastAsia="宋体" w:hint="default"/>
                <w:sz w:val="18"/>
                <w:szCs w:val="18"/>
              </w:rPr>
              <w:t> 账准备明细如下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13,255,380.14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661,894.01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6,560,208.99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656,020.91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4,206,032.77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841,206.58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2,040,454.57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1,020,227.29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255,841.53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127,920.77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760,228.34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760,228.34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27,078,146.34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4,067,497.90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9"/>
          <w:szCs w:val="9"/>
        </w:rPr>
      </w:pPr>
    </w:p>
    <w:p>
      <w:pPr>
        <w:pStyle w:val="BodyText"/>
        <w:spacing w:line="496" w:lineRule="auto" w:before="36"/>
        <w:ind w:left="573" w:right="11"/>
        <w:jc w:val="left"/>
      </w:pPr>
      <w:r>
        <w:rPr/>
        <w:t>确定该组合依据的说明：</w:t>
      </w:r>
      <w:r>
        <w:rPr>
          <w:w w:val="100"/>
        </w:rPr>
        <w:t> </w:t>
      </w:r>
      <w:r>
        <w:rPr>
          <w:spacing w:val="-2"/>
        </w:rPr>
        <w:t>北京泰豪智能工程有限公司因业务性质，故应收款项账龄坏账准备计提比例与其他公司不同，详见应</w:t>
      </w:r>
    </w:p>
    <w:p>
      <w:pPr>
        <w:pStyle w:val="BodyText"/>
        <w:spacing w:line="243" w:lineRule="exact"/>
        <w:ind w:right="11"/>
        <w:jc w:val="left"/>
      </w:pPr>
      <w:r>
        <w:rPr/>
        <w:t>收款项会计政策。</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t>组合中，采用余额百分比法计提坏账准备的其他应收款：</w:t>
      </w:r>
    </w:p>
    <w:p>
      <w:pPr>
        <w:spacing w:line="240" w:lineRule="auto" w:before="6"/>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90"/>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2</w:t>
      </w:r>
      <w:r>
        <w:rPr/>
        <w:t>）本期计提、收回或转回的坏账准备情况</w:t>
      </w:r>
    </w:p>
    <w:p>
      <w:pPr>
        <w:spacing w:line="240" w:lineRule="auto" w:before="1"/>
        <w:rPr>
          <w:rFonts w:ascii="黑体" w:hAnsi="黑体" w:cs="黑体" w:eastAsia="黑体" w:hint="default"/>
          <w:sz w:val="24"/>
          <w:szCs w:val="24"/>
        </w:rPr>
      </w:pPr>
    </w:p>
    <w:p>
      <w:pPr>
        <w:pStyle w:val="BodyText"/>
        <w:spacing w:line="470" w:lineRule="auto"/>
        <w:ind w:left="573" w:right="2019"/>
        <w:jc w:val="left"/>
      </w:pPr>
      <w:r>
        <w:rPr/>
        <w:t>本期计提坏账准备金额</w:t>
      </w:r>
      <w:r>
        <w:rPr>
          <w:spacing w:val="-54"/>
        </w:rPr>
        <w:t> </w:t>
      </w:r>
      <w:r>
        <w:rPr>
          <w:rFonts w:ascii="Times New Roman" w:hAnsi="Times New Roman" w:cs="Times New Roman" w:eastAsia="Times New Roman" w:hint="default"/>
        </w:rPr>
        <w:t>4,083,630.83</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spacing w:val="-3"/>
          <w:w w:val="100"/>
        </w:rPr>
        <w:t> </w:t>
      </w:r>
      <w:r>
        <w:rPr/>
        <w:t>其中本期坏账准备转回或收回金额重要的：</w:t>
      </w:r>
    </w:p>
    <w:p>
      <w:pPr>
        <w:pStyle w:val="BodyText"/>
        <w:spacing w:line="240" w:lineRule="auto" w:before="92"/>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）本期实际核销的其他应收款情况</w:t>
      </w:r>
    </w:p>
    <w:p>
      <w:pPr>
        <w:spacing w:after="0" w:line="240" w:lineRule="auto"/>
        <w:jc w:val="left"/>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506"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44,568.47</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其中重要的其他应收款核销情况：</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82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3" w:right="5"/>
              <w:jc w:val="left"/>
              <w:rPr>
                <w:rFonts w:ascii="宋体" w:hAnsi="宋体" w:cs="宋体" w:eastAsia="宋体" w:hint="default"/>
                <w:sz w:val="18"/>
                <w:szCs w:val="18"/>
              </w:rPr>
            </w:pPr>
            <w:r>
              <w:rPr>
                <w:rFonts w:ascii="宋体" w:hAnsi="宋体" w:cs="宋体" w:eastAsia="宋体" w:hint="default"/>
                <w:spacing w:val="14"/>
                <w:sz w:val="18"/>
                <w:szCs w:val="18"/>
              </w:rPr>
              <w:t>款项是否由关联交 </w:t>
            </w:r>
            <w:r>
              <w:rPr>
                <w:rFonts w:ascii="宋体" w:hAnsi="宋体" w:cs="宋体" w:eastAsia="宋体" w:hint="default"/>
                <w:sz w:val="18"/>
                <w:szCs w:val="18"/>
              </w:rPr>
              <w:t>易产生</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其他应收款核销说明：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）其他应收款按款项性质分类情况</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106,158,521.60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126,634,911.93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106,158,521.60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126,634,911.93</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）按欠款方归集的期末余额前五名的其他应收款情况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81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82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3"/>
              <w:jc w:val="left"/>
              <w:rPr>
                <w:rFonts w:ascii="宋体" w:hAnsi="宋体" w:cs="宋体" w:eastAsia="宋体" w:hint="default"/>
                <w:sz w:val="18"/>
                <w:szCs w:val="18"/>
              </w:rPr>
            </w:pPr>
            <w:r>
              <w:rPr>
                <w:rFonts w:ascii="宋体" w:hAnsi="宋体" w:cs="宋体" w:eastAsia="宋体" w:hint="default"/>
                <w:spacing w:val="14"/>
                <w:sz w:val="18"/>
                <w:szCs w:val="18"/>
              </w:rPr>
              <w:t>常州新常态互联科 </w:t>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4,972,110.00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497,211.00</w:t>
            </w:r>
          </w:p>
        </w:tc>
      </w:tr>
      <w:tr>
        <w:trPr>
          <w:trHeight w:val="82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中国人民解放军兰 </w:t>
            </w:r>
            <w:r>
              <w:rPr>
                <w:rFonts w:ascii="宋体" w:hAnsi="宋体" w:cs="宋体" w:eastAsia="宋体" w:hint="default"/>
                <w:sz w:val="18"/>
                <w:szCs w:val="18"/>
              </w:rPr>
              <w:t>州军区兰州总医院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4,001,609.00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3,200,321.80</w:t>
            </w:r>
          </w:p>
        </w:tc>
      </w:tr>
      <w:tr>
        <w:trPr>
          <w:trHeight w:val="11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both"/>
              <w:rPr>
                <w:rFonts w:ascii="宋体" w:hAnsi="宋体" w:cs="宋体" w:eastAsia="宋体" w:hint="default"/>
                <w:sz w:val="18"/>
                <w:szCs w:val="18"/>
              </w:rPr>
            </w:pPr>
            <w:r>
              <w:rPr>
                <w:rFonts w:ascii="宋体" w:hAnsi="宋体" w:cs="宋体" w:eastAsia="宋体" w:hint="default"/>
                <w:spacing w:val="14"/>
                <w:sz w:val="18"/>
                <w:szCs w:val="18"/>
              </w:rPr>
              <w:t>国家开发银行股份 有限公司湖南省分 </w:t>
            </w:r>
            <w:r>
              <w:rPr>
                <w:rFonts w:ascii="宋体" w:hAnsi="宋体" w:cs="宋体" w:eastAsia="宋体" w:hint="default"/>
                <w:sz w:val="18"/>
                <w:szCs w:val="18"/>
              </w:rPr>
              <w:t>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3,676,182.60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367,618.26</w:t>
            </w:r>
          </w:p>
        </w:tc>
      </w:tr>
      <w:tr>
        <w:trPr>
          <w:trHeight w:val="113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pacing w:val="14"/>
                <w:sz w:val="18"/>
                <w:szCs w:val="18"/>
              </w:rPr>
              <w:t>中国贵州茅台酒厂</w:t>
            </w:r>
            <w:r>
              <w:rPr>
                <w:rFonts w:ascii="宋体" w:hAnsi="宋体" w:cs="宋体" w:eastAsia="宋体" w:hint="default"/>
                <w:sz w:val="18"/>
                <w:szCs w:val="18"/>
              </w:rPr>
            </w:r>
          </w:p>
          <w:p>
            <w:pPr>
              <w:pStyle w:val="TableParagraph"/>
              <w:spacing w:line="316" w:lineRule="auto" w:before="74"/>
              <w:ind w:left="24" w:right="19"/>
              <w:jc w:val="left"/>
              <w:rPr>
                <w:rFonts w:ascii="宋体" w:hAnsi="宋体" w:cs="宋体" w:eastAsia="宋体" w:hint="default"/>
                <w:sz w:val="18"/>
                <w:szCs w:val="18"/>
              </w:rPr>
            </w:pPr>
            <w:r>
              <w:rPr>
                <w:rFonts w:ascii="宋体" w:hAnsi="宋体" w:cs="宋体" w:eastAsia="宋体" w:hint="default"/>
                <w:spacing w:val="-10"/>
                <w:sz w:val="18"/>
                <w:szCs w:val="18"/>
              </w:rPr>
              <w:t>（集团）有限责任公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3,178,545.55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474,998.31</w:t>
            </w:r>
          </w:p>
        </w:tc>
      </w:tr>
      <w:tr>
        <w:trPr>
          <w:trHeight w:val="5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pacing w:val="14"/>
                <w:sz w:val="18"/>
                <w:szCs w:val="18"/>
              </w:rPr>
              <w:t>北京宏信天诚国际</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2,937,500.00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88,125.00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招标有限公司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44"/>
              <w:ind w:left="520" w:right="0"/>
              <w:jc w:val="left"/>
              <w:rPr>
                <w:rFonts w:ascii="Times New Roman" w:hAnsi="Times New Roman" w:cs="Times New Roman" w:eastAsia="Times New Roman" w:hint="default"/>
                <w:sz w:val="18"/>
                <w:szCs w:val="18"/>
              </w:rPr>
            </w:pPr>
            <w:r>
              <w:rPr>
                <w:rFonts w:ascii="Times New Roman"/>
                <w:sz w:val="18"/>
              </w:rPr>
              <w:t>18,765,947.15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8" w:right="0"/>
              <w:jc w:val="left"/>
              <w:rPr>
                <w:rFonts w:ascii="Times New Roman" w:hAnsi="Times New Roman" w:cs="Times New Roman" w:eastAsia="Times New Roman" w:hint="default"/>
                <w:sz w:val="18"/>
                <w:szCs w:val="18"/>
              </w:rPr>
            </w:pPr>
            <w:r>
              <w:rPr>
                <w:rFonts w:ascii="Times New Roman"/>
                <w:sz w:val="18"/>
              </w:rPr>
              <w:t>17.67%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16" w:right="0"/>
              <w:jc w:val="left"/>
              <w:rPr>
                <w:rFonts w:ascii="Times New Roman" w:hAnsi="Times New Roman" w:cs="Times New Roman" w:eastAsia="Times New Roman" w:hint="default"/>
                <w:sz w:val="18"/>
                <w:szCs w:val="18"/>
              </w:rPr>
            </w:pPr>
            <w:r>
              <w:rPr>
                <w:rFonts w:ascii="Times New Roman"/>
                <w:sz w:val="18"/>
              </w:rPr>
              <w:t>4,628,274.37</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6</w:t>
      </w:r>
      <w:r>
        <w:rPr/>
        <w:t>）涉及政府补助的应收款项</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82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6"/>
                <w:sz w:val="18"/>
                <w:szCs w:val="18"/>
              </w:rPr>
              <w:t>预计收取的时间、金额</w:t>
            </w:r>
            <w:r>
              <w:rPr>
                <w:rFonts w:ascii="宋体" w:hAnsi="宋体" w:cs="宋体" w:eastAsia="宋体" w:hint="default"/>
                <w:sz w:val="18"/>
                <w:szCs w:val="18"/>
              </w:rPr>
              <w:t> 及依据</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w w:val="100"/>
        </w:rPr>
        <w:t>无</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7</w:t>
      </w:r>
      <w:r>
        <w:rPr/>
        <w:t>）因金融资产转移而终止确认的其他应收款</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8</w:t>
      </w:r>
      <w:r>
        <w:rPr/>
        <w:t>）转移其他应收款且继续涉入形成的资产、负债金额</w:t>
      </w:r>
    </w:p>
    <w:p>
      <w:pPr>
        <w:spacing w:line="240" w:lineRule="auto" w:before="1"/>
        <w:rPr>
          <w:rFonts w:ascii="黑体" w:hAnsi="黑体" w:cs="黑体" w:eastAsia="黑体" w:hint="default"/>
          <w:sz w:val="24"/>
          <w:szCs w:val="24"/>
        </w:rPr>
      </w:pPr>
    </w:p>
    <w:p>
      <w:pPr>
        <w:pStyle w:val="BodyText"/>
        <w:spacing w:line="496" w:lineRule="auto"/>
        <w:ind w:left="573" w:right="8303"/>
        <w:jc w:val="left"/>
      </w:pPr>
      <w:r>
        <w:rPr/>
        <w:t>无</w:t>
      </w:r>
      <w:r>
        <w:rPr>
          <w:w w:val="100"/>
        </w:rPr>
        <w:t> </w:t>
      </w:r>
      <w:r>
        <w:rPr/>
        <w:t>其他说明：</w:t>
      </w:r>
      <w:r>
        <w:rPr>
          <w:spacing w:val="-102"/>
        </w:rPr>
        <w:t> </w:t>
      </w:r>
      <w:r>
        <w:rPr>
          <w:spacing w:val="-102"/>
        </w:rPr>
      </w:r>
      <w:r>
        <w:rPr/>
        <w:t>无</w:t>
      </w:r>
    </w:p>
    <w:p>
      <w:pPr>
        <w:pStyle w:val="Heading3"/>
        <w:spacing w:line="240" w:lineRule="auto" w:before="99"/>
        <w:ind w:right="11"/>
        <w:jc w:val="left"/>
      </w:pPr>
      <w:r>
        <w:rPr>
          <w:rFonts w:ascii="Times New Roman" w:hAnsi="Times New Roman" w:cs="Times New Roman" w:eastAsia="Times New Roman" w:hint="default"/>
        </w:rPr>
        <w:t>10</w:t>
      </w:r>
      <w:r>
        <w:rPr/>
        <w:t>、存货</w:t>
      </w:r>
    </w:p>
    <w:p>
      <w:pPr>
        <w:spacing w:line="240" w:lineRule="auto" w:before="1"/>
        <w:rPr>
          <w:rFonts w:ascii="黑体" w:hAnsi="黑体" w:cs="黑体" w:eastAsia="黑体" w:hint="default"/>
          <w:sz w:val="24"/>
          <w:szCs w:val="24"/>
        </w:rPr>
      </w:pPr>
    </w:p>
    <w:p>
      <w:pPr>
        <w:pStyle w:val="BodyText"/>
        <w:spacing w:line="496" w:lineRule="auto"/>
        <w:ind w:left="573" w:right="5439"/>
        <w:jc w:val="left"/>
      </w:pPr>
      <w:r>
        <w:rPr>
          <w:spacing w:val="-2"/>
        </w:rPr>
        <w:t>公司是否需要遵守房地产行业的披露要求</w:t>
      </w:r>
      <w:r>
        <w:rPr>
          <w:spacing w:val="-69"/>
        </w:rPr>
        <w:t> </w:t>
      </w:r>
      <w:r>
        <w:rPr>
          <w:spacing w:val="-69"/>
        </w:rPr>
      </w:r>
      <w:r>
        <w:rPr/>
        <w:t>否</w:t>
      </w:r>
    </w:p>
    <w:p>
      <w:pPr>
        <w:pStyle w:val="Heading3"/>
        <w:spacing w:line="240" w:lineRule="auto" w:before="101"/>
        <w:ind w:right="11"/>
        <w:jc w:val="left"/>
      </w:pPr>
      <w:r>
        <w:rPr/>
        <w:t>（</w:t>
      </w:r>
      <w:r>
        <w:rPr>
          <w:rFonts w:ascii="Times New Roman" w:hAnsi="Times New Roman" w:cs="Times New Roman" w:eastAsia="Times New Roman" w:hint="default"/>
        </w:rPr>
        <w:t>1</w:t>
      </w:r>
      <w:r>
        <w:rPr/>
        <w:t>）存货分类</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5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9"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0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35,140,124.40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1,823,991.97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33,316,132.43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17,845,561.89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1,823,991.97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16,021,569.92</w:t>
            </w:r>
          </w:p>
        </w:tc>
      </w:tr>
      <w:tr>
        <w:trPr>
          <w:trHeight w:val="50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132,224,428.06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2,001,897.12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130,222,530.94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120,665,013.29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1,900,236.25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118,764,777.04</w:t>
            </w:r>
          </w:p>
        </w:tc>
      </w:tr>
      <w:tr>
        <w:trPr>
          <w:trHeight w:val="113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12" w:right="8"/>
              <w:jc w:val="both"/>
              <w:rPr>
                <w:rFonts w:ascii="宋体" w:hAnsi="宋体" w:cs="宋体" w:eastAsia="宋体" w:hint="default"/>
                <w:sz w:val="18"/>
                <w:szCs w:val="18"/>
              </w:rPr>
            </w:pPr>
            <w:r>
              <w:rPr>
                <w:rFonts w:ascii="宋体" w:hAnsi="宋体" w:cs="宋体" w:eastAsia="宋体" w:hint="default"/>
                <w:spacing w:val="7"/>
                <w:sz w:val="18"/>
                <w:szCs w:val="18"/>
              </w:rPr>
              <w:t>建造合同形成的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已完工未结算资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414,201,886.20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414,201,886.20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341,379,936.54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341,379,936.54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11,578,510.46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11,578,510.46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4,806,291.01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4,806,291.01</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50,669,509.86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50,669,509.86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55,473,054.92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55,473,054.92</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643,814,458.98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18"/>
                <w:szCs w:val="18"/>
              </w:rPr>
            </w:pPr>
            <w:r>
              <w:rPr>
                <w:rFonts w:ascii="Times New Roman"/>
                <w:sz w:val="18"/>
              </w:rPr>
              <w:t>3,825,889.09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639,988,569.89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540,169,857.65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18"/>
                <w:szCs w:val="18"/>
              </w:rPr>
            </w:pPr>
            <w:r>
              <w:rPr>
                <w:rFonts w:ascii="Times New Roman"/>
                <w:sz w:val="18"/>
              </w:rPr>
              <w:t>3,724,228.22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536,445,629.43</w:t>
            </w:r>
          </w:p>
        </w:tc>
      </w:tr>
    </w:tbl>
    <w:p>
      <w:pPr>
        <w:spacing w:line="240" w:lineRule="auto" w:before="11"/>
        <w:rPr>
          <w:rFonts w:ascii="宋体" w:hAnsi="宋体" w:cs="宋体" w:eastAsia="宋体" w:hint="default"/>
          <w:sz w:val="9"/>
          <w:szCs w:val="9"/>
        </w:rPr>
      </w:pPr>
    </w:p>
    <w:p>
      <w:pPr>
        <w:pStyle w:val="BodyText"/>
        <w:spacing w:line="386" w:lineRule="auto" w:before="36"/>
        <w:ind w:right="100" w:firstLine="420"/>
        <w:jc w:val="left"/>
      </w:pPr>
      <w:r>
        <w:rPr/>
        <w:t>公司是否需遵守《深圳证券交易所行业信息披露指引第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spacing w:val="-3"/>
        </w:rPr>
        <w:t>号</w:t>
      </w:r>
      <w:r>
        <w:rPr>
          <w:rFonts w:ascii="Times New Roman" w:hAnsi="Times New Roman" w:cs="Times New Roman" w:eastAsia="Times New Roman" w:hint="default"/>
          <w:spacing w:val="-3"/>
        </w:rPr>
        <w:t>—</w:t>
      </w:r>
      <w:r>
        <w:rPr>
          <w:spacing w:val="-3"/>
        </w:rPr>
        <w:t>上市公司从事种业、种植业务》的披露</w:t>
      </w:r>
      <w:r>
        <w:rPr>
          <w:w w:val="100"/>
        </w:rPr>
        <w:t> </w:t>
      </w:r>
      <w:r>
        <w:rPr/>
        <w:t>要求</w:t>
      </w:r>
    </w:p>
    <w:p>
      <w:pPr>
        <w:pStyle w:val="BodyText"/>
        <w:spacing w:line="240" w:lineRule="auto" w:before="163"/>
        <w:ind w:left="573" w:right="100"/>
        <w:jc w:val="left"/>
      </w:pPr>
      <w:r>
        <w:rPr>
          <w:w w:val="100"/>
        </w:rPr>
        <w:t>否</w:t>
      </w:r>
    </w:p>
    <w:p>
      <w:pPr>
        <w:spacing w:line="240" w:lineRule="auto" w:before="7"/>
        <w:rPr>
          <w:rFonts w:ascii="宋体" w:hAnsi="宋体" w:cs="宋体" w:eastAsia="宋体" w:hint="default"/>
          <w:sz w:val="22"/>
          <w:szCs w:val="22"/>
        </w:rPr>
      </w:pPr>
    </w:p>
    <w:p>
      <w:pPr>
        <w:pStyle w:val="BodyText"/>
        <w:spacing w:line="386" w:lineRule="auto"/>
        <w:ind w:right="100" w:firstLine="420"/>
        <w:jc w:val="left"/>
      </w:pPr>
      <w:r>
        <w:rPr>
          <w:spacing w:val="-3"/>
        </w:rPr>
        <w:t>公司是否需遵守《深圳证券交易所创业板行业信息披露指引第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上市公司从事广播电影电视业</w:t>
      </w:r>
      <w:r>
        <w:rPr>
          <w:w w:val="100"/>
        </w:rPr>
        <w:t> </w:t>
      </w:r>
      <w:r>
        <w:rPr/>
        <w:t>务》的披露要求</w:t>
      </w:r>
    </w:p>
    <w:p>
      <w:pPr>
        <w:pStyle w:val="BodyText"/>
        <w:spacing w:line="240" w:lineRule="auto" w:before="166"/>
        <w:ind w:left="573" w:right="100"/>
        <w:jc w:val="left"/>
      </w:pPr>
      <w:r>
        <w:rPr>
          <w:w w:val="100"/>
        </w:rPr>
        <w:t>否</w:t>
      </w:r>
    </w:p>
    <w:p>
      <w:pPr>
        <w:spacing w:line="240" w:lineRule="auto" w:before="4"/>
        <w:rPr>
          <w:rFonts w:ascii="宋体" w:hAnsi="宋体" w:cs="宋体" w:eastAsia="宋体" w:hint="default"/>
          <w:sz w:val="22"/>
          <w:szCs w:val="22"/>
        </w:rPr>
      </w:pPr>
    </w:p>
    <w:p>
      <w:pPr>
        <w:pStyle w:val="BodyText"/>
        <w:spacing w:line="386" w:lineRule="auto"/>
        <w:ind w:right="100" w:firstLine="420"/>
        <w:jc w:val="left"/>
      </w:pPr>
      <w:r>
        <w:rPr>
          <w:spacing w:val="-6"/>
          <w:w w:val="100"/>
        </w:rPr>
        <w:t>公司是否需遵守《深圳证券交易所创业板行业信息披露指引第</w:t>
      </w:r>
      <w:r>
        <w:rPr>
          <w:spacing w:val="-54"/>
          <w:w w:val="100"/>
        </w:rPr>
        <w:t> </w:t>
      </w:r>
      <w:r>
        <w:rPr>
          <w:rFonts w:ascii="Times New Roman" w:hAnsi="Times New Roman" w:cs="Times New Roman" w:eastAsia="Times New Roman" w:hint="default"/>
          <w:w w:val="100"/>
        </w:rPr>
        <w:t>5 </w:t>
      </w:r>
      <w:r>
        <w:rPr>
          <w:spacing w:val="-2"/>
          <w:w w:val="100"/>
        </w:rPr>
        <w:t>号</w:t>
      </w:r>
      <w:r>
        <w:rPr>
          <w:rFonts w:ascii="Times New Roman" w:hAnsi="Times New Roman" w:cs="Times New Roman" w:eastAsia="Times New Roman" w:hint="default"/>
          <w:spacing w:val="-2"/>
          <w:w w:val="100"/>
        </w:rPr>
        <w:t>——</w:t>
      </w:r>
      <w:r>
        <w:rPr>
          <w:spacing w:val="-2"/>
          <w:w w:val="100"/>
        </w:rPr>
        <w:t>上市公司从事互联网游戏业务》</w:t>
      </w:r>
      <w:r>
        <w:rPr>
          <w:w w:val="100"/>
        </w:rPr>
        <w:t> </w:t>
      </w:r>
      <w:r>
        <w:rPr/>
        <w:t>的披露要求</w:t>
      </w:r>
    </w:p>
    <w:p>
      <w:pPr>
        <w:pStyle w:val="BodyText"/>
        <w:spacing w:line="240" w:lineRule="auto" w:before="166"/>
        <w:ind w:left="573" w:right="100"/>
        <w:jc w:val="left"/>
      </w:pPr>
      <w:r>
        <w:rPr>
          <w:w w:val="100"/>
        </w:rPr>
        <w:t>否</w:t>
      </w:r>
    </w:p>
    <w:p>
      <w:pPr>
        <w:spacing w:line="240" w:lineRule="auto" w:before="12"/>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2</w:t>
      </w:r>
      <w:r>
        <w:rPr/>
        <w:t>）存货跌价准备</w:t>
      </w:r>
    </w:p>
    <w:p>
      <w:pPr>
        <w:spacing w:line="240" w:lineRule="auto" w:before="1"/>
        <w:rPr>
          <w:rFonts w:ascii="黑体" w:hAnsi="黑体" w:cs="黑体" w:eastAsia="黑体" w:hint="default"/>
          <w:sz w:val="24"/>
          <w:szCs w:val="24"/>
        </w:rPr>
      </w:pPr>
    </w:p>
    <w:p>
      <w:pPr>
        <w:pStyle w:val="BodyText"/>
        <w:spacing w:line="240" w:lineRule="auto"/>
        <w:ind w:left="0" w:right="20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5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4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59"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1,823,991.97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1,823,991.97</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1,900,236.25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101,660.87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2,001,897.12</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3,724,228.22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101,660.87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3,825,889.09</w:t>
            </w:r>
          </w:p>
        </w:tc>
      </w:tr>
    </w:tbl>
    <w:p>
      <w:pPr>
        <w:spacing w:line="240" w:lineRule="auto" w:before="12"/>
        <w:rPr>
          <w:rFonts w:ascii="宋体" w:hAnsi="宋体" w:cs="宋体" w:eastAsia="宋体" w:hint="default"/>
          <w:sz w:val="12"/>
          <w:szCs w:val="12"/>
        </w:rPr>
      </w:pPr>
    </w:p>
    <w:p>
      <w:pPr>
        <w:pStyle w:val="Heading3"/>
        <w:spacing w:line="240" w:lineRule="auto" w:before="26"/>
        <w:ind w:right="100"/>
        <w:jc w:val="left"/>
      </w:pPr>
      <w:r>
        <w:rPr/>
        <w:t>（</w:t>
      </w:r>
      <w:r>
        <w:rPr>
          <w:rFonts w:ascii="Times New Roman" w:hAnsi="Times New Roman" w:cs="Times New Roman" w:eastAsia="Times New Roman" w:hint="default"/>
        </w:rPr>
        <w:t>3</w:t>
      </w:r>
      <w:r>
        <w:rPr/>
        <w:t>）存货期末余额含有借款费用资本化金额的说明</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w w:val="100"/>
        </w:rPr>
        <w:t>无</w:t>
      </w:r>
    </w:p>
    <w:p>
      <w:pPr>
        <w:spacing w:line="240" w:lineRule="auto" w:before="12"/>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4</w:t>
      </w:r>
      <w:r>
        <w:rPr/>
        <w:t>）期末建造合同形成的已完工未结算资产情况</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5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3,777,789,567.84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896,526,051.50</w:t>
            </w:r>
          </w:p>
        </w:tc>
      </w:tr>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4,260,113,733.14</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414,201,886.20</w:t>
            </w:r>
          </w:p>
        </w:tc>
      </w:tr>
    </w:tbl>
    <w:p>
      <w:pPr>
        <w:spacing w:line="240" w:lineRule="auto" w:before="11"/>
        <w:rPr>
          <w:rFonts w:ascii="宋体" w:hAnsi="宋体" w:cs="宋体" w:eastAsia="宋体" w:hint="default"/>
          <w:sz w:val="9"/>
          <w:szCs w:val="9"/>
        </w:rPr>
      </w:pPr>
    </w:p>
    <w:p>
      <w:pPr>
        <w:pStyle w:val="BodyText"/>
        <w:spacing w:line="494" w:lineRule="auto" w:before="36"/>
        <w:ind w:left="573" w:right="8303"/>
        <w:jc w:val="left"/>
      </w:pPr>
      <w:r>
        <w:rPr/>
        <w:t>其他说明：</w:t>
      </w:r>
      <w:r>
        <w:rPr>
          <w:spacing w:val="-102"/>
        </w:rPr>
        <w:t> </w:t>
      </w:r>
      <w:r>
        <w:rPr>
          <w:spacing w:val="-102"/>
        </w:rPr>
      </w:r>
      <w:r>
        <w:rPr/>
        <w:t>无</w:t>
      </w:r>
    </w:p>
    <w:p>
      <w:pPr>
        <w:pStyle w:val="Heading3"/>
        <w:spacing w:line="240" w:lineRule="auto" w:before="103"/>
        <w:ind w:right="11"/>
        <w:jc w:val="left"/>
      </w:pPr>
      <w:r>
        <w:rPr>
          <w:rFonts w:ascii="Times New Roman" w:hAnsi="Times New Roman" w:cs="Times New Roman" w:eastAsia="Times New Roman" w:hint="default"/>
        </w:rPr>
        <w:t>11</w:t>
      </w:r>
      <w:r>
        <w:rPr/>
        <w:t>、持有待售的资产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5"/>
        <w:gridCol w:w="1913"/>
        <w:gridCol w:w="1916"/>
        <w:gridCol w:w="1913"/>
        <w:gridCol w:w="1918"/>
      </w:tblGrid>
      <w:tr>
        <w:trPr>
          <w:trHeight w:val="509"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12</w:t>
      </w:r>
      <w:r>
        <w:rPr/>
        <w:t>、一年内到期的非流动资产</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9"/>
          <w:szCs w:val="9"/>
        </w:rPr>
      </w:pPr>
    </w:p>
    <w:p>
      <w:pPr>
        <w:pStyle w:val="BodyText"/>
        <w:spacing w:line="240" w:lineRule="auto" w:before="36"/>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left="134" w:right="7852"/>
        <w:jc w:val="center"/>
      </w:pPr>
      <w:r>
        <w:rPr>
          <w:rFonts w:ascii="Times New Roman" w:hAnsi="Times New Roman" w:cs="Times New Roman" w:eastAsia="Times New Roman" w:hint="default"/>
        </w:rPr>
        <w:t>13</w:t>
      </w:r>
      <w:r>
        <w:rPr/>
        <w:t>、其他流动资产</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35,055,510.28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30,970,823.49</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1,700,860.02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630,979.55</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7,867,272.73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44,623,643.03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31,601,803.04</w:t>
            </w:r>
            <w:r>
              <w:rPr>
                <w:rFonts w:ascii="Times New Roman"/>
                <w:sz w:val="18"/>
              </w:rPr>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14</w:t>
      </w:r>
      <w:r>
        <w:rPr/>
        <w:t>、可供出售金融资产</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）可供出售金融资产情况</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60"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9"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204,922,782.68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194,922,782.68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151,372,963.94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141,372,963.94</w:t>
            </w:r>
          </w:p>
        </w:tc>
      </w:tr>
      <w:tr>
        <w:trPr>
          <w:trHeight w:val="509"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204,922,782.68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194,922,782.68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151,372,963.94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141,372,963.94</w:t>
            </w:r>
          </w:p>
        </w:tc>
      </w:tr>
      <w:tr>
        <w:trPr>
          <w:trHeight w:val="506"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非保本银行理财产品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509"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204,922,782.68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194,922,782.68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157,872,963.94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147,872,963.94</w:t>
            </w:r>
          </w:p>
        </w:tc>
      </w:tr>
    </w:tbl>
    <w:p>
      <w:pPr>
        <w:spacing w:line="240" w:lineRule="auto" w:before="13"/>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）期末按公允价值计量的可供出售金融资产</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7"/>
        <w:gridCol w:w="1913"/>
        <w:gridCol w:w="1916"/>
        <w:gridCol w:w="1914"/>
        <w:gridCol w:w="1914"/>
      </w:tblGrid>
      <w:tr>
        <w:trPr>
          <w:trHeight w:val="506"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4" w:space="0" w:color="D2D2D2"/>
            </w:tcBorders>
            <w:shd w:val="clear" w:color="auto" w:fill="D9D9D9"/>
          </w:tcPr>
          <w:p>
            <w:pPr/>
          </w:p>
        </w:tc>
        <w:tc>
          <w:tcPr>
            <w:tcW w:w="191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）期末按成本计量的可供出售金融资产</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097"/>
        <w:gridCol w:w="1159"/>
        <w:gridCol w:w="1157"/>
        <w:gridCol w:w="1070"/>
        <w:gridCol w:w="1157"/>
        <w:gridCol w:w="1070"/>
        <w:gridCol w:w="233"/>
        <w:gridCol w:w="233"/>
        <w:gridCol w:w="1069"/>
        <w:gridCol w:w="600"/>
        <w:gridCol w:w="852"/>
      </w:tblGrid>
      <w:tr>
        <w:trPr>
          <w:trHeight w:val="509" w:hRule="exact"/>
        </w:trPr>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5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17"/>
              <w:jc w:val="both"/>
              <w:rPr>
                <w:rFonts w:ascii="宋体" w:hAnsi="宋体" w:cs="宋体" w:eastAsia="宋体" w:hint="default"/>
                <w:sz w:val="18"/>
                <w:szCs w:val="18"/>
              </w:rPr>
            </w:pPr>
            <w:r>
              <w:rPr>
                <w:rFonts w:ascii="宋体" w:hAnsi="宋体" w:cs="宋体" w:eastAsia="宋体" w:hint="default"/>
                <w:spacing w:val="2"/>
                <w:sz w:val="18"/>
                <w:szCs w:val="18"/>
              </w:rPr>
              <w:t>在被投 资单位 持股比 </w:t>
            </w:r>
            <w:r>
              <w:rPr>
                <w:rFonts w:ascii="宋体" w:hAnsi="宋体" w:cs="宋体" w:eastAsia="宋体" w:hint="default"/>
                <w:sz w:val="18"/>
                <w:szCs w:val="18"/>
              </w:rPr>
              <w:t>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4" w:right="0"/>
              <w:jc w:val="left"/>
              <w:rPr>
                <w:rFonts w:ascii="宋体" w:hAnsi="宋体" w:cs="宋体" w:eastAsia="宋体" w:hint="default"/>
                <w:sz w:val="18"/>
                <w:szCs w:val="18"/>
              </w:rPr>
            </w:pPr>
            <w:r>
              <w:rPr>
                <w:rFonts w:ascii="宋体" w:hAnsi="宋体" w:cs="宋体" w:eastAsia="宋体" w:hint="default"/>
                <w:spacing w:val="18"/>
                <w:sz w:val="18"/>
                <w:szCs w:val="18"/>
              </w:rPr>
              <w:t>本期现金</w:t>
            </w:r>
            <w:r>
              <w:rPr>
                <w:rFonts w:ascii="宋体" w:hAnsi="宋体" w:cs="宋体" w:eastAsia="宋体" w:hint="default"/>
                <w:spacing w:val="-66"/>
                <w:sz w:val="18"/>
                <w:szCs w:val="18"/>
              </w:rPr>
              <w:t> </w:t>
            </w:r>
            <w:r>
              <w:rPr>
                <w:rFonts w:ascii="宋体" w:hAnsi="宋体" w:cs="宋体" w:eastAsia="宋体" w:hint="default"/>
                <w:sz w:val="18"/>
                <w:szCs w:val="18"/>
              </w:rPr>
              <w:t>红利</w:t>
            </w:r>
          </w:p>
        </w:tc>
      </w:tr>
      <w:tr>
        <w:trPr>
          <w:trHeight w:val="1442" w:hRule="exact"/>
        </w:trPr>
        <w:tc>
          <w:tcPr>
            <w:tcW w:w="1097" w:type="dxa"/>
            <w:vMerge/>
            <w:tcBorders>
              <w:left w:val="single" w:sz="4" w:space="0" w:color="000000"/>
              <w:bottom w:val="single" w:sz="4" w:space="0" w:color="000000"/>
              <w:right w:val="single" w:sz="4" w:space="0" w:color="000000"/>
            </w:tcBorders>
            <w:shd w:val="clear" w:color="auto" w:fill="D2D2D2"/>
          </w:tcPr>
          <w:p>
            <w:pP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7"/>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7"/>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60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144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拉</w:t>
            </w:r>
            <w:r>
              <w:rPr>
                <w:rFonts w:ascii="宋体" w:hAnsi="宋体" w:cs="宋体" w:eastAsia="宋体" w:hint="default"/>
                <w:spacing w:val="-57"/>
                <w:sz w:val="18"/>
                <w:szCs w:val="18"/>
              </w:rPr>
              <w:t> </w:t>
            </w:r>
            <w:r>
              <w:rPr>
                <w:rFonts w:ascii="宋体" w:hAnsi="宋体" w:cs="宋体" w:eastAsia="宋体" w:hint="default"/>
                <w:sz w:val="18"/>
                <w:szCs w:val="18"/>
              </w:rPr>
              <w:t>卡</w:t>
            </w:r>
            <w:r>
              <w:rPr>
                <w:rFonts w:ascii="宋体" w:hAnsi="宋体" w:cs="宋体" w:eastAsia="宋体" w:hint="default"/>
                <w:spacing w:val="-55"/>
                <w:sz w:val="18"/>
                <w:szCs w:val="18"/>
              </w:rPr>
              <w:t> </w:t>
            </w:r>
            <w:r>
              <w:rPr>
                <w:rFonts w:ascii="宋体" w:hAnsi="宋体" w:cs="宋体" w:eastAsia="宋体" w:hint="default"/>
                <w:sz w:val="18"/>
                <w:szCs w:val="18"/>
              </w:rPr>
              <w:t>拉</w:t>
            </w:r>
            <w:r>
              <w:rPr>
                <w:rFonts w:ascii="宋体" w:hAnsi="宋体" w:cs="宋体" w:eastAsia="宋体" w:hint="default"/>
                <w:sz w:val="18"/>
                <w:szCs w:val="18"/>
              </w:rPr>
              <w:t> 互</w:t>
            </w:r>
            <w:r>
              <w:rPr>
                <w:rFonts w:ascii="宋体" w:hAnsi="宋体" w:cs="宋体" w:eastAsia="宋体" w:hint="default"/>
                <w:spacing w:val="-55"/>
                <w:sz w:val="18"/>
                <w:szCs w:val="18"/>
              </w:rPr>
              <w:t> </w:t>
            </w:r>
            <w:r>
              <w:rPr>
                <w:rFonts w:ascii="宋体" w:hAnsi="宋体" w:cs="宋体" w:eastAsia="宋体" w:hint="default"/>
                <w:sz w:val="18"/>
                <w:szCs w:val="18"/>
              </w:rPr>
              <w:t>联</w:t>
            </w:r>
            <w:r>
              <w:rPr>
                <w:rFonts w:ascii="宋体" w:hAnsi="宋体" w:cs="宋体" w:eastAsia="宋体" w:hint="default"/>
                <w:spacing w:val="-55"/>
                <w:sz w:val="18"/>
                <w:szCs w:val="18"/>
              </w:rPr>
              <w:t> </w:t>
            </w: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7"/>
                <w:sz w:val="18"/>
                <w:szCs w:val="18"/>
              </w:rPr>
              <w:t>投资基金（有</w:t>
            </w:r>
            <w:r>
              <w:rPr>
                <w:rFonts w:ascii="宋体" w:hAnsi="宋体" w:cs="宋体" w:eastAsia="宋体" w:hint="default"/>
                <w:sz w:val="18"/>
                <w:szCs w:val="18"/>
              </w:rPr>
              <w:t> 限合伙）</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14,000,000.00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6,000,000.00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19,800,000.00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319,985.8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82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7"/>
                <w:sz w:val="18"/>
                <w:szCs w:val="18"/>
              </w:rPr>
              <w:t> </w:t>
            </w:r>
            <w:r>
              <w:rPr>
                <w:rFonts w:ascii="宋体" w:hAnsi="宋体" w:cs="宋体" w:eastAsia="宋体" w:hint="default"/>
                <w:sz w:val="18"/>
                <w:szCs w:val="18"/>
              </w:rPr>
              <w:t>关</w:t>
            </w:r>
            <w:r>
              <w:rPr>
                <w:rFonts w:ascii="宋体" w:hAnsi="宋体" w:cs="宋体" w:eastAsia="宋体" w:hint="default"/>
                <w:spacing w:val="-55"/>
                <w:sz w:val="18"/>
                <w:szCs w:val="18"/>
              </w:rPr>
              <w:t> </w:t>
            </w:r>
            <w:r>
              <w:rPr>
                <w:rFonts w:ascii="宋体" w:hAnsi="宋体" w:cs="宋体" w:eastAsia="宋体" w:hint="default"/>
                <w:sz w:val="18"/>
                <w:szCs w:val="18"/>
              </w:rPr>
              <w:t>村</w:t>
            </w:r>
            <w:r>
              <w:rPr>
                <w:rFonts w:ascii="宋体" w:hAnsi="宋体" w:cs="宋体" w:eastAsia="宋体" w:hint="default"/>
                <w:sz w:val="18"/>
                <w:szCs w:val="18"/>
              </w:rPr>
              <w:t> 并购母基金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1.22%</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097"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101"/>
              <w:ind w:left="24" w:right="8"/>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控</w:t>
            </w:r>
            <w:r>
              <w:rPr>
                <w:rFonts w:ascii="宋体" w:hAnsi="宋体" w:cs="宋体" w:eastAsia="宋体" w:hint="default"/>
                <w:spacing w:val="-55"/>
                <w:sz w:val="18"/>
                <w:szCs w:val="18"/>
              </w:rPr>
              <w:t> </w:t>
            </w:r>
            <w:r>
              <w:rPr>
                <w:rFonts w:ascii="宋体" w:hAnsi="宋体" w:cs="宋体" w:eastAsia="宋体" w:hint="default"/>
                <w:sz w:val="18"/>
                <w:szCs w:val="18"/>
              </w:rPr>
              <w:t>产</w:t>
            </w:r>
            <w:r>
              <w:rPr>
                <w:rFonts w:ascii="宋体" w:hAnsi="宋体" w:cs="宋体" w:eastAsia="宋体" w:hint="default"/>
                <w:sz w:val="18"/>
                <w:szCs w:val="18"/>
              </w:rPr>
              <w:t> 业</w:t>
            </w:r>
            <w:r>
              <w:rPr>
                <w:rFonts w:ascii="宋体" w:hAnsi="宋体" w:cs="宋体" w:eastAsia="宋体" w:hint="default"/>
                <w:spacing w:val="-55"/>
                <w:sz w:val="18"/>
                <w:szCs w:val="18"/>
              </w:rPr>
              <w:t> </w:t>
            </w:r>
            <w:r>
              <w:rPr>
                <w:rFonts w:ascii="宋体" w:hAnsi="宋体" w:cs="宋体" w:eastAsia="宋体" w:hint="default"/>
                <w:sz w:val="18"/>
                <w:szCs w:val="18"/>
              </w:rPr>
              <w:t>投</w:t>
            </w:r>
            <w:r>
              <w:rPr>
                <w:rFonts w:ascii="宋体" w:hAnsi="宋体" w:cs="宋体" w:eastAsia="宋体" w:hint="default"/>
                <w:spacing w:val="-55"/>
                <w:sz w:val="18"/>
                <w:szCs w:val="18"/>
              </w:rPr>
              <w:t> </w:t>
            </w:r>
            <w:r>
              <w:rPr>
                <w:rFonts w:ascii="宋体" w:hAnsi="宋体" w:cs="宋体" w:eastAsia="宋体" w:hint="default"/>
                <w:sz w:val="18"/>
                <w:szCs w:val="18"/>
              </w:rPr>
              <w:t>资</w:t>
            </w:r>
            <w:r>
              <w:rPr>
                <w:rFonts w:ascii="宋体" w:hAnsi="宋体" w:cs="宋体" w:eastAsia="宋体" w:hint="default"/>
                <w:spacing w:val="-57"/>
                <w:sz w:val="18"/>
                <w:szCs w:val="18"/>
              </w:rPr>
              <w:t> </w:t>
            </w:r>
            <w:r>
              <w:rPr>
                <w:rFonts w:ascii="宋体" w:hAnsi="宋体" w:cs="宋体" w:eastAsia="宋体" w:hint="default"/>
                <w:sz w:val="18"/>
                <w:szCs w:val="18"/>
              </w:rPr>
              <w:t>基</w:t>
            </w:r>
            <w:r>
              <w:rPr>
                <w:rFonts w:ascii="宋体" w:hAnsi="宋体" w:cs="宋体" w:eastAsia="宋体" w:hint="default"/>
                <w:spacing w:val="-55"/>
                <w:sz w:val="18"/>
                <w:szCs w:val="18"/>
              </w:rPr>
              <w:t> </w:t>
            </w:r>
            <w:r>
              <w:rPr>
                <w:rFonts w:ascii="宋体" w:hAnsi="宋体" w:cs="宋体" w:eastAsia="宋体" w:hint="default"/>
                <w:sz w:val="18"/>
                <w:szCs w:val="18"/>
              </w:rPr>
              <w:t>金</w:t>
            </w:r>
          </w:p>
          <w:p>
            <w:pPr>
              <w:pStyle w:val="TableParagraph"/>
              <w:spacing w:line="240" w:lineRule="auto" w:before="20"/>
              <w:ind w:left="24" w:right="-29"/>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59" w:type="dxa"/>
            <w:tcBorders>
              <w:top w:val="single" w:sz="4" w:space="0" w:color="000000"/>
              <w:left w:val="single" w:sz="13" w:space="0" w:color="FFFFFF"/>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3.33%</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蓝</w:t>
            </w:r>
            <w:r>
              <w:rPr>
                <w:rFonts w:ascii="宋体" w:hAnsi="宋体" w:cs="宋体" w:eastAsia="宋体" w:hint="default"/>
                <w:spacing w:val="-57"/>
                <w:sz w:val="18"/>
                <w:szCs w:val="18"/>
              </w:rPr>
              <w:t> </w:t>
            </w:r>
            <w:r>
              <w:rPr>
                <w:rFonts w:ascii="宋体" w:hAnsi="宋体" w:cs="宋体" w:eastAsia="宋体" w:hint="default"/>
                <w:sz w:val="18"/>
                <w:szCs w:val="18"/>
              </w:rPr>
              <w:t>鲸</w:t>
            </w:r>
            <w:r>
              <w:rPr>
                <w:rFonts w:ascii="宋体" w:hAnsi="宋体" w:cs="宋体" w:eastAsia="宋体" w:hint="default"/>
                <w:spacing w:val="-54"/>
                <w:sz w:val="18"/>
                <w:szCs w:val="18"/>
              </w:rPr>
              <w:t> </w:t>
            </w:r>
            <w:r>
              <w:rPr>
                <w:rFonts w:ascii="宋体" w:hAnsi="宋体" w:cs="宋体" w:eastAsia="宋体" w:hint="default"/>
                <w:sz w:val="18"/>
                <w:szCs w:val="18"/>
              </w:rPr>
              <w:t>众</w:t>
            </w:r>
            <w:r>
              <w:rPr>
                <w:rFonts w:ascii="宋体" w:hAnsi="宋体" w:cs="宋体" w:eastAsia="宋体" w:hint="default"/>
                <w:sz w:val="18"/>
                <w:szCs w:val="18"/>
              </w:rPr>
              <w:t> 合</w:t>
            </w:r>
            <w:r>
              <w:rPr>
                <w:rFonts w:ascii="宋体" w:hAnsi="宋体" w:cs="宋体" w:eastAsia="宋体" w:hint="default"/>
                <w:spacing w:val="-54"/>
                <w:sz w:val="18"/>
                <w:szCs w:val="18"/>
              </w:rPr>
              <w:t> </w:t>
            </w:r>
            <w:r>
              <w:rPr>
                <w:rFonts w:ascii="宋体" w:hAnsi="宋体" w:cs="宋体" w:eastAsia="宋体" w:hint="default"/>
                <w:sz w:val="18"/>
                <w:szCs w:val="18"/>
              </w:rPr>
              <w:t>投</w:t>
            </w:r>
            <w:r>
              <w:rPr>
                <w:rFonts w:ascii="宋体" w:hAnsi="宋体" w:cs="宋体" w:eastAsia="宋体" w:hint="default"/>
                <w:spacing w:val="-55"/>
                <w:sz w:val="18"/>
                <w:szCs w:val="18"/>
              </w:rPr>
              <w:t> </w:t>
            </w:r>
            <w:r>
              <w:rPr>
                <w:rFonts w:ascii="宋体" w:hAnsi="宋体" w:cs="宋体" w:eastAsia="宋体" w:hint="default"/>
                <w:sz w:val="18"/>
                <w:szCs w:val="18"/>
              </w:rPr>
              <w:t>资</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55"/>
                <w:sz w:val="18"/>
                <w:szCs w:val="18"/>
              </w:rPr>
              <w:t> </w:t>
            </w:r>
            <w:r>
              <w:rPr>
                <w:rFonts w:ascii="宋体" w:hAnsi="宋体" w:cs="宋体" w:eastAsia="宋体" w:hint="default"/>
                <w:sz w:val="18"/>
                <w:szCs w:val="18"/>
              </w:rPr>
              <w:t>理</w:t>
            </w:r>
            <w:r>
              <w:rPr>
                <w:rFonts w:ascii="宋体" w:hAnsi="宋体" w:cs="宋体" w:eastAsia="宋体" w:hint="default"/>
                <w:sz w:val="18"/>
                <w:szCs w:val="18"/>
              </w:rPr>
              <w:t> 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1,744,099.00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1,744,099.00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旋</w:t>
            </w:r>
            <w:r>
              <w:rPr>
                <w:rFonts w:ascii="宋体" w:hAnsi="宋体" w:cs="宋体" w:eastAsia="宋体" w:hint="default"/>
                <w:spacing w:val="-57"/>
                <w:sz w:val="18"/>
                <w:szCs w:val="18"/>
              </w:rPr>
              <w:t> </w:t>
            </w:r>
            <w:r>
              <w:rPr>
                <w:rFonts w:ascii="宋体" w:hAnsi="宋体" w:cs="宋体" w:eastAsia="宋体" w:hint="default"/>
                <w:sz w:val="18"/>
                <w:szCs w:val="18"/>
              </w:rPr>
              <w:t>极</w:t>
            </w:r>
            <w:r>
              <w:rPr>
                <w:rFonts w:ascii="宋体" w:hAnsi="宋体" w:cs="宋体" w:eastAsia="宋体" w:hint="default"/>
                <w:spacing w:val="-55"/>
                <w:sz w:val="18"/>
                <w:szCs w:val="18"/>
              </w:rPr>
              <w:t> </w:t>
            </w:r>
            <w:r>
              <w:rPr>
                <w:rFonts w:ascii="宋体" w:hAnsi="宋体" w:cs="宋体" w:eastAsia="宋体" w:hint="default"/>
                <w:sz w:val="18"/>
                <w:szCs w:val="18"/>
              </w:rPr>
              <w:t>星</w:t>
            </w:r>
            <w:r>
              <w:rPr>
                <w:rFonts w:ascii="宋体" w:hAnsi="宋体" w:cs="宋体" w:eastAsia="宋体" w:hint="default"/>
                <w:sz w:val="18"/>
                <w:szCs w:val="18"/>
              </w:rPr>
              <w:t> 源</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097"/>
        <w:gridCol w:w="1159"/>
        <w:gridCol w:w="1157"/>
        <w:gridCol w:w="1070"/>
        <w:gridCol w:w="1157"/>
        <w:gridCol w:w="1070"/>
        <w:gridCol w:w="233"/>
        <w:gridCol w:w="233"/>
        <w:gridCol w:w="1069"/>
        <w:gridCol w:w="600"/>
        <w:gridCol w:w="852"/>
      </w:tblGrid>
      <w:tr>
        <w:trPr>
          <w:trHeight w:val="50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中关村银行</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82,000,000.00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82,000,000.00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2.05%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拉</w:t>
            </w:r>
            <w:r>
              <w:rPr>
                <w:rFonts w:ascii="宋体" w:hAnsi="宋体" w:cs="宋体" w:eastAsia="宋体" w:hint="default"/>
                <w:spacing w:val="-55"/>
                <w:sz w:val="18"/>
                <w:szCs w:val="18"/>
              </w:rPr>
              <w:t> </w:t>
            </w:r>
            <w:r>
              <w:rPr>
                <w:rFonts w:ascii="宋体" w:hAnsi="宋体" w:cs="宋体" w:eastAsia="宋体" w:hint="default"/>
                <w:sz w:val="18"/>
                <w:szCs w:val="18"/>
              </w:rPr>
              <w:t>卡</w:t>
            </w:r>
            <w:r>
              <w:rPr>
                <w:rFonts w:ascii="宋体" w:hAnsi="宋体" w:cs="宋体" w:eastAsia="宋体" w:hint="default"/>
                <w:spacing w:val="-55"/>
                <w:sz w:val="18"/>
                <w:szCs w:val="18"/>
              </w:rPr>
              <w:t> </w:t>
            </w:r>
            <w:r>
              <w:rPr>
                <w:rFonts w:ascii="宋体" w:hAnsi="宋体" w:cs="宋体" w:eastAsia="宋体" w:hint="default"/>
                <w:sz w:val="18"/>
                <w:szCs w:val="18"/>
              </w:rPr>
              <w:t>拉</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北</w:t>
            </w:r>
            <w:r>
              <w:rPr>
                <w:rFonts w:ascii="宋体" w:hAnsi="宋体" w:cs="宋体" w:eastAsia="宋体" w:hint="default"/>
                <w:sz w:val="18"/>
                <w:szCs w:val="18"/>
              </w:rPr>
              <w:t> </w:t>
            </w:r>
            <w:r>
              <w:rPr>
                <w:rFonts w:ascii="宋体" w:hAnsi="宋体" w:cs="宋体" w:eastAsia="宋体" w:hint="default"/>
                <w:spacing w:val="-7"/>
                <w:sz w:val="18"/>
                <w:szCs w:val="18"/>
              </w:rPr>
              <w:t>京）信用管理</w:t>
            </w:r>
            <w:r>
              <w:rPr>
                <w:rFonts w:ascii="宋体" w:hAnsi="宋体" w:cs="宋体" w:eastAsia="宋体" w:hint="default"/>
                <w:sz w:val="18"/>
                <w:szCs w:val="18"/>
              </w:rPr>
              <w:t> 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7"/>
                <w:sz w:val="18"/>
                <w:szCs w:val="18"/>
              </w:rPr>
              <w:t> </w:t>
            </w:r>
            <w:r>
              <w:rPr>
                <w:rFonts w:ascii="宋体" w:hAnsi="宋体" w:cs="宋体" w:eastAsia="宋体" w:hint="default"/>
                <w:sz w:val="18"/>
                <w:szCs w:val="18"/>
              </w:rPr>
              <w:t>航</w:t>
            </w:r>
            <w:r>
              <w:rPr>
                <w:rFonts w:ascii="宋体" w:hAnsi="宋体" w:cs="宋体" w:eastAsia="宋体" w:hint="default"/>
                <w:spacing w:val="-55"/>
                <w:sz w:val="18"/>
                <w:szCs w:val="18"/>
              </w:rPr>
              <w:t> </w:t>
            </w:r>
            <w:r>
              <w:rPr>
                <w:rFonts w:ascii="宋体" w:hAnsi="宋体" w:cs="宋体" w:eastAsia="宋体" w:hint="default"/>
                <w:sz w:val="18"/>
                <w:szCs w:val="18"/>
              </w:rPr>
              <w:t>特</w:t>
            </w:r>
            <w:r>
              <w:rPr>
                <w:rFonts w:ascii="宋体" w:hAnsi="宋体" w:cs="宋体" w:eastAsia="宋体" w:hint="default"/>
                <w:sz w:val="18"/>
                <w:szCs w:val="18"/>
              </w:rPr>
              <w:t> 装</w:t>
            </w:r>
            <w:r>
              <w:rPr>
                <w:rFonts w:ascii="宋体" w:hAnsi="宋体" w:cs="宋体" w:eastAsia="宋体" w:hint="default"/>
                <w:spacing w:val="-55"/>
                <w:sz w:val="18"/>
                <w:szCs w:val="18"/>
              </w:rPr>
              <w:t> </w:t>
            </w:r>
            <w:r>
              <w:rPr>
                <w:rFonts w:ascii="宋体" w:hAnsi="宋体" w:cs="宋体" w:eastAsia="宋体" w:hint="default"/>
                <w:sz w:val="18"/>
                <w:szCs w:val="18"/>
              </w:rPr>
              <w:t>装</w:t>
            </w:r>
            <w:r>
              <w:rPr>
                <w:rFonts w:ascii="宋体" w:hAnsi="宋体" w:cs="宋体" w:eastAsia="宋体" w:hint="default"/>
                <w:spacing w:val="-55"/>
                <w:sz w:val="18"/>
                <w:szCs w:val="18"/>
              </w:rPr>
              <w:t> </w:t>
            </w:r>
            <w:r>
              <w:rPr>
                <w:rFonts w:ascii="宋体" w:hAnsi="宋体" w:cs="宋体" w:eastAsia="宋体" w:hint="default"/>
                <w:sz w:val="18"/>
                <w:szCs w:val="18"/>
              </w:rPr>
              <w:t>备</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79,824,600.00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79,824,600.0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44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55"/>
                <w:sz w:val="18"/>
                <w:szCs w:val="18"/>
              </w:rPr>
              <w:t> </w:t>
            </w:r>
            <w:r>
              <w:rPr>
                <w:rFonts w:ascii="宋体" w:hAnsi="宋体" w:cs="宋体" w:eastAsia="宋体" w:hint="default"/>
                <w:sz w:val="18"/>
                <w:szCs w:val="18"/>
              </w:rPr>
              <w:t>门</w:t>
            </w:r>
            <w:r>
              <w:rPr>
                <w:rFonts w:ascii="宋体" w:hAnsi="宋体" w:cs="宋体" w:eastAsia="宋体" w:hint="default"/>
                <w:spacing w:val="-55"/>
                <w:sz w:val="18"/>
                <w:szCs w:val="18"/>
              </w:rPr>
              <w:t> </w:t>
            </w:r>
            <w:r>
              <w:rPr>
                <w:rFonts w:ascii="宋体" w:hAnsi="宋体" w:cs="宋体" w:eastAsia="宋体" w:hint="default"/>
                <w:sz w:val="18"/>
                <w:szCs w:val="18"/>
              </w:rPr>
              <w:t>蓝</w:t>
            </w:r>
            <w:r>
              <w:rPr>
                <w:rFonts w:ascii="宋体" w:hAnsi="宋体" w:cs="宋体" w:eastAsia="宋体" w:hint="default"/>
                <w:spacing w:val="-57"/>
                <w:sz w:val="18"/>
                <w:szCs w:val="18"/>
              </w:rPr>
              <w:t> </w:t>
            </w:r>
            <w:r>
              <w:rPr>
                <w:rFonts w:ascii="宋体" w:hAnsi="宋体" w:cs="宋体" w:eastAsia="宋体" w:hint="default"/>
                <w:sz w:val="18"/>
                <w:szCs w:val="18"/>
              </w:rPr>
              <w:t>图</w:t>
            </w:r>
            <w:r>
              <w:rPr>
                <w:rFonts w:ascii="宋体" w:hAnsi="宋体" w:cs="宋体" w:eastAsia="宋体" w:hint="default"/>
                <w:spacing w:val="-55"/>
                <w:sz w:val="18"/>
                <w:szCs w:val="18"/>
              </w:rPr>
              <w:t> </w:t>
            </w:r>
            <w:r>
              <w:rPr>
                <w:rFonts w:ascii="宋体" w:hAnsi="宋体" w:cs="宋体" w:eastAsia="宋体" w:hint="default"/>
                <w:sz w:val="18"/>
                <w:szCs w:val="18"/>
              </w:rPr>
              <w:t>清</w:t>
            </w:r>
            <w:r>
              <w:rPr>
                <w:rFonts w:ascii="宋体" w:hAnsi="宋体" w:cs="宋体" w:eastAsia="宋体" w:hint="default"/>
                <w:sz w:val="18"/>
                <w:szCs w:val="18"/>
              </w:rPr>
              <w:t> 创</w:t>
            </w:r>
            <w:r>
              <w:rPr>
                <w:rFonts w:ascii="宋体" w:hAnsi="宋体" w:cs="宋体" w:eastAsia="宋体" w:hint="default"/>
                <w:spacing w:val="-55"/>
                <w:sz w:val="18"/>
                <w:szCs w:val="18"/>
              </w:rPr>
              <w:t> </w:t>
            </w:r>
            <w:r>
              <w:rPr>
                <w:rFonts w:ascii="宋体" w:hAnsi="宋体" w:cs="宋体" w:eastAsia="宋体" w:hint="default"/>
                <w:sz w:val="18"/>
                <w:szCs w:val="18"/>
              </w:rPr>
              <w:t>投</w:t>
            </w:r>
            <w:r>
              <w:rPr>
                <w:rFonts w:ascii="宋体" w:hAnsi="宋体" w:cs="宋体" w:eastAsia="宋体" w:hint="default"/>
                <w:spacing w:val="-55"/>
                <w:sz w:val="18"/>
                <w:szCs w:val="18"/>
              </w:rPr>
              <w:t> </w:t>
            </w:r>
            <w:r>
              <w:rPr>
                <w:rFonts w:ascii="宋体" w:hAnsi="宋体" w:cs="宋体" w:eastAsia="宋体" w:hint="default"/>
                <w:sz w:val="18"/>
                <w:szCs w:val="18"/>
              </w:rPr>
              <w:t>资</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55"/>
                <w:sz w:val="18"/>
                <w:szCs w:val="18"/>
              </w:rPr>
              <w:t> </w:t>
            </w:r>
            <w:r>
              <w:rPr>
                <w:rFonts w:ascii="宋体" w:hAnsi="宋体" w:cs="宋体" w:eastAsia="宋体" w:hint="default"/>
                <w:sz w:val="18"/>
                <w:szCs w:val="18"/>
              </w:rPr>
              <w:t>理</w:t>
            </w:r>
            <w:r>
              <w:rPr>
                <w:rFonts w:ascii="宋体" w:hAnsi="宋体" w:cs="宋体" w:eastAsia="宋体" w:hint="default"/>
                <w:sz w:val="18"/>
                <w:szCs w:val="18"/>
              </w:rPr>
              <w:t> </w:t>
            </w:r>
            <w:r>
              <w:rPr>
                <w:rFonts w:ascii="宋体" w:hAnsi="宋体" w:cs="宋体" w:eastAsia="宋体" w:hint="default"/>
                <w:spacing w:val="-7"/>
                <w:sz w:val="18"/>
                <w:szCs w:val="18"/>
              </w:rPr>
              <w:t>合伙企业（有</w:t>
            </w:r>
            <w:r>
              <w:rPr>
                <w:rFonts w:ascii="宋体" w:hAnsi="宋体" w:cs="宋体" w:eastAsia="宋体" w:hint="default"/>
                <w:sz w:val="18"/>
                <w:szCs w:val="18"/>
              </w:rPr>
              <w:t> 限合伙）</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15,000,000.00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15,000,000.00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44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0"/>
              <w:jc w:val="both"/>
              <w:rPr>
                <w:rFonts w:ascii="宋体" w:hAnsi="宋体" w:cs="宋体" w:eastAsia="宋体" w:hint="default"/>
                <w:sz w:val="18"/>
                <w:szCs w:val="18"/>
              </w:rPr>
            </w:pPr>
            <w:r>
              <w:rPr>
                <w:rFonts w:ascii="宋体" w:hAnsi="宋体" w:cs="宋体" w:eastAsia="宋体" w:hint="default"/>
                <w:sz w:val="18"/>
                <w:szCs w:val="18"/>
              </w:rPr>
              <w:t>湘</w:t>
            </w:r>
            <w:r>
              <w:rPr>
                <w:rFonts w:ascii="宋体" w:hAnsi="宋体" w:cs="宋体" w:eastAsia="宋体" w:hint="default"/>
                <w:spacing w:val="-55"/>
                <w:sz w:val="18"/>
                <w:szCs w:val="18"/>
              </w:rPr>
              <w:t> </w:t>
            </w:r>
            <w:r>
              <w:rPr>
                <w:rFonts w:ascii="宋体" w:hAnsi="宋体" w:cs="宋体" w:eastAsia="宋体" w:hint="default"/>
                <w:sz w:val="18"/>
                <w:szCs w:val="18"/>
              </w:rPr>
              <w:t>潭</w:t>
            </w:r>
            <w:r>
              <w:rPr>
                <w:rFonts w:ascii="宋体" w:hAnsi="宋体" w:cs="宋体" w:eastAsia="宋体" w:hint="default"/>
                <w:spacing w:val="-55"/>
                <w:sz w:val="18"/>
                <w:szCs w:val="18"/>
              </w:rPr>
              <w:t> </w:t>
            </w:r>
            <w:r>
              <w:rPr>
                <w:rFonts w:ascii="宋体" w:hAnsi="宋体" w:cs="宋体" w:eastAsia="宋体" w:hint="default"/>
                <w:sz w:val="18"/>
                <w:szCs w:val="18"/>
              </w:rPr>
              <w:t>创</w:t>
            </w:r>
            <w:r>
              <w:rPr>
                <w:rFonts w:ascii="宋体" w:hAnsi="宋体" w:cs="宋体" w:eastAsia="宋体" w:hint="default"/>
                <w:spacing w:val="-57"/>
                <w:sz w:val="18"/>
                <w:szCs w:val="18"/>
              </w:rPr>
              <w:t> </w:t>
            </w:r>
            <w:r>
              <w:rPr>
                <w:rFonts w:ascii="宋体" w:hAnsi="宋体" w:cs="宋体" w:eastAsia="宋体" w:hint="default"/>
                <w:sz w:val="18"/>
                <w:szCs w:val="18"/>
              </w:rPr>
              <w:t>新</w:t>
            </w:r>
            <w:r>
              <w:rPr>
                <w:rFonts w:ascii="宋体" w:hAnsi="宋体" w:cs="宋体" w:eastAsia="宋体" w:hint="default"/>
                <w:spacing w:val="-55"/>
                <w:sz w:val="18"/>
                <w:szCs w:val="18"/>
              </w:rPr>
              <w:t> </w:t>
            </w:r>
            <w:r>
              <w:rPr>
                <w:rFonts w:ascii="宋体" w:hAnsi="宋体" w:cs="宋体" w:eastAsia="宋体" w:hint="default"/>
                <w:sz w:val="18"/>
                <w:szCs w:val="18"/>
              </w:rPr>
              <w:t>智</w:t>
            </w:r>
            <w:r>
              <w:rPr>
                <w:rFonts w:ascii="宋体" w:hAnsi="宋体" w:cs="宋体" w:eastAsia="宋体" w:hint="default"/>
                <w:sz w:val="18"/>
                <w:szCs w:val="18"/>
              </w:rPr>
              <w:t> 慧</w:t>
            </w:r>
            <w:r>
              <w:rPr>
                <w:rFonts w:ascii="宋体" w:hAnsi="宋体" w:cs="宋体" w:eastAsia="宋体" w:hint="default"/>
                <w:spacing w:val="-55"/>
                <w:sz w:val="18"/>
                <w:szCs w:val="18"/>
              </w:rPr>
              <w:t> </w:t>
            </w:r>
            <w:r>
              <w:rPr>
                <w:rFonts w:ascii="宋体" w:hAnsi="宋体" w:cs="宋体" w:eastAsia="宋体" w:hint="default"/>
                <w:sz w:val="18"/>
                <w:szCs w:val="18"/>
              </w:rPr>
              <w:t>私</w:t>
            </w:r>
            <w:r>
              <w:rPr>
                <w:rFonts w:ascii="宋体" w:hAnsi="宋体" w:cs="宋体" w:eastAsia="宋体" w:hint="default"/>
                <w:spacing w:val="-55"/>
                <w:sz w:val="18"/>
                <w:szCs w:val="18"/>
              </w:rPr>
              <w:t> </w:t>
            </w:r>
            <w:r>
              <w:rPr>
                <w:rFonts w:ascii="宋体" w:hAnsi="宋体" w:cs="宋体" w:eastAsia="宋体" w:hint="default"/>
                <w:sz w:val="18"/>
                <w:szCs w:val="18"/>
              </w:rPr>
              <w:t>募</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pacing w:val="-55"/>
                <w:sz w:val="18"/>
                <w:szCs w:val="18"/>
              </w:rPr>
              <w:t> </w:t>
            </w:r>
            <w:r>
              <w:rPr>
                <w:rFonts w:ascii="宋体" w:hAnsi="宋体" w:cs="宋体" w:eastAsia="宋体" w:hint="default"/>
                <w:sz w:val="18"/>
                <w:szCs w:val="18"/>
              </w:rPr>
              <w:t>权</w:t>
            </w:r>
            <w:r>
              <w:rPr>
                <w:rFonts w:ascii="宋体" w:hAnsi="宋体" w:cs="宋体" w:eastAsia="宋体" w:hint="default"/>
                <w:sz w:val="18"/>
                <w:szCs w:val="18"/>
              </w:rPr>
              <w:t> </w:t>
            </w:r>
            <w:r>
              <w:rPr>
                <w:rFonts w:ascii="宋体" w:hAnsi="宋体" w:cs="宋体" w:eastAsia="宋体" w:hint="default"/>
                <w:spacing w:val="-7"/>
                <w:sz w:val="18"/>
                <w:szCs w:val="18"/>
              </w:rPr>
              <w:t>基金企业（有</w:t>
            </w:r>
            <w:r>
              <w:rPr>
                <w:rFonts w:ascii="宋体" w:hAnsi="宋体" w:cs="宋体" w:eastAsia="宋体" w:hint="default"/>
                <w:sz w:val="18"/>
                <w:szCs w:val="18"/>
              </w:rPr>
              <w:t> 限合伙）</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1,000,000.00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0.54%</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44"/>
              <w:ind w:left="24" w:right="104"/>
              <w:jc w:val="left"/>
              <w:rPr>
                <w:rFonts w:ascii="Times New Roman" w:hAnsi="Times New Roman" w:cs="Times New Roman" w:eastAsia="Times New Roman" w:hint="default"/>
                <w:sz w:val="18"/>
                <w:szCs w:val="18"/>
              </w:rPr>
            </w:pPr>
            <w:r>
              <w:rPr>
                <w:rFonts w:ascii="Times New Roman"/>
                <w:spacing w:val="-4"/>
                <w:sz w:val="18"/>
              </w:rPr>
              <w:t>WAKINGAP</w:t>
            </w:r>
            <w:r>
              <w:rPr>
                <w:rFonts w:ascii="Times New Roman"/>
                <w:spacing w:val="-39"/>
                <w:sz w:val="18"/>
              </w:rPr>
              <w:t> </w:t>
            </w:r>
            <w:r>
              <w:rPr>
                <w:rFonts w:ascii="Times New Roman"/>
                <w:spacing w:val="-39"/>
                <w:sz w:val="18"/>
              </w:rPr>
            </w:r>
            <w:r>
              <w:rPr>
                <w:rFonts w:ascii="Times New Roman"/>
                <w:sz w:val="18"/>
              </w:rPr>
              <w:t>P</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10,404,264.94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681,482.26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9,722,782.68</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7.24%</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0"/>
              <w:jc w:val="both"/>
              <w:rPr>
                <w:rFonts w:ascii="宋体" w:hAnsi="宋体" w:cs="宋体" w:eastAsia="宋体" w:hint="default"/>
                <w:sz w:val="18"/>
                <w:szCs w:val="18"/>
              </w:rPr>
            </w:pPr>
            <w:r>
              <w:rPr>
                <w:rFonts w:ascii="宋体" w:hAnsi="宋体" w:cs="宋体" w:eastAsia="宋体" w:hint="default"/>
                <w:sz w:val="18"/>
                <w:szCs w:val="18"/>
              </w:rPr>
              <w:t>陕</w:t>
            </w:r>
            <w:r>
              <w:rPr>
                <w:rFonts w:ascii="宋体" w:hAnsi="宋体" w:cs="宋体" w:eastAsia="宋体" w:hint="default"/>
                <w:spacing w:val="-55"/>
                <w:sz w:val="18"/>
                <w:szCs w:val="18"/>
              </w:rPr>
              <w:t> </w:t>
            </w:r>
            <w:r>
              <w:rPr>
                <w:rFonts w:ascii="宋体" w:hAnsi="宋体" w:cs="宋体" w:eastAsia="宋体" w:hint="default"/>
                <w:sz w:val="18"/>
                <w:szCs w:val="18"/>
              </w:rPr>
              <w:t>西</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博</w:t>
            </w:r>
            <w:r>
              <w:rPr>
                <w:rFonts w:ascii="宋体" w:hAnsi="宋体" w:cs="宋体" w:eastAsia="宋体" w:hint="default"/>
                <w:sz w:val="18"/>
                <w:szCs w:val="18"/>
              </w:rPr>
              <w:t> 亿</w:t>
            </w:r>
            <w:r>
              <w:rPr>
                <w:rFonts w:ascii="宋体" w:hAnsi="宋体" w:cs="宋体" w:eastAsia="宋体" w:hint="default"/>
                <w:spacing w:val="-55"/>
                <w:sz w:val="18"/>
                <w:szCs w:val="18"/>
              </w:rPr>
              <w:t> </w:t>
            </w:r>
            <w:r>
              <w:rPr>
                <w:rFonts w:ascii="宋体" w:hAnsi="宋体" w:cs="宋体" w:eastAsia="宋体" w:hint="default"/>
                <w:sz w:val="18"/>
                <w:szCs w:val="18"/>
              </w:rPr>
              <w:t>电</w:t>
            </w:r>
            <w:r>
              <w:rPr>
                <w:rFonts w:ascii="宋体" w:hAnsi="宋体" w:cs="宋体" w:eastAsia="宋体" w:hint="default"/>
                <w:spacing w:val="-55"/>
                <w:sz w:val="18"/>
                <w:szCs w:val="18"/>
              </w:rPr>
              <w:t> </w:t>
            </w:r>
            <w:r>
              <w:rPr>
                <w:rFonts w:ascii="宋体" w:hAnsi="宋体" w:cs="宋体" w:eastAsia="宋体" w:hint="default"/>
                <w:sz w:val="18"/>
                <w:szCs w:val="18"/>
              </w:rPr>
              <w:t>子</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0.50%</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151,372,963.9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136,000,000.0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82,450,181.2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204,922,782.6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233"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319,985.8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4</w:t>
      </w:r>
      <w:r>
        <w:rPr/>
        <w:t>）报告期内可供出售金融资产减值的变动情况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509" w:hRule="exact"/>
        </w:trPr>
        <w:tc>
          <w:tcPr>
            <w:tcW w:w="2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0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8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8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6"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509"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12"/>
        <w:rPr>
          <w:rFonts w:ascii="宋体" w:hAnsi="宋体" w:cs="宋体" w:eastAsia="宋体" w:hint="default"/>
          <w:sz w:val="12"/>
          <w:szCs w:val="12"/>
        </w:rPr>
      </w:pPr>
    </w:p>
    <w:p>
      <w:pPr>
        <w:pStyle w:val="Heading3"/>
        <w:spacing w:line="240" w:lineRule="auto" w:before="26"/>
        <w:ind w:left="0" w:right="152"/>
        <w:jc w:val="right"/>
      </w:pPr>
      <w:r>
        <w:rPr>
          <w:spacing w:val="-2"/>
          <w:w w:val="95"/>
        </w:rPr>
        <w:t>（</w:t>
      </w:r>
      <w:r>
        <w:rPr>
          <w:rFonts w:ascii="Times New Roman" w:hAnsi="Times New Roman" w:cs="Times New Roman" w:eastAsia="Times New Roman" w:hint="default"/>
          <w:spacing w:val="-2"/>
          <w:w w:val="95"/>
        </w:rPr>
        <w:t>5</w:t>
      </w:r>
      <w:r>
        <w:rPr>
          <w:spacing w:val="-2"/>
          <w:w w:val="95"/>
        </w:rPr>
        <w:t>）可供出售权益工具期末公允价值严重下跌或非暂时性下跌但未计提减值准备的相关说明</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81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8"/>
              <w:jc w:val="left"/>
              <w:rPr>
                <w:rFonts w:ascii="宋体" w:hAnsi="宋体" w:cs="宋体" w:eastAsia="宋体" w:hint="default"/>
                <w:sz w:val="18"/>
                <w:szCs w:val="18"/>
              </w:rPr>
            </w:pPr>
            <w:r>
              <w:rPr>
                <w:rFonts w:ascii="宋体" w:hAnsi="宋体" w:cs="宋体" w:eastAsia="宋体" w:hint="default"/>
                <w:spacing w:val="7"/>
                <w:sz w:val="18"/>
                <w:szCs w:val="18"/>
              </w:rPr>
              <w:t>可供出售权益工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7"/>
                <w:sz w:val="18"/>
                <w:szCs w:val="18"/>
              </w:rPr>
              <w:t>公允价值相对于</w:t>
            </w:r>
            <w:r>
              <w:rPr>
                <w:rFonts w:ascii="宋体" w:hAnsi="宋体" w:cs="宋体" w:eastAsia="宋体" w:hint="default"/>
                <w:sz w:val="18"/>
                <w:szCs w:val="18"/>
              </w:rPr>
              <w:t>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20"/>
              <w:jc w:val="left"/>
              <w:rPr>
                <w:rFonts w:ascii="宋体" w:hAnsi="宋体" w:cs="宋体" w:eastAsia="宋体" w:hint="default"/>
                <w:sz w:val="18"/>
                <w:szCs w:val="18"/>
              </w:rPr>
            </w:pPr>
            <w:r>
              <w:rPr>
                <w:rFonts w:ascii="宋体" w:hAnsi="宋体" w:cs="宋体" w:eastAsia="宋体" w:hint="default"/>
                <w:spacing w:val="37"/>
                <w:sz w:val="18"/>
                <w:szCs w:val="18"/>
              </w:rPr>
              <w:t>持续下跌时间</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15</w:t>
      </w:r>
      <w:r>
        <w:rPr/>
        <w:t>、持有至到期投资</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）持有至到期投资情况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509"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）期末重要的持有至到期投资</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4"/>
        <w:gridCol w:w="1914"/>
      </w:tblGrid>
      <w:tr>
        <w:trPr>
          <w:trHeight w:val="509"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）本期重分类的持有至到期投资</w:t>
      </w:r>
    </w:p>
    <w:p>
      <w:pPr>
        <w:spacing w:line="240" w:lineRule="auto" w:before="3"/>
        <w:rPr>
          <w:rFonts w:ascii="黑体" w:hAnsi="黑体" w:cs="黑体" w:eastAsia="黑体" w:hint="default"/>
          <w:sz w:val="24"/>
          <w:szCs w:val="24"/>
        </w:rPr>
      </w:pPr>
    </w:p>
    <w:p>
      <w:pPr>
        <w:pStyle w:val="BodyText"/>
        <w:spacing w:line="240" w:lineRule="auto"/>
        <w:ind w:left="555" w:right="8510"/>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16</w:t>
      </w:r>
      <w:r>
        <w:rPr/>
        <w:t>、长期应收款</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）长期应收款情况</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509"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508"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宋体" w:hAnsi="宋体" w:cs="宋体" w:eastAsia="宋体" w:hint="default"/>
          <w:sz w:val="13"/>
          <w:szCs w:val="13"/>
        </w:rPr>
      </w:pPr>
    </w:p>
    <w:p>
      <w:pPr>
        <w:pStyle w:val="Heading3"/>
        <w:spacing w:line="240" w:lineRule="auto" w:before="26"/>
        <w:ind w:right="11"/>
        <w:jc w:val="left"/>
      </w:pPr>
      <w:r>
        <w:rPr/>
        <w:t>（</w:t>
      </w:r>
      <w:r>
        <w:rPr>
          <w:rFonts w:ascii="Times New Roman" w:hAnsi="Times New Roman" w:cs="Times New Roman" w:eastAsia="Times New Roman" w:hint="default"/>
        </w:rPr>
        <w:t>2</w:t>
      </w:r>
      <w:r>
        <w:rPr/>
        <w:t>）因金融资产转移而终止确认的长期应收款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3</w:t>
      </w:r>
      <w:r>
        <w:rPr/>
        <w:t>）转移长期应收款且继续涉入形成的资产、负债金额</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其他说明</w:t>
      </w:r>
    </w:p>
    <w:p>
      <w:pPr>
        <w:spacing w:after="0" w:line="240"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before="26"/>
        <w:ind w:left="140" w:right="8264"/>
        <w:jc w:val="left"/>
      </w:pPr>
      <w:r>
        <w:rPr>
          <w:rFonts w:ascii="Times New Roman" w:hAnsi="Times New Roman" w:cs="Times New Roman" w:eastAsia="Times New Roman" w:hint="default"/>
        </w:rPr>
        <w:t>17</w:t>
      </w:r>
      <w:r>
        <w:rPr/>
        <w:t>、长期股权投资</w:t>
      </w:r>
    </w:p>
    <w:p>
      <w:pPr>
        <w:spacing w:line="240" w:lineRule="auto" w:before="4"/>
        <w:rPr>
          <w:rFonts w:ascii="黑体" w:hAnsi="黑体" w:cs="黑体" w:eastAsia="黑体" w:hint="default"/>
          <w:sz w:val="21"/>
          <w:szCs w:val="21"/>
        </w:rPr>
      </w:pPr>
    </w:p>
    <w:p>
      <w:pPr>
        <w:pStyle w:val="BodyText"/>
        <w:spacing w:line="240" w:lineRule="auto" w:before="36"/>
        <w:ind w:left="0" w:right="251"/>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592"/>
        <w:gridCol w:w="1277"/>
        <w:gridCol w:w="1133"/>
        <w:gridCol w:w="1133"/>
        <w:gridCol w:w="1135"/>
        <w:gridCol w:w="994"/>
        <w:gridCol w:w="912"/>
        <w:gridCol w:w="1166"/>
        <w:gridCol w:w="1165"/>
        <w:gridCol w:w="1171"/>
        <w:gridCol w:w="1253"/>
        <w:gridCol w:w="1088"/>
      </w:tblGrid>
      <w:tr>
        <w:trPr>
          <w:trHeight w:val="508"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81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26"/>
                <w:sz w:val="18"/>
                <w:szCs w:val="18"/>
              </w:rPr>
              <w:t>减值准备期</w:t>
            </w:r>
            <w:r>
              <w:rPr>
                <w:rFonts w:ascii="宋体" w:hAnsi="宋体" w:cs="宋体" w:eastAsia="宋体" w:hint="default"/>
                <w:spacing w:val="-57"/>
                <w:sz w:val="18"/>
                <w:szCs w:val="18"/>
              </w:rPr>
              <w:t> </w:t>
            </w:r>
            <w:r>
              <w:rPr>
                <w:rFonts w:ascii="宋体" w:hAnsi="宋体" w:cs="宋体" w:eastAsia="宋体" w:hint="default"/>
                <w:sz w:val="18"/>
                <w:szCs w:val="18"/>
              </w:rPr>
              <w:t>末余额</w:t>
            </w:r>
          </w:p>
        </w:tc>
      </w:tr>
      <w:tr>
        <w:trPr>
          <w:trHeight w:val="1132"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3"/>
              <w:ind w:left="110" w:right="11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127" w:right="38"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06"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21"/>
              <w:jc w:val="left"/>
              <w:rPr>
                <w:rFonts w:ascii="宋体" w:hAnsi="宋体" w:cs="宋体" w:eastAsia="宋体" w:hint="default"/>
                <w:sz w:val="18"/>
                <w:szCs w:val="18"/>
              </w:rPr>
            </w:pPr>
            <w:r>
              <w:rPr>
                <w:rFonts w:ascii="宋体" w:hAnsi="宋体" w:cs="宋体" w:eastAsia="宋体" w:hint="default"/>
                <w:spacing w:val="11"/>
                <w:sz w:val="18"/>
                <w:szCs w:val="18"/>
              </w:rPr>
              <w:t>上海索乐互娱科技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58,330,577.66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-3,566,509.01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54,764,068.65</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北京中科微电子技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3,797,564.31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-288,646.87</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3,508,917.44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北京唯致动力网络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21,373,416.10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-267,429.38</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21,105,986.72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北京旋极星达技术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8,960,211.32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-2,052,794.70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8,907,416.62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沈阳捷程汉荣停车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2,470,816.99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41,188.92</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2,512,005.91</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pacing w:val="11"/>
                <w:sz w:val="18"/>
                <w:szCs w:val="18"/>
              </w:rPr>
              <w:t>北京汉荣捷通技术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1,479,359.59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-1,237,925.46</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241,434.13</w:t>
            </w: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2"/>
          <w:footerReference w:type="default" r:id="rId63"/>
          <w:pgSz w:w="16840" w:h="11910" w:orient="landscape"/>
          <w:pgMar w:header="882" w:footer="1132" w:top="1100" w:bottom="1320" w:left="1300" w:right="1280"/>
          <w:pgNumType w:start="196"/>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92"/>
        <w:gridCol w:w="1277"/>
        <w:gridCol w:w="1133"/>
        <w:gridCol w:w="1133"/>
        <w:gridCol w:w="1135"/>
        <w:gridCol w:w="994"/>
        <w:gridCol w:w="912"/>
        <w:gridCol w:w="1166"/>
        <w:gridCol w:w="1165"/>
        <w:gridCol w:w="1171"/>
        <w:gridCol w:w="1253"/>
        <w:gridCol w:w="1088"/>
      </w:tblGrid>
      <w:tr>
        <w:trPr>
          <w:trHeight w:val="427" w:hRule="exact"/>
        </w:trPr>
        <w:tc>
          <w:tcPr>
            <w:tcW w:w="15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7"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912"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1171" w:type="dxa"/>
            <w:tcBorders>
              <w:top w:val="single" w:sz="10" w:space="0" w:color="000000"/>
              <w:left w:val="single" w:sz="4" w:space="0" w:color="000000"/>
              <w:bottom w:val="single" w:sz="4" w:space="0" w:color="000000"/>
              <w:right w:val="single" w:sz="4" w:space="0" w:color="000000"/>
            </w:tcBorders>
          </w:tcPr>
          <w:p>
            <w:pPr/>
          </w:p>
        </w:tc>
        <w:tc>
          <w:tcPr>
            <w:tcW w:w="1253" w:type="dxa"/>
            <w:tcBorders>
              <w:top w:val="single" w:sz="10" w:space="0" w:color="000000"/>
              <w:left w:val="single" w:sz="4" w:space="0" w:color="000000"/>
              <w:bottom w:val="single" w:sz="4" w:space="0" w:color="000000"/>
              <w:right w:val="single" w:sz="4" w:space="0" w:color="000000"/>
            </w:tcBorders>
          </w:tcPr>
          <w:p>
            <w:pPr/>
          </w:p>
        </w:tc>
        <w:tc>
          <w:tcPr>
            <w:tcW w:w="1088" w:type="dxa"/>
            <w:tcBorders>
              <w:top w:val="single" w:sz="10"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苏州市江海通讯发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展实业有限公司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68,340,154.16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69,073,902.69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733,748.53</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9"/>
              <w:jc w:val="left"/>
              <w:rPr>
                <w:rFonts w:ascii="宋体" w:hAnsi="宋体" w:cs="宋体" w:eastAsia="宋体" w:hint="default"/>
                <w:sz w:val="18"/>
                <w:szCs w:val="18"/>
              </w:rPr>
            </w:pPr>
            <w:r>
              <w:rPr>
                <w:rFonts w:ascii="宋体" w:hAnsi="宋体" w:cs="宋体" w:eastAsia="宋体" w:hint="default"/>
                <w:spacing w:val="11"/>
                <w:sz w:val="18"/>
                <w:szCs w:val="18"/>
              </w:rPr>
              <w:t>北京旋极拉卡拉信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5,434,385.37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47,655.13</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5,482,040.50</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38,545,980.89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3,644,833.43</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42,190,814.32</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北京中航通用科技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348,414.65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-348,414.65</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湖南苏科智能科技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9,867,359.35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-413,951.01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9,453,408.34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深圳市斯普瑞特通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7,497,492.47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8,000,000.00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1,738,837.06</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17,236,329.53</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北京航星中云科技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-2,289,094.51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27,710,905.49</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沈阳旋飞航空技术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上海海多投资发展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2,651,000.69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-2,632,227.56</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18,773.13</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北京蓝鲸众合投资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1,744,099.00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-179,419.40</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1,564,679.60</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北京博大网信科技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25,226,776.02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3,984,003.84</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29,210,779.86</w:t>
            </w: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92"/>
        <w:gridCol w:w="1277"/>
        <w:gridCol w:w="1133"/>
        <w:gridCol w:w="1133"/>
        <w:gridCol w:w="1135"/>
        <w:gridCol w:w="994"/>
        <w:gridCol w:w="912"/>
        <w:gridCol w:w="1166"/>
        <w:gridCol w:w="1165"/>
        <w:gridCol w:w="1171"/>
        <w:gridCol w:w="1253"/>
        <w:gridCol w:w="1088"/>
      </w:tblGrid>
      <w:tr>
        <w:trPr>
          <w:trHeight w:val="833" w:hRule="exact"/>
        </w:trPr>
        <w:tc>
          <w:tcPr>
            <w:tcW w:w="1592"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09"/>
              <w:ind w:left="23" w:right="21"/>
              <w:jc w:val="left"/>
              <w:rPr>
                <w:rFonts w:ascii="宋体" w:hAnsi="宋体" w:cs="宋体" w:eastAsia="宋体" w:hint="default"/>
                <w:sz w:val="18"/>
                <w:szCs w:val="18"/>
              </w:rPr>
            </w:pPr>
            <w:r>
              <w:rPr>
                <w:rFonts w:ascii="宋体" w:hAnsi="宋体" w:cs="宋体" w:eastAsia="宋体" w:hint="default"/>
                <w:spacing w:val="11"/>
                <w:sz w:val="18"/>
                <w:szCs w:val="18"/>
              </w:rPr>
              <w:t>湖北智慧新城产业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开发有限公司</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2,401,618.39</w:t>
            </w:r>
          </w:p>
        </w:tc>
        <w:tc>
          <w:tcPr>
            <w:tcW w:w="1133"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-364,213.95</w:t>
            </w:r>
          </w:p>
        </w:tc>
        <w:tc>
          <w:tcPr>
            <w:tcW w:w="994" w:type="dxa"/>
            <w:tcBorders>
              <w:top w:val="single" w:sz="10" w:space="0" w:color="000000"/>
              <w:left w:val="single" w:sz="4" w:space="0" w:color="000000"/>
              <w:bottom w:val="single" w:sz="4" w:space="0" w:color="000000"/>
              <w:right w:val="single" w:sz="4" w:space="0" w:color="000000"/>
            </w:tcBorders>
          </w:tcPr>
          <w:p>
            <w:pPr/>
          </w:p>
        </w:tc>
        <w:tc>
          <w:tcPr>
            <w:tcW w:w="912"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1171" w:type="dxa"/>
            <w:tcBorders>
              <w:top w:val="single" w:sz="10" w:space="0" w:color="000000"/>
              <w:left w:val="single" w:sz="4" w:space="0" w:color="000000"/>
              <w:bottom w:val="single" w:sz="4" w:space="0" w:color="000000"/>
              <w:right w:val="single" w:sz="4" w:space="0" w:color="000000"/>
            </w:tcBorders>
          </w:tcPr>
          <w:p>
            <w:pPr/>
          </w:p>
        </w:tc>
        <w:tc>
          <w:tcPr>
            <w:tcW w:w="12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2,037,404.44</w:t>
            </w:r>
          </w:p>
        </w:tc>
        <w:tc>
          <w:tcPr>
            <w:tcW w:w="1088" w:type="dxa"/>
            <w:tcBorders>
              <w:top w:val="single" w:sz="10"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湘潭智城联合信息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50,310,000.00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-13,761.49</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50,296,238.51</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北京智中新能源科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1,987,934.42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-359,308.38</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1,628,626.04</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21"/>
              <w:jc w:val="both"/>
              <w:rPr>
                <w:rFonts w:ascii="宋体" w:hAnsi="宋体" w:cs="宋体" w:eastAsia="宋体" w:hint="default"/>
                <w:sz w:val="18"/>
                <w:szCs w:val="18"/>
              </w:rPr>
            </w:pPr>
            <w:r>
              <w:rPr>
                <w:rFonts w:ascii="宋体" w:hAnsi="宋体" w:cs="宋体" w:eastAsia="宋体" w:hint="default"/>
                <w:spacing w:val="11"/>
                <w:sz w:val="18"/>
                <w:szCs w:val="18"/>
              </w:rPr>
              <w:t>西安东仪综合技术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实验室有限责任公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7,180,511.69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1,092,516.74</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8,273,028.43</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成都凯天质检技术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6,247,428.85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1,878,518.00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8,125,946.85</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西安兵标检测有限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3,383,161.74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1,524.55</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3,384,686.29</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1"/>
              <w:jc w:val="left"/>
              <w:rPr>
                <w:rFonts w:ascii="宋体" w:hAnsi="宋体" w:cs="宋体" w:eastAsia="宋体" w:hint="default"/>
                <w:sz w:val="18"/>
                <w:szCs w:val="18"/>
              </w:rPr>
            </w:pPr>
            <w:r>
              <w:rPr>
                <w:rFonts w:ascii="宋体" w:hAnsi="宋体" w:cs="宋体" w:eastAsia="宋体" w:hint="default"/>
                <w:spacing w:val="11"/>
                <w:sz w:val="18"/>
                <w:szCs w:val="18"/>
              </w:rPr>
              <w:t>安徽百旺金赋信息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3,615,142.42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1,977,848.87</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5,592,991.29</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深圳市百旺金赋科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5,082,920.20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3,891,279.73</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8,974,199.93</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left"/>
              <w:rPr>
                <w:rFonts w:ascii="宋体" w:hAnsi="宋体" w:cs="宋体" w:eastAsia="宋体" w:hint="default"/>
                <w:sz w:val="18"/>
                <w:szCs w:val="18"/>
              </w:rPr>
            </w:pPr>
            <w:r>
              <w:rPr>
                <w:rFonts w:ascii="宋体" w:hAnsi="宋体" w:cs="宋体" w:eastAsia="宋体" w:hint="default"/>
                <w:spacing w:val="11"/>
                <w:sz w:val="18"/>
                <w:szCs w:val="18"/>
              </w:rPr>
              <w:t>云南百望金赋科技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2,735,150.73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3,454,068.53</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1,200,000.00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4,989,219.26</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1"/>
              <w:jc w:val="left"/>
              <w:rPr>
                <w:rFonts w:ascii="宋体" w:hAnsi="宋体" w:cs="宋体" w:eastAsia="宋体" w:hint="default"/>
                <w:sz w:val="18"/>
                <w:szCs w:val="18"/>
              </w:rPr>
            </w:pPr>
            <w:r>
              <w:rPr>
                <w:rFonts w:ascii="宋体" w:hAnsi="宋体" w:cs="宋体" w:eastAsia="宋体" w:hint="default"/>
                <w:spacing w:val="11"/>
                <w:sz w:val="18"/>
                <w:szCs w:val="18"/>
              </w:rPr>
              <w:t>北京都在哪智慧城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1,860,000.00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-872,492.01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987,507.99</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pacing w:val="11"/>
                <w:sz w:val="18"/>
                <w:szCs w:val="18"/>
              </w:rPr>
              <w:t>天津市实想科技有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1,429,651.58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182,643.16</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1,612,294.74</w:t>
            </w: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92"/>
        <w:gridCol w:w="1277"/>
        <w:gridCol w:w="1133"/>
        <w:gridCol w:w="1133"/>
        <w:gridCol w:w="1135"/>
        <w:gridCol w:w="994"/>
        <w:gridCol w:w="912"/>
        <w:gridCol w:w="1166"/>
        <w:gridCol w:w="1165"/>
        <w:gridCol w:w="1171"/>
        <w:gridCol w:w="1253"/>
        <w:gridCol w:w="1088"/>
      </w:tblGrid>
      <w:tr>
        <w:trPr>
          <w:trHeight w:val="427" w:hRule="exact"/>
        </w:trPr>
        <w:tc>
          <w:tcPr>
            <w:tcW w:w="15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7"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912"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1171" w:type="dxa"/>
            <w:tcBorders>
              <w:top w:val="single" w:sz="10" w:space="0" w:color="000000"/>
              <w:left w:val="single" w:sz="4" w:space="0" w:color="000000"/>
              <w:bottom w:val="single" w:sz="4" w:space="0" w:color="000000"/>
              <w:right w:val="single" w:sz="4" w:space="0" w:color="000000"/>
            </w:tcBorders>
          </w:tcPr>
          <w:p>
            <w:pPr/>
          </w:p>
        </w:tc>
        <w:tc>
          <w:tcPr>
            <w:tcW w:w="1253" w:type="dxa"/>
            <w:tcBorders>
              <w:top w:val="single" w:sz="10" w:space="0" w:color="000000"/>
              <w:left w:val="single" w:sz="4" w:space="0" w:color="000000"/>
              <w:bottom w:val="single" w:sz="4" w:space="0" w:color="000000"/>
              <w:right w:val="single" w:sz="4" w:space="0" w:color="000000"/>
            </w:tcBorders>
          </w:tcPr>
          <w:p>
            <w:pPr/>
          </w:p>
        </w:tc>
        <w:tc>
          <w:tcPr>
            <w:tcW w:w="1088" w:type="dxa"/>
            <w:tcBorders>
              <w:top w:val="single" w:sz="10" w:space="0" w:color="000000"/>
              <w:left w:val="single" w:sz="4" w:space="0" w:color="000000"/>
              <w:bottom w:val="single" w:sz="4" w:space="0" w:color="000000"/>
              <w:right w:val="single" w:sz="4" w:space="0" w:color="000000"/>
            </w:tcBorders>
          </w:tcPr>
          <w:p>
            <w:pPr/>
          </w:p>
        </w:tc>
      </w:tr>
      <w:tr>
        <w:trPr>
          <w:trHeight w:val="509"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303,387,029.59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 w:right="0"/>
              <w:jc w:val="center"/>
              <w:rPr>
                <w:rFonts w:ascii="Times New Roman" w:hAnsi="Times New Roman" w:cs="Times New Roman" w:eastAsia="Times New Roman" w:hint="default"/>
                <w:sz w:val="18"/>
                <w:szCs w:val="18"/>
              </w:rPr>
            </w:pPr>
            <w:r>
              <w:rPr>
                <w:rFonts w:ascii="Times New Roman"/>
                <w:sz w:val="18"/>
              </w:rPr>
              <w:t>78,914,099.00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 w:right="0"/>
              <w:jc w:val="center"/>
              <w:rPr>
                <w:rFonts w:ascii="Times New Roman" w:hAnsi="Times New Roman" w:cs="Times New Roman" w:eastAsia="Times New Roman" w:hint="default"/>
                <w:sz w:val="18"/>
                <w:szCs w:val="18"/>
              </w:rPr>
            </w:pPr>
            <w:r>
              <w:rPr>
                <w:rFonts w:ascii="Times New Roman"/>
                <w:sz w:val="18"/>
              </w:rPr>
              <w:t>69,073,902.69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6,282,478.11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319,809,704.01</w:t>
            </w:r>
          </w:p>
        </w:tc>
        <w:tc>
          <w:tcPr>
            <w:tcW w:w="108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303,387,029.59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 w:right="0"/>
              <w:jc w:val="center"/>
              <w:rPr>
                <w:rFonts w:ascii="Times New Roman" w:hAnsi="Times New Roman" w:cs="Times New Roman" w:eastAsia="Times New Roman" w:hint="default"/>
                <w:sz w:val="18"/>
                <w:szCs w:val="18"/>
              </w:rPr>
            </w:pPr>
            <w:r>
              <w:rPr>
                <w:rFonts w:ascii="Times New Roman"/>
                <w:sz w:val="18"/>
              </w:rPr>
              <w:t>78,914,099.00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 w:right="0"/>
              <w:jc w:val="center"/>
              <w:rPr>
                <w:rFonts w:ascii="Times New Roman" w:hAnsi="Times New Roman" w:cs="Times New Roman" w:eastAsia="Times New Roman" w:hint="default"/>
                <w:sz w:val="18"/>
                <w:szCs w:val="18"/>
              </w:rPr>
            </w:pPr>
            <w:r>
              <w:rPr>
                <w:rFonts w:ascii="Times New Roman"/>
                <w:sz w:val="18"/>
              </w:rPr>
              <w:t>69,073,902.69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6,282,478.11</w:t>
            </w:r>
          </w:p>
        </w:tc>
        <w:tc>
          <w:tcPr>
            <w:tcW w:w="99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319,809,704.01</w:t>
            </w:r>
          </w:p>
        </w:tc>
        <w:tc>
          <w:tcPr>
            <w:tcW w:w="10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60" w:right="8264"/>
        <w:jc w:val="left"/>
      </w:pPr>
      <w:r>
        <w:rPr/>
        <w:t>其他说明</w:t>
      </w:r>
    </w:p>
    <w:p>
      <w:pPr>
        <w:spacing w:after="0" w:line="240" w:lineRule="auto"/>
        <w:jc w:val="left"/>
        <w:sectPr>
          <w:pgSz w:w="16840" w:h="11910" w:orient="landscape"/>
          <w:pgMar w:header="882" w:footer="1132" w:top="1100" w:bottom="1320" w:left="1300" w:right="1280"/>
        </w:sectPr>
      </w:pPr>
    </w:p>
    <w:p>
      <w:pPr>
        <w:spacing w:line="240" w:lineRule="auto" w:before="8"/>
        <w:rPr>
          <w:rFonts w:ascii="宋体" w:hAnsi="宋体" w:cs="宋体" w:eastAsia="宋体" w:hint="default"/>
          <w:sz w:val="16"/>
          <w:szCs w:val="16"/>
        </w:rPr>
      </w:pPr>
    </w:p>
    <w:p>
      <w:pPr>
        <w:pStyle w:val="Heading3"/>
        <w:spacing w:line="240" w:lineRule="auto" w:before="26"/>
        <w:ind w:right="11"/>
        <w:jc w:val="left"/>
      </w:pPr>
      <w:r>
        <w:rPr>
          <w:rFonts w:ascii="Times New Roman" w:hAnsi="Times New Roman" w:cs="Times New Roman" w:eastAsia="Times New Roman" w:hint="default"/>
        </w:rPr>
        <w:t>18</w:t>
      </w:r>
      <w:r>
        <w:rPr/>
        <w:t>、投资性房地产</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）采用成本计量模式的投资性房地产</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6,544,550.02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6,544,550.02</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3,974,546.00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3,974,546.00</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3,974,546.00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3,974,546.00</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10,519,096.02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10,519,096.02</w:t>
            </w:r>
          </w:p>
        </w:tc>
      </w:tr>
      <w:tr>
        <w:trPr>
          <w:trHeight w:val="82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二、累计折旧和累计摊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4,337,789.36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4,337,789.36</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1,648,044.80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1,648,044.80</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395,766.58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395,766.58</w:t>
            </w: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1,252,278.22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1,252,278.22</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4"/>
          <w:footerReference w:type="default" r:id="rId65"/>
          <w:pgSz w:w="11910" w:h="16840"/>
          <w:pgMar w:header="882" w:footer="1132" w:top="1280" w:bottom="1320" w:left="980" w:right="980"/>
          <w:pgNumType w:start="20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09"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5,985,834.16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5,985,834.16</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4,533,261.86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4,533,261.86</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2,206,760.66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2,206,760.66</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）采用公允价值计量模式的投资性房地产</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3</w:t>
      </w:r>
      <w:r>
        <w:rPr/>
        <w:t>）未办妥产权证书的投资性房地产情况</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成都二环路西一段天有办公楼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2,627,872.32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开发商涉及诉讼，房产被冻结。</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19</w:t>
      </w:r>
      <w:r>
        <w:rPr/>
        <w:t>、固定资产</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）固定资产情况</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59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95,975,361.13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25,335,380.02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262,725,119.24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384,035,860.39</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1,050,384.58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1,953,888.55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109,136,125.91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112,140,399.04</w:t>
            </w: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563,997.44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1,953,888.55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13,520,496.84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16,038,382.83</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486,387.14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95,615,629.07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96,102,016.21</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3,974,546.00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1,077,874.49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3,580,881.87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8,633,302.36</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1,077,874.49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3,580,881.87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4,658,756.36</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3,974,546.00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3,974,546.00</w:t>
            </w: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93,051,199.71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26,211,394.08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368,280,363.28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487,542,957.07</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13,231,207.31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11,436,173.77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43,796,536.24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68,463,917.32</w:t>
            </w:r>
          </w:p>
        </w:tc>
      </w:tr>
      <w:tr>
        <w:trPr>
          <w:trHeight w:val="5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7,888,210.17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3,647,235.16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21,650,620.47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33,186,065.80</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7,888,210.17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3,647,235.16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21,650,620.47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33,186,065.80</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1,252,278.22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569,221.82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3,115,093.47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4,936,593.51</w:t>
            </w: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569,221.82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3,115,093.47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3,684,315.29</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3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1,252,278.22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1,252,278.22</w:t>
            </w: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19,867,139.26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14,514,187.11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62,332,063.24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96,713,389.61</w:t>
            </w:r>
          </w:p>
        </w:tc>
      </w:tr>
      <w:tr>
        <w:trPr>
          <w:trHeight w:val="5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5" w:type="dxa"/>
            <w:tcBorders>
              <w:top w:val="single" w:sz="4" w:space="0" w:color="000000"/>
              <w:left w:val="single" w:sz="13" w:space="0" w:color="D9D9D9"/>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5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73,184,060.45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11,697,206.97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305,948,300.04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390,829,567.46</w:t>
            </w:r>
          </w:p>
        </w:tc>
      </w:tr>
      <w:tr>
        <w:trPr>
          <w:trHeight w:val="506"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82,744,153.82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13,899,206.25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218,928,583.00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315,571,943.07</w:t>
            </w:r>
          </w:p>
        </w:tc>
      </w:tr>
    </w:tbl>
    <w:p>
      <w:pPr>
        <w:spacing w:line="240" w:lineRule="auto" w:before="8"/>
        <w:rPr>
          <w:rFonts w:ascii="Times New Roman" w:hAnsi="Times New Roman" w:cs="Times New Roman" w:eastAsia="Times New Roman"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2</w:t>
      </w:r>
      <w:r>
        <w:rPr/>
        <w:t>）暂时闲置的固定资产情况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596"/>
        <w:gridCol w:w="1597"/>
        <w:gridCol w:w="1594"/>
        <w:gridCol w:w="1596"/>
        <w:gridCol w:w="1594"/>
        <w:gridCol w:w="1594"/>
      </w:tblGrid>
      <w:tr>
        <w:trPr>
          <w:trHeight w:val="5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3"/>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）通过融资租赁租入的固定资产情况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4"/>
        <w:gridCol w:w="1914"/>
      </w:tblGrid>
      <w:tr>
        <w:trPr>
          <w:trHeight w:val="509"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4</w:t>
      </w:r>
      <w:r>
        <w:rPr/>
        <w:t>）通过经营租赁租出的固定资产</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5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）未办妥产权证书的固定资产情况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联邦财富中心办公楼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5,698,961.36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开发商需统一给楼房办理，正在办理中</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3"/>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20</w:t>
      </w:r>
      <w:r>
        <w:rPr/>
        <w:t>、在建工程</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）在建工程情况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50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涉密办公改造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188,548.95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188,548.95</w:t>
            </w: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下花园</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30MWp</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地面电站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6,847,373.95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6,847,373.95</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18"/>
              <w:jc w:val="left"/>
              <w:rPr>
                <w:rFonts w:ascii="宋体" w:hAnsi="宋体" w:cs="宋体" w:eastAsia="宋体" w:hint="default"/>
                <w:sz w:val="18"/>
                <w:szCs w:val="18"/>
              </w:rPr>
            </w:pPr>
            <w:r>
              <w:rPr>
                <w:rFonts w:ascii="宋体" w:hAnsi="宋体" w:cs="宋体" w:eastAsia="宋体" w:hint="default"/>
                <w:spacing w:val="7"/>
                <w:sz w:val="18"/>
                <w:szCs w:val="18"/>
              </w:rPr>
              <w:t>镇赉光伏发电系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1,073,146.24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1,073,146.24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31,931,283.04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31,931,283.04</w:t>
            </w:r>
          </w:p>
        </w:tc>
      </w:tr>
      <w:tr>
        <w:trPr>
          <w:trHeight w:val="11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镇  赉  三 </w:t>
            </w:r>
            <w:r>
              <w:rPr>
                <w:rFonts w:ascii="宋体" w:hAnsi="宋体" w:cs="宋体" w:eastAsia="宋体" w:hint="default"/>
                <w:spacing w:val="48"/>
                <w:sz w:val="18"/>
                <w:szCs w:val="18"/>
              </w:rPr>
              <w:t> </w:t>
            </w:r>
            <w:r>
              <w:rPr>
                <w:rFonts w:ascii="宋体" w:hAnsi="宋体" w:cs="宋体" w:eastAsia="宋体" w:hint="default"/>
                <w:sz w:val="18"/>
                <w:szCs w:val="18"/>
              </w:rPr>
              <w:t>期</w:t>
            </w:r>
          </w:p>
          <w:p>
            <w:pPr>
              <w:pStyle w:val="TableParagraph"/>
              <w:spacing w:line="300"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牧光结 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亦庄百度项目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308,071.23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308,071.23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308,071.23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308,071.23</w:t>
            </w:r>
          </w:p>
        </w:tc>
      </w:tr>
      <w:tr>
        <w:trPr>
          <w:trHeight w:val="82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8"/>
              <w:jc w:val="left"/>
              <w:rPr>
                <w:rFonts w:ascii="宋体" w:hAnsi="宋体" w:cs="宋体" w:eastAsia="宋体" w:hint="default"/>
                <w:sz w:val="18"/>
                <w:szCs w:val="18"/>
              </w:rPr>
            </w:pPr>
            <w:r>
              <w:rPr>
                <w:rFonts w:ascii="宋体" w:hAnsi="宋体" w:cs="宋体" w:eastAsia="宋体" w:hint="default"/>
                <w:spacing w:val="7"/>
                <w:sz w:val="18"/>
                <w:szCs w:val="18"/>
              </w:rPr>
              <w:t>北京旋极大厦净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化系统改造工程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756,917.51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756,917.51</w:t>
            </w:r>
          </w:p>
        </w:tc>
      </w:tr>
      <w:tr>
        <w:trPr>
          <w:trHeight w:val="50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514,879.85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514,879.85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132,478.64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132,478.64</w:t>
            </w:r>
          </w:p>
        </w:tc>
      </w:tr>
      <w:tr>
        <w:trPr>
          <w:trHeight w:val="5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2,178,039.07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2,178,039.07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40,164,673.32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40,164,673.32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pStyle w:val="BodyText"/>
        <w:spacing w:line="240" w:lineRule="auto" w:before="11"/>
        <w:ind w:left="9163"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p>
      <w:pPr>
        <w:spacing w:line="240" w:lineRule="auto" w:before="1"/>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69"/>
        <w:ind w:left="140" w:right="8264"/>
        <w:jc w:val="left"/>
      </w:pPr>
      <w:r>
        <w:rPr/>
        <w:t>（</w:t>
      </w:r>
      <w:r>
        <w:rPr>
          <w:rFonts w:ascii="Times New Roman" w:hAnsi="Times New Roman" w:cs="Times New Roman" w:eastAsia="Times New Roman" w:hint="default"/>
        </w:rPr>
        <w:t>2</w:t>
      </w:r>
      <w:r>
        <w:rPr/>
        <w:t>）重要在建工程项目本期变动情况</w:t>
      </w:r>
    </w:p>
    <w:p>
      <w:pPr>
        <w:spacing w:line="240" w:lineRule="auto" w:before="6"/>
        <w:rPr>
          <w:rFonts w:ascii="黑体" w:hAnsi="黑体" w:cs="黑体" w:eastAsia="黑体" w:hint="default"/>
          <w:sz w:val="21"/>
          <w:szCs w:val="21"/>
        </w:rPr>
      </w:pPr>
    </w:p>
    <w:p>
      <w:pPr>
        <w:pStyle w:val="BodyText"/>
        <w:spacing w:line="240" w:lineRule="auto" w:before="36"/>
        <w:ind w:left="0" w:right="251"/>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071"/>
        <w:gridCol w:w="1075"/>
        <w:gridCol w:w="1090"/>
        <w:gridCol w:w="1093"/>
        <w:gridCol w:w="1090"/>
        <w:gridCol w:w="1075"/>
        <w:gridCol w:w="1076"/>
        <w:gridCol w:w="1075"/>
        <w:gridCol w:w="1078"/>
        <w:gridCol w:w="1076"/>
        <w:gridCol w:w="1075"/>
        <w:gridCol w:w="1078"/>
        <w:gridCol w:w="1068"/>
      </w:tblGrid>
      <w:tr>
        <w:trPr>
          <w:trHeight w:val="1130"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451" w:right="89" w:hanging="361"/>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64" w:right="79"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84" w:right="79"/>
              <w:jc w:val="center"/>
              <w:rPr>
                <w:rFonts w:ascii="宋体" w:hAnsi="宋体" w:cs="宋体" w:eastAsia="宋体" w:hint="default"/>
                <w:sz w:val="18"/>
                <w:szCs w:val="18"/>
              </w:rPr>
            </w:pPr>
            <w:r>
              <w:rPr>
                <w:rFonts w:ascii="宋体" w:hAnsi="宋体" w:cs="宋体" w:eastAsia="宋体" w:hint="default"/>
                <w:sz w:val="18"/>
                <w:szCs w:val="18"/>
              </w:rPr>
              <w:t>工程累计投 入占预算比 例</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70" w:right="82" w:hanging="89"/>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1" w:right="21"/>
              <w:jc w:val="center"/>
              <w:rPr>
                <w:rFonts w:ascii="宋体" w:hAnsi="宋体" w:cs="宋体" w:eastAsia="宋体" w:hint="default"/>
                <w:sz w:val="18"/>
                <w:szCs w:val="18"/>
              </w:rPr>
            </w:pPr>
            <w:r>
              <w:rPr>
                <w:rFonts w:ascii="宋体" w:hAnsi="宋体" w:cs="宋体" w:eastAsia="宋体" w:hint="default"/>
                <w:spacing w:val="-10"/>
                <w:sz w:val="18"/>
                <w:szCs w:val="18"/>
              </w:rPr>
              <w:t>其中：本期利</w:t>
            </w:r>
            <w:r>
              <w:rPr>
                <w:rFonts w:ascii="宋体" w:hAnsi="宋体" w:cs="宋体" w:eastAsia="宋体" w:hint="default"/>
                <w:sz w:val="18"/>
                <w:szCs w:val="18"/>
              </w:rPr>
              <w:t> 息资本化金 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64" w:right="83" w:hanging="180"/>
              <w:jc w:val="left"/>
              <w:rPr>
                <w:rFonts w:ascii="宋体" w:hAnsi="宋体" w:cs="宋体" w:eastAsia="宋体" w:hint="default"/>
                <w:sz w:val="18"/>
                <w:szCs w:val="18"/>
              </w:rPr>
            </w:pPr>
            <w:r>
              <w:rPr>
                <w:rFonts w:ascii="宋体" w:hAnsi="宋体" w:cs="宋体" w:eastAsia="宋体" w:hint="default"/>
                <w:sz w:val="18"/>
                <w:szCs w:val="18"/>
              </w:rPr>
              <w:t>本期利息资 本化率</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133"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4"/>
              <w:ind w:left="23" w:right="19"/>
              <w:jc w:val="both"/>
              <w:rPr>
                <w:rFonts w:ascii="宋体" w:hAnsi="宋体" w:cs="宋体" w:eastAsia="宋体" w:hint="default"/>
                <w:sz w:val="18"/>
                <w:szCs w:val="18"/>
              </w:rPr>
            </w:pPr>
            <w:r>
              <w:rPr>
                <w:rFonts w:ascii="宋体" w:hAnsi="宋体" w:cs="宋体" w:eastAsia="宋体" w:hint="default"/>
                <w:sz w:val="18"/>
                <w:szCs w:val="18"/>
              </w:rPr>
              <w:t>下 花</w:t>
            </w:r>
            <w:r>
              <w:rPr>
                <w:rFonts w:ascii="宋体" w:hAnsi="宋体" w:cs="宋体" w:eastAsia="宋体" w:hint="default"/>
                <w:spacing w:val="24"/>
                <w:sz w:val="18"/>
                <w:szCs w:val="18"/>
              </w:rPr>
              <w:t> </w:t>
            </w:r>
            <w:r>
              <w:rPr>
                <w:rFonts w:ascii="宋体" w:hAnsi="宋体" w:cs="宋体" w:eastAsia="宋体" w:hint="default"/>
                <w:sz w:val="18"/>
                <w:szCs w:val="18"/>
              </w:rPr>
              <w:t>园</w:t>
            </w:r>
            <w:r>
              <w:rPr>
                <w:rFonts w:ascii="宋体" w:hAnsi="宋体" w:cs="宋体" w:eastAsia="宋体" w:hint="default"/>
                <w:sz w:val="18"/>
                <w:szCs w:val="18"/>
              </w:rPr>
              <w:t> </w:t>
            </w:r>
            <w:r>
              <w:rPr>
                <w:rFonts w:ascii="Times New Roman" w:hAnsi="Times New Roman" w:cs="Times New Roman" w:eastAsia="Times New Roman" w:hint="default"/>
                <w:sz w:val="18"/>
                <w:szCs w:val="18"/>
              </w:rPr>
              <w:t>30MWp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地面 电站</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6,847,373.95</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6,847,373.95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3" w:right="-7"/>
              <w:jc w:val="both"/>
              <w:rPr>
                <w:rFonts w:ascii="宋体" w:hAnsi="宋体" w:cs="宋体" w:eastAsia="宋体" w:hint="default"/>
                <w:sz w:val="18"/>
                <w:szCs w:val="18"/>
              </w:rPr>
            </w:pPr>
            <w:r>
              <w:rPr>
                <w:rFonts w:ascii="宋体" w:hAnsi="宋体" w:cs="宋体" w:eastAsia="宋体" w:hint="default"/>
                <w:spacing w:val="22"/>
                <w:sz w:val="18"/>
                <w:szCs w:val="18"/>
              </w:rPr>
              <w:t>镇赉光伏发</w:t>
            </w:r>
            <w:r>
              <w:rPr>
                <w:rFonts w:ascii="宋体" w:hAnsi="宋体" w:cs="宋体" w:eastAsia="宋体" w:hint="default"/>
                <w:spacing w:val="-62"/>
                <w:sz w:val="18"/>
                <w:szCs w:val="18"/>
              </w:rPr>
              <w:t> </w:t>
            </w:r>
            <w:r>
              <w:rPr>
                <w:rFonts w:ascii="宋体" w:hAnsi="宋体" w:cs="宋体" w:eastAsia="宋体" w:hint="default"/>
                <w:spacing w:val="38"/>
                <w:sz w:val="18"/>
                <w:szCs w:val="18"/>
              </w:rPr>
              <w:t>电系统</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二 期）</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31,931,283.04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61,390,278.94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92,248,415.74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1,073,146.24</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完工阶段</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131"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pacing w:val="8"/>
                <w:sz w:val="18"/>
                <w:szCs w:val="18"/>
              </w:rPr>
              <w:t>镇 赉 </w:t>
            </w:r>
            <w:r>
              <w:rPr>
                <w:rFonts w:ascii="宋体" w:hAnsi="宋体" w:cs="宋体" w:eastAsia="宋体" w:hint="default"/>
                <w:sz w:val="18"/>
                <w:szCs w:val="18"/>
              </w:rPr>
              <w:t>三</w:t>
            </w:r>
            <w:r>
              <w:rPr>
                <w:rFonts w:ascii="宋体" w:hAnsi="宋体" w:cs="宋体" w:eastAsia="宋体" w:hint="default"/>
                <w:spacing w:val="-9"/>
                <w:sz w:val="18"/>
                <w:szCs w:val="18"/>
              </w:rPr>
              <w:t> </w:t>
            </w:r>
            <w:r>
              <w:rPr>
                <w:rFonts w:ascii="宋体" w:hAnsi="宋体" w:cs="宋体" w:eastAsia="宋体" w:hint="default"/>
                <w:sz w:val="18"/>
                <w:szCs w:val="18"/>
              </w:rPr>
              <w:t>期</w:t>
            </w:r>
          </w:p>
          <w:p>
            <w:pPr>
              <w:pStyle w:val="TableParagraph"/>
              <w:spacing w:line="300" w:lineRule="auto" w:before="77"/>
              <w:ind w:left="23" w:right="1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牧 光结合）</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281,941.75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281,941.75</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开工阶段</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821"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7"/>
              <w:jc w:val="left"/>
              <w:rPr>
                <w:rFonts w:ascii="宋体" w:hAnsi="宋体" w:cs="宋体" w:eastAsia="宋体" w:hint="default"/>
                <w:sz w:val="18"/>
                <w:szCs w:val="18"/>
              </w:rPr>
            </w:pPr>
            <w:r>
              <w:rPr>
                <w:rFonts w:ascii="宋体" w:hAnsi="宋体" w:cs="宋体" w:eastAsia="宋体" w:hint="default"/>
                <w:spacing w:val="22"/>
                <w:sz w:val="18"/>
                <w:szCs w:val="18"/>
              </w:rPr>
              <w:t>涉密办公改</w:t>
            </w:r>
            <w:r>
              <w:rPr>
                <w:rFonts w:ascii="宋体" w:hAnsi="宋体" w:cs="宋体" w:eastAsia="宋体" w:hint="default"/>
                <w:spacing w:val="-62"/>
                <w:sz w:val="18"/>
                <w:szCs w:val="18"/>
              </w:rPr>
              <w:t> </w:t>
            </w:r>
            <w:r>
              <w:rPr>
                <w:rFonts w:ascii="宋体" w:hAnsi="宋体" w:cs="宋体" w:eastAsia="宋体" w:hint="default"/>
                <w:sz w:val="18"/>
                <w:szCs w:val="18"/>
              </w:rPr>
              <w:t>造</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188,548.95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61,592.48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250,141.43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已完工</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821"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7"/>
              <w:jc w:val="left"/>
              <w:rPr>
                <w:rFonts w:ascii="宋体" w:hAnsi="宋体" w:cs="宋体" w:eastAsia="宋体" w:hint="default"/>
                <w:sz w:val="18"/>
                <w:szCs w:val="18"/>
              </w:rPr>
            </w:pPr>
            <w:r>
              <w:rPr>
                <w:rFonts w:ascii="宋体" w:hAnsi="宋体" w:cs="宋体" w:eastAsia="宋体" w:hint="default"/>
                <w:spacing w:val="22"/>
                <w:sz w:val="18"/>
                <w:szCs w:val="18"/>
              </w:rPr>
              <w:t>亦庄百度项</w:t>
            </w:r>
            <w:r>
              <w:rPr>
                <w:rFonts w:ascii="宋体" w:hAnsi="宋体" w:cs="宋体" w:eastAsia="宋体" w:hint="default"/>
                <w:spacing w:val="-62"/>
                <w:sz w:val="18"/>
                <w:szCs w:val="18"/>
              </w:rPr>
              <w:t> </w:t>
            </w:r>
            <w:r>
              <w:rPr>
                <w:rFonts w:ascii="宋体" w:hAnsi="宋体" w:cs="宋体" w:eastAsia="宋体" w:hint="default"/>
                <w:sz w:val="18"/>
                <w:szCs w:val="18"/>
              </w:rPr>
              <w:t>目</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308,071.23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308,071.23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完工阶段</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9"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39,275,277.17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61,733,813.17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92,498,557.17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6,847,373.95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1,663,159.22</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9" w:space="0" w:color="D2D2D2"/>
            </w:tcBorders>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74"/>
        <w:ind w:left="0" w:right="153"/>
        <w:jc w:val="right"/>
        <w:rPr>
          <w:rFonts w:ascii="Times New Roman" w:hAnsi="Times New Roman" w:cs="Times New Roman" w:eastAsia="Times New Roman" w:hint="default"/>
        </w:rPr>
      </w:pPr>
      <w:r>
        <w:rPr>
          <w:rFonts w:ascii="Times New Roman"/>
        </w:rPr>
        <w:t>205</w:t>
      </w:r>
    </w:p>
    <w:p>
      <w:pPr>
        <w:spacing w:after="0" w:line="240" w:lineRule="auto"/>
        <w:jc w:val="right"/>
        <w:rPr>
          <w:rFonts w:ascii="Times New Roman" w:hAnsi="Times New Roman" w:cs="Times New Roman" w:eastAsia="Times New Roman" w:hint="default"/>
        </w:rPr>
        <w:sectPr>
          <w:headerReference w:type="default" r:id="rId66"/>
          <w:footerReference w:type="default" r:id="rId67"/>
          <w:pgSz w:w="16840" w:h="11910" w:orient="landscape"/>
          <w:pgMar w:header="0" w:footer="0" w:top="800" w:bottom="280" w:left="1300" w:right="1280"/>
        </w:sectPr>
      </w:pPr>
    </w:p>
    <w:p>
      <w:pPr>
        <w:spacing w:line="240" w:lineRule="auto" w:before="0"/>
        <w:rPr>
          <w:rFonts w:ascii="Times New Roman" w:hAnsi="Times New Roman" w:cs="Times New Roman" w:eastAsia="Times New Roman" w:hint="default"/>
          <w:sz w:val="17"/>
          <w:szCs w:val="17"/>
        </w:rPr>
      </w:pPr>
    </w:p>
    <w:p>
      <w:pPr>
        <w:pStyle w:val="Heading3"/>
        <w:spacing w:line="240" w:lineRule="auto" w:before="26"/>
        <w:ind w:right="100"/>
        <w:jc w:val="left"/>
      </w:pPr>
      <w:r>
        <w:rPr/>
        <w:t>（</w:t>
      </w:r>
      <w:r>
        <w:rPr>
          <w:rFonts w:ascii="Times New Roman" w:hAnsi="Times New Roman" w:cs="Times New Roman" w:eastAsia="Times New Roman" w:hint="default"/>
        </w:rPr>
        <w:t>3</w:t>
      </w:r>
      <w:r>
        <w:rPr/>
        <w:t>）本期计提在建工程减值准备情况</w:t>
      </w:r>
    </w:p>
    <w:p>
      <w:pPr>
        <w:spacing w:line="240" w:lineRule="auto" w:before="6"/>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21</w:t>
      </w:r>
      <w:r>
        <w:rPr/>
        <w:t>、工程物资</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9"/>
          <w:szCs w:val="9"/>
        </w:rPr>
      </w:pPr>
    </w:p>
    <w:p>
      <w:pPr>
        <w:pStyle w:val="BodyText"/>
        <w:spacing w:line="240" w:lineRule="auto" w:before="36"/>
        <w:ind w:left="108" w:right="7912"/>
        <w:jc w:val="center"/>
      </w:pPr>
      <w:r>
        <w:rPr/>
        <w:t>其他说明：</w:t>
      </w:r>
    </w:p>
    <w:p>
      <w:pPr>
        <w:spacing w:line="240" w:lineRule="auto" w:before="12"/>
        <w:rPr>
          <w:rFonts w:ascii="宋体" w:hAnsi="宋体" w:cs="宋体" w:eastAsia="宋体" w:hint="default"/>
          <w:sz w:val="24"/>
          <w:szCs w:val="24"/>
        </w:rPr>
      </w:pPr>
    </w:p>
    <w:p>
      <w:pPr>
        <w:pStyle w:val="Heading3"/>
        <w:spacing w:line="240" w:lineRule="auto"/>
        <w:ind w:left="134" w:right="7912"/>
        <w:jc w:val="center"/>
      </w:pPr>
      <w:r>
        <w:rPr>
          <w:rFonts w:ascii="Times New Roman" w:hAnsi="Times New Roman" w:cs="Times New Roman" w:eastAsia="Times New Roman" w:hint="default"/>
        </w:rPr>
        <w:t>22</w:t>
      </w:r>
      <w:r>
        <w:rPr/>
        <w:t>、固定资产清理</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9"/>
          <w:szCs w:val="9"/>
        </w:rPr>
      </w:pPr>
    </w:p>
    <w:p>
      <w:pPr>
        <w:pStyle w:val="BodyText"/>
        <w:spacing w:line="240" w:lineRule="auto" w:before="36"/>
        <w:ind w:left="573" w:right="100"/>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23</w:t>
      </w:r>
      <w:r>
        <w:rPr/>
        <w:t>、生产性生物资产</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）采用成本计量模式的生产性生物资产</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00"/>
        <w:jc w:val="left"/>
      </w:pPr>
      <w:r>
        <w:rPr/>
        <w:t>（</w:t>
      </w:r>
      <w:r>
        <w:rPr>
          <w:rFonts w:ascii="Times New Roman" w:hAnsi="Times New Roman" w:cs="Times New Roman" w:eastAsia="Times New Roman" w:hint="default"/>
        </w:rPr>
        <w:t>2</w:t>
      </w:r>
      <w:r>
        <w:rPr/>
        <w:t>）采用公允价值计量模式的生产性生物资产</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00"/>
        <w:jc w:val="left"/>
      </w:pPr>
      <w:r>
        <w:rPr>
          <w:rFonts w:ascii="Times New Roman" w:hAnsi="Times New Roman" w:cs="Times New Roman" w:eastAsia="Times New Roman" w:hint="default"/>
        </w:rPr>
        <w:t>24</w:t>
      </w:r>
      <w:r>
        <w:rPr/>
        <w:t>、油气资产</w:t>
      </w:r>
    </w:p>
    <w:p>
      <w:pPr>
        <w:spacing w:line="240" w:lineRule="auto" w:before="1"/>
        <w:rPr>
          <w:rFonts w:ascii="黑体" w:hAnsi="黑体" w:cs="黑体" w:eastAsia="黑体" w:hint="default"/>
          <w:sz w:val="24"/>
          <w:szCs w:val="24"/>
        </w:rPr>
      </w:pPr>
    </w:p>
    <w:p>
      <w:pPr>
        <w:pStyle w:val="BodyText"/>
        <w:spacing w:line="240" w:lineRule="auto"/>
        <w:ind w:left="573" w:right="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00"/>
        <w:jc w:val="left"/>
      </w:pPr>
      <w:r>
        <w:rPr>
          <w:rFonts w:ascii="Times New Roman" w:hAnsi="Times New Roman" w:cs="Times New Roman" w:eastAsia="Times New Roman" w:hint="default"/>
        </w:rPr>
        <w:t>25</w:t>
      </w:r>
      <w:r>
        <w:rPr/>
        <w:t>、无形资产</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）无形资产情况</w:t>
      </w:r>
    </w:p>
    <w:p>
      <w:pPr>
        <w:spacing w:line="240" w:lineRule="auto" w:before="4"/>
        <w:rPr>
          <w:rFonts w:ascii="黑体" w:hAnsi="黑体" w:cs="黑体" w:eastAsia="黑体" w:hint="default"/>
          <w:sz w:val="24"/>
          <w:szCs w:val="24"/>
        </w:rPr>
      </w:pPr>
    </w:p>
    <w:p>
      <w:pPr>
        <w:pStyle w:val="BodyText"/>
        <w:spacing w:line="386" w:lineRule="auto"/>
        <w:ind w:right="100" w:firstLine="420"/>
        <w:jc w:val="left"/>
      </w:pPr>
      <w:r>
        <w:rPr>
          <w:spacing w:val="-6"/>
          <w:w w:val="100"/>
        </w:rPr>
        <w:t>公司是否需遵守《深圳证券交易所创业板行业信息披露指引第</w:t>
      </w:r>
      <w:r>
        <w:rPr>
          <w:spacing w:val="-54"/>
          <w:w w:val="100"/>
        </w:rPr>
        <w:t> </w:t>
      </w:r>
      <w:r>
        <w:rPr>
          <w:rFonts w:ascii="Times New Roman" w:hAnsi="Times New Roman" w:cs="Times New Roman" w:eastAsia="Times New Roman" w:hint="default"/>
          <w:w w:val="100"/>
        </w:rPr>
        <w:t>5 </w:t>
      </w:r>
      <w:r>
        <w:rPr>
          <w:spacing w:val="-2"/>
          <w:w w:val="100"/>
        </w:rPr>
        <w:t>号</w:t>
      </w:r>
      <w:r>
        <w:rPr>
          <w:rFonts w:ascii="Times New Roman" w:hAnsi="Times New Roman" w:cs="Times New Roman" w:eastAsia="Times New Roman" w:hint="default"/>
          <w:spacing w:val="-2"/>
          <w:w w:val="100"/>
        </w:rPr>
        <w:t>——</w:t>
      </w:r>
      <w:r>
        <w:rPr>
          <w:spacing w:val="-2"/>
          <w:w w:val="100"/>
        </w:rPr>
        <w:t>上市公司从事互联网游戏业务》</w:t>
      </w:r>
      <w:r>
        <w:rPr>
          <w:w w:val="100"/>
        </w:rPr>
        <w:t> </w:t>
      </w:r>
      <w:r>
        <w:rPr/>
        <w:t>的披露要求</w:t>
      </w:r>
    </w:p>
    <w:p>
      <w:pPr>
        <w:spacing w:after="0" w:line="386" w:lineRule="auto"/>
        <w:jc w:val="left"/>
        <w:sectPr>
          <w:footerReference w:type="default" r:id="rId68"/>
          <w:pgSz w:w="11910" w:h="16840"/>
          <w:pgMar w:footer="1132" w:header="0" w:top="1280" w:bottom="1320" w:left="980" w:right="920"/>
          <w:pgNumType w:start="206"/>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117,391,103.34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5,474,982.03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122,866,085.37</w:t>
            </w: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18,336,242.63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48,465,569.35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66,801,811.98</w:t>
            </w: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18,336,242.63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48,465,569.35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66,801,811.98</w:t>
            </w:r>
          </w:p>
        </w:tc>
      </w:tr>
      <w:tr>
        <w:trPr>
          <w:trHeight w:val="818"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01"/>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09"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135,727,345.97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53,940,551.38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189,667,897.35</w:t>
            </w: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13,950,992.72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3,081,031.01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17,032,023.73</w:t>
            </w: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30,360,029.35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2,133,915.14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32,493,944.49</w:t>
            </w: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30,360,029.35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2,133,915.14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32,493,944.49</w:t>
            </w:r>
          </w:p>
        </w:tc>
      </w:tr>
      <w:tr>
        <w:trPr>
          <w:trHeight w:val="81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本期减少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44,311,022.07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5,214,946.15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49,525,968.22</w:t>
            </w:r>
          </w:p>
        </w:tc>
      </w:tr>
      <w:tr>
        <w:trPr>
          <w:trHeight w:val="50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91,416,323.90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48,725,605.23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140,141,929.13</w:t>
            </w: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pacing w:val="11"/>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103,440,110.62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2,393,951.02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105,834,061.64</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spacing w:val="-2"/>
        </w:rPr>
        <w:t>本期末通过公司内部研发形成的无形资产占无形资产余额的比例</w:t>
      </w:r>
      <w:r>
        <w:rPr>
          <w:spacing w:val="10"/>
        </w:rPr>
        <w:t> </w:t>
      </w:r>
      <w:r>
        <w:rPr>
          <w:rFonts w:ascii="Times New Roman" w:hAnsi="Times New Roman" w:cs="Times New Roman" w:eastAsia="Times New Roman" w:hint="default"/>
          <w:spacing w:val="-2"/>
        </w:rPr>
        <w:t>0.00%</w:t>
      </w:r>
      <w:r>
        <w:rPr>
          <w:spacing w:val="-2"/>
        </w:rPr>
        <w:t>。</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2</w:t>
      </w:r>
      <w:r>
        <w:rPr/>
        <w:t>）未办妥产权证书的土地使用权情况</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26</w:t>
      </w:r>
      <w:r>
        <w:rPr/>
        <w:t>、开发支出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50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27</w:t>
      </w:r>
      <w:r>
        <w:rPr/>
        <w:t>、商誉</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）商誉账面原值</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9D9D9"/>
          </w:tcPr>
          <w:p>
            <w:pPr/>
          </w:p>
        </w:tc>
        <w:tc>
          <w:tcPr>
            <w:tcW w:w="2734"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2737"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366"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497" w:hRule="exact"/>
        </w:trPr>
        <w:tc>
          <w:tcPr>
            <w:tcW w:w="1344" w:type="dxa"/>
            <w:vMerge/>
            <w:tcBorders>
              <w:left w:val="single" w:sz="4" w:space="0" w:color="000000"/>
              <w:right w:val="single" w:sz="4" w:space="0" w:color="000000"/>
            </w:tcBorders>
            <w:shd w:val="clear" w:color="auto" w:fill="D9D9D9"/>
          </w:tcPr>
          <w:p>
            <w:pPr/>
          </w:p>
        </w:tc>
        <w:tc>
          <w:tcPr>
            <w:tcW w:w="13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1"/>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9D9D9"/>
          </w:tcPr>
          <w:p>
            <w:pPr/>
          </w:p>
        </w:tc>
        <w:tc>
          <w:tcPr>
            <w:tcW w:w="1378" w:type="dxa"/>
            <w:tcBorders>
              <w:top w:val="nil" w:sz="6" w:space="0" w:color="auto"/>
              <w:left w:val="single" w:sz="4" w:space="0" w:color="000000"/>
              <w:bottom w:val="single" w:sz="4" w:space="0" w:color="000000"/>
              <w:right w:val="single" w:sz="4" w:space="0" w:color="000000"/>
            </w:tcBorders>
            <w:shd w:val="clear" w:color="auto" w:fill="D9D9D9"/>
          </w:tcPr>
          <w:p>
            <w:pPr/>
          </w:p>
        </w:tc>
        <w:tc>
          <w:tcPr>
            <w:tcW w:w="2734"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2737"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366"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2"/>
              <w:ind w:left="12" w:right="9"/>
              <w:jc w:val="left"/>
              <w:rPr>
                <w:rFonts w:ascii="宋体" w:hAnsi="宋体" w:cs="宋体" w:eastAsia="宋体" w:hint="default"/>
                <w:sz w:val="18"/>
                <w:szCs w:val="18"/>
              </w:rPr>
            </w:pPr>
            <w:r>
              <w:rPr>
                <w:rFonts w:ascii="宋体" w:hAnsi="宋体" w:cs="宋体" w:eastAsia="宋体" w:hint="default"/>
                <w:spacing w:val="7"/>
                <w:sz w:val="18"/>
                <w:szCs w:val="18"/>
              </w:rPr>
              <w:t>北京麦禾信通科</w:t>
            </w:r>
            <w:r>
              <w:rPr>
                <w:rFonts w:ascii="宋体" w:hAnsi="宋体" w:cs="宋体" w:eastAsia="宋体" w:hint="default"/>
                <w:sz w:val="18"/>
                <w:szCs w:val="18"/>
              </w:rPr>
              <w:t> 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348,668.15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2"/>
              <w:ind w:left="22" w:right="21"/>
              <w:jc w:val="left"/>
              <w:rPr>
                <w:rFonts w:ascii="宋体" w:hAnsi="宋体" w:cs="宋体" w:eastAsia="宋体" w:hint="default"/>
                <w:sz w:val="18"/>
                <w:szCs w:val="18"/>
              </w:rPr>
            </w:pPr>
            <w:r>
              <w:rPr>
                <w:rFonts w:ascii="宋体" w:hAnsi="宋体" w:cs="宋体" w:eastAsia="宋体" w:hint="default"/>
                <w:spacing w:val="7"/>
                <w:sz w:val="18"/>
                <w:szCs w:val="18"/>
              </w:rPr>
              <w:t>北京中软金卡信</w:t>
            </w:r>
            <w:r>
              <w:rPr>
                <w:rFonts w:ascii="宋体" w:hAnsi="宋体" w:cs="宋体" w:eastAsia="宋体" w:hint="default"/>
                <w:sz w:val="18"/>
                <w:szCs w:val="18"/>
              </w:rPr>
              <w:t> 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81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广东百望九赋电</w:t>
            </w:r>
            <w:r>
              <w:rPr>
                <w:rFonts w:ascii="宋体" w:hAnsi="宋体" w:cs="宋体" w:eastAsia="宋体" w:hint="default"/>
                <w:sz w:val="18"/>
                <w:szCs w:val="18"/>
              </w:rPr>
              <w:t> 子有限公司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1,476,713.02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1,476,713.02</w:t>
            </w: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甘肃百旺九赋信</w:t>
            </w:r>
            <w:r>
              <w:rPr>
                <w:rFonts w:ascii="宋体" w:hAnsi="宋体" w:cs="宋体" w:eastAsia="宋体" w:hint="default"/>
                <w:sz w:val="18"/>
                <w:szCs w:val="18"/>
              </w:rPr>
              <w:t> 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2,339,357.74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2,339,357.74</w:t>
            </w: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西安西谷微电子</w:t>
            </w:r>
            <w:r>
              <w:rPr>
                <w:rFonts w:ascii="宋体" w:hAnsi="宋体" w:cs="宋体" w:eastAsia="宋体" w:hint="default"/>
                <w:sz w:val="18"/>
                <w:szCs w:val="18"/>
              </w:rPr>
              <w:t> 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422,788,822.65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422,788,822.65</w:t>
            </w:r>
          </w:p>
        </w:tc>
      </w:tr>
      <w:tr>
        <w:trPr>
          <w:trHeight w:val="81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2"/>
              <w:ind w:left="22" w:right="21"/>
              <w:jc w:val="left"/>
              <w:rPr>
                <w:rFonts w:ascii="宋体" w:hAnsi="宋体" w:cs="宋体" w:eastAsia="宋体" w:hint="default"/>
                <w:sz w:val="18"/>
                <w:szCs w:val="18"/>
              </w:rPr>
            </w:pPr>
            <w:r>
              <w:rPr>
                <w:rFonts w:ascii="宋体" w:hAnsi="宋体" w:cs="宋体" w:eastAsia="宋体" w:hint="default"/>
                <w:spacing w:val="7"/>
                <w:sz w:val="18"/>
                <w:szCs w:val="18"/>
              </w:rPr>
              <w:t>郑州众合景轩信</w:t>
            </w:r>
            <w:r>
              <w:rPr>
                <w:rFonts w:ascii="宋体" w:hAnsi="宋体" w:cs="宋体" w:eastAsia="宋体" w:hint="default"/>
                <w:sz w:val="18"/>
                <w:szCs w:val="18"/>
              </w:rPr>
              <w:t> 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515,209.30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515,209.30</w:t>
            </w: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广西百旺金赋科</w:t>
            </w:r>
            <w:r>
              <w:rPr>
                <w:rFonts w:ascii="宋体" w:hAnsi="宋体" w:cs="宋体" w:eastAsia="宋体" w:hint="default"/>
                <w:sz w:val="18"/>
                <w:szCs w:val="18"/>
              </w:rPr>
              <w:t>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439,358.11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439,358.11</w:t>
            </w:r>
          </w:p>
        </w:tc>
      </w:tr>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北京泰豪智能工</w:t>
            </w:r>
            <w:r>
              <w:rPr>
                <w:rFonts w:ascii="宋体" w:hAnsi="宋体" w:cs="宋体" w:eastAsia="宋体" w:hint="default"/>
                <w:sz w:val="18"/>
                <w:szCs w:val="18"/>
              </w:rPr>
              <w:t> 程有限公司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1,353,998,093.74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1,353,998,093.74</w:t>
            </w:r>
          </w:p>
        </w:tc>
      </w:tr>
      <w:tr>
        <w:trPr>
          <w:trHeight w:val="818"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22" w:right="21"/>
              <w:jc w:val="left"/>
              <w:rPr>
                <w:rFonts w:ascii="宋体" w:hAnsi="宋体" w:cs="宋体" w:eastAsia="宋体" w:hint="default"/>
                <w:sz w:val="18"/>
                <w:szCs w:val="18"/>
              </w:rPr>
            </w:pPr>
            <w:r>
              <w:rPr>
                <w:rFonts w:ascii="宋体" w:hAnsi="宋体" w:cs="宋体" w:eastAsia="宋体" w:hint="default"/>
                <w:spacing w:val="7"/>
                <w:sz w:val="18"/>
                <w:szCs w:val="18"/>
              </w:rPr>
              <w:t>重庆百望九赋软</w:t>
            </w:r>
            <w:r>
              <w:rPr>
                <w:rFonts w:ascii="宋体" w:hAnsi="宋体" w:cs="宋体" w:eastAsia="宋体" w:hint="default"/>
                <w:sz w:val="18"/>
                <w:szCs w:val="18"/>
              </w:rPr>
              <w:t> 件服务有限公司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3,106,722.42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3,106,722.42</w:t>
            </w:r>
          </w:p>
        </w:tc>
      </w:tr>
      <w:tr>
        <w:trPr>
          <w:trHeight w:val="113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2"/>
              <w:ind w:left="22" w:right="21"/>
              <w:jc w:val="both"/>
              <w:rPr>
                <w:rFonts w:ascii="宋体" w:hAnsi="宋体" w:cs="宋体" w:eastAsia="宋体" w:hint="default"/>
                <w:sz w:val="18"/>
                <w:szCs w:val="18"/>
              </w:rPr>
            </w:pPr>
            <w:r>
              <w:rPr>
                <w:rFonts w:ascii="宋体" w:hAnsi="宋体" w:cs="宋体" w:eastAsia="宋体" w:hint="default"/>
                <w:spacing w:val="7"/>
                <w:sz w:val="18"/>
                <w:szCs w:val="18"/>
              </w:rPr>
              <w:t>北京国信恒达智</w:t>
            </w:r>
            <w:r>
              <w:rPr>
                <w:rFonts w:ascii="宋体" w:hAnsi="宋体" w:cs="宋体" w:eastAsia="宋体" w:hint="default"/>
                <w:sz w:val="18"/>
                <w:szCs w:val="18"/>
              </w:rPr>
              <w:t> </w:t>
            </w:r>
            <w:r>
              <w:rPr>
                <w:rFonts w:ascii="宋体" w:hAnsi="宋体" w:cs="宋体" w:eastAsia="宋体" w:hint="default"/>
                <w:spacing w:val="7"/>
                <w:sz w:val="18"/>
                <w:szCs w:val="18"/>
              </w:rPr>
              <w:t>慧城市科技发展</w:t>
            </w:r>
            <w:r>
              <w:rPr>
                <w:rFonts w:ascii="宋体" w:hAnsi="宋体" w:cs="宋体" w:eastAsia="宋体" w:hint="default"/>
                <w:sz w:val="18"/>
                <w:szCs w:val="18"/>
              </w:rPr>
              <w:t>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60,109.58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60,109.58</w:t>
            </w:r>
          </w:p>
        </w:tc>
      </w:tr>
      <w:tr>
        <w:trPr>
          <w:trHeight w:val="5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2"/>
                <w:sz w:val="18"/>
              </w:rPr>
              <w:t>1,899,111,663.29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2"/>
                <w:sz w:val="18"/>
              </w:rPr>
              <w:t>1,899,111,663.29</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）商誉减值准备</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0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9D9D9"/>
          </w:tcPr>
          <w:p>
            <w:pPr/>
          </w:p>
        </w:tc>
        <w:tc>
          <w:tcPr>
            <w:tcW w:w="2734"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2737" w:type="dxa"/>
            <w:gridSpan w:val="2"/>
            <w:tcBorders>
              <w:top w:val="single" w:sz="4" w:space="0" w:color="000000"/>
              <w:left w:val="single" w:sz="4" w:space="0" w:color="000000"/>
              <w:bottom w:val="nil" w:sz="6" w:space="0" w:color="auto"/>
              <w:right w:val="single" w:sz="4" w:space="0" w:color="000000"/>
            </w:tcBorders>
            <w:shd w:val="clear" w:color="auto" w:fill="D9D9D9"/>
          </w:tcPr>
          <w:p>
            <w:pPr/>
          </w:p>
        </w:tc>
        <w:tc>
          <w:tcPr>
            <w:tcW w:w="1366"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500" w:hRule="exact"/>
        </w:trPr>
        <w:tc>
          <w:tcPr>
            <w:tcW w:w="1344" w:type="dxa"/>
            <w:vMerge/>
            <w:tcBorders>
              <w:left w:val="single" w:sz="4" w:space="0" w:color="000000"/>
              <w:right w:val="single" w:sz="4" w:space="0" w:color="000000"/>
            </w:tcBorders>
            <w:shd w:val="clear" w:color="auto" w:fill="D9D9D9"/>
          </w:tcPr>
          <w:p>
            <w:pPr/>
          </w:p>
        </w:tc>
        <w:tc>
          <w:tcPr>
            <w:tcW w:w="13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9D9D9"/>
          </w:tcPr>
          <w:p>
            <w:pPr/>
          </w:p>
        </w:tc>
        <w:tc>
          <w:tcPr>
            <w:tcW w:w="1378" w:type="dxa"/>
            <w:tcBorders>
              <w:top w:val="nil" w:sz="6" w:space="0" w:color="auto"/>
              <w:left w:val="single" w:sz="4" w:space="0" w:color="000000"/>
              <w:bottom w:val="single" w:sz="4" w:space="0" w:color="000000"/>
              <w:right w:val="single" w:sz="4" w:space="0" w:color="000000"/>
            </w:tcBorders>
            <w:shd w:val="clear" w:color="auto" w:fill="D9D9D9"/>
          </w:tcPr>
          <w:p>
            <w:pPr/>
          </w:p>
        </w:tc>
        <w:tc>
          <w:tcPr>
            <w:tcW w:w="2734"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2737" w:type="dxa"/>
            <w:gridSpan w:val="2"/>
            <w:tcBorders>
              <w:top w:val="nil" w:sz="6" w:space="0" w:color="auto"/>
              <w:left w:val="single" w:sz="4" w:space="0" w:color="000000"/>
              <w:bottom w:val="single" w:sz="4" w:space="0" w:color="000000"/>
              <w:right w:val="single" w:sz="4" w:space="0" w:color="000000"/>
            </w:tcBorders>
            <w:shd w:val="clear" w:color="auto" w:fill="D9D9D9"/>
          </w:tcPr>
          <w:p>
            <w:pPr/>
          </w:p>
        </w:tc>
        <w:tc>
          <w:tcPr>
            <w:tcW w:w="1366"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821"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12" w:right="9"/>
              <w:jc w:val="left"/>
              <w:rPr>
                <w:rFonts w:ascii="宋体" w:hAnsi="宋体" w:cs="宋体" w:eastAsia="宋体" w:hint="default"/>
                <w:sz w:val="18"/>
                <w:szCs w:val="18"/>
              </w:rPr>
            </w:pPr>
            <w:r>
              <w:rPr>
                <w:rFonts w:ascii="宋体" w:hAnsi="宋体" w:cs="宋体" w:eastAsia="宋体" w:hint="default"/>
                <w:spacing w:val="7"/>
                <w:sz w:val="18"/>
                <w:szCs w:val="18"/>
              </w:rPr>
              <w:t>北京麦禾信通科</w:t>
            </w:r>
            <w:r>
              <w:rPr>
                <w:rFonts w:ascii="宋体" w:hAnsi="宋体" w:cs="宋体" w:eastAsia="宋体" w:hint="default"/>
                <w:sz w:val="18"/>
                <w:szCs w:val="18"/>
              </w:rPr>
              <w:t> 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348,668.15</w:t>
            </w:r>
          </w:p>
        </w:tc>
      </w:tr>
      <w:tr>
        <w:trPr>
          <w:trHeight w:val="50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348,668.15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348,668.15</w:t>
            </w:r>
          </w:p>
        </w:tc>
      </w:tr>
    </w:tbl>
    <w:p>
      <w:pPr>
        <w:spacing w:line="240" w:lineRule="auto" w:before="11"/>
        <w:rPr>
          <w:rFonts w:ascii="宋体" w:hAnsi="宋体" w:cs="宋体" w:eastAsia="宋体" w:hint="default"/>
          <w:sz w:val="9"/>
          <w:szCs w:val="9"/>
        </w:rPr>
      </w:pPr>
    </w:p>
    <w:p>
      <w:pPr>
        <w:pStyle w:val="BodyText"/>
        <w:spacing w:line="496" w:lineRule="auto" w:before="36"/>
        <w:ind w:left="573" w:right="11"/>
        <w:jc w:val="left"/>
      </w:pPr>
      <w:r>
        <w:rPr/>
        <w:t>说明商誉减值测试过程、参数及商誉减值损失的确认方法：</w:t>
      </w:r>
      <w:r>
        <w:rPr>
          <w:w w:val="100"/>
        </w:rPr>
        <w:t> </w:t>
      </w:r>
      <w:r>
        <w:rPr>
          <w:spacing w:val="-2"/>
        </w:rPr>
        <w:t>本公司商誉系本公司非同一控制下的企业合并形成。资产负债表日，公司对商誉进行减值测试，在预</w:t>
      </w:r>
    </w:p>
    <w:p>
      <w:pPr>
        <w:pStyle w:val="BodyText"/>
        <w:spacing w:line="244" w:lineRule="exact"/>
        <w:ind w:right="11"/>
        <w:jc w:val="left"/>
      </w:pPr>
      <w:r>
        <w:rPr/>
        <w:t>计投入成本可回收金额时，采用了与商誉有关的资产组合来预计未来现金流量现值。管理层根据历史经验</w:t>
      </w:r>
    </w:p>
    <w:p>
      <w:pPr>
        <w:spacing w:after="0" w:line="244" w:lineRule="exact"/>
        <w:jc w:val="left"/>
        <w:sectPr>
          <w:pgSz w:w="11910" w:h="16840"/>
          <w:pgMar w:header="0" w:footer="1132" w:top="1280" w:bottom="1320" w:left="980" w:right="980"/>
        </w:sectPr>
      </w:pPr>
    </w:p>
    <w:p>
      <w:pPr>
        <w:spacing w:line="240" w:lineRule="auto" w:before="5"/>
        <w:rPr>
          <w:rFonts w:ascii="宋体" w:hAnsi="宋体" w:cs="宋体" w:eastAsia="宋体" w:hint="default"/>
          <w:sz w:val="13"/>
          <w:szCs w:val="13"/>
        </w:rPr>
      </w:pPr>
    </w:p>
    <w:p>
      <w:pPr>
        <w:pStyle w:val="BodyText"/>
        <w:spacing w:line="408" w:lineRule="auto" w:before="36"/>
        <w:ind w:right="11"/>
        <w:jc w:val="left"/>
      </w:pPr>
      <w:r>
        <w:rPr>
          <w:spacing w:val="-2"/>
        </w:rPr>
        <w:t>及对市场发展的预测，确定未来的财务预算和折现率，预计未来现金流量现值。根据减值测试的结果，本</w:t>
      </w:r>
      <w:r>
        <w:rPr>
          <w:spacing w:val="-47"/>
        </w:rPr>
        <w:t> </w:t>
      </w:r>
      <w:r>
        <w:rPr>
          <w:spacing w:val="-47"/>
        </w:rPr>
      </w:r>
      <w:r>
        <w:rPr/>
        <w:t>期期末商誉未补充计提减值准备。</w:t>
      </w:r>
    </w:p>
    <w:p>
      <w:pPr>
        <w:pStyle w:val="BodyText"/>
        <w:spacing w:line="240" w:lineRule="auto" w:before="147"/>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28</w:t>
      </w:r>
      <w:r>
        <w:rPr/>
        <w:t>、长期待摊费用</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5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经营租赁房屋改良 </w:t>
            </w:r>
            <w:r>
              <w:rPr>
                <w:rFonts w:ascii="宋体" w:hAnsi="宋体" w:cs="宋体" w:eastAsia="宋体" w:hint="default"/>
                <w:sz w:val="18"/>
                <w:szCs w:val="18"/>
              </w:rPr>
              <w:t>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3,597,857.32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13,141,617.44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8,748,236.98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351,192.04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7,640,045.74</w:t>
            </w:r>
          </w:p>
        </w:tc>
      </w:tr>
      <w:tr>
        <w:trPr>
          <w:trHeight w:val="5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112,861.58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314,212.82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177,290.48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249,783.92</w:t>
            </w:r>
          </w:p>
        </w:tc>
      </w:tr>
      <w:tr>
        <w:trPr>
          <w:trHeight w:val="5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3,710,718.90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13,455,830.26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8,925,527.46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351,192.04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7,889,829.66</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p>
    <w:p>
      <w:pPr>
        <w:spacing w:line="240" w:lineRule="auto" w:before="12"/>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）未经抵销的递延所得税资产</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59"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48"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59"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95,447,888.99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16,513,660.59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91,931,921.46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14,131,266.96</w:t>
            </w: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20,504,959.70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3,735,763.74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35,896,427.15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5,480,880.62</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14,928.87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w w:val="95"/>
                <w:sz w:val="18"/>
              </w:rPr>
              <w:t>2,239.33</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118,952,848.69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20,699,424.33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130,843,277.48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20,064,386.91</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）未经抵销的递延所得税负债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509"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8"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82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2" w:right="21"/>
              <w:jc w:val="left"/>
              <w:rPr>
                <w:rFonts w:ascii="宋体" w:hAnsi="宋体" w:cs="宋体" w:eastAsia="宋体" w:hint="default"/>
                <w:sz w:val="18"/>
                <w:szCs w:val="18"/>
              </w:rPr>
            </w:pPr>
            <w:r>
              <w:rPr>
                <w:rFonts w:ascii="宋体" w:hAnsi="宋体" w:cs="宋体" w:eastAsia="宋体" w:hint="default"/>
                <w:spacing w:val="5"/>
                <w:sz w:val="18"/>
                <w:szCs w:val="18"/>
              </w:rPr>
              <w:t>非同一控制企业合并资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77,661,052.25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11,639,727.25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97,768,088.47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14,665,213.27</w:t>
            </w:r>
          </w:p>
        </w:tc>
      </w:tr>
      <w:tr>
        <w:trPr>
          <w:trHeight w:val="50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77,661,052.25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11,639,727.25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97,768,088.47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14,665,213.27</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）以抵销后净额列示的递延所得税资产或负债</w:t>
      </w:r>
    </w:p>
    <w:p>
      <w:pPr>
        <w:spacing w:line="240" w:lineRule="auto" w:before="3"/>
        <w:rPr>
          <w:rFonts w:ascii="黑体" w:hAnsi="黑体" w:cs="黑体" w:eastAsia="黑体" w:hint="default"/>
          <w:sz w:val="24"/>
          <w:szCs w:val="24"/>
        </w:rPr>
      </w:pPr>
    </w:p>
    <w:p>
      <w:pPr>
        <w:pStyle w:val="BodyText"/>
        <w:spacing w:line="240" w:lineRule="auto"/>
        <w:ind w:left="555" w:right="136"/>
        <w:jc w:val="center"/>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99"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20,699,424.33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20,064,386.91</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11,639,727.25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14,665,213.27</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4</w:t>
      </w:r>
      <w:r>
        <w:rPr/>
        <w:t>）未确认递延所得税资产明细</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）未确认递延所得税资产的可抵扣亏损将于以下年度到期</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390"/>
        <w:gridCol w:w="2397"/>
        <w:gridCol w:w="2392"/>
        <w:gridCol w:w="2381"/>
      </w:tblGrid>
      <w:tr>
        <w:trPr>
          <w:trHeight w:val="50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30</w:t>
      </w:r>
      <w:r>
        <w:rPr/>
        <w:t>、其他非流动资产</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9"/>
          <w:szCs w:val="9"/>
        </w:rPr>
      </w:pPr>
    </w:p>
    <w:p>
      <w:pPr>
        <w:pStyle w:val="BodyText"/>
        <w:spacing w:line="240" w:lineRule="auto" w:before="36"/>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31</w:t>
      </w:r>
      <w:r>
        <w:rPr/>
        <w:t>、短期借款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）短期借款分类</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506"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5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66,500,000.00</w:t>
            </w:r>
          </w:p>
        </w:tc>
      </w:tr>
      <w:tr>
        <w:trPr>
          <w:trHeight w:val="506"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151,275,493.62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135,100,000.00</w:t>
            </w:r>
          </w:p>
        </w:tc>
      </w:tr>
      <w:tr>
        <w:trPr>
          <w:trHeight w:val="5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151,275,493.62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201,600,000.00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短期借款分类的说明：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）已逾期未偿还的短期借款情况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本期末已逾期未偿还的短期借款总额为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元，其中重要的已逾期未偿还的短期借款情况如下：</w:t>
      </w:r>
    </w:p>
    <w:p>
      <w:pPr>
        <w:spacing w:line="240" w:lineRule="auto" w:before="1"/>
        <w:rPr>
          <w:rFonts w:ascii="宋体" w:hAnsi="宋体" w:cs="宋体" w:eastAsia="宋体" w:hint="default"/>
          <w:sz w:val="21"/>
          <w:szCs w:val="21"/>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4"/>
        <w:gridCol w:w="1914"/>
      </w:tblGrid>
      <w:tr>
        <w:trPr>
          <w:trHeight w:val="509"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32</w:t>
      </w:r>
      <w:r>
        <w:rPr/>
        <w:t>、以公允价值计量且其变动计入当期损益的金融负债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33</w:t>
      </w:r>
      <w:r>
        <w:rPr/>
        <w:t>、衍生金融负债</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34</w:t>
      </w:r>
      <w:r>
        <w:rPr/>
        <w:t>、应付票据</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56,364,184.41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22,722,506.30</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56,364,184.41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22,722,506.30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本期末已到期未支付的应付票据总额为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35</w:t>
      </w:r>
      <w:r>
        <w:rPr/>
        <w:t>、应付账款</w:t>
      </w:r>
    </w:p>
    <w:p>
      <w:pPr>
        <w:spacing w:line="240" w:lineRule="auto" w:before="12"/>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）应付账款列示</w:t>
      </w:r>
    </w:p>
    <w:p>
      <w:pPr>
        <w:spacing w:after="0" w:line="240" w:lineRule="auto"/>
        <w:jc w:val="left"/>
        <w:sectPr>
          <w:pgSz w:w="11910" w:h="16840"/>
          <w:pgMar w:header="0" w:footer="1132" w:top="1280" w:bottom="1320" w:left="980" w:right="980"/>
        </w:sectPr>
      </w:pPr>
    </w:p>
    <w:p>
      <w:pPr>
        <w:spacing w:line="240" w:lineRule="auto" w:before="5"/>
        <w:rPr>
          <w:rFonts w:ascii="黑体" w:hAnsi="黑体" w:cs="黑体" w:eastAsia="黑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749,820,764.07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471,328,648.71</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191,976,368.41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173,968,778.27</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941,797,132.48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645,297,426.98</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）账龄超过</w:t>
      </w:r>
      <w:r>
        <w:rPr>
          <w:spacing w:val="-61"/>
        </w:rPr>
        <w:t> </w:t>
      </w:r>
      <w:r>
        <w:rPr>
          <w:rFonts w:ascii="Times New Roman" w:hAnsi="Times New Roman" w:cs="Times New Roman" w:eastAsia="Times New Roman" w:hint="default"/>
        </w:rPr>
        <w:t>1 </w:t>
      </w:r>
      <w:r>
        <w:rPr/>
        <w:t>年的重要应付账款</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江西宏泰水利电力工程有限公司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7,163,892.70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北京冠林神州科技有限公司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5,902,183.47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北京纵横至诚科技有限公司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5,174,998.11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未到结款截止日期</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济南德润信能信息有限公司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4,304,311.56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广州威能机电有限公司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3,678,800.00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6"/>
              <w:jc w:val="right"/>
              <w:rPr>
                <w:rFonts w:ascii="Times New Roman" w:hAnsi="Times New Roman" w:cs="Times New Roman" w:eastAsia="Times New Roman" w:hint="default"/>
                <w:sz w:val="18"/>
                <w:szCs w:val="18"/>
              </w:rPr>
            </w:pPr>
            <w:r>
              <w:rPr>
                <w:rFonts w:ascii="Times New Roman"/>
                <w:spacing w:val="-1"/>
                <w:sz w:val="18"/>
              </w:rPr>
              <w:t>26,224,185.84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36</w:t>
      </w:r>
      <w:r>
        <w:rPr/>
        <w:t>、预收款项</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）预收款项列示</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464,691,194.99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340,595,767.33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14,565,252.08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30,259,489.76</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479,256,447.07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370,855,257.09</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）账龄超过</w:t>
      </w:r>
      <w:r>
        <w:rPr>
          <w:spacing w:val="-61"/>
        </w:rPr>
        <w:t> </w:t>
      </w:r>
      <w:r>
        <w:rPr>
          <w:rFonts w:ascii="Times New Roman" w:hAnsi="Times New Roman" w:cs="Times New Roman" w:eastAsia="Times New Roman" w:hint="default"/>
        </w:rPr>
        <w:t>1 </w:t>
      </w:r>
      <w:r>
        <w:rPr/>
        <w:t>年的重要预收款项</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1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1446" w:val="left" w:leader="none"/>
                <w:tab w:pos="1720" w:val="left" w:leader="none"/>
                <w:tab w:pos="2763" w:val="left" w:leader="none"/>
              </w:tabs>
              <w:spacing w:line="362" w:lineRule="auto" w:before="144"/>
              <w:ind w:left="24" w:right="14"/>
              <w:jc w:val="both"/>
              <w:rPr>
                <w:rFonts w:ascii="Times New Roman" w:hAnsi="Times New Roman" w:cs="Times New Roman" w:eastAsia="Times New Roman" w:hint="default"/>
                <w:sz w:val="18"/>
                <w:szCs w:val="18"/>
              </w:rPr>
            </w:pPr>
            <w:r>
              <w:rPr>
                <w:rFonts w:ascii="Times New Roman"/>
                <w:spacing w:val="-1"/>
                <w:sz w:val="18"/>
              </w:rPr>
              <w:t>SHAGNHAI</w:t>
              <w:tab/>
            </w:r>
            <w:r>
              <w:rPr>
                <w:rFonts w:ascii="Times New Roman"/>
                <w:spacing w:val="-4"/>
                <w:sz w:val="18"/>
              </w:rPr>
              <w:t>AVIONICS</w:t>
              <w:tab/>
            </w:r>
            <w:r>
              <w:rPr>
                <w:rFonts w:ascii="Times New Roman"/>
                <w:spacing w:val="-1"/>
                <w:sz w:val="18"/>
              </w:rPr>
              <w:t>AND</w:t>
            </w:r>
            <w:r>
              <w:rPr>
                <w:rFonts w:ascii="Times New Roman"/>
                <w:w w:val="99"/>
                <w:sz w:val="18"/>
              </w:rPr>
              <w:t> </w:t>
            </w:r>
            <w:r>
              <w:rPr>
                <w:rFonts w:ascii="Times New Roman"/>
                <w:spacing w:val="-1"/>
                <w:sz w:val="18"/>
              </w:rPr>
              <w:t>ALUMINUM</w:t>
              <w:tab/>
              <w:tab/>
            </w:r>
            <w:r>
              <w:rPr>
                <w:rFonts w:ascii="Times New Roman"/>
                <w:spacing w:val="-2"/>
                <w:sz w:val="18"/>
              </w:rPr>
              <w:t>INTERNATIONAL</w:t>
            </w:r>
            <w:r>
              <w:rPr>
                <w:rFonts w:ascii="Times New Roman"/>
                <w:spacing w:val="-41"/>
                <w:sz w:val="18"/>
              </w:rPr>
              <w:t> </w:t>
            </w:r>
            <w:r>
              <w:rPr>
                <w:rFonts w:ascii="Times New Roman"/>
                <w:spacing w:val="-41"/>
                <w:sz w:val="18"/>
              </w:rPr>
            </w:r>
            <w:r>
              <w:rPr>
                <w:rFonts w:ascii="Times New Roman"/>
                <w:sz w:val="18"/>
              </w:rPr>
              <w:t>TEADING</w:t>
            </w:r>
            <w:r>
              <w:rPr>
                <w:rFonts w:ascii="Times New Roman"/>
                <w:spacing w:val="-4"/>
                <w:sz w:val="18"/>
              </w:rPr>
              <w:t> </w:t>
            </w:r>
            <w:r>
              <w:rPr>
                <w:rFonts w:ascii="Times New Roman"/>
                <w:spacing w:val="-3"/>
                <w:sz w:val="18"/>
              </w:rPr>
              <w:t>CO.LTD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3,096,973.85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丹东汇隆实业发展有限公司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1,137,545.00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项目未完工，未开票，未结算</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江苏中烟工业有限责任公司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1,112,361.17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项目未完工，未开票，未结算</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项目未到期</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6,226,880.02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）期末建造合同形成的已结算未完工项目情况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50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0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650,086,705.73</w:t>
            </w:r>
          </w:p>
        </w:tc>
      </w:tr>
      <w:tr>
        <w:trPr>
          <w:trHeight w:val="50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79,555,912.70</w:t>
            </w:r>
          </w:p>
        </w:tc>
      </w:tr>
      <w:tr>
        <w:trPr>
          <w:trHeight w:val="507"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684,442,968.73</w:t>
            </w:r>
          </w:p>
        </w:tc>
      </w:tr>
      <w:tr>
        <w:trPr>
          <w:trHeight w:val="50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45,199,649.70</w:t>
            </w:r>
          </w:p>
        </w:tc>
      </w:tr>
    </w:tbl>
    <w:p>
      <w:pPr>
        <w:spacing w:line="240" w:lineRule="auto" w:before="11"/>
        <w:rPr>
          <w:rFonts w:ascii="宋体" w:hAnsi="宋体" w:cs="宋体" w:eastAsia="宋体" w:hint="default"/>
          <w:sz w:val="9"/>
          <w:szCs w:val="9"/>
        </w:rPr>
      </w:pPr>
    </w:p>
    <w:p>
      <w:pPr>
        <w:pStyle w:val="BodyText"/>
        <w:spacing w:line="240" w:lineRule="auto" w:before="36"/>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37</w:t>
      </w:r>
      <w:r>
        <w:rPr/>
        <w:t>、应付职工薪酬</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）应付职工薪酬列示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55,731,194.51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449,404,100.09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424,989,046.15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80,146,248.45</w:t>
            </w:r>
          </w:p>
        </w:tc>
      </w:tr>
      <w:tr>
        <w:trPr>
          <w:trHeight w:val="82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1,249,740.35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40,647,634.57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39,850,191.76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2,047,183.16</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1,746,972.02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1,746,972.02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56,980,934.86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491,798,706.68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466,586,209.93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82,193,431.61</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）短期薪酬列示</w:t>
      </w:r>
    </w:p>
    <w:p>
      <w:pPr>
        <w:spacing w:after="0" w:line="240" w:lineRule="auto"/>
        <w:jc w:val="left"/>
        <w:sectPr>
          <w:pgSz w:w="11910" w:h="16840"/>
          <w:pgMar w:header="0" w:footer="1132" w:top="1280" w:bottom="1320" w:left="980" w:right="980"/>
        </w:sectPr>
      </w:pPr>
    </w:p>
    <w:p>
      <w:pPr>
        <w:spacing w:line="240" w:lineRule="auto" w:before="5"/>
        <w:rPr>
          <w:rFonts w:ascii="黑体" w:hAnsi="黑体" w:cs="黑体" w:eastAsia="黑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2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41,804,320.47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397,377,805.23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373,662,279.95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65,519,845.75</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4,235,394.78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11,086,766.09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12,024,007.89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3,298,152.98</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682,430.27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22,811,173.65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22,549,725.77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943,878.15</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618,475.67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19,851,817.39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19,619,148.40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851,144.66</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21,823.05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567,818.38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573,791.24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15,850.19</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42,131.55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2,391,537.88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2,356,786.13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76,883.30</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284,959.22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14,615,819.80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14,538,349.37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362,429.65</w:t>
            </w:r>
          </w:p>
        </w:tc>
      </w:tr>
      <w:tr>
        <w:trPr>
          <w:trHeight w:val="82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8,724,089.77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3,512,535.32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2,214,683.17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10,021,941.92</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55,731,194.51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449,404,100.09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424,989,046.15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80,146,248.45</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）设定提存计划列示</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547" w:hRule="exact"/>
        </w:trPr>
        <w:tc>
          <w:tcPr>
            <w:tcW w:w="190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14" w:hRule="exact"/>
        </w:trPr>
        <w:tc>
          <w:tcPr>
            <w:tcW w:w="190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1,170,917.84</w:t>
            </w:r>
          </w:p>
        </w:tc>
        <w:tc>
          <w:tcPr>
            <w:tcW w:w="19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39,155,738.60</w:t>
            </w:r>
          </w:p>
        </w:tc>
        <w:tc>
          <w:tcPr>
            <w:tcW w:w="191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38,392,478.18</w:t>
            </w:r>
          </w:p>
        </w:tc>
        <w:tc>
          <w:tcPr>
            <w:tcW w:w="19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1,934,178.26</w:t>
            </w:r>
          </w:p>
        </w:tc>
      </w:tr>
      <w:tr>
        <w:trPr>
          <w:trHeight w:val="50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55,301.07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1,481,234.45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1,457,713.58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78,821.94</w:t>
            </w:r>
          </w:p>
        </w:tc>
      </w:tr>
      <w:tr>
        <w:trPr>
          <w:trHeight w:val="50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23,521.44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10,661.52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34,182.96</w:t>
            </w:r>
          </w:p>
        </w:tc>
      </w:tr>
      <w:tr>
        <w:trPr>
          <w:trHeight w:val="50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1,249,740.35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40,647,634.57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39,850,191.76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2,047,183.16</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38</w:t>
      </w:r>
      <w:r>
        <w:rPr/>
        <w:t>、应交税费</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6" w:type="dxa"/>
        <w:tblLayout w:type="fixed"/>
        <w:tblCellMar>
          <w:top w:w="0" w:type="dxa"/>
          <w:left w:w="0" w:type="dxa"/>
          <w:bottom w:w="0" w:type="dxa"/>
          <w:right w:w="0" w:type="dxa"/>
        </w:tblCellMar>
        <w:tblLook w:val="01E0"/>
      </w:tblPr>
      <w:tblGrid>
        <w:gridCol w:w="3159"/>
        <w:gridCol w:w="3203"/>
        <w:gridCol w:w="3190"/>
      </w:tblGrid>
      <w:tr>
        <w:trPr>
          <w:trHeight w:val="509"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29,975,283.63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41,348,841.90</w:t>
            </w:r>
          </w:p>
        </w:tc>
      </w:tr>
      <w:tr>
        <w:trPr>
          <w:trHeight w:val="509"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68,385,491.21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101,842,779.58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2,077,471.57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992,966.96</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1,665,107.12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2,268,314.98</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95,666.98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189,331.51</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1,157,034.11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1,566,530.73</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代扣代缴外商投资企业所得税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44,043.93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43,865.25</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184,224.58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41,971.70</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103,584,323.13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148,294,602.61</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3"/>
          <w:szCs w:val="23"/>
        </w:rPr>
      </w:pPr>
    </w:p>
    <w:p>
      <w:pPr>
        <w:pStyle w:val="Heading4"/>
        <w:spacing w:line="240" w:lineRule="auto"/>
        <w:ind w:right="11"/>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449,978.12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232,884.24</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449,978.12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232,884.24</w:t>
            </w:r>
          </w:p>
        </w:tc>
      </w:tr>
    </w:tbl>
    <w:p>
      <w:pPr>
        <w:spacing w:line="240" w:lineRule="auto" w:before="11"/>
        <w:rPr>
          <w:rFonts w:ascii="宋体" w:hAnsi="宋体" w:cs="宋体" w:eastAsia="宋体" w:hint="default"/>
          <w:sz w:val="9"/>
          <w:szCs w:val="9"/>
        </w:rPr>
      </w:pPr>
    </w:p>
    <w:p>
      <w:pPr>
        <w:pStyle w:val="BodyText"/>
        <w:spacing w:line="496" w:lineRule="auto" w:before="36"/>
        <w:ind w:left="573" w:right="5647"/>
        <w:jc w:val="left"/>
      </w:pPr>
      <w:r>
        <w:rPr>
          <w:spacing w:val="-2"/>
        </w:rPr>
        <w:t>重要的已逾期未支付的利息情况：</w:t>
      </w:r>
      <w:r>
        <w:rPr>
          <w:spacing w:val="-75"/>
        </w:rPr>
        <w:t> </w:t>
      </w:r>
      <w:r>
        <w:rPr>
          <w:spacing w:val="-75"/>
        </w:rPr>
      </w:r>
      <w:r>
        <w:rPr/>
        <w:t>单位：</w:t>
      </w:r>
      <w:r>
        <w:rPr>
          <w:spacing w:val="2"/>
        </w:rPr>
        <w:t> </w:t>
      </w:r>
      <w:r>
        <w:rPr/>
        <w:t>元</w:t>
      </w: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1"/>
        <w:rPr>
          <w:rFonts w:ascii="宋体" w:hAnsi="宋体" w:cs="宋体" w:eastAsia="宋体" w:hint="default"/>
          <w:sz w:val="10"/>
          <w:szCs w:val="10"/>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40</w:t>
      </w:r>
      <w:r>
        <w:rPr/>
        <w:t>、应付股利</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904,982.61</w:t>
            </w:r>
          </w:p>
        </w:tc>
      </w:tr>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904,982.61</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spacing w:line="240" w:lineRule="auto" w:before="10"/>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41</w:t>
      </w:r>
      <w:r>
        <w:rPr/>
        <w:t>、其他应付款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）按款项性质列示其他应付款</w:t>
      </w:r>
    </w:p>
    <w:p>
      <w:pPr>
        <w:spacing w:after="0" w:line="240" w:lineRule="auto"/>
        <w:jc w:val="left"/>
        <w:sectPr>
          <w:pgSz w:w="11910" w:h="16840"/>
          <w:pgMar w:header="0" w:footer="1132" w:top="1280" w:bottom="1320" w:left="980" w:right="980"/>
        </w:sectPr>
      </w:pPr>
    </w:p>
    <w:p>
      <w:pPr>
        <w:spacing w:line="240" w:lineRule="auto" w:before="5"/>
        <w:rPr>
          <w:rFonts w:ascii="黑体" w:hAnsi="黑体" w:cs="黑体" w:eastAsia="黑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单位往来借款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57,699,949.30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25,329,318.33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11,676,402.60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13,933,891.06</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53,589,663.84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57,338,067.81</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报销未付款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6,923,345.42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4,382,061.26</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回购未解锁限制性股票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239,635,080.00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26,777,845.40</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369,524,441.16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127,761,183.86</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）账龄超过</w:t>
      </w:r>
      <w:r>
        <w:rPr>
          <w:spacing w:val="-61"/>
        </w:rPr>
        <w:t> </w:t>
      </w:r>
      <w:r>
        <w:rPr>
          <w:rFonts w:ascii="Times New Roman" w:hAnsi="Times New Roman" w:cs="Times New Roman" w:eastAsia="Times New Roman" w:hint="default"/>
        </w:rPr>
        <w:t>1 </w:t>
      </w:r>
      <w:r>
        <w:rPr/>
        <w:t>年的重要其他应付款</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湖南弘熙交通科技有限公司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5,029,452.00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北京京运通科技股份有限公司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3,004,595.21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往来款项未支付</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上海优景智能化科技有限公司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1,548,329.87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质保金、押金</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江西宏泰水利电力工程有限公司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952,852.24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单位往来借款未结清</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北京瀚海京盛技术发展有限公司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保证金，项目未完工</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11,435,229.32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42</w:t>
      </w:r>
      <w:r>
        <w:rPr/>
        <w:t>、持有待售的负债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43</w:t>
      </w:r>
      <w:r>
        <w:rPr/>
        <w:t>、一年内到期的非流动负债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5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5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77,743,677.66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77,743,677.66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t>其他说明：</w:t>
      </w:r>
    </w:p>
    <w:p>
      <w:pPr>
        <w:spacing w:line="240" w:lineRule="auto" w:before="6"/>
        <w:rPr>
          <w:rFonts w:ascii="宋体" w:hAnsi="宋体" w:cs="宋体" w:eastAsia="宋体" w:hint="default"/>
          <w:sz w:val="22"/>
          <w:szCs w:val="22"/>
        </w:rPr>
      </w:pPr>
    </w:p>
    <w:p>
      <w:pPr>
        <w:pStyle w:val="BodyText"/>
        <w:spacing w:line="240" w:lineRule="auto"/>
        <w:ind w:left="0" w:right="206"/>
        <w:jc w:val="right"/>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日召开的第三届董事会第二十四次会议中，董事会同意公司向台湾凯基商业银行股份</w:t>
      </w:r>
    </w:p>
    <w:p>
      <w:pPr>
        <w:pStyle w:val="BodyText"/>
        <w:spacing w:line="398" w:lineRule="auto" w:before="177"/>
        <w:ind w:right="100"/>
        <w:jc w:val="left"/>
      </w:pPr>
      <w:r>
        <w:rPr/>
        <w:t>有限公司申请期限为</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个月，金额不超过</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万欧元贷款，利率为伦敦同业拆借利率</w:t>
      </w:r>
      <w:r>
        <w:rPr>
          <w:spacing w:val="-53"/>
        </w:rPr>
        <w:t> </w:t>
      </w:r>
      <w:r>
        <w:rPr>
          <w:rFonts w:ascii="Times New Roman" w:hAnsi="Times New Roman" w:cs="Times New Roman" w:eastAsia="Times New Roman" w:hint="default"/>
        </w:rPr>
        <w:t>LIBOR+1.5%</w:t>
      </w:r>
      <w:r>
        <w:rPr/>
        <w:t>；</w:t>
      </w:r>
      <w:r>
        <w:rPr>
          <w:w w:val="100"/>
        </w:rPr>
        <w:t> </w:t>
      </w:r>
      <w:r>
        <w:rPr>
          <w:spacing w:val="-2"/>
        </w:rPr>
        <w:t>同时由宁波银行股份有限公司北京分行综合授信额度开立融资性保函（备用信用证）作为担保。该项借款</w:t>
      </w:r>
      <w:r>
        <w:rPr>
          <w:spacing w:val="-44"/>
        </w:rPr>
        <w:t> </w:t>
      </w:r>
      <w:r>
        <w:rPr>
          <w:spacing w:val="-44"/>
        </w:rPr>
      </w:r>
      <w:r>
        <w:rPr/>
        <w:t>将于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年到期。</w:t>
      </w:r>
    </w:p>
    <w:p>
      <w:pPr>
        <w:pStyle w:val="Heading3"/>
        <w:spacing w:line="240" w:lineRule="auto" w:before="154"/>
        <w:ind w:right="100"/>
        <w:jc w:val="left"/>
      </w:pPr>
      <w:r>
        <w:rPr>
          <w:rFonts w:ascii="Times New Roman" w:hAnsi="Times New Roman" w:cs="Times New Roman" w:eastAsia="Times New Roman" w:hint="default"/>
        </w:rPr>
        <w:t>44</w:t>
      </w:r>
      <w:r>
        <w:rPr/>
        <w:t>、其他流动负债</w:t>
      </w:r>
    </w:p>
    <w:p>
      <w:pPr>
        <w:spacing w:line="240" w:lineRule="auto" w:before="3"/>
        <w:rPr>
          <w:rFonts w:ascii="黑体" w:hAnsi="黑体" w:cs="黑体" w:eastAsia="黑体" w:hint="default"/>
          <w:sz w:val="24"/>
          <w:szCs w:val="24"/>
        </w:rPr>
      </w:pPr>
    </w:p>
    <w:p>
      <w:pPr>
        <w:pStyle w:val="BodyText"/>
        <w:spacing w:line="240" w:lineRule="auto"/>
        <w:ind w:left="0" w:right="20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9"/>
          <w:szCs w:val="9"/>
        </w:rPr>
      </w:pPr>
    </w:p>
    <w:p>
      <w:pPr>
        <w:pStyle w:val="BodyText"/>
        <w:spacing w:line="494" w:lineRule="auto" w:before="36"/>
        <w:ind w:left="573" w:right="6369"/>
        <w:jc w:val="left"/>
      </w:pPr>
      <w:r>
        <w:rPr>
          <w:spacing w:val="-2"/>
        </w:rPr>
        <w:t>短期应付债券的增减变动：</w:t>
      </w:r>
      <w:r>
        <w:rPr>
          <w:spacing w:val="-82"/>
        </w:rPr>
        <w:t> </w:t>
      </w:r>
      <w:r>
        <w:rPr>
          <w:spacing w:val="-82"/>
        </w:rPr>
      </w:r>
      <w:r>
        <w:rPr/>
        <w:t>单位：</w:t>
      </w:r>
      <w:r>
        <w:rPr>
          <w:spacing w:val="2"/>
        </w:rPr>
        <w:t> </w:t>
      </w:r>
      <w:r>
        <w:rPr/>
        <w:t>元</w:t>
      </w: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tblGrid>
      <w:tr>
        <w:trPr>
          <w:trHeight w:val="82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13"/>
              <w:jc w:val="left"/>
              <w:rPr>
                <w:rFonts w:ascii="宋体" w:hAnsi="宋体" w:cs="宋体" w:eastAsia="宋体" w:hint="default"/>
                <w:sz w:val="18"/>
                <w:szCs w:val="18"/>
              </w:rPr>
            </w:pPr>
            <w:r>
              <w:rPr>
                <w:rFonts w:ascii="宋体" w:hAnsi="宋体" w:cs="宋体" w:eastAsia="宋体" w:hint="default"/>
                <w:spacing w:val="7"/>
                <w:sz w:val="18"/>
                <w:szCs w:val="18"/>
              </w:rPr>
              <w:t>按面值计 </w:t>
            </w:r>
            <w:r>
              <w:rPr>
                <w:rFonts w:ascii="宋体" w:hAnsi="宋体" w:cs="宋体" w:eastAsia="宋体" w:hint="default"/>
                <w:sz w:val="18"/>
                <w:szCs w:val="18"/>
              </w:rPr>
              <w:t>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14"/>
              <w:jc w:val="left"/>
              <w:rPr>
                <w:rFonts w:ascii="宋体" w:hAnsi="宋体" w:cs="宋体" w:eastAsia="宋体" w:hint="default"/>
                <w:sz w:val="18"/>
                <w:szCs w:val="18"/>
              </w:rPr>
            </w:pPr>
            <w:r>
              <w:rPr>
                <w:rFonts w:ascii="宋体" w:hAnsi="宋体" w:cs="宋体" w:eastAsia="宋体" w:hint="default"/>
                <w:spacing w:val="7"/>
                <w:sz w:val="18"/>
                <w:szCs w:val="18"/>
              </w:rPr>
              <w:t>溢折价摊 </w:t>
            </w:r>
            <w:r>
              <w:rPr>
                <w:rFonts w:ascii="宋体" w:hAnsi="宋体" w:cs="宋体" w:eastAsia="宋体" w:hint="default"/>
                <w:sz w:val="18"/>
                <w:szCs w:val="18"/>
              </w:rPr>
              <w:t>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6"/>
        <w:rPr>
          <w:rFonts w:ascii="宋体" w:hAnsi="宋体" w:cs="宋体" w:eastAsia="宋体" w:hint="default"/>
          <w:sz w:val="10"/>
          <w:szCs w:val="10"/>
        </w:rPr>
      </w:pPr>
    </w:p>
    <w:p>
      <w:pPr>
        <w:pStyle w:val="BodyText"/>
        <w:spacing w:line="240" w:lineRule="auto" w:before="36"/>
        <w:ind w:left="108" w:right="791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45</w:t>
      </w:r>
      <w:r>
        <w:rPr/>
        <w:t>、长期借款</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）长期借款分类</w:t>
      </w:r>
    </w:p>
    <w:p>
      <w:pPr>
        <w:spacing w:line="240" w:lineRule="auto" w:before="6"/>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73,083,200.70</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73,083,200.70</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t>长期借款分类的说明：</w:t>
      </w:r>
    </w:p>
    <w:p>
      <w:pPr>
        <w:spacing w:line="240" w:lineRule="auto" w:before="4"/>
        <w:rPr>
          <w:rFonts w:ascii="宋体" w:hAnsi="宋体" w:cs="宋体" w:eastAsia="宋体" w:hint="default"/>
          <w:sz w:val="22"/>
          <w:szCs w:val="22"/>
        </w:rPr>
      </w:pPr>
    </w:p>
    <w:p>
      <w:pPr>
        <w:pStyle w:val="BodyText"/>
        <w:spacing w:line="240" w:lineRule="auto"/>
        <w:ind w:left="573" w:right="10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spacing w:val="3"/>
        </w:rPr>
        <w:t>日北京泰豪智能工程有限公司与盛京银行股份有限公司五棵松支行签订了编号为</w:t>
      </w:r>
    </w:p>
    <w:p>
      <w:pPr>
        <w:pStyle w:val="BodyText"/>
        <w:spacing w:line="240" w:lineRule="auto" w:before="177"/>
        <w:ind w:right="100"/>
        <w:jc w:val="left"/>
      </w:pPr>
      <w:r>
        <w:rPr>
          <w:rFonts w:ascii="Times New Roman" w:hAnsi="Times New Roman" w:cs="Times New Roman" w:eastAsia="Times New Roman" w:hint="default"/>
        </w:rPr>
        <w:t>1040110217000061</w:t>
      </w:r>
      <w:r>
        <w:rPr>
          <w:rFonts w:ascii="Times New Roman" w:hAnsi="Times New Roman" w:cs="Times New Roman" w:eastAsia="Times New Roman" w:hint="default"/>
          <w:spacing w:val="-11"/>
        </w:rPr>
        <w:t> </w:t>
      </w:r>
      <w:r>
        <w:rPr/>
        <w:t>的借款合同，借款金额</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万，借款期限为</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spacing w:val="-3"/>
        </w:rPr>
        <w:t>日，</w:t>
      </w:r>
      <w:r>
        <w:rPr/>
      </w:r>
    </w:p>
    <w:p>
      <w:pPr>
        <w:pStyle w:val="BodyText"/>
        <w:spacing w:line="240" w:lineRule="auto" w:before="177"/>
        <w:ind w:right="100"/>
        <w:jc w:val="left"/>
      </w:pPr>
      <w:r>
        <w:rPr/>
        <w:t>借款利率为中国人民银行基准利率</w:t>
      </w:r>
      <w:r>
        <w:rPr>
          <w:spacing w:val="-50"/>
        </w:rPr>
        <w:t> </w:t>
      </w:r>
      <w:r>
        <w:rPr>
          <w:rFonts w:ascii="Times New Roman" w:hAnsi="Times New Roman" w:cs="Times New Roman" w:eastAsia="Times New Roman" w:hint="default"/>
          <w:spacing w:val="-6"/>
        </w:rPr>
        <w:t>4.75%</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spacing w:val="-6"/>
        </w:rPr>
        <w:t>日，签订了合同编号为</w:t>
      </w:r>
      <w:r>
        <w:rPr>
          <w:spacing w:val="-51"/>
        </w:rPr>
        <w:t> </w:t>
      </w:r>
      <w:r>
        <w:rPr>
          <w:rFonts w:ascii="Times New Roman" w:hAnsi="Times New Roman" w:cs="Times New Roman" w:eastAsia="Times New Roman" w:hint="default"/>
        </w:rPr>
        <w:t>1040110217000073</w:t>
      </w:r>
      <w:r>
        <w:rPr>
          <w:rFonts w:ascii="Times New Roman" w:hAnsi="Times New Roman" w:cs="Times New Roman" w:eastAsia="Times New Roman" w:hint="default"/>
          <w:spacing w:val="-11"/>
        </w:rPr>
        <w:t> </w:t>
      </w:r>
      <w:r>
        <w:rPr>
          <w:spacing w:val="-3"/>
        </w:rPr>
        <w:t>的借款</w:t>
      </w:r>
      <w:r>
        <w:rPr/>
      </w:r>
    </w:p>
    <w:p>
      <w:pPr>
        <w:spacing w:after="0" w:line="240" w:lineRule="auto"/>
        <w:jc w:val="left"/>
        <w:sectPr>
          <w:pgSz w:w="11910" w:h="16840"/>
          <w:pgMar w:header="0" w:footer="1132" w:top="1280" w:bottom="1320" w:left="980" w:right="920"/>
        </w:sectPr>
      </w:pPr>
    </w:p>
    <w:p>
      <w:pPr>
        <w:spacing w:line="240" w:lineRule="auto" w:before="5"/>
        <w:rPr>
          <w:rFonts w:ascii="宋体" w:hAnsi="宋体" w:cs="宋体" w:eastAsia="宋体" w:hint="default"/>
          <w:sz w:val="13"/>
          <w:szCs w:val="13"/>
        </w:rPr>
      </w:pPr>
    </w:p>
    <w:p>
      <w:pPr>
        <w:pStyle w:val="BodyText"/>
        <w:spacing w:line="240" w:lineRule="auto" w:before="36"/>
        <w:ind w:right="100"/>
        <w:jc w:val="left"/>
      </w:pPr>
      <w:r>
        <w:rPr/>
        <w:t>合同，借款金额</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3"/>
        </w:rPr>
        <w:t> </w:t>
      </w:r>
      <w:r>
        <w:rPr/>
        <w:t>万，借款期限为</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日至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日，借款利率为中国人民银行基</w:t>
      </w:r>
    </w:p>
    <w:p>
      <w:pPr>
        <w:pStyle w:val="BodyText"/>
        <w:spacing w:line="240" w:lineRule="auto" w:before="177"/>
        <w:ind w:right="0"/>
        <w:jc w:val="left"/>
      </w:pPr>
      <w:r>
        <w:rPr/>
        <w:t>准利率</w:t>
      </w:r>
      <w:r>
        <w:rPr>
          <w:spacing w:val="-51"/>
        </w:rPr>
        <w:t> </w:t>
      </w:r>
      <w:r>
        <w:rPr>
          <w:rFonts w:ascii="Times New Roman" w:hAnsi="Times New Roman" w:cs="Times New Roman" w:eastAsia="Times New Roman" w:hint="default"/>
        </w:rPr>
        <w:t>4.75%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spacing w:val="-3"/>
        </w:rPr>
        <w:t>日，签订了合同编号为</w:t>
      </w:r>
      <w:r>
        <w:rPr>
          <w:spacing w:val="-52"/>
        </w:rPr>
        <w:t> </w:t>
      </w:r>
      <w:r>
        <w:rPr>
          <w:rFonts w:ascii="Times New Roman" w:hAnsi="Times New Roman" w:cs="Times New Roman" w:eastAsia="Times New Roman" w:hint="default"/>
        </w:rPr>
        <w:t>1040110217000087</w:t>
      </w:r>
      <w:r>
        <w:rPr>
          <w:rFonts w:ascii="Times New Roman" w:hAnsi="Times New Roman" w:cs="Times New Roman" w:eastAsia="Times New Roman" w:hint="default"/>
          <w:spacing w:val="-11"/>
        </w:rPr>
        <w:t> </w:t>
      </w:r>
      <w:r>
        <w:rPr>
          <w:spacing w:val="-3"/>
        </w:rPr>
        <w:t>的借款合同，借款金额</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spacing w:val="-3"/>
        </w:rPr>
        <w:t>万，</w:t>
      </w:r>
      <w:r>
        <w:rPr/>
      </w:r>
    </w:p>
    <w:p>
      <w:pPr>
        <w:pStyle w:val="BodyText"/>
        <w:spacing w:line="240" w:lineRule="auto" w:before="177"/>
        <w:ind w:right="100"/>
        <w:jc w:val="left"/>
      </w:pPr>
      <w:r>
        <w:rPr/>
        <w:t>借款期限为</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日，借款利率为中国人民银行基准利率</w:t>
      </w:r>
      <w:r>
        <w:rPr>
          <w:spacing w:val="-44"/>
        </w:rPr>
        <w:t> </w:t>
      </w:r>
      <w:r>
        <w:rPr>
          <w:rFonts w:ascii="Times New Roman" w:hAnsi="Times New Roman" w:cs="Times New Roman" w:eastAsia="Times New Roman" w:hint="default"/>
        </w:rPr>
        <w:t>4.75%</w:t>
      </w:r>
      <w:r>
        <w:rPr/>
        <w:t>。以上三笔</w:t>
      </w:r>
    </w:p>
    <w:p>
      <w:pPr>
        <w:pStyle w:val="BodyText"/>
        <w:spacing w:line="470" w:lineRule="auto" w:before="177"/>
        <w:ind w:left="573" w:right="2959" w:hanging="421"/>
        <w:jc w:val="left"/>
      </w:pPr>
      <w:r>
        <w:rPr/>
        <w:t>借款共计</w:t>
      </w:r>
      <w:r>
        <w:rPr>
          <w:spacing w:val="-53"/>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1"/>
        </w:rPr>
        <w:t> </w:t>
      </w:r>
      <w:r>
        <w:rPr/>
        <w:t>万，于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月份还款</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1"/>
        </w:rPr>
        <w:t> </w:t>
      </w:r>
      <w:r>
        <w:rPr/>
        <w:t>万，期末余额</w:t>
      </w:r>
      <w:r>
        <w:rPr>
          <w:spacing w:val="-54"/>
        </w:rPr>
        <w:t> </w:t>
      </w:r>
      <w:r>
        <w:rPr>
          <w:rFonts w:ascii="Times New Roman" w:hAnsi="Times New Roman" w:cs="Times New Roman" w:eastAsia="Times New Roman" w:hint="default"/>
        </w:rPr>
        <w:t>7,800</w:t>
      </w:r>
      <w:r>
        <w:rPr>
          <w:rFonts w:ascii="Times New Roman" w:hAnsi="Times New Roman" w:cs="Times New Roman" w:eastAsia="Times New Roman" w:hint="default"/>
          <w:spacing w:val="-11"/>
        </w:rPr>
        <w:t> </w:t>
      </w:r>
      <w:r>
        <w:rPr>
          <w:spacing w:val="-3"/>
        </w:rPr>
        <w:t>万。</w:t>
      </w:r>
      <w:r>
        <w:rPr>
          <w:spacing w:val="-3"/>
          <w:w w:val="100"/>
        </w:rPr>
        <w:t> </w:t>
      </w:r>
      <w:r>
        <w:rPr/>
        <w:t>其他说明，包括利率区间：</w:t>
      </w:r>
    </w:p>
    <w:p>
      <w:pPr>
        <w:pStyle w:val="Heading3"/>
        <w:spacing w:line="240" w:lineRule="auto" w:before="122"/>
        <w:ind w:right="100"/>
        <w:jc w:val="left"/>
      </w:pPr>
      <w:r>
        <w:rPr>
          <w:rFonts w:ascii="Times New Roman" w:hAnsi="Times New Roman" w:cs="Times New Roman" w:eastAsia="Times New Roman" w:hint="default"/>
        </w:rPr>
        <w:t>46</w:t>
      </w:r>
      <w:r>
        <w:rPr/>
        <w:t>、应付债券</w:t>
      </w:r>
    </w:p>
    <w:p>
      <w:pPr>
        <w:spacing w:line="240" w:lineRule="auto" w:before="12"/>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）应付债券</w:t>
      </w:r>
    </w:p>
    <w:p>
      <w:pPr>
        <w:spacing w:line="240" w:lineRule="auto" w:before="3"/>
        <w:rPr>
          <w:rFonts w:ascii="黑体" w:hAnsi="黑体" w:cs="黑体" w:eastAsia="黑体" w:hint="default"/>
          <w:sz w:val="24"/>
          <w:szCs w:val="24"/>
        </w:rPr>
      </w:pPr>
    </w:p>
    <w:p>
      <w:pPr>
        <w:pStyle w:val="BodyText"/>
        <w:spacing w:line="240" w:lineRule="auto"/>
        <w:ind w:left="0" w:right="20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12"/>
          <w:szCs w:val="12"/>
        </w:rPr>
      </w:pPr>
    </w:p>
    <w:p>
      <w:pPr>
        <w:pStyle w:val="Heading3"/>
        <w:spacing w:line="240" w:lineRule="auto" w:before="26"/>
        <w:ind w:right="100"/>
        <w:jc w:val="left"/>
      </w:pPr>
      <w:r>
        <w:rPr/>
        <w:t>（</w:t>
      </w:r>
      <w:r>
        <w:rPr>
          <w:rFonts w:ascii="Times New Roman" w:hAnsi="Times New Roman" w:cs="Times New Roman" w:eastAsia="Times New Roman" w:hint="default"/>
        </w:rPr>
        <w:t>2</w:t>
      </w:r>
      <w:r>
        <w:rPr/>
        <w:t>）应付债券的增减变动（不包括划分为金融负债的优先股、永续债等其他金融工具）</w:t>
      </w:r>
    </w:p>
    <w:p>
      <w:pPr>
        <w:spacing w:line="240" w:lineRule="auto" w:before="3"/>
        <w:rPr>
          <w:rFonts w:ascii="黑体" w:hAnsi="黑体" w:cs="黑体" w:eastAsia="黑体" w:hint="default"/>
          <w:sz w:val="24"/>
          <w:szCs w:val="24"/>
        </w:rPr>
      </w:pPr>
    </w:p>
    <w:p>
      <w:pPr>
        <w:pStyle w:val="BodyText"/>
        <w:spacing w:line="240" w:lineRule="auto"/>
        <w:ind w:left="573" w:right="100"/>
        <w:jc w:val="left"/>
      </w:pPr>
      <w:r>
        <w:rPr/>
        <w:t>单位：</w:t>
      </w:r>
      <w:r>
        <w:rPr>
          <w:spacing w:val="2"/>
        </w:rPr>
        <w:t> </w:t>
      </w:r>
      <w:r>
        <w:rPr/>
        <w:t>元</w:t>
      </w:r>
    </w:p>
    <w:p>
      <w:pPr>
        <w:spacing w:line="240" w:lineRule="auto" w:before="10"/>
        <w:rPr>
          <w:rFonts w:ascii="宋体" w:hAnsi="宋体" w:cs="宋体" w:eastAsia="宋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3</w:t>
      </w:r>
      <w:r>
        <w:rPr/>
        <w:t>）可转换公司债券的转股条件、转股时间说明</w:t>
      </w:r>
    </w:p>
    <w:p>
      <w:pPr>
        <w:spacing w:line="240" w:lineRule="auto" w:before="11"/>
        <w:rPr>
          <w:rFonts w:ascii="黑体" w:hAnsi="黑体" w:cs="黑体" w:eastAsia="黑体" w:hint="default"/>
          <w:sz w:val="24"/>
          <w:szCs w:val="24"/>
        </w:rPr>
      </w:pPr>
    </w:p>
    <w:p>
      <w:pPr>
        <w:spacing w:line="482" w:lineRule="auto" w:before="0"/>
        <w:ind w:left="573" w:right="2959" w:hanging="421"/>
        <w:jc w:val="left"/>
        <w:rPr>
          <w:rFonts w:ascii="宋体" w:hAnsi="宋体" w:cs="宋体" w:eastAsia="宋体" w:hint="default"/>
          <w:sz w:val="21"/>
          <w:szCs w:val="21"/>
        </w:rPr>
      </w:pPr>
      <w:r>
        <w:rPr>
          <w:rFonts w:ascii="黑体" w:hAnsi="黑体" w:cs="黑体" w:eastAsia="黑体" w:hint="default"/>
          <w:sz w:val="24"/>
          <w:szCs w:val="24"/>
        </w:rPr>
        <w:t>（</w:t>
      </w:r>
      <w:r>
        <w:rPr>
          <w:rFonts w:ascii="Times New Roman" w:hAnsi="Times New Roman" w:cs="Times New Roman" w:eastAsia="Times New Roman" w:hint="default"/>
          <w:sz w:val="24"/>
          <w:szCs w:val="24"/>
        </w:rPr>
        <w:t>4</w:t>
      </w:r>
      <w:r>
        <w:rPr>
          <w:rFonts w:ascii="黑体" w:hAnsi="黑体" w:cs="黑体" w:eastAsia="黑体" w:hint="default"/>
          <w:sz w:val="24"/>
          <w:szCs w:val="24"/>
        </w:rPr>
        <w:t>）划分为金融负债的其他金融工具说明 </w:t>
      </w:r>
      <w:r>
        <w:rPr>
          <w:rFonts w:ascii="宋体" w:hAnsi="宋体" w:cs="宋体" w:eastAsia="宋体" w:hint="default"/>
          <w:spacing w:val="-2"/>
          <w:sz w:val="21"/>
          <w:szCs w:val="21"/>
        </w:rPr>
        <w:t>期末发行在外的优先股、永续债等其他金融工具基本情况</w:t>
      </w:r>
      <w:r>
        <w:rPr>
          <w:rFonts w:ascii="宋体" w:hAnsi="宋体" w:cs="宋体" w:eastAsia="宋体" w:hint="default"/>
          <w:w w:val="100"/>
          <w:sz w:val="21"/>
          <w:szCs w:val="21"/>
        </w:rPr>
        <w:t> </w:t>
      </w:r>
      <w:r>
        <w:rPr>
          <w:rFonts w:ascii="宋体" w:hAnsi="宋体" w:cs="宋体" w:eastAsia="宋体" w:hint="default"/>
          <w:sz w:val="21"/>
          <w:szCs w:val="21"/>
        </w:rPr>
        <w:t>期末发行在外的优先股、永续债等金融工具变动情况表</w:t>
      </w:r>
    </w:p>
    <w:p>
      <w:pPr>
        <w:pStyle w:val="BodyText"/>
        <w:spacing w:line="240" w:lineRule="auto" w:before="79"/>
        <w:ind w:left="0" w:right="20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509"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22" w:right="0"/>
              <w:jc w:val="left"/>
              <w:rPr>
                <w:rFonts w:ascii="宋体" w:hAnsi="宋体" w:cs="宋体" w:eastAsia="宋体" w:hint="default"/>
                <w:sz w:val="18"/>
                <w:szCs w:val="18"/>
              </w:rPr>
            </w:pPr>
            <w:r>
              <w:rPr>
                <w:rFonts w:ascii="宋体" w:hAnsi="宋体" w:cs="宋体" w:eastAsia="宋体" w:hint="default"/>
                <w:spacing w:val="20"/>
                <w:sz w:val="18"/>
                <w:szCs w:val="18"/>
              </w:rPr>
              <w:t>发行在外的</w:t>
            </w:r>
            <w:r>
              <w:rPr>
                <w:rFonts w:ascii="宋体" w:hAnsi="宋体" w:cs="宋体" w:eastAsia="宋体" w:hint="default"/>
                <w:spacing w:val="-86"/>
                <w:sz w:val="18"/>
                <w:szCs w:val="18"/>
              </w:rPr>
              <w:t> </w:t>
            </w:r>
            <w:r>
              <w:rPr>
                <w:rFonts w:ascii="宋体" w:hAnsi="宋体" w:cs="宋体" w:eastAsia="宋体" w:hint="default"/>
                <w:sz w:val="18"/>
                <w:szCs w:val="18"/>
              </w:rPr>
              <w:t>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w:t>
            </w:r>
          </w:p>
        </w:tc>
      </w:tr>
      <w:tr>
        <w:trPr>
          <w:trHeight w:val="508"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2"/>
        <w:rPr>
          <w:rFonts w:ascii="宋体" w:hAnsi="宋体" w:cs="宋体" w:eastAsia="宋体" w:hint="default"/>
          <w:sz w:val="9"/>
          <w:szCs w:val="9"/>
        </w:rPr>
      </w:pPr>
    </w:p>
    <w:p>
      <w:pPr>
        <w:pStyle w:val="BodyText"/>
        <w:spacing w:line="494" w:lineRule="auto" w:before="36"/>
        <w:ind w:left="573" w:right="4875"/>
        <w:jc w:val="left"/>
      </w:pPr>
      <w:r>
        <w:rPr>
          <w:spacing w:val="-2"/>
        </w:rPr>
        <w:t>其他金融工具划分为金融负债的依据说明</w:t>
      </w:r>
      <w:r>
        <w:rPr>
          <w:spacing w:val="-69"/>
        </w:rPr>
        <w:t> </w:t>
      </w:r>
      <w:r>
        <w:rPr>
          <w:spacing w:val="-69"/>
        </w:rPr>
      </w:r>
      <w:r>
        <w:rPr/>
        <w:t>其他说明</w:t>
      </w:r>
    </w:p>
    <w:p>
      <w:pPr>
        <w:pStyle w:val="Heading3"/>
        <w:spacing w:line="240" w:lineRule="auto" w:before="103"/>
        <w:ind w:right="100"/>
        <w:jc w:val="left"/>
      </w:pPr>
      <w:r>
        <w:rPr>
          <w:rFonts w:ascii="Times New Roman" w:hAnsi="Times New Roman" w:cs="Times New Roman" w:eastAsia="Times New Roman" w:hint="default"/>
        </w:rPr>
        <w:t>47</w:t>
      </w:r>
      <w:r>
        <w:rPr/>
        <w:t>、长期应付款</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）按款项性质列示长期应付款</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after="0" w:line="240" w:lineRule="auto"/>
        <w:jc w:val="right"/>
        <w:sectPr>
          <w:pgSz w:w="11910" w:h="16840"/>
          <w:pgMar w:header="0"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专项借款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11"/>
        <w:rPr>
          <w:rFonts w:ascii="宋体" w:hAnsi="宋体" w:cs="宋体" w:eastAsia="宋体" w:hint="default"/>
          <w:sz w:val="9"/>
          <w:szCs w:val="9"/>
        </w:rPr>
      </w:pPr>
    </w:p>
    <w:p>
      <w:pPr>
        <w:pStyle w:val="BodyText"/>
        <w:spacing w:line="496" w:lineRule="auto" w:before="36"/>
        <w:ind w:left="573" w:right="11"/>
        <w:jc w:val="left"/>
      </w:pPr>
      <w:r>
        <w:rPr/>
        <w:t>其他说明：</w:t>
      </w:r>
      <w:r>
        <w:rPr>
          <w:spacing w:val="-102"/>
        </w:rPr>
        <w:t> </w:t>
      </w:r>
      <w:r>
        <w:rPr>
          <w:spacing w:val="-102"/>
        </w:rPr>
      </w:r>
      <w:r>
        <w:rPr>
          <w:spacing w:val="2"/>
        </w:rPr>
        <w:t>经西安市现代服务业综合试点工作小组研究确定西安西谷微电子有限责任公司符合申报要求，获得</w:t>
      </w:r>
    </w:p>
    <w:p>
      <w:pPr>
        <w:pStyle w:val="BodyText"/>
        <w:spacing w:line="259" w:lineRule="exact"/>
        <w:ind w:right="1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年西安市现代服务业综合改革试点专项资金</w:t>
      </w:r>
      <w:r>
        <w:rPr>
          <w:spacing w:val="-44"/>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4"/>
        </w:rPr>
        <w:t>万元人民币，由西安投资控股有限公司下拨，执行期</w:t>
      </w:r>
    </w:p>
    <w:p>
      <w:pPr>
        <w:pStyle w:val="BodyText"/>
        <w:spacing w:line="386" w:lineRule="auto" w:before="177"/>
        <w:ind w:right="143"/>
        <w:jc w:val="left"/>
      </w:pPr>
      <w:r>
        <w:rPr/>
        <w:t>限 </w:t>
      </w:r>
      <w:r>
        <w:rPr>
          <w:rFonts w:ascii="Times New Roman" w:hAnsi="Times New Roman" w:cs="Times New Roman" w:eastAsia="Times New Roman" w:hint="default"/>
        </w:rPr>
        <w:t>3 </w:t>
      </w:r>
      <w:r>
        <w:rPr/>
        <w:t>年，股息率</w:t>
      </w:r>
      <w:r>
        <w:rPr>
          <w:spacing w:val="-47"/>
        </w:rPr>
        <w:t> </w:t>
      </w:r>
      <w:r>
        <w:rPr>
          <w:rFonts w:ascii="Times New Roman" w:hAnsi="Times New Roman" w:cs="Times New Roman" w:eastAsia="Times New Roman" w:hint="default"/>
        </w:rPr>
        <w:t>3%</w:t>
      </w:r>
      <w:r>
        <w:rPr/>
        <w:t>。西安西谷微电子有限责任公司与西安投资控股有限公司就该项专项借款签署借款协</w:t>
      </w:r>
      <w:r>
        <w:rPr>
          <w:w w:val="100"/>
        </w:rPr>
        <w:t> </w:t>
      </w:r>
      <w:r>
        <w:rPr>
          <w:spacing w:val="-2"/>
          <w:w w:val="100"/>
        </w:rPr>
        <w:t>议书，并以其自有机器设备抵押形式提供担保，签署编号为</w:t>
      </w:r>
      <w:r>
        <w:rPr>
          <w:spacing w:val="-40"/>
          <w:w w:val="100"/>
        </w:rPr>
        <w:t> </w:t>
      </w:r>
      <w:r>
        <w:rPr>
          <w:rFonts w:ascii="Times New Roman" w:hAnsi="Times New Roman" w:cs="Times New Roman" w:eastAsia="Times New Roman" w:hint="default"/>
          <w:spacing w:val="-2"/>
          <w:w w:val="100"/>
        </w:rPr>
        <w:t>2015XFSD-</w:t>
      </w:r>
      <w:r>
        <w:rPr>
          <w:spacing w:val="-2"/>
          <w:w w:val="100"/>
        </w:rPr>
        <w:t>担抵字</w:t>
      </w:r>
      <w:r>
        <w:rPr>
          <w:spacing w:val="-42"/>
          <w:w w:val="100"/>
        </w:rPr>
        <w:t> </w:t>
      </w:r>
      <w:r>
        <w:rPr>
          <w:rFonts w:ascii="Times New Roman" w:hAnsi="Times New Roman" w:cs="Times New Roman" w:eastAsia="Times New Roman" w:hint="default"/>
          <w:spacing w:val="-2"/>
          <w:w w:val="100"/>
        </w:rPr>
        <w:t>05</w:t>
      </w:r>
      <w:r>
        <w:rPr>
          <w:rFonts w:ascii="Times New Roman" w:hAnsi="Times New Roman" w:cs="Times New Roman" w:eastAsia="Times New Roman" w:hint="default"/>
          <w:spacing w:val="-1"/>
          <w:w w:val="100"/>
        </w:rPr>
        <w:t> </w:t>
      </w:r>
      <w:r>
        <w:rPr>
          <w:spacing w:val="-15"/>
          <w:w w:val="100"/>
        </w:rPr>
        <w:t>号《抵押合同》。</w:t>
      </w:r>
    </w:p>
    <w:p>
      <w:pPr>
        <w:pStyle w:val="Heading3"/>
        <w:spacing w:line="240" w:lineRule="auto" w:before="166"/>
        <w:ind w:right="11"/>
        <w:jc w:val="left"/>
      </w:pPr>
      <w:r>
        <w:rPr>
          <w:rFonts w:ascii="Times New Roman" w:hAnsi="Times New Roman" w:cs="Times New Roman" w:eastAsia="Times New Roman" w:hint="default"/>
        </w:rPr>
        <w:t>48</w:t>
      </w:r>
      <w:r>
        <w:rPr/>
        <w:t>、长期应付职工薪酬</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）长期应付职工薪酬表</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12"/>
          <w:szCs w:val="12"/>
        </w:rPr>
      </w:pPr>
    </w:p>
    <w:p>
      <w:pPr>
        <w:pStyle w:val="Heading3"/>
        <w:spacing w:line="240" w:lineRule="auto" w:before="26"/>
        <w:ind w:left="134" w:right="6772"/>
        <w:jc w:val="center"/>
      </w:pPr>
      <w:r>
        <w:rPr/>
        <w:t>（</w:t>
      </w:r>
      <w:r>
        <w:rPr>
          <w:rFonts w:ascii="Times New Roman" w:hAnsi="Times New Roman" w:cs="Times New Roman" w:eastAsia="Times New Roman" w:hint="default"/>
        </w:rPr>
        <w:t>2</w:t>
      </w:r>
      <w:r>
        <w:rPr/>
        <w:t>）设定受益计划变动情况</w:t>
      </w:r>
    </w:p>
    <w:p>
      <w:pPr>
        <w:spacing w:line="240" w:lineRule="auto" w:before="4"/>
        <w:rPr>
          <w:rFonts w:ascii="黑体" w:hAnsi="黑体" w:cs="黑体" w:eastAsia="黑体" w:hint="default"/>
          <w:sz w:val="24"/>
          <w:szCs w:val="24"/>
        </w:rPr>
      </w:pPr>
    </w:p>
    <w:p>
      <w:pPr>
        <w:pStyle w:val="BodyText"/>
        <w:spacing w:line="240" w:lineRule="auto"/>
        <w:ind w:left="289" w:right="6772"/>
        <w:jc w:val="center"/>
      </w:pPr>
      <w:r>
        <w:rPr/>
        <w:t>设定受益计划义务现值：</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计划资产：</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设定受益计划净负债（净资产）</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9"/>
          <w:szCs w:val="9"/>
        </w:rPr>
      </w:pPr>
    </w:p>
    <w:p>
      <w:pPr>
        <w:pStyle w:val="BodyText"/>
        <w:spacing w:line="496" w:lineRule="auto" w:before="36"/>
        <w:ind w:left="573" w:right="11"/>
        <w:jc w:val="left"/>
      </w:pPr>
      <w:r>
        <w:rPr>
          <w:spacing w:val="-2"/>
        </w:rPr>
        <w:t>设定受益计划的内容及与之相关风险、对公司未来现金流量、时间和不确定性的影响说明：</w:t>
      </w:r>
      <w:r>
        <w:rPr>
          <w:spacing w:val="-28"/>
        </w:rPr>
        <w:t> </w:t>
      </w:r>
      <w:r>
        <w:rPr>
          <w:spacing w:val="-28"/>
        </w:rPr>
      </w:r>
      <w:r>
        <w:rPr/>
        <w:t>设定受益计划重大精算假设及敏感性分析结果说明：</w:t>
      </w:r>
    </w:p>
    <w:p>
      <w:pPr>
        <w:pStyle w:val="BodyText"/>
        <w:spacing w:line="240" w:lineRule="auto" w:before="67"/>
        <w:ind w:left="573" w:right="11"/>
        <w:jc w:val="left"/>
      </w:pPr>
      <w:r>
        <w:rPr/>
        <w:t>其他说明：</w:t>
      </w:r>
    </w:p>
    <w:p>
      <w:pPr>
        <w:spacing w:after="0" w:line="240" w:lineRule="auto"/>
        <w:jc w:val="left"/>
        <w:sectPr>
          <w:pgSz w:w="11910" w:h="16840"/>
          <w:pgMar w:header="0" w:footer="1132" w:top="1280" w:bottom="1320" w:left="980" w:right="980"/>
        </w:sectPr>
      </w:pPr>
    </w:p>
    <w:p>
      <w:pPr>
        <w:spacing w:line="240" w:lineRule="auto" w:before="2"/>
        <w:rPr>
          <w:rFonts w:ascii="宋体" w:hAnsi="宋体" w:cs="宋体" w:eastAsia="宋体" w:hint="default"/>
          <w:sz w:val="15"/>
          <w:szCs w:val="15"/>
        </w:rPr>
      </w:pPr>
    </w:p>
    <w:p>
      <w:pPr>
        <w:pStyle w:val="Heading3"/>
        <w:spacing w:line="240" w:lineRule="auto" w:before="26"/>
        <w:ind w:right="11"/>
        <w:jc w:val="left"/>
      </w:pPr>
      <w:r>
        <w:rPr>
          <w:rFonts w:ascii="Times New Roman" w:hAnsi="Times New Roman" w:cs="Times New Roman" w:eastAsia="Times New Roman" w:hint="default"/>
        </w:rPr>
        <w:t>49</w:t>
      </w:r>
      <w:r>
        <w:rPr/>
        <w:t>、专项应付款</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596"/>
        <w:gridCol w:w="1597"/>
        <w:gridCol w:w="1594"/>
        <w:gridCol w:w="1596"/>
        <w:gridCol w:w="1594"/>
        <w:gridCol w:w="1594"/>
      </w:tblGrid>
      <w:tr>
        <w:trPr>
          <w:trHeight w:val="5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50</w:t>
      </w:r>
      <w:r>
        <w:rPr/>
        <w:t>、预计负债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390"/>
        <w:gridCol w:w="2397"/>
        <w:gridCol w:w="2392"/>
        <w:gridCol w:w="2381"/>
      </w:tblGrid>
      <w:tr>
        <w:trPr>
          <w:trHeight w:val="50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其他说明，包括重要预计负债的相关重要假设、估计说明：</w:t>
      </w:r>
    </w:p>
    <w:p>
      <w:pPr>
        <w:spacing w:line="240" w:lineRule="auto" w:before="6"/>
        <w:rPr>
          <w:rFonts w:ascii="黑体" w:hAnsi="黑体" w:cs="黑体" w:eastAsia="黑体" w:hint="default"/>
          <w:sz w:val="26"/>
          <w:szCs w:val="26"/>
        </w:rPr>
      </w:pPr>
    </w:p>
    <w:p>
      <w:pPr>
        <w:pStyle w:val="Heading3"/>
        <w:spacing w:line="240" w:lineRule="auto"/>
        <w:ind w:right="11"/>
        <w:jc w:val="left"/>
      </w:pPr>
      <w:r>
        <w:rPr>
          <w:rFonts w:ascii="Times New Roman" w:hAnsi="Times New Roman" w:cs="Times New Roman" w:eastAsia="Times New Roman" w:hint="default"/>
        </w:rPr>
        <w:t>51</w:t>
      </w:r>
      <w:r>
        <w:rPr/>
        <w:t>、递延收益</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509"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09"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75,662,956.49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3,819,000.00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7,859,372.07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71,622,584.42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75,662,956.49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3,819,000.00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7,859,372.07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8"/>
              <w:jc w:val="right"/>
              <w:rPr>
                <w:rFonts w:ascii="Times New Roman" w:hAnsi="Times New Roman" w:cs="Times New Roman" w:eastAsia="Times New Roman" w:hint="default"/>
                <w:sz w:val="18"/>
                <w:szCs w:val="18"/>
              </w:rPr>
            </w:pPr>
            <w:r>
              <w:rPr>
                <w:rFonts w:ascii="Times New Roman"/>
                <w:spacing w:val="-1"/>
                <w:sz w:val="18"/>
              </w:rPr>
              <w:t>71,622,584.42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涉及政府补助的项目：</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13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4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泰豪智慧园</w:t>
            </w:r>
            <w:r>
              <w:rPr>
                <w:rFonts w:ascii="宋体" w:hAnsi="宋体" w:cs="宋体" w:eastAsia="宋体" w:hint="default"/>
                <w:spacing w:val="-86"/>
                <w:sz w:val="18"/>
                <w:szCs w:val="18"/>
              </w:rPr>
              <w:t> </w:t>
            </w:r>
            <w:r>
              <w:rPr>
                <w:rFonts w:ascii="宋体" w:hAnsi="宋体" w:cs="宋体" w:eastAsia="宋体" w:hint="default"/>
                <w:spacing w:val="20"/>
                <w:sz w:val="18"/>
                <w:szCs w:val="18"/>
              </w:rPr>
              <w:t>区综合能源</w:t>
            </w:r>
            <w:r>
              <w:rPr>
                <w:rFonts w:ascii="宋体" w:hAnsi="宋体" w:cs="宋体" w:eastAsia="宋体" w:hint="default"/>
                <w:spacing w:val="-86"/>
                <w:sz w:val="18"/>
                <w:szCs w:val="18"/>
              </w:rPr>
              <w:t> </w:t>
            </w:r>
            <w:r>
              <w:rPr>
                <w:rFonts w:ascii="宋体" w:hAnsi="宋体" w:cs="宋体" w:eastAsia="宋体" w:hint="default"/>
                <w:spacing w:val="20"/>
                <w:sz w:val="18"/>
                <w:szCs w:val="18"/>
              </w:rPr>
              <w:t>系统示范项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2" w:right="0"/>
              <w:jc w:val="center"/>
              <w:rPr>
                <w:rFonts w:ascii="Times New Roman" w:hAnsi="Times New Roman" w:cs="Times New Roman" w:eastAsia="Times New Roman" w:hint="default"/>
                <w:sz w:val="18"/>
                <w:szCs w:val="18"/>
              </w:rPr>
            </w:pPr>
            <w:r>
              <w:rPr>
                <w:rFonts w:ascii="Times New Roman"/>
                <w:sz w:val="18"/>
              </w:rPr>
              <w:t>2,841,000.00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0" w:right="0"/>
              <w:jc w:val="left"/>
              <w:rPr>
                <w:rFonts w:ascii="Times New Roman" w:hAnsi="Times New Roman" w:cs="Times New Roman" w:eastAsia="Times New Roman" w:hint="default"/>
                <w:sz w:val="18"/>
                <w:szCs w:val="18"/>
              </w:rPr>
            </w:pPr>
            <w:r>
              <w:rPr>
                <w:rFonts w:ascii="Times New Roman"/>
                <w:sz w:val="18"/>
              </w:rPr>
              <w:t>669,000.00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7"/>
              <w:jc w:val="right"/>
              <w:rPr>
                <w:rFonts w:ascii="Times New Roman" w:hAnsi="Times New Roman" w:cs="Times New Roman" w:eastAsia="Times New Roman" w:hint="default"/>
                <w:sz w:val="18"/>
                <w:szCs w:val="18"/>
              </w:rPr>
            </w:pPr>
            <w:r>
              <w:rPr>
                <w:rFonts w:ascii="Times New Roman"/>
                <w:spacing w:val="-1"/>
                <w:sz w:val="18"/>
              </w:rPr>
              <w:t>3,510,000.00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基于面向城</w:t>
            </w:r>
            <w:r>
              <w:rPr>
                <w:rFonts w:ascii="宋体" w:hAnsi="宋体" w:cs="宋体" w:eastAsia="宋体" w:hint="default"/>
                <w:spacing w:val="-86"/>
                <w:sz w:val="18"/>
                <w:szCs w:val="18"/>
              </w:rPr>
              <w:t> </w:t>
            </w:r>
            <w:r>
              <w:rPr>
                <w:rFonts w:ascii="宋体" w:hAnsi="宋体" w:cs="宋体" w:eastAsia="宋体" w:hint="default"/>
                <w:spacing w:val="20"/>
                <w:sz w:val="18"/>
                <w:szCs w:val="18"/>
              </w:rPr>
              <w:t>市大型商务</w:t>
            </w:r>
            <w:r>
              <w:rPr>
                <w:rFonts w:ascii="宋体" w:hAnsi="宋体" w:cs="宋体" w:eastAsia="宋体" w:hint="default"/>
                <w:spacing w:val="-86"/>
                <w:sz w:val="18"/>
                <w:szCs w:val="18"/>
              </w:rPr>
              <w:t> </w:t>
            </w:r>
            <w:r>
              <w:rPr>
                <w:rFonts w:ascii="宋体" w:hAnsi="宋体" w:cs="宋体" w:eastAsia="宋体" w:hint="default"/>
                <w:spacing w:val="20"/>
                <w:sz w:val="18"/>
                <w:szCs w:val="18"/>
              </w:rPr>
              <w:t>区建筑物群</w:t>
            </w:r>
            <w:r>
              <w:rPr>
                <w:rFonts w:ascii="宋体" w:hAnsi="宋体" w:cs="宋体" w:eastAsia="宋体" w:hint="default"/>
                <w:spacing w:val="-86"/>
                <w:sz w:val="18"/>
                <w:szCs w:val="18"/>
              </w:rPr>
              <w:t> </w:t>
            </w:r>
            <w:r>
              <w:rPr>
                <w:rFonts w:ascii="宋体" w:hAnsi="宋体" w:cs="宋体" w:eastAsia="宋体" w:hint="default"/>
                <w:spacing w:val="-12"/>
                <w:sz w:val="18"/>
                <w:szCs w:val="18"/>
              </w:rPr>
              <w:t>能源、设施管</w:t>
            </w:r>
            <w:r>
              <w:rPr>
                <w:rFonts w:ascii="宋体" w:hAnsi="宋体" w:cs="宋体" w:eastAsia="宋体" w:hint="default"/>
                <w:sz w:val="18"/>
                <w:szCs w:val="18"/>
              </w:rPr>
              <w:t> </w:t>
            </w:r>
            <w:r>
              <w:rPr>
                <w:rFonts w:ascii="宋体" w:hAnsi="宋体" w:cs="宋体" w:eastAsia="宋体" w:hint="default"/>
                <w:spacing w:val="20"/>
                <w:sz w:val="18"/>
                <w:szCs w:val="18"/>
              </w:rPr>
              <w:t>理及智能化</w:t>
            </w:r>
            <w:r>
              <w:rPr>
                <w:rFonts w:ascii="宋体" w:hAnsi="宋体" w:cs="宋体" w:eastAsia="宋体" w:hint="default"/>
                <w:spacing w:val="-86"/>
                <w:sz w:val="18"/>
                <w:szCs w:val="18"/>
              </w:rPr>
              <w:t> </w:t>
            </w:r>
            <w:r>
              <w:rPr>
                <w:rFonts w:ascii="宋体" w:hAnsi="宋体" w:cs="宋体" w:eastAsia="宋体" w:hint="default"/>
                <w:spacing w:val="20"/>
                <w:sz w:val="18"/>
                <w:szCs w:val="18"/>
              </w:rPr>
              <w:t>集成服务系</w:t>
            </w:r>
            <w:r>
              <w:rPr>
                <w:rFonts w:ascii="宋体" w:hAnsi="宋体" w:cs="宋体" w:eastAsia="宋体" w:hint="default"/>
                <w:spacing w:val="-86"/>
                <w:sz w:val="18"/>
                <w:szCs w:val="18"/>
              </w:rPr>
              <w:t> </w:t>
            </w:r>
            <w:r>
              <w:rPr>
                <w:rFonts w:ascii="宋体" w:hAnsi="宋体" w:cs="宋体" w:eastAsia="宋体" w:hint="default"/>
                <w:sz w:val="18"/>
                <w:szCs w:val="18"/>
              </w:rPr>
              <w:t>统项目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2" w:right="0"/>
              <w:jc w:val="center"/>
              <w:rPr>
                <w:rFonts w:ascii="Times New Roman" w:hAnsi="Times New Roman" w:cs="Times New Roman" w:eastAsia="Times New Roman" w:hint="default"/>
                <w:sz w:val="18"/>
                <w:szCs w:val="18"/>
              </w:rPr>
            </w:pPr>
            <w:r>
              <w:rPr>
                <w:rFonts w:ascii="Times New Roman"/>
                <w:sz w:val="18"/>
              </w:rPr>
              <w:t>1,316,666.67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1" w:right="0"/>
              <w:jc w:val="center"/>
              <w:rPr>
                <w:rFonts w:ascii="Times New Roman" w:hAnsi="Times New Roman" w:cs="Times New Roman" w:eastAsia="Times New Roman" w:hint="default"/>
                <w:sz w:val="18"/>
                <w:szCs w:val="18"/>
              </w:rPr>
            </w:pPr>
            <w:r>
              <w:rPr>
                <w:rFonts w:ascii="Times New Roman"/>
                <w:sz w:val="18"/>
              </w:rPr>
              <w:t>1,116,666.67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7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3"/>
              <w:jc w:val="both"/>
              <w:rPr>
                <w:rFonts w:ascii="宋体" w:hAnsi="宋体" w:cs="宋体" w:eastAsia="宋体" w:hint="default"/>
                <w:sz w:val="18"/>
                <w:szCs w:val="18"/>
              </w:rPr>
            </w:pPr>
            <w:r>
              <w:rPr>
                <w:rFonts w:ascii="宋体" w:hAnsi="宋体" w:cs="宋体" w:eastAsia="宋体" w:hint="default"/>
                <w:spacing w:val="20"/>
                <w:sz w:val="18"/>
                <w:szCs w:val="18"/>
              </w:rPr>
              <w:t>基于云计算</w:t>
            </w:r>
            <w:r>
              <w:rPr>
                <w:rFonts w:ascii="宋体" w:hAnsi="宋体" w:cs="宋体" w:eastAsia="宋体" w:hint="default"/>
                <w:spacing w:val="-86"/>
                <w:sz w:val="18"/>
                <w:szCs w:val="18"/>
              </w:rPr>
              <w:t> </w:t>
            </w:r>
            <w:r>
              <w:rPr>
                <w:rFonts w:ascii="宋体" w:hAnsi="宋体" w:cs="宋体" w:eastAsia="宋体" w:hint="default"/>
                <w:spacing w:val="20"/>
                <w:sz w:val="18"/>
                <w:szCs w:val="18"/>
              </w:rPr>
              <w:t>的大型工业</w:t>
            </w:r>
            <w:r>
              <w:rPr>
                <w:rFonts w:ascii="宋体" w:hAnsi="宋体" w:cs="宋体" w:eastAsia="宋体" w:hint="default"/>
                <w:spacing w:val="-86"/>
                <w:sz w:val="18"/>
                <w:szCs w:val="18"/>
              </w:rPr>
              <w:t> </w:t>
            </w:r>
            <w:r>
              <w:rPr>
                <w:rFonts w:ascii="宋体" w:hAnsi="宋体" w:cs="宋体" w:eastAsia="宋体" w:hint="default"/>
                <w:spacing w:val="20"/>
                <w:sz w:val="18"/>
                <w:szCs w:val="18"/>
              </w:rPr>
              <w:t>群能耗和环</w:t>
            </w:r>
            <w:r>
              <w:rPr>
                <w:rFonts w:ascii="宋体" w:hAnsi="宋体" w:cs="宋体" w:eastAsia="宋体" w:hint="default"/>
                <w:spacing w:val="-86"/>
                <w:sz w:val="18"/>
                <w:szCs w:val="18"/>
              </w:rPr>
              <w:t> </w:t>
            </w:r>
            <w:r>
              <w:rPr>
                <w:rFonts w:ascii="宋体" w:hAnsi="宋体" w:cs="宋体" w:eastAsia="宋体" w:hint="default"/>
                <w:spacing w:val="20"/>
                <w:sz w:val="18"/>
                <w:szCs w:val="18"/>
              </w:rPr>
              <w:t>境管理预警</w:t>
            </w:r>
            <w:r>
              <w:rPr>
                <w:rFonts w:ascii="宋体" w:hAnsi="宋体" w:cs="宋体" w:eastAsia="宋体" w:hint="default"/>
                <w:spacing w:val="-86"/>
                <w:sz w:val="18"/>
                <w:szCs w:val="18"/>
              </w:rPr>
              <w:t> </w:t>
            </w:r>
            <w:r>
              <w:rPr>
                <w:rFonts w:ascii="宋体" w:hAnsi="宋体" w:cs="宋体" w:eastAsia="宋体" w:hint="default"/>
                <w:sz w:val="18"/>
                <w:szCs w:val="18"/>
              </w:rPr>
              <w:t>系统项目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基于大数据</w:t>
            </w:r>
            <w:r>
              <w:rPr>
                <w:rFonts w:ascii="宋体" w:hAnsi="宋体" w:cs="宋体" w:eastAsia="宋体" w:hint="default"/>
                <w:spacing w:val="-86"/>
                <w:sz w:val="18"/>
                <w:szCs w:val="18"/>
              </w:rPr>
              <w:t> </w:t>
            </w:r>
            <w:r>
              <w:rPr>
                <w:rFonts w:ascii="宋体" w:hAnsi="宋体" w:cs="宋体" w:eastAsia="宋体" w:hint="default"/>
                <w:spacing w:val="20"/>
                <w:sz w:val="18"/>
                <w:szCs w:val="18"/>
              </w:rPr>
              <w:t>的城市环境</w:t>
            </w:r>
            <w:r>
              <w:rPr>
                <w:rFonts w:ascii="宋体" w:hAnsi="宋体" w:cs="宋体" w:eastAsia="宋体" w:hint="default"/>
                <w:spacing w:val="-86"/>
                <w:sz w:val="18"/>
                <w:szCs w:val="18"/>
              </w:rPr>
              <w:t> </w:t>
            </w:r>
            <w:r>
              <w:rPr>
                <w:rFonts w:ascii="宋体" w:hAnsi="宋体" w:cs="宋体" w:eastAsia="宋体" w:hint="default"/>
                <w:spacing w:val="20"/>
                <w:sz w:val="18"/>
                <w:szCs w:val="18"/>
              </w:rPr>
              <w:t>信息监测云</w:t>
            </w:r>
            <w:r>
              <w:rPr>
                <w:rFonts w:ascii="宋体" w:hAnsi="宋体" w:cs="宋体" w:eastAsia="宋体" w:hint="default"/>
                <w:spacing w:val="-86"/>
                <w:sz w:val="18"/>
                <w:szCs w:val="18"/>
              </w:rPr>
              <w:t> </w:t>
            </w:r>
            <w:r>
              <w:rPr>
                <w:rFonts w:ascii="宋体" w:hAnsi="宋体" w:cs="宋体" w:eastAsia="宋体" w:hint="default"/>
                <w:spacing w:val="20"/>
                <w:sz w:val="18"/>
                <w:szCs w:val="18"/>
              </w:rPr>
              <w:t>管理与分析</w:t>
            </w:r>
            <w:r>
              <w:rPr>
                <w:rFonts w:ascii="宋体" w:hAnsi="宋体" w:cs="宋体" w:eastAsia="宋体" w:hint="default"/>
                <w:spacing w:val="-86"/>
                <w:sz w:val="18"/>
                <w:szCs w:val="18"/>
              </w:rPr>
              <w:t> </w:t>
            </w:r>
            <w:r>
              <w:rPr>
                <w:rFonts w:ascii="宋体" w:hAnsi="宋体" w:cs="宋体" w:eastAsia="宋体" w:hint="default"/>
                <w:sz w:val="18"/>
                <w:szCs w:val="18"/>
              </w:rPr>
              <w:t>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1,710,000.00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4" w:right="-3"/>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北京经济技</w:t>
            </w:r>
            <w:r>
              <w:rPr>
                <w:rFonts w:ascii="宋体" w:hAnsi="宋体" w:cs="宋体" w:eastAsia="宋体" w:hint="default"/>
                <w:spacing w:val="-86"/>
                <w:sz w:val="18"/>
                <w:szCs w:val="18"/>
              </w:rPr>
              <w:t> </w:t>
            </w:r>
            <w:r>
              <w:rPr>
                <w:rFonts w:ascii="宋体" w:hAnsi="宋体" w:cs="宋体" w:eastAsia="宋体" w:hint="default"/>
                <w:spacing w:val="3"/>
                <w:sz w:val="18"/>
                <w:szCs w:val="18"/>
              </w:rPr>
              <w:t>术开发区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w:t>
            </w:r>
            <w:r>
              <w:rPr>
                <w:rFonts w:ascii="宋体" w:hAnsi="宋体" w:cs="宋体" w:eastAsia="宋体" w:hint="default"/>
                <w:spacing w:val="-86"/>
                <w:sz w:val="18"/>
                <w:szCs w:val="18"/>
              </w:rPr>
              <w:t> </w:t>
            </w:r>
            <w:r>
              <w:rPr>
                <w:rFonts w:ascii="宋体" w:hAnsi="宋体" w:cs="宋体" w:eastAsia="宋体" w:hint="default"/>
                <w:spacing w:val="20"/>
                <w:sz w:val="18"/>
                <w:szCs w:val="18"/>
              </w:rPr>
              <w:t>太阳光伏发</w:t>
            </w:r>
            <w:r>
              <w:rPr>
                <w:rFonts w:ascii="宋体" w:hAnsi="宋体" w:cs="宋体" w:eastAsia="宋体" w:hint="default"/>
                <w:spacing w:val="-86"/>
                <w:sz w:val="18"/>
                <w:szCs w:val="18"/>
              </w:rPr>
              <w:t> </w:t>
            </w:r>
            <w:r>
              <w:rPr>
                <w:rFonts w:ascii="宋体" w:hAnsi="宋体" w:cs="宋体" w:eastAsia="宋体" w:hint="default"/>
                <w:sz w:val="18"/>
                <w:szCs w:val="18"/>
              </w:rPr>
              <w:t>电示范项目</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3,781,748.66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255,924.92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3,525,823.74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20"/>
                <w:sz w:val="18"/>
                <w:szCs w:val="18"/>
              </w:rPr>
              <w:t>金太阳示范</w:t>
            </w:r>
            <w:r>
              <w:rPr>
                <w:rFonts w:ascii="宋体" w:hAnsi="宋体" w:cs="宋体" w:eastAsia="宋体" w:hint="default"/>
                <w:spacing w:val="-86"/>
                <w:sz w:val="18"/>
                <w:szCs w:val="18"/>
              </w:rPr>
              <w:t> </w:t>
            </w:r>
            <w:r>
              <w:rPr>
                <w:rFonts w:ascii="宋体" w:hAnsi="宋体" w:cs="宋体" w:eastAsia="宋体" w:hint="default"/>
                <w:sz w:val="18"/>
                <w:szCs w:val="18"/>
              </w:rPr>
              <w:t>工程项目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55,013,541.1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3,220,530.48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51,793,010.6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中关村联盟</w:t>
            </w:r>
            <w:r>
              <w:rPr>
                <w:rFonts w:ascii="宋体" w:hAnsi="宋体" w:cs="宋体" w:eastAsia="宋体" w:hint="default"/>
                <w:spacing w:val="-86"/>
                <w:sz w:val="18"/>
                <w:szCs w:val="18"/>
              </w:rPr>
              <w:t> </w:t>
            </w:r>
            <w:r>
              <w:rPr>
                <w:rFonts w:ascii="宋体" w:hAnsi="宋体" w:cs="宋体" w:eastAsia="宋体" w:hint="default"/>
                <w:spacing w:val="20"/>
                <w:sz w:val="18"/>
                <w:szCs w:val="18"/>
              </w:rPr>
              <w:t>光伏发电监</w:t>
            </w:r>
            <w:r>
              <w:rPr>
                <w:rFonts w:ascii="宋体" w:hAnsi="宋体" w:cs="宋体" w:eastAsia="宋体" w:hint="default"/>
                <w:spacing w:val="-86"/>
                <w:sz w:val="18"/>
                <w:szCs w:val="18"/>
              </w:rPr>
              <w:t> </w:t>
            </w:r>
            <w:r>
              <w:rPr>
                <w:rFonts w:ascii="宋体" w:hAnsi="宋体" w:cs="宋体" w:eastAsia="宋体" w:hint="default"/>
                <w:spacing w:val="20"/>
                <w:sz w:val="18"/>
                <w:szCs w:val="18"/>
              </w:rPr>
              <w:t>控系统应用</w:t>
            </w:r>
            <w:r>
              <w:rPr>
                <w:rFonts w:ascii="宋体" w:hAnsi="宋体" w:cs="宋体" w:eastAsia="宋体" w:hint="default"/>
                <w:spacing w:val="-86"/>
                <w:sz w:val="18"/>
                <w:szCs w:val="18"/>
              </w:rPr>
              <w:t> </w:t>
            </w:r>
            <w:r>
              <w:rPr>
                <w:rFonts w:ascii="宋体" w:hAnsi="宋体" w:cs="宋体" w:eastAsia="宋体" w:hint="default"/>
                <w:sz w:val="18"/>
                <w:szCs w:val="18"/>
              </w:rPr>
              <w:t>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2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20"/>
                <w:sz w:val="18"/>
                <w:szCs w:val="18"/>
              </w:rPr>
              <w:t>服务业引导</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72,916.67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1,677,083.33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大型公共建</w:t>
            </w:r>
            <w:r>
              <w:rPr>
                <w:rFonts w:ascii="宋体" w:hAnsi="宋体" w:cs="宋体" w:eastAsia="宋体" w:hint="default"/>
                <w:spacing w:val="-86"/>
                <w:sz w:val="18"/>
                <w:szCs w:val="18"/>
              </w:rPr>
              <w:t> </w:t>
            </w:r>
            <w:r>
              <w:rPr>
                <w:rFonts w:ascii="宋体" w:hAnsi="宋体" w:cs="宋体" w:eastAsia="宋体" w:hint="default"/>
                <w:spacing w:val="20"/>
                <w:sz w:val="18"/>
                <w:szCs w:val="18"/>
              </w:rPr>
              <w:t>筑高效空气</w:t>
            </w:r>
            <w:r>
              <w:rPr>
                <w:rFonts w:ascii="宋体" w:hAnsi="宋体" w:cs="宋体" w:eastAsia="宋体" w:hint="default"/>
                <w:spacing w:val="-86"/>
                <w:sz w:val="18"/>
                <w:szCs w:val="18"/>
              </w:rPr>
              <w:t> </w:t>
            </w:r>
            <w:r>
              <w:rPr>
                <w:rFonts w:ascii="宋体" w:hAnsi="宋体" w:cs="宋体" w:eastAsia="宋体" w:hint="default"/>
                <w:spacing w:val="20"/>
                <w:sz w:val="18"/>
                <w:szCs w:val="18"/>
              </w:rPr>
              <w:t>净化设备及</w:t>
            </w:r>
            <w:r>
              <w:rPr>
                <w:rFonts w:ascii="宋体" w:hAnsi="宋体" w:cs="宋体" w:eastAsia="宋体" w:hint="default"/>
                <w:spacing w:val="-86"/>
                <w:sz w:val="18"/>
                <w:szCs w:val="18"/>
              </w:rPr>
              <w:t> </w:t>
            </w:r>
            <w:r>
              <w:rPr>
                <w:rFonts w:ascii="宋体" w:hAnsi="宋体" w:cs="宋体" w:eastAsia="宋体" w:hint="default"/>
                <w:spacing w:val="20"/>
                <w:sz w:val="18"/>
                <w:szCs w:val="18"/>
              </w:rPr>
              <w:t>职能传感监</w:t>
            </w:r>
            <w:r>
              <w:rPr>
                <w:rFonts w:ascii="宋体" w:hAnsi="宋体" w:cs="宋体" w:eastAsia="宋体" w:hint="default"/>
                <w:spacing w:val="-86"/>
                <w:sz w:val="18"/>
                <w:szCs w:val="18"/>
              </w:rPr>
              <w:t> </w:t>
            </w:r>
            <w:r>
              <w:rPr>
                <w:rFonts w:ascii="宋体" w:hAnsi="宋体" w:cs="宋体" w:eastAsia="宋体" w:hint="default"/>
                <w:sz w:val="18"/>
                <w:szCs w:val="18"/>
              </w:rPr>
              <w:t>控系统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9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3"/>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西安西谷微</w:t>
            </w:r>
            <w:r>
              <w:rPr>
                <w:rFonts w:ascii="宋体" w:hAnsi="宋体" w:cs="宋体" w:eastAsia="宋体" w:hint="default"/>
                <w:spacing w:val="-86"/>
                <w:sz w:val="18"/>
                <w:szCs w:val="18"/>
              </w:rPr>
              <w:t> </w:t>
            </w:r>
            <w:r>
              <w:rPr>
                <w:rFonts w:ascii="宋体" w:hAnsi="宋体" w:cs="宋体" w:eastAsia="宋体" w:hint="default"/>
                <w:spacing w:val="20"/>
                <w:sz w:val="18"/>
                <w:szCs w:val="18"/>
              </w:rPr>
              <w:t>电子有限责</w:t>
            </w:r>
            <w:r>
              <w:rPr>
                <w:rFonts w:ascii="宋体" w:hAnsi="宋体" w:cs="宋体" w:eastAsia="宋体" w:hint="default"/>
                <w:spacing w:val="-86"/>
                <w:sz w:val="18"/>
                <w:szCs w:val="18"/>
              </w:rPr>
              <w:t> </w:t>
            </w:r>
            <w:r>
              <w:rPr>
                <w:rFonts w:ascii="宋体" w:hAnsi="宋体" w:cs="宋体" w:eastAsia="宋体" w:hint="default"/>
                <w:spacing w:val="20"/>
                <w:sz w:val="18"/>
                <w:szCs w:val="18"/>
              </w:rPr>
              <w:t>任公司电子</w:t>
            </w:r>
            <w:r>
              <w:rPr>
                <w:rFonts w:ascii="宋体" w:hAnsi="宋体" w:cs="宋体" w:eastAsia="宋体" w:hint="default"/>
                <w:spacing w:val="-86"/>
                <w:sz w:val="18"/>
                <w:szCs w:val="18"/>
              </w:rPr>
              <w:t> </w:t>
            </w:r>
            <w:r>
              <w:rPr>
                <w:rFonts w:ascii="宋体" w:hAnsi="宋体" w:cs="宋体" w:eastAsia="宋体" w:hint="default"/>
                <w:spacing w:val="8"/>
                <w:sz w:val="18"/>
                <w:szCs w:val="18"/>
              </w:rPr>
              <w:t>元器件</w:t>
            </w:r>
            <w:r>
              <w:rPr>
                <w:rFonts w:ascii="宋体" w:hAnsi="宋体" w:cs="宋体" w:eastAsia="宋体" w:hint="default"/>
                <w:spacing w:val="11"/>
                <w:sz w:val="18"/>
                <w:szCs w:val="18"/>
              </w:rPr>
              <w:t> </w:t>
            </w:r>
            <w:r>
              <w:rPr>
                <w:rFonts w:ascii="Times New Roman" w:hAnsi="Times New Roman" w:cs="Times New Roman" w:eastAsia="Times New Roman" w:hint="default"/>
                <w:spacing w:val="-6"/>
                <w:sz w:val="18"/>
                <w:szCs w:val="18"/>
              </w:rPr>
              <w:t>DPA</w:t>
            </w:r>
          </w:p>
          <w:p>
            <w:pPr>
              <w:pStyle w:val="TableParagraph"/>
              <w:spacing w:line="316" w:lineRule="auto"/>
              <w:ind w:left="24" w:right="-3"/>
              <w:jc w:val="both"/>
              <w:rPr>
                <w:rFonts w:ascii="宋体" w:hAnsi="宋体" w:cs="宋体" w:eastAsia="宋体" w:hint="default"/>
                <w:sz w:val="18"/>
                <w:szCs w:val="18"/>
              </w:rPr>
            </w:pPr>
            <w:r>
              <w:rPr>
                <w:rFonts w:ascii="宋体" w:hAnsi="宋体" w:cs="宋体" w:eastAsia="宋体" w:hint="default"/>
                <w:spacing w:val="20"/>
                <w:sz w:val="18"/>
                <w:szCs w:val="18"/>
              </w:rPr>
              <w:t>（破坏性物</w:t>
            </w:r>
            <w:r>
              <w:rPr>
                <w:rFonts w:ascii="宋体" w:hAnsi="宋体" w:cs="宋体" w:eastAsia="宋体" w:hint="default"/>
                <w:spacing w:val="-86"/>
                <w:sz w:val="18"/>
                <w:szCs w:val="18"/>
              </w:rPr>
              <w:t> </w:t>
            </w:r>
            <w:r>
              <w:rPr>
                <w:rFonts w:ascii="宋体" w:hAnsi="宋体" w:cs="宋体" w:eastAsia="宋体" w:hint="default"/>
                <w:spacing w:val="-12"/>
                <w:sz w:val="18"/>
                <w:szCs w:val="18"/>
              </w:rPr>
              <w:t>理分析）测试</w:t>
            </w:r>
            <w:r>
              <w:rPr>
                <w:rFonts w:ascii="宋体" w:hAnsi="宋体" w:cs="宋体" w:eastAsia="宋体" w:hint="default"/>
                <w:sz w:val="18"/>
                <w:szCs w:val="18"/>
              </w:rPr>
              <w:t> </w:t>
            </w:r>
            <w:r>
              <w:rPr>
                <w:rFonts w:ascii="宋体" w:hAnsi="宋体" w:cs="宋体" w:eastAsia="宋体" w:hint="default"/>
                <w:spacing w:val="20"/>
                <w:sz w:val="18"/>
                <w:szCs w:val="18"/>
              </w:rPr>
              <w:t>分析公共服</w:t>
            </w:r>
            <w:r>
              <w:rPr>
                <w:rFonts w:ascii="宋体" w:hAnsi="宋体" w:cs="宋体" w:eastAsia="宋体" w:hint="default"/>
                <w:spacing w:val="-86"/>
                <w:sz w:val="18"/>
                <w:szCs w:val="18"/>
              </w:rPr>
              <w:t> </w:t>
            </w:r>
            <w:r>
              <w:rPr>
                <w:rFonts w:ascii="宋体" w:hAnsi="宋体" w:cs="宋体" w:eastAsia="宋体" w:hint="default"/>
                <w:sz w:val="18"/>
                <w:szCs w:val="18"/>
              </w:rPr>
              <w:t>务平台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3"/>
              <w:jc w:val="both"/>
              <w:rPr>
                <w:rFonts w:ascii="宋体" w:hAnsi="宋体" w:cs="宋体" w:eastAsia="宋体" w:hint="default"/>
                <w:sz w:val="18"/>
                <w:szCs w:val="18"/>
              </w:rPr>
            </w:pPr>
            <w:r>
              <w:rPr>
                <w:rFonts w:ascii="宋体" w:hAnsi="宋体" w:cs="宋体" w:eastAsia="宋体" w:hint="default"/>
                <w:spacing w:val="20"/>
                <w:sz w:val="18"/>
                <w:szCs w:val="18"/>
              </w:rPr>
              <w:t>上海张江国</w:t>
            </w:r>
            <w:r>
              <w:rPr>
                <w:rFonts w:ascii="宋体" w:hAnsi="宋体" w:cs="宋体" w:eastAsia="宋体" w:hint="default"/>
                <w:spacing w:val="-86"/>
                <w:sz w:val="18"/>
                <w:szCs w:val="18"/>
              </w:rPr>
              <w:t> </w:t>
            </w:r>
            <w:r>
              <w:rPr>
                <w:rFonts w:ascii="宋体" w:hAnsi="宋体" w:cs="宋体" w:eastAsia="宋体" w:hint="default"/>
                <w:spacing w:val="20"/>
                <w:sz w:val="18"/>
                <w:szCs w:val="18"/>
              </w:rPr>
              <w:t>家自主创新</w:t>
            </w:r>
            <w:r>
              <w:rPr>
                <w:rFonts w:ascii="宋体" w:hAnsi="宋体" w:cs="宋体" w:eastAsia="宋体" w:hint="default"/>
                <w:spacing w:val="-86"/>
                <w:sz w:val="18"/>
                <w:szCs w:val="18"/>
              </w:rPr>
              <w:t> </w:t>
            </w:r>
            <w:r>
              <w:rPr>
                <w:rFonts w:ascii="宋体" w:hAnsi="宋体" w:cs="宋体" w:eastAsia="宋体" w:hint="default"/>
                <w:spacing w:val="20"/>
                <w:sz w:val="18"/>
                <w:szCs w:val="18"/>
              </w:rPr>
              <w:t>示范区专项</w:t>
            </w:r>
            <w:r>
              <w:rPr>
                <w:rFonts w:ascii="宋体" w:hAnsi="宋体" w:cs="宋体" w:eastAsia="宋体" w:hint="default"/>
                <w:spacing w:val="-86"/>
                <w:sz w:val="18"/>
                <w:szCs w:val="18"/>
              </w:rPr>
              <w:t> </w:t>
            </w:r>
            <w:r>
              <w:rPr>
                <w:rFonts w:ascii="宋体" w:hAnsi="宋体" w:cs="宋体" w:eastAsia="宋体" w:hint="default"/>
                <w:sz w:val="18"/>
                <w:szCs w:val="18"/>
              </w:rPr>
              <w:t>发展基金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065"/>
        <w:gridCol w:w="1066"/>
        <w:gridCol w:w="1064"/>
        <w:gridCol w:w="1063"/>
        <w:gridCol w:w="1061"/>
        <w:gridCol w:w="1063"/>
        <w:gridCol w:w="1063"/>
        <w:gridCol w:w="1065"/>
        <w:gridCol w:w="1062"/>
      </w:tblGrid>
      <w:tr>
        <w:trPr>
          <w:trHeight w:val="82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75,662,956.4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3,819,000.00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72,916.67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7,786,455.40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71,622,584.4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73" w:right="100"/>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52</w:t>
      </w:r>
      <w:r>
        <w:rPr/>
        <w:t>、其他非流动负债</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9"/>
          <w:szCs w:val="9"/>
        </w:rPr>
      </w:pPr>
    </w:p>
    <w:p>
      <w:pPr>
        <w:pStyle w:val="BodyText"/>
        <w:spacing w:line="240" w:lineRule="auto" w:before="36"/>
        <w:ind w:left="573" w:right="100"/>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00"/>
        <w:jc w:val="left"/>
      </w:pPr>
      <w:r>
        <w:rPr>
          <w:rFonts w:ascii="Times New Roman" w:hAnsi="Times New Roman" w:cs="Times New Roman" w:eastAsia="Times New Roman" w:hint="default"/>
        </w:rPr>
        <w:t>53</w:t>
      </w:r>
      <w:r>
        <w:rPr/>
        <w:t>、股本</w:t>
      </w:r>
    </w:p>
    <w:p>
      <w:pPr>
        <w:spacing w:line="240" w:lineRule="auto" w:before="4"/>
        <w:rPr>
          <w:rFonts w:ascii="黑体" w:hAnsi="黑体" w:cs="黑体" w:eastAsia="黑体" w:hint="default"/>
          <w:sz w:val="21"/>
          <w:szCs w:val="21"/>
        </w:rPr>
      </w:pPr>
    </w:p>
    <w:p>
      <w:pPr>
        <w:pStyle w:val="BodyText"/>
        <w:spacing w:line="240" w:lineRule="auto" w:before="36"/>
        <w:ind w:left="0" w:right="208"/>
        <w:jc w:val="right"/>
      </w:pPr>
      <w:r>
        <w:rPr>
          <w:spacing w:val="-1"/>
        </w:rPr>
        <w:t>单位：元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276"/>
        <w:gridCol w:w="955"/>
        <w:gridCol w:w="1198"/>
        <w:gridCol w:w="965"/>
        <w:gridCol w:w="1267"/>
        <w:gridCol w:w="1357"/>
      </w:tblGrid>
      <w:tr>
        <w:trPr>
          <w:trHeight w:val="259"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8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45"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61"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7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9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59"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1267"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left="53" w:right="0"/>
              <w:jc w:val="left"/>
              <w:rPr>
                <w:rFonts w:ascii="Times New Roman" w:hAnsi="Times New Roman" w:cs="Times New Roman" w:eastAsia="Times New Roman" w:hint="default"/>
                <w:sz w:val="18"/>
                <w:szCs w:val="18"/>
              </w:rPr>
            </w:pPr>
            <w:r>
              <w:rPr>
                <w:rFonts w:ascii="Times New Roman"/>
                <w:sz w:val="18"/>
              </w:rPr>
              <w:t>1,150,221,154.00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18"/>
                <w:szCs w:val="18"/>
              </w:rPr>
            </w:pPr>
            <w:r>
              <w:rPr>
                <w:rFonts w:ascii="Times New Roman"/>
                <w:sz w:val="18"/>
              </w:rPr>
              <w:t>22,860,000.00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-884,959.00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18"/>
                <w:szCs w:val="18"/>
              </w:rPr>
            </w:pPr>
            <w:r>
              <w:rPr>
                <w:rFonts w:ascii="Times New Roman"/>
                <w:sz w:val="18"/>
              </w:rPr>
              <w:t>21,975,041.00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5" w:right="0"/>
              <w:jc w:val="left"/>
              <w:rPr>
                <w:rFonts w:ascii="Times New Roman" w:hAnsi="Times New Roman" w:cs="Times New Roman" w:eastAsia="Times New Roman" w:hint="default"/>
                <w:sz w:val="18"/>
                <w:szCs w:val="18"/>
              </w:rPr>
            </w:pPr>
            <w:r>
              <w:rPr>
                <w:rFonts w:ascii="Times New Roman"/>
                <w:sz w:val="18"/>
              </w:rPr>
              <w:t>1,172,196,195.00</w:t>
            </w:r>
          </w:p>
        </w:tc>
      </w:tr>
    </w:tbl>
    <w:p>
      <w:pPr>
        <w:spacing w:line="240" w:lineRule="auto" w:before="11"/>
        <w:rPr>
          <w:rFonts w:ascii="宋体" w:hAnsi="宋体" w:cs="宋体" w:eastAsia="宋体" w:hint="default"/>
          <w:sz w:val="9"/>
          <w:szCs w:val="9"/>
        </w:rPr>
      </w:pPr>
    </w:p>
    <w:p>
      <w:pPr>
        <w:pStyle w:val="BodyText"/>
        <w:spacing w:line="494" w:lineRule="auto" w:before="36"/>
        <w:ind w:left="573" w:right="8363"/>
        <w:jc w:val="left"/>
      </w:pPr>
      <w:r>
        <w:rPr/>
        <w:t>其他说明：</w:t>
      </w:r>
      <w:r>
        <w:rPr>
          <w:spacing w:val="-102"/>
        </w:rPr>
        <w:t> </w:t>
      </w:r>
      <w:r>
        <w:rPr>
          <w:spacing w:val="-102"/>
        </w:rPr>
      </w:r>
      <w:r>
        <w:rPr/>
        <w:t>其他说明：</w:t>
      </w:r>
    </w:p>
    <w:p>
      <w:pPr>
        <w:pStyle w:val="BodyText"/>
        <w:spacing w:line="240" w:lineRule="auto" w:before="71"/>
        <w:ind w:left="573" w:right="10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1"/>
        </w:rPr>
        <w:t> </w:t>
      </w:r>
      <w:r>
        <w:rPr/>
        <w:t>年度完成注销</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年度限制性股票第二期未解锁股份回购形成库存股</w:t>
      </w:r>
      <w:r>
        <w:rPr>
          <w:spacing w:val="-51"/>
        </w:rPr>
        <w:t> </w:t>
      </w:r>
      <w:r>
        <w:rPr>
          <w:rFonts w:ascii="Times New Roman" w:hAnsi="Times New Roman" w:cs="Times New Roman" w:eastAsia="Times New Roman" w:hint="default"/>
        </w:rPr>
        <w:t>884,959.00</w:t>
      </w:r>
      <w:r>
        <w:rPr>
          <w:rFonts w:ascii="Times New Roman" w:hAnsi="Times New Roman" w:cs="Times New Roman" w:eastAsia="Times New Roman" w:hint="default"/>
          <w:spacing w:val="-11"/>
        </w:rPr>
        <w:t> </w:t>
      </w:r>
      <w:r>
        <w:rPr>
          <w:spacing w:val="-6"/>
        </w:rPr>
        <w:t>元，减少股</w:t>
      </w:r>
    </w:p>
    <w:p>
      <w:pPr>
        <w:pStyle w:val="BodyText"/>
        <w:spacing w:line="240" w:lineRule="auto" w:before="177"/>
        <w:ind w:right="100"/>
        <w:jc w:val="left"/>
      </w:pPr>
      <w:r>
        <w:rPr/>
        <w:t>本</w:t>
      </w:r>
      <w:r>
        <w:rPr>
          <w:spacing w:val="-51"/>
        </w:rPr>
        <w:t> </w:t>
      </w:r>
      <w:r>
        <w:rPr>
          <w:rFonts w:ascii="Times New Roman" w:hAnsi="Times New Roman" w:cs="Times New Roman" w:eastAsia="Times New Roman" w:hint="default"/>
        </w:rPr>
        <w:t>884,959.00</w:t>
      </w:r>
      <w:r>
        <w:rPr>
          <w:rFonts w:ascii="Times New Roman" w:hAnsi="Times New Roman" w:cs="Times New Roman" w:eastAsia="Times New Roman" w:hint="default"/>
          <w:spacing w:val="-11"/>
        </w:rPr>
        <w:t> </w:t>
      </w:r>
      <w:r>
        <w:rPr/>
        <w:t>元；</w:t>
      </w:r>
    </w:p>
    <w:p>
      <w:pPr>
        <w:spacing w:line="240" w:lineRule="auto" w:before="3"/>
        <w:rPr>
          <w:rFonts w:ascii="宋体" w:hAnsi="宋体" w:cs="宋体" w:eastAsia="宋体" w:hint="default"/>
          <w:sz w:val="21"/>
          <w:szCs w:val="21"/>
        </w:rPr>
      </w:pPr>
    </w:p>
    <w:p>
      <w:pPr>
        <w:pStyle w:val="BodyText"/>
        <w:spacing w:line="386" w:lineRule="auto"/>
        <w:ind w:right="100" w:firstLine="420"/>
        <w:jc w:val="left"/>
      </w:pPr>
      <w:r>
        <w:rPr>
          <w:rFonts w:ascii="Times New Roman" w:hAnsi="Times New Roman" w:cs="Times New Roman" w:eastAsia="Times New Roman" w:hint="default"/>
          <w:spacing w:val="-5"/>
          <w:w w:val="100"/>
        </w:rPr>
        <w:t>2</w:t>
      </w:r>
      <w:r>
        <w:rPr>
          <w:spacing w:val="-5"/>
          <w:w w:val="100"/>
        </w:rPr>
        <w:t>、根据公司第三届董事会第四十五次会议决议通过的</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spacing w:val="-2"/>
          <w:w w:val="100"/>
        </w:rPr>
        <w:t> </w:t>
      </w:r>
      <w:r>
        <w:rPr>
          <w:spacing w:val="-19"/>
          <w:w w:val="100"/>
        </w:rPr>
        <w:t>年限制性股票激励计划（草案）（修订稿）</w:t>
      </w:r>
      <w:r>
        <w:rPr>
          <w:rFonts w:ascii="Times New Roman" w:hAnsi="Times New Roman" w:cs="Times New Roman" w:eastAsia="Times New Roman" w:hint="default"/>
          <w:spacing w:val="-19"/>
          <w:w w:val="100"/>
        </w:rPr>
        <w:t>”</w:t>
      </w:r>
      <w:r>
        <w:rPr>
          <w:spacing w:val="-19"/>
          <w:w w:val="100"/>
        </w:rPr>
        <w:t>：</w:t>
      </w:r>
      <w:r>
        <w:rPr>
          <w:w w:val="100"/>
        </w:rPr>
        <w:t> </w:t>
      </w:r>
      <w:r>
        <w:rPr/>
        <w:t>确定</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spacing w:val="-4"/>
        </w:rPr>
        <w:t>日作为贵公司限制性股票的授予日，向公司高级管理人员、中层管理人员及核心业务、</w:t>
      </w:r>
    </w:p>
    <w:p>
      <w:pPr>
        <w:pStyle w:val="BodyText"/>
        <w:spacing w:line="240" w:lineRule="auto" w:before="36"/>
        <w:ind w:right="100"/>
        <w:jc w:val="left"/>
      </w:pPr>
      <w:r>
        <w:rPr/>
        <w:t>技术、管理骨干人员，共计</w:t>
      </w:r>
      <w:r>
        <w:rPr>
          <w:spacing w:val="-39"/>
        </w:rPr>
        <w:t> </w:t>
      </w:r>
      <w:r>
        <w:rPr>
          <w:rFonts w:ascii="Times New Roman" w:hAnsi="Times New Roman" w:cs="Times New Roman" w:eastAsia="Times New Roman" w:hint="default"/>
        </w:rPr>
        <w:t>402</w:t>
      </w:r>
      <w:r>
        <w:rPr>
          <w:rFonts w:ascii="Times New Roman" w:hAnsi="Times New Roman" w:cs="Times New Roman" w:eastAsia="Times New Roman" w:hint="default"/>
          <w:spacing w:val="-10"/>
        </w:rPr>
        <w:t> </w:t>
      </w:r>
      <w:r>
        <w:rPr/>
        <w:t>人授予</w:t>
      </w:r>
      <w:r>
        <w:rPr>
          <w:spacing w:val="-39"/>
        </w:rPr>
        <w:t> </w:t>
      </w:r>
      <w:r>
        <w:rPr>
          <w:rFonts w:ascii="Times New Roman" w:hAnsi="Times New Roman" w:cs="Times New Roman" w:eastAsia="Times New Roman" w:hint="default"/>
        </w:rPr>
        <w:t>2286.00</w:t>
      </w:r>
      <w:r>
        <w:rPr>
          <w:rFonts w:ascii="Times New Roman" w:hAnsi="Times New Roman" w:cs="Times New Roman" w:eastAsia="Times New Roman" w:hint="default"/>
          <w:spacing w:val="-8"/>
        </w:rPr>
        <w:t> </w:t>
      </w:r>
      <w:r>
        <w:rPr/>
        <w:t>万股限制性股票，限制性股票的授予价格</w:t>
      </w:r>
      <w:r>
        <w:rPr>
          <w:spacing w:val="-39"/>
        </w:rPr>
        <w:t> </w:t>
      </w:r>
      <w:r>
        <w:rPr>
          <w:rFonts w:ascii="Times New Roman" w:hAnsi="Times New Roman" w:cs="Times New Roman" w:eastAsia="Times New Roman" w:hint="default"/>
        </w:rPr>
        <w:t>10.52</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股。截</w:t>
      </w:r>
    </w:p>
    <w:p>
      <w:pPr>
        <w:pStyle w:val="BodyText"/>
        <w:spacing w:line="240" w:lineRule="auto" w:before="177"/>
        <w:ind w:right="100"/>
        <w:jc w:val="left"/>
      </w:pPr>
      <w:r>
        <w:rPr/>
        <w:t>至</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日止，收到公司</w:t>
      </w:r>
      <w:r>
        <w:rPr>
          <w:spacing w:val="-43"/>
        </w:rPr>
        <w:t> </w:t>
      </w:r>
      <w:r>
        <w:rPr>
          <w:rFonts w:ascii="Times New Roman" w:hAnsi="Times New Roman" w:cs="Times New Roman" w:eastAsia="Times New Roman" w:hint="default"/>
        </w:rPr>
        <w:t>402</w:t>
      </w:r>
      <w:r>
        <w:rPr>
          <w:rFonts w:ascii="Times New Roman" w:hAnsi="Times New Roman" w:cs="Times New Roman" w:eastAsia="Times New Roman" w:hint="default"/>
          <w:spacing w:val="-10"/>
        </w:rPr>
        <w:t> </w:t>
      </w:r>
      <w:r>
        <w:rPr/>
        <w:t>名激励对象缴纳的出资</w:t>
      </w:r>
      <w:r>
        <w:rPr>
          <w:spacing w:val="-41"/>
        </w:rPr>
        <w:t> </w:t>
      </w:r>
      <w:r>
        <w:rPr>
          <w:rFonts w:ascii="Times New Roman" w:hAnsi="Times New Roman" w:cs="Times New Roman" w:eastAsia="Times New Roman" w:hint="default"/>
        </w:rPr>
        <w:t>240,487,200.00</w:t>
      </w:r>
      <w:r>
        <w:rPr>
          <w:rFonts w:ascii="Times New Roman" w:hAnsi="Times New Roman" w:cs="Times New Roman" w:eastAsia="Times New Roman" w:hint="default"/>
          <w:spacing w:val="-8"/>
        </w:rPr>
        <w:t> </w:t>
      </w:r>
      <w:r>
        <w:rPr/>
        <w:t>元，其中新增注册资本人民</w:t>
      </w:r>
    </w:p>
    <w:p>
      <w:pPr>
        <w:pStyle w:val="BodyText"/>
        <w:spacing w:line="386" w:lineRule="auto" w:before="177"/>
        <w:ind w:right="100"/>
        <w:jc w:val="left"/>
      </w:pPr>
      <w:r>
        <w:rPr/>
        <w:t>币</w:t>
      </w:r>
      <w:r>
        <w:rPr>
          <w:spacing w:val="-57"/>
        </w:rPr>
        <w:t> </w:t>
      </w:r>
      <w:r>
        <w:rPr>
          <w:rFonts w:ascii="Times New Roman" w:hAnsi="Times New Roman" w:cs="Times New Roman" w:eastAsia="Times New Roman" w:hint="default"/>
        </w:rPr>
        <w:t>22,860,000.00</w:t>
      </w:r>
      <w:r>
        <w:rPr>
          <w:rFonts w:ascii="Times New Roman" w:hAnsi="Times New Roman" w:cs="Times New Roman" w:eastAsia="Times New Roman" w:hint="default"/>
          <w:spacing w:val="-14"/>
        </w:rPr>
        <w:t> </w:t>
      </w:r>
      <w:r>
        <w:rPr/>
        <w:t>元，计入资本公积资本溢价</w:t>
      </w:r>
      <w:r>
        <w:rPr>
          <w:spacing w:val="-58"/>
        </w:rPr>
        <w:t> </w:t>
      </w:r>
      <w:r>
        <w:rPr>
          <w:rFonts w:ascii="Times New Roman" w:hAnsi="Times New Roman" w:cs="Times New Roman" w:eastAsia="Times New Roman" w:hint="default"/>
        </w:rPr>
        <w:t>217,627,200.00</w:t>
      </w:r>
      <w:r>
        <w:rPr>
          <w:rFonts w:ascii="Times New Roman" w:hAnsi="Times New Roman" w:cs="Times New Roman" w:eastAsia="Times New Roman" w:hint="default"/>
          <w:spacing w:val="-14"/>
        </w:rPr>
        <w:t> </w:t>
      </w:r>
      <w:r>
        <w:rPr/>
        <w:t>元。该次股权变动已经立信会计师事务所（特</w:t>
      </w:r>
      <w:r>
        <w:rPr>
          <w:w w:val="100"/>
        </w:rPr>
        <w:t> </w:t>
      </w:r>
      <w:r>
        <w:rPr/>
        <w:t>殊普通合伙）进行验资，并出具信会师报字</w:t>
      </w:r>
      <w:r>
        <w:rPr>
          <w:rFonts w:ascii="Times New Roman" w:hAnsi="Times New Roman" w:cs="Times New Roman" w:eastAsia="Times New Roman" w:hint="default"/>
        </w:rPr>
        <w:t>[2017]</w:t>
      </w:r>
      <w:r>
        <w:rPr/>
        <w:t>第</w:t>
      </w:r>
      <w:r>
        <w:rPr>
          <w:spacing w:val="-59"/>
        </w:rPr>
        <w:t> </w:t>
      </w:r>
      <w:r>
        <w:rPr>
          <w:rFonts w:ascii="Times New Roman" w:hAnsi="Times New Roman" w:cs="Times New Roman" w:eastAsia="Times New Roman" w:hint="default"/>
        </w:rPr>
        <w:t>ZG12068</w:t>
      </w:r>
      <w:r>
        <w:rPr>
          <w:rFonts w:ascii="Times New Roman" w:hAnsi="Times New Roman" w:cs="Times New Roman" w:eastAsia="Times New Roman" w:hint="default"/>
          <w:spacing w:val="-14"/>
        </w:rPr>
        <w:t> </w:t>
      </w:r>
      <w:r>
        <w:rPr/>
        <w:t>号验资报告。</w:t>
      </w:r>
    </w:p>
    <w:p>
      <w:pPr>
        <w:pStyle w:val="Heading3"/>
        <w:spacing w:line="240" w:lineRule="auto" w:before="166"/>
        <w:ind w:right="100"/>
        <w:jc w:val="left"/>
      </w:pPr>
      <w:r>
        <w:rPr>
          <w:rFonts w:ascii="Times New Roman" w:hAnsi="Times New Roman" w:cs="Times New Roman" w:eastAsia="Times New Roman" w:hint="default"/>
        </w:rPr>
        <w:t>54</w:t>
      </w:r>
      <w:r>
        <w:rPr/>
        <w:t>、其他权益工具</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）期末发行在外的优先股、永续债等其他金融工具基本情况</w:t>
      </w:r>
    </w:p>
    <w:p>
      <w:pPr>
        <w:spacing w:line="240" w:lineRule="auto" w:before="1"/>
        <w:rPr>
          <w:rFonts w:ascii="黑体" w:hAnsi="黑体" w:cs="黑体" w:eastAsia="黑体" w:hint="default"/>
          <w:sz w:val="25"/>
          <w:szCs w:val="25"/>
        </w:rPr>
      </w:pPr>
    </w:p>
    <w:p>
      <w:pPr>
        <w:pStyle w:val="Heading3"/>
        <w:spacing w:line="240" w:lineRule="auto"/>
        <w:ind w:right="100"/>
        <w:jc w:val="left"/>
      </w:pPr>
      <w:r>
        <w:rPr/>
        <w:t>（</w:t>
      </w:r>
      <w:r>
        <w:rPr>
          <w:rFonts w:ascii="Times New Roman" w:hAnsi="Times New Roman" w:cs="Times New Roman" w:eastAsia="Times New Roman" w:hint="default"/>
        </w:rPr>
        <w:t>2</w:t>
      </w:r>
      <w:r>
        <w:rPr/>
        <w:t>）期末发行在外的优先股、永续债等金融工具变动情况表</w:t>
      </w:r>
    </w:p>
    <w:p>
      <w:pPr>
        <w:spacing w:after="0" w:line="240" w:lineRule="auto"/>
        <w:jc w:val="left"/>
        <w:sectPr>
          <w:pgSz w:w="11910" w:h="16840"/>
          <w:pgMar w:header="0" w:footer="1132" w:top="1280" w:bottom="1320" w:left="980" w:right="920"/>
        </w:sectPr>
      </w:pPr>
    </w:p>
    <w:p>
      <w:pPr>
        <w:spacing w:line="240" w:lineRule="auto" w:before="5"/>
        <w:rPr>
          <w:rFonts w:ascii="黑体" w:hAnsi="黑体" w:cs="黑体" w:eastAsia="黑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506"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2" w:right="0"/>
              <w:jc w:val="left"/>
              <w:rPr>
                <w:rFonts w:ascii="宋体" w:hAnsi="宋体" w:cs="宋体" w:eastAsia="宋体" w:hint="default"/>
                <w:sz w:val="18"/>
                <w:szCs w:val="18"/>
              </w:rPr>
            </w:pPr>
            <w:r>
              <w:rPr>
                <w:rFonts w:ascii="宋体" w:hAnsi="宋体" w:cs="宋体" w:eastAsia="宋体" w:hint="default"/>
                <w:spacing w:val="20"/>
                <w:sz w:val="18"/>
                <w:szCs w:val="18"/>
              </w:rPr>
              <w:t>发行在外的</w:t>
            </w:r>
            <w:r>
              <w:rPr>
                <w:rFonts w:ascii="宋体" w:hAnsi="宋体" w:cs="宋体" w:eastAsia="宋体" w:hint="default"/>
                <w:spacing w:val="-86"/>
                <w:sz w:val="18"/>
                <w:szCs w:val="18"/>
              </w:rPr>
              <w:t> </w:t>
            </w:r>
            <w:r>
              <w:rPr>
                <w:rFonts w:ascii="宋体" w:hAnsi="宋体" w:cs="宋体" w:eastAsia="宋体" w:hint="default"/>
                <w:sz w:val="18"/>
                <w:szCs w:val="18"/>
              </w:rPr>
              <w:t>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w:t>
            </w:r>
          </w:p>
        </w:tc>
      </w:tr>
      <w:tr>
        <w:trPr>
          <w:trHeight w:val="509"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9"/>
          <w:szCs w:val="9"/>
        </w:rPr>
      </w:pPr>
    </w:p>
    <w:p>
      <w:pPr>
        <w:pStyle w:val="BodyText"/>
        <w:spacing w:line="494" w:lineRule="auto" w:before="36"/>
        <w:ind w:left="573" w:right="1836"/>
        <w:jc w:val="left"/>
      </w:pPr>
      <w:r>
        <w:rPr>
          <w:spacing w:val="-2"/>
        </w:rPr>
        <w:t>其他权益工具本期增减变动情况、变动原因说明，以及相关会计处理的依据：</w:t>
      </w:r>
      <w:r>
        <w:rPr>
          <w:spacing w:val="-42"/>
        </w:rPr>
        <w:t> </w:t>
      </w:r>
      <w:r>
        <w:rPr>
          <w:spacing w:val="-42"/>
        </w:rPr>
      </w:r>
      <w:r>
        <w:rPr/>
        <w:t>其他说明：</w:t>
      </w:r>
    </w:p>
    <w:p>
      <w:pPr>
        <w:pStyle w:val="Heading3"/>
        <w:spacing w:line="240" w:lineRule="auto" w:before="103"/>
        <w:ind w:right="11"/>
        <w:jc w:val="left"/>
      </w:pPr>
      <w:r>
        <w:rPr>
          <w:rFonts w:ascii="Times New Roman" w:hAnsi="Times New Roman" w:cs="Times New Roman" w:eastAsia="Times New Roman" w:hint="default"/>
        </w:rPr>
        <w:t>55</w:t>
      </w:r>
      <w:r>
        <w:rPr/>
        <w:t>、资本公积</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3,045,889,812.46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218,889,128.08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7,039,184.57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3,257,739,755.97</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47,264,077.52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28,628,100.00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75,892,177.52</w:t>
            </w:r>
          </w:p>
        </w:tc>
      </w:tr>
      <w:tr>
        <w:trPr>
          <w:trHeight w:val="50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3,093,153,889.98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247,517,228.08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7,039,184.57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3,333,631,933.49</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其他说明，包括本期增减变动情况、变动原因说明：</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1</w:t>
      </w:r>
      <w:r>
        <w:rPr/>
        <w:t>、股权激励事项新增</w:t>
      </w:r>
      <w:r>
        <w:rPr>
          <w:spacing w:val="-53"/>
        </w:rPr>
        <w:t> </w:t>
      </w:r>
      <w:r>
        <w:rPr>
          <w:rFonts w:ascii="Times New Roman" w:hAnsi="Times New Roman" w:cs="Times New Roman" w:eastAsia="Times New Roman" w:hint="default"/>
        </w:rPr>
        <w:t>217,627,200.00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2</w:t>
      </w:r>
      <w:r>
        <w:rPr/>
        <w:t>、计提</w:t>
      </w:r>
      <w:r>
        <w:rPr>
          <w:spacing w:val="-53"/>
        </w:rPr>
        <w:t> </w:t>
      </w:r>
      <w:r>
        <w:rPr>
          <w:rFonts w:ascii="Times New Roman" w:hAnsi="Times New Roman" w:cs="Times New Roman" w:eastAsia="Times New Roman" w:hint="default"/>
        </w:rPr>
        <w:t>2017 </w:t>
      </w:r>
      <w:r>
        <w:rPr/>
        <w:t>年股权激励费用</w:t>
      </w:r>
      <w:r>
        <w:rPr>
          <w:spacing w:val="-52"/>
        </w:rPr>
        <w:t> </w:t>
      </w:r>
      <w:r>
        <w:rPr>
          <w:rFonts w:ascii="Times New Roman" w:hAnsi="Times New Roman" w:cs="Times New Roman" w:eastAsia="Times New Roman" w:hint="default"/>
        </w:rPr>
        <w:t>28,628,100.00</w:t>
      </w:r>
      <w:r>
        <w:rPr>
          <w:rFonts w:ascii="Times New Roman" w:hAnsi="Times New Roman" w:cs="Times New Roman" w:eastAsia="Times New Roman" w:hint="default"/>
          <w:spacing w:val="-3"/>
        </w:rPr>
        <w:t> </w:t>
      </w:r>
      <w:r>
        <w:rPr/>
        <w:t>元；</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3</w:t>
      </w:r>
      <w:r>
        <w:rPr/>
        <w:t>、本期收购上海信业少数股东股权增加资本公积</w:t>
      </w:r>
      <w:r>
        <w:rPr>
          <w:spacing w:val="-56"/>
        </w:rPr>
        <w:t> </w:t>
      </w:r>
      <w:r>
        <w:rPr>
          <w:rFonts w:ascii="Times New Roman" w:hAnsi="Times New Roman" w:cs="Times New Roman" w:eastAsia="Times New Roman" w:hint="default"/>
        </w:rPr>
        <w:t>1,261,928.08</w:t>
      </w:r>
      <w:r>
        <w:rPr>
          <w:rFonts w:ascii="Times New Roman" w:hAnsi="Times New Roman" w:cs="Times New Roman" w:eastAsia="Times New Roman" w:hint="default"/>
          <w:spacing w:val="-5"/>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4</w:t>
      </w:r>
      <w:r>
        <w:rPr/>
        <w:t>、本期回购库存股</w:t>
      </w:r>
      <w:r>
        <w:rPr>
          <w:spacing w:val="-56"/>
        </w:rPr>
        <w:t> </w:t>
      </w:r>
      <w:r>
        <w:rPr>
          <w:rFonts w:ascii="Times New Roman" w:hAnsi="Times New Roman" w:cs="Times New Roman" w:eastAsia="Times New Roman" w:hint="default"/>
        </w:rPr>
        <w:t>492,272.00</w:t>
      </w:r>
      <w:r>
        <w:rPr>
          <w:rFonts w:ascii="Times New Roman" w:hAnsi="Times New Roman" w:cs="Times New Roman" w:eastAsia="Times New Roman" w:hint="default"/>
          <w:spacing w:val="-1"/>
        </w:rPr>
        <w:t> </w:t>
      </w:r>
      <w:r>
        <w:rPr/>
        <w:t>元，减少资本公积</w:t>
      </w:r>
      <w:r>
        <w:rPr>
          <w:spacing w:val="-54"/>
        </w:rPr>
        <w:t> </w:t>
      </w:r>
      <w:r>
        <w:rPr>
          <w:rFonts w:ascii="Times New Roman" w:hAnsi="Times New Roman" w:cs="Times New Roman" w:eastAsia="Times New Roman" w:hint="default"/>
        </w:rPr>
        <w:t>1,807,212.21</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5</w:t>
      </w:r>
      <w:r>
        <w:rPr/>
        <w:t>、本期解锁限制性股票减少资本公积  </w:t>
      </w:r>
      <w:r>
        <w:rPr>
          <w:rFonts w:ascii="Times New Roman" w:hAnsi="Times New Roman" w:cs="Times New Roman" w:eastAsia="Times New Roman" w:hint="default"/>
        </w:rPr>
        <w:t>5,231,972.36</w:t>
      </w:r>
      <w:r>
        <w:rPr>
          <w:rFonts w:ascii="Times New Roman" w:hAnsi="Times New Roman" w:cs="Times New Roman" w:eastAsia="Times New Roman" w:hint="default"/>
          <w:spacing w:val="-15"/>
        </w:rPr>
        <w:t> </w:t>
      </w:r>
      <w:r>
        <w:rPr/>
        <w:t>元。</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56</w:t>
      </w:r>
      <w:r>
        <w:rPr/>
        <w:t>、库存股</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0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41,669,428.77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240,979,472.00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42,521,548.77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240,127,352.00</w:t>
            </w:r>
          </w:p>
        </w:tc>
      </w:tr>
      <w:tr>
        <w:trPr>
          <w:trHeight w:val="50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41,669,428.77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240,979,472.00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42,521,548.77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240,127,352.00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其他说明，包括本期增减变动情况、变动原因说明：</w:t>
      </w:r>
    </w:p>
    <w:p>
      <w:pPr>
        <w:spacing w:line="240" w:lineRule="auto" w:before="7"/>
        <w:rPr>
          <w:rFonts w:ascii="宋体" w:hAnsi="宋体" w:cs="宋体" w:eastAsia="宋体" w:hint="default"/>
          <w:sz w:val="22"/>
          <w:szCs w:val="22"/>
        </w:rPr>
      </w:pPr>
    </w:p>
    <w:p>
      <w:pPr>
        <w:pStyle w:val="BodyText"/>
        <w:spacing w:line="386" w:lineRule="auto"/>
        <w:ind w:right="147"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年度限制性股票第二期未解锁股份回购形成库存股</w:t>
      </w:r>
      <w:r>
        <w:rPr>
          <w:spacing w:val="-46"/>
        </w:rPr>
        <w:t> </w:t>
      </w:r>
      <w:r>
        <w:rPr>
          <w:rFonts w:ascii="Times New Roman" w:hAnsi="Times New Roman" w:cs="Times New Roman" w:eastAsia="Times New Roman" w:hint="default"/>
        </w:rPr>
        <w:t>884,959.00</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年度完成注销，减少</w:t>
      </w:r>
      <w:r>
        <w:rPr>
          <w:w w:val="100"/>
        </w:rPr>
        <w:t> </w:t>
      </w:r>
      <w:r>
        <w:rPr/>
        <w:t>库存股</w:t>
      </w:r>
      <w:r>
        <w:rPr>
          <w:spacing w:val="-51"/>
        </w:rPr>
        <w:t> </w:t>
      </w:r>
      <w:r>
        <w:rPr>
          <w:rFonts w:ascii="Times New Roman" w:hAnsi="Times New Roman" w:cs="Times New Roman" w:eastAsia="Times New Roman" w:hint="default"/>
        </w:rPr>
        <w:t>884,959.00</w:t>
      </w:r>
      <w:r>
        <w:rPr>
          <w:rFonts w:ascii="Times New Roman" w:hAnsi="Times New Roman" w:cs="Times New Roman" w:eastAsia="Times New Roman" w:hint="default"/>
          <w:spacing w:val="-11"/>
        </w:rPr>
        <w:t> </w:t>
      </w:r>
      <w:r>
        <w:rPr/>
        <w:t>元；</w:t>
      </w:r>
    </w:p>
    <w:p>
      <w:pPr>
        <w:spacing w:after="0" w:line="386" w:lineRule="auto"/>
        <w:jc w:val="left"/>
        <w:sectPr>
          <w:pgSz w:w="11910" w:h="16840"/>
          <w:pgMar w:header="0"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rFonts w:ascii="Times New Roman" w:hAnsi="Times New Roman" w:cs="Times New Roman" w:eastAsia="Times New Roman" w:hint="default"/>
        </w:rPr>
        <w:t>2</w:t>
      </w:r>
      <w:r>
        <w:rPr/>
        <w:t>、根据公司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日召开第三届董事会第四十九次会议审议通过的《关于回购注销</w:t>
      </w:r>
      <w:r>
        <w:rPr>
          <w:spacing w:val="-48"/>
        </w:rPr>
        <w:t> </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2"/>
        </w:rPr>
        <w:t> </w:t>
      </w:r>
      <w:r>
        <w:rPr/>
        <w:t>年</w:t>
      </w:r>
    </w:p>
    <w:p>
      <w:pPr>
        <w:pStyle w:val="BodyText"/>
        <w:spacing w:line="240" w:lineRule="auto" w:before="177"/>
        <w:ind w:right="11"/>
        <w:jc w:val="left"/>
        <w:rPr>
          <w:rFonts w:ascii="Times New Roman" w:hAnsi="Times New Roman" w:cs="Times New Roman" w:eastAsia="Times New Roman" w:hint="default"/>
        </w:rPr>
      </w:pP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不</w:t>
      </w:r>
      <w:r>
        <w:rPr>
          <w:spacing w:val="-3"/>
          <w:w w:val="100"/>
        </w:rPr>
        <w:t>符</w:t>
      </w:r>
      <w:r>
        <w:rPr>
          <w:w w:val="100"/>
        </w:rPr>
        <w:t>合解</w:t>
      </w:r>
      <w:r>
        <w:rPr>
          <w:spacing w:val="-3"/>
          <w:w w:val="100"/>
        </w:rPr>
        <w:t>锁</w:t>
      </w:r>
      <w:r>
        <w:rPr>
          <w:w w:val="100"/>
        </w:rPr>
        <w:t>条</w:t>
      </w:r>
      <w:r>
        <w:rPr>
          <w:spacing w:val="-3"/>
          <w:w w:val="100"/>
        </w:rPr>
        <w:t>件</w:t>
      </w:r>
      <w:r>
        <w:rPr>
          <w:w w:val="100"/>
        </w:rPr>
        <w:t>的</w:t>
      </w:r>
      <w:r>
        <w:rPr>
          <w:spacing w:val="-3"/>
          <w:w w:val="100"/>
        </w:rPr>
        <w:t>激</w:t>
      </w:r>
      <w:r>
        <w:rPr>
          <w:w w:val="100"/>
        </w:rPr>
        <w:t>励</w:t>
      </w:r>
      <w:r>
        <w:rPr>
          <w:spacing w:val="-3"/>
          <w:w w:val="100"/>
        </w:rPr>
        <w:t>对</w:t>
      </w:r>
      <w:r>
        <w:rPr>
          <w:w w:val="100"/>
        </w:rPr>
        <w:t>象</w:t>
      </w:r>
      <w:r>
        <w:rPr>
          <w:spacing w:val="-3"/>
          <w:w w:val="100"/>
        </w:rPr>
        <w:t>已</w:t>
      </w:r>
      <w:r>
        <w:rPr>
          <w:w w:val="100"/>
        </w:rPr>
        <w:t>获授</w:t>
      </w:r>
      <w:r>
        <w:rPr>
          <w:spacing w:val="-3"/>
          <w:w w:val="100"/>
        </w:rPr>
        <w:t>但</w:t>
      </w:r>
      <w:r>
        <w:rPr>
          <w:w w:val="100"/>
        </w:rPr>
        <w:t>尚</w:t>
      </w:r>
      <w:r>
        <w:rPr>
          <w:spacing w:val="-3"/>
          <w:w w:val="100"/>
        </w:rPr>
        <w:t>未</w:t>
      </w:r>
      <w:r>
        <w:rPr>
          <w:w w:val="100"/>
        </w:rPr>
        <w:t>解</w:t>
      </w:r>
      <w:r>
        <w:rPr>
          <w:spacing w:val="-3"/>
          <w:w w:val="100"/>
        </w:rPr>
        <w:t>锁</w:t>
      </w:r>
      <w:r>
        <w:rPr>
          <w:w w:val="100"/>
        </w:rPr>
        <w:t>的</w:t>
      </w:r>
      <w:r>
        <w:rPr>
          <w:spacing w:val="-3"/>
          <w:w w:val="100"/>
        </w:rPr>
        <w:t>限</w:t>
      </w:r>
      <w:r>
        <w:rPr>
          <w:w w:val="100"/>
        </w:rPr>
        <w:t>制</w:t>
      </w:r>
      <w:r>
        <w:rPr>
          <w:spacing w:val="-3"/>
          <w:w w:val="100"/>
        </w:rPr>
        <w:t>性</w:t>
      </w:r>
      <w:r>
        <w:rPr>
          <w:w w:val="100"/>
        </w:rPr>
        <w:t>股票</w:t>
      </w:r>
      <w:r>
        <w:rPr>
          <w:spacing w:val="-3"/>
          <w:w w:val="100"/>
        </w:rPr>
        <w:t>的</w:t>
      </w:r>
      <w:r>
        <w:rPr>
          <w:w w:val="100"/>
        </w:rPr>
        <w:t>议</w:t>
      </w:r>
      <w:r>
        <w:rPr>
          <w:spacing w:val="-3"/>
          <w:w w:val="100"/>
        </w:rPr>
        <w:t>案</w:t>
      </w:r>
      <w:r>
        <w:rPr>
          <w:spacing w:val="-106"/>
          <w:w w:val="100"/>
        </w:rPr>
        <w:t>》</w:t>
      </w:r>
      <w:r>
        <w:rPr>
          <w:spacing w:val="-65"/>
          <w:w w:val="100"/>
        </w:rPr>
        <w:t>，</w:t>
      </w:r>
      <w:r>
        <w:rPr>
          <w:spacing w:val="-3"/>
          <w:w w:val="100"/>
        </w:rPr>
        <w:t>以</w:t>
      </w:r>
      <w:r>
        <w:rPr>
          <w:w w:val="100"/>
        </w:rPr>
        <w:t>及</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12"/>
        </w:rPr>
        <w:t> </w:t>
      </w:r>
      <w:r>
        <w:rPr>
          <w:w w:val="100"/>
        </w:rPr>
        <w:t>年</w:t>
      </w:r>
      <w:r>
        <w:rPr>
          <w:spacing w:val="-53"/>
        </w:rPr>
        <w:t> </w:t>
      </w:r>
      <w:r>
        <w:rPr>
          <w:rFonts w:ascii="Times New Roman" w:hAnsi="Times New Roman" w:cs="Times New Roman" w:eastAsia="Times New Roman" w:hint="default"/>
          <w:spacing w:val="-3"/>
          <w:w w:val="100"/>
        </w:rPr>
        <w:t>10</w:t>
      </w:r>
      <w:r>
        <w:rPr>
          <w:rFonts w:ascii="Times New Roman" w:hAnsi="Times New Roman" w:cs="Times New Roman" w:eastAsia="Times New Roman" w:hint="default"/>
          <w:w w:val="100"/>
        </w:rPr>
      </w:r>
    </w:p>
    <w:p>
      <w:pPr>
        <w:pStyle w:val="BodyText"/>
        <w:spacing w:line="240" w:lineRule="auto" w:before="177"/>
        <w:ind w:right="11"/>
        <w:jc w:val="left"/>
      </w:pP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日召开的第三届董事会第五十次会议审议通过的《关于回购注销</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年限制性股票激励计划不符合</w:t>
      </w:r>
    </w:p>
    <w:p>
      <w:pPr>
        <w:pStyle w:val="BodyText"/>
        <w:spacing w:line="240" w:lineRule="auto" w:before="177"/>
        <w:ind w:right="11"/>
        <w:jc w:val="left"/>
      </w:pPr>
      <w:r>
        <w:rPr>
          <w:w w:val="100"/>
        </w:rPr>
        <w:t>解锁</w:t>
      </w:r>
      <w:r>
        <w:rPr>
          <w:spacing w:val="-2"/>
          <w:w w:val="100"/>
        </w:rPr>
        <w:t>条</w:t>
      </w:r>
      <w:r>
        <w:rPr>
          <w:w w:val="100"/>
        </w:rPr>
        <w:t>件</w:t>
      </w:r>
      <w:r>
        <w:rPr>
          <w:spacing w:val="-3"/>
          <w:w w:val="100"/>
        </w:rPr>
        <w:t>的</w:t>
      </w:r>
      <w:r>
        <w:rPr>
          <w:w w:val="100"/>
        </w:rPr>
        <w:t>激</w:t>
      </w:r>
      <w:r>
        <w:rPr>
          <w:spacing w:val="-3"/>
          <w:w w:val="100"/>
        </w:rPr>
        <w:t>励</w:t>
      </w:r>
      <w:r>
        <w:rPr>
          <w:w w:val="100"/>
        </w:rPr>
        <w:t>对</w:t>
      </w:r>
      <w:r>
        <w:rPr>
          <w:spacing w:val="-3"/>
          <w:w w:val="100"/>
        </w:rPr>
        <w:t>象</w:t>
      </w:r>
      <w:r>
        <w:rPr>
          <w:w w:val="100"/>
        </w:rPr>
        <w:t>已</w:t>
      </w:r>
      <w:r>
        <w:rPr>
          <w:spacing w:val="-3"/>
          <w:w w:val="100"/>
        </w:rPr>
        <w:t>获</w:t>
      </w:r>
      <w:r>
        <w:rPr>
          <w:w w:val="100"/>
        </w:rPr>
        <w:t>授但</w:t>
      </w:r>
      <w:r>
        <w:rPr>
          <w:spacing w:val="-3"/>
          <w:w w:val="100"/>
        </w:rPr>
        <w:t>尚</w:t>
      </w:r>
      <w:r>
        <w:rPr>
          <w:w w:val="100"/>
        </w:rPr>
        <w:t>未</w:t>
      </w:r>
      <w:r>
        <w:rPr>
          <w:spacing w:val="-3"/>
          <w:w w:val="100"/>
        </w:rPr>
        <w:t>解</w:t>
      </w:r>
      <w:r>
        <w:rPr>
          <w:w w:val="100"/>
        </w:rPr>
        <w:t>锁</w:t>
      </w:r>
      <w:r>
        <w:rPr>
          <w:spacing w:val="-3"/>
          <w:w w:val="100"/>
        </w:rPr>
        <w:t>的</w:t>
      </w:r>
      <w:r>
        <w:rPr>
          <w:w w:val="100"/>
        </w:rPr>
        <w:t>限</w:t>
      </w:r>
      <w:r>
        <w:rPr>
          <w:spacing w:val="-3"/>
          <w:w w:val="100"/>
        </w:rPr>
        <w:t>制</w:t>
      </w:r>
      <w:r>
        <w:rPr>
          <w:w w:val="100"/>
        </w:rPr>
        <w:t>性</w:t>
      </w:r>
      <w:r>
        <w:rPr>
          <w:spacing w:val="-3"/>
          <w:w w:val="100"/>
        </w:rPr>
        <w:t>股</w:t>
      </w:r>
      <w:r>
        <w:rPr>
          <w:w w:val="100"/>
        </w:rPr>
        <w:t>票的</w:t>
      </w:r>
      <w:r>
        <w:rPr>
          <w:spacing w:val="-3"/>
          <w:w w:val="100"/>
        </w:rPr>
        <w:t>议</w:t>
      </w:r>
      <w:r>
        <w:rPr>
          <w:w w:val="100"/>
        </w:rPr>
        <w:t>案</w:t>
      </w:r>
      <w:r>
        <w:rPr>
          <w:spacing w:val="-108"/>
          <w:w w:val="100"/>
        </w:rPr>
        <w:t>》</w:t>
      </w:r>
      <w:r>
        <w:rPr>
          <w:w w:val="100"/>
        </w:rPr>
        <w:t>，</w:t>
      </w:r>
      <w:r>
        <w:rPr>
          <w:spacing w:val="-3"/>
          <w:w w:val="100"/>
        </w:rPr>
        <w:t>公</w:t>
      </w:r>
      <w:r>
        <w:rPr>
          <w:w w:val="100"/>
        </w:rPr>
        <w:t>司</w:t>
      </w:r>
      <w:r>
        <w:rPr>
          <w:spacing w:val="-3"/>
          <w:w w:val="100"/>
        </w:rPr>
        <w:t>减</w:t>
      </w:r>
      <w:r>
        <w:rPr>
          <w:w w:val="100"/>
        </w:rPr>
        <w:t>少</w:t>
      </w:r>
      <w:r>
        <w:rPr>
          <w:spacing w:val="-3"/>
          <w:w w:val="100"/>
        </w:rPr>
        <w:t>注册</w:t>
      </w:r>
      <w:r>
        <w:rPr>
          <w:w w:val="100"/>
        </w:rPr>
        <w:t>资本</w:t>
      </w:r>
      <w:r>
        <w:rPr>
          <w:spacing w:val="-3"/>
          <w:w w:val="100"/>
        </w:rPr>
        <w:t>人民</w:t>
      </w:r>
      <w:r>
        <w:rPr>
          <w:w w:val="100"/>
        </w:rPr>
        <w:t>币</w:t>
      </w:r>
      <w:r>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2.00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3"/>
          <w:w w:val="100"/>
        </w:rPr>
        <w:t>元，</w:t>
      </w:r>
      <w:r>
        <w:rPr>
          <w:w w:val="100"/>
        </w:rPr>
      </w:r>
    </w:p>
    <w:p>
      <w:pPr>
        <w:pStyle w:val="BodyText"/>
        <w:spacing w:line="240" w:lineRule="auto" w:before="177"/>
        <w:ind w:right="11"/>
        <w:jc w:val="left"/>
      </w:pPr>
      <w:r>
        <w:rPr/>
        <w:t>增加库存股</w:t>
      </w:r>
      <w:r>
        <w:rPr>
          <w:spacing w:val="-53"/>
        </w:rPr>
        <w:t> </w:t>
      </w:r>
      <w:r>
        <w:rPr>
          <w:rFonts w:ascii="Times New Roman" w:hAnsi="Times New Roman" w:cs="Times New Roman" w:eastAsia="Times New Roman" w:hint="default"/>
        </w:rPr>
        <w:t>492,272.00</w:t>
      </w:r>
      <w:r>
        <w:rPr>
          <w:rFonts w:ascii="Times New Roman" w:hAnsi="Times New Roman" w:cs="Times New Roman" w:eastAsia="Times New Roman" w:hint="default"/>
          <w:spacing w:val="-13"/>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年解锁股份</w:t>
      </w:r>
      <w:r>
        <w:rPr>
          <w:spacing w:val="-55"/>
        </w:rPr>
        <w:t> </w:t>
      </w:r>
      <w:r>
        <w:rPr>
          <w:rFonts w:ascii="Times New Roman" w:hAnsi="Times New Roman" w:cs="Times New Roman" w:eastAsia="Times New Roman" w:hint="default"/>
        </w:rPr>
        <w:t>8,534,941.00</w:t>
      </w:r>
      <w:r>
        <w:rPr>
          <w:rFonts w:ascii="Times New Roman" w:hAnsi="Times New Roman" w:cs="Times New Roman" w:eastAsia="Times New Roman" w:hint="default"/>
          <w:spacing w:val="-2"/>
        </w:rPr>
        <w:t> </w:t>
      </w:r>
      <w:r>
        <w:rPr/>
        <w:t>股，合计</w:t>
      </w:r>
      <w:r>
        <w:rPr>
          <w:spacing w:val="-53"/>
        </w:rPr>
        <w:t> </w:t>
      </w:r>
      <w:r>
        <w:rPr>
          <w:rFonts w:ascii="Times New Roman" w:hAnsi="Times New Roman" w:cs="Times New Roman" w:eastAsia="Times New Roman" w:hint="default"/>
        </w:rPr>
        <w:t>41,636,589.77 </w:t>
      </w:r>
      <w:r>
        <w:rPr>
          <w:spacing w:val="-3"/>
        </w:rPr>
        <w:t>元；</w:t>
      </w:r>
      <w:r>
        <w:rPr/>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4</w:t>
      </w:r>
      <w:r>
        <w:rPr/>
        <w:t>、发行限制性股票本期增加库存股</w:t>
      </w:r>
      <w:r>
        <w:rPr>
          <w:spacing w:val="-56"/>
        </w:rPr>
        <w:t> </w:t>
      </w:r>
      <w:r>
        <w:rPr>
          <w:rFonts w:ascii="Times New Roman" w:hAnsi="Times New Roman" w:cs="Times New Roman" w:eastAsia="Times New Roman" w:hint="default"/>
        </w:rPr>
        <w:t>240,487,200.00</w:t>
      </w:r>
      <w:r>
        <w:rPr>
          <w:rFonts w:ascii="Times New Roman" w:hAnsi="Times New Roman" w:cs="Times New Roman" w:eastAsia="Times New Roman" w:hint="default"/>
          <w:spacing w:val="-15"/>
        </w:rPr>
        <w:t> </w:t>
      </w:r>
      <w:r>
        <w:rPr/>
        <w:t>元。</w:t>
      </w:r>
    </w:p>
    <w:p>
      <w:pPr>
        <w:spacing w:line="240" w:lineRule="auto" w:before="10"/>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57</w:t>
      </w:r>
      <w:r>
        <w:rPr/>
        <w:t>、其他综合收益</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256"/>
        <w:gridCol w:w="1277"/>
        <w:gridCol w:w="1133"/>
        <w:gridCol w:w="1136"/>
        <w:gridCol w:w="850"/>
        <w:gridCol w:w="1174"/>
        <w:gridCol w:w="811"/>
        <w:gridCol w:w="922"/>
      </w:tblGrid>
      <w:tr>
        <w:trPr>
          <w:trHeight w:val="502" w:hRule="exact"/>
        </w:trPr>
        <w:tc>
          <w:tcPr>
            <w:tcW w:w="225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9"/>
              <w:ind w:left="23" w:right="22"/>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损益</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811" w:type="dxa"/>
            <w:tcBorders>
              <w:top w:val="single" w:sz="4" w:space="0" w:color="000000"/>
              <w:left w:val="single" w:sz="4" w:space="0" w:color="000000"/>
              <w:bottom w:val="single" w:sz="23" w:space="0" w:color="FFFFFF"/>
              <w:right w:val="single" w:sz="4" w:space="0" w:color="000000"/>
            </w:tcBorders>
            <w:shd w:val="clear" w:color="auto" w:fill="D2D2D2"/>
          </w:tcPr>
          <w:p>
            <w:pPr/>
          </w:p>
        </w:tc>
        <w:tc>
          <w:tcPr>
            <w:tcW w:w="922" w:type="dxa"/>
            <w:vMerge/>
            <w:tcBorders>
              <w:left w:val="single" w:sz="4" w:space="0" w:color="000000"/>
              <w:bottom w:val="single" w:sz="23" w:space="0" w:color="FFFFFF"/>
              <w:right w:val="single" w:sz="4" w:space="0" w:color="000000"/>
            </w:tcBorders>
            <w:shd w:val="clear" w:color="auto" w:fill="D2D2D2"/>
          </w:tcPr>
          <w:p>
            <w:pPr/>
          </w:p>
        </w:tc>
      </w:tr>
      <w:tr>
        <w:trPr>
          <w:trHeight w:val="113" w:hRule="exact"/>
        </w:trPr>
        <w:tc>
          <w:tcPr>
            <w:tcW w:w="2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6"/>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811" w:type="dxa"/>
            <w:vMerge w:val="restart"/>
            <w:tcBorders>
              <w:top w:val="single" w:sz="23" w:space="0" w:color="FFFFFF"/>
              <w:left w:val="single" w:sz="4" w:space="0" w:color="000000"/>
              <w:right w:val="single" w:sz="4" w:space="0" w:color="000000"/>
            </w:tcBorders>
            <w:shd w:val="clear" w:color="auto" w:fill="D2D2D2"/>
          </w:tcPr>
          <w:p>
            <w:pPr>
              <w:pStyle w:val="TableParagraph"/>
              <w:spacing w:line="316" w:lineRule="auto" w:before="29"/>
              <w:ind w:left="43" w:right="36"/>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22" w:type="dxa"/>
            <w:vMerge w:val="restart"/>
            <w:tcBorders>
              <w:top w:val="single" w:sz="23" w:space="0" w:color="FFFFFF"/>
              <w:left w:val="single" w:sz="4" w:space="0" w:color="000000"/>
              <w:right w:val="single" w:sz="4" w:space="0" w:color="000000"/>
            </w:tcBorders>
            <w:shd w:val="clear" w:color="auto" w:fill="D2D2D2"/>
          </w:tcPr>
          <w:p>
            <w:pPr>
              <w:pStyle w:val="TableParagraph"/>
              <w:spacing w:line="240" w:lineRule="auto" w:before="87"/>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25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101"/>
              <w:ind w:left="201"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3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101"/>
              <w:ind w:left="151" w:right="59"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101"/>
              <w:ind w:left="403" w:right="39"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811"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410" w:hRule="exact"/>
        </w:trPr>
        <w:tc>
          <w:tcPr>
            <w:tcW w:w="2256"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25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225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821"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5"/>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 </w:t>
            </w:r>
            <w:r>
              <w:rPr>
                <w:rFonts w:ascii="宋体" w:hAnsi="宋体" w:cs="宋体" w:eastAsia="宋体" w:hint="default"/>
                <w:sz w:val="18"/>
                <w:szCs w:val="18"/>
              </w:rPr>
              <w:t>其他综合收益</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3,733,649.30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-2,790,584.00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-2,790,584.00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943,065.30</w:t>
            </w:r>
          </w:p>
        </w:tc>
      </w:tr>
      <w:tr>
        <w:trPr>
          <w:trHeight w:val="818"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66" w:right="0"/>
              <w:jc w:val="left"/>
              <w:rPr>
                <w:rFonts w:ascii="宋体" w:hAnsi="宋体" w:cs="宋体" w:eastAsia="宋体" w:hint="default"/>
                <w:sz w:val="18"/>
                <w:szCs w:val="18"/>
              </w:rPr>
            </w:pPr>
            <w:r>
              <w:rPr>
                <w:rFonts w:ascii="宋体" w:hAnsi="宋体" w:cs="宋体" w:eastAsia="宋体" w:hint="default"/>
                <w:spacing w:val="4"/>
                <w:sz w:val="18"/>
                <w:szCs w:val="18"/>
              </w:rPr>
              <w:t>外币财务报表折算差</w:t>
            </w:r>
            <w:r>
              <w:rPr>
                <w:rFonts w:ascii="宋体" w:hAnsi="宋体" w:cs="宋体" w:eastAsia="宋体" w:hint="default"/>
                <w:sz w:val="18"/>
                <w:szCs w:val="18"/>
              </w:rPr>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3,733,649.30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-2,790,584.00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-2,790,584.00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943,065.30</w:t>
            </w:r>
          </w:p>
        </w:tc>
      </w:tr>
      <w:tr>
        <w:trPr>
          <w:trHeight w:val="509"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3,733,649.30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-2,790,584.00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-2,790,584.00</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3" w:right="0"/>
              <w:jc w:val="center"/>
              <w:rPr>
                <w:rFonts w:ascii="Times New Roman" w:hAnsi="Times New Roman" w:cs="Times New Roman" w:eastAsia="Times New Roman" w:hint="default"/>
                <w:sz w:val="18"/>
                <w:szCs w:val="18"/>
              </w:rPr>
            </w:pPr>
            <w:r>
              <w:rPr>
                <w:rFonts w:ascii="Times New Roman"/>
                <w:sz w:val="18"/>
              </w:rPr>
              <w:t>943,065.30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其他说明，包括对现金流量套期损益的有效部分转为被套期项目初始确认金额调整：</w:t>
      </w:r>
    </w:p>
    <w:p>
      <w:pPr>
        <w:spacing w:line="240" w:lineRule="auto" w:before="13"/>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58</w:t>
      </w:r>
      <w:r>
        <w:rPr/>
        <w:t>、专项储备</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4"/>
        <w:gridCol w:w="1914"/>
      </w:tblGrid>
      <w:tr>
        <w:trPr>
          <w:trHeight w:val="5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其他说明，包括本期增减变动情况、变动原因说明：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59</w:t>
      </w:r>
      <w:r>
        <w:rPr/>
        <w:t>、盈余公积</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5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5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20,778,280.26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18,720,074.09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39,498,354.35</w:t>
            </w:r>
          </w:p>
        </w:tc>
      </w:tr>
      <w:tr>
        <w:trPr>
          <w:trHeight w:val="50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20,778,280.26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18,720,074.09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39,498,354.35</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盈余公积说明，包括本期增减变动情况、变动原因说明：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60</w:t>
      </w:r>
      <w:r>
        <w:rPr/>
        <w:t>、未分配利润</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507"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0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606,716,794.38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254,438,787.61</w:t>
            </w:r>
          </w:p>
        </w:tc>
      </w:tr>
      <w:tr>
        <w:trPr>
          <w:trHeight w:val="50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606,716,794.38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254,438,787.61</w:t>
            </w:r>
          </w:p>
        </w:tc>
      </w:tr>
      <w:tr>
        <w:trPr>
          <w:trHeight w:val="506"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389,292,168.16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377,299,004.95</w:t>
            </w:r>
          </w:p>
        </w:tc>
      </w:tr>
      <w:tr>
        <w:trPr>
          <w:trHeight w:val="50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18,720,074.09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2,808,949.19</w:t>
            </w:r>
          </w:p>
        </w:tc>
      </w:tr>
      <w:tr>
        <w:trPr>
          <w:trHeight w:val="50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79,804,894.49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21,277,282.79</w:t>
            </w:r>
          </w:p>
        </w:tc>
      </w:tr>
      <w:tr>
        <w:trPr>
          <w:trHeight w:val="506"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934,766.20</w:t>
            </w:r>
          </w:p>
        </w:tc>
      </w:tr>
      <w:tr>
        <w:trPr>
          <w:trHeight w:val="50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897,483,993.96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606,716,794.38</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调整期初未分配利润明细：</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rFonts w:ascii="Times New Roman" w:hAnsi="Times New Roman" w:cs="Times New Roman" w:eastAsia="Times New Roman" w:hint="default"/>
        </w:rPr>
        <w:t>1)</w:t>
      </w:r>
      <w:r>
        <w:rPr/>
        <w:t>、由于《企业会计准则》及其相关新规定进行追溯调整，影响期初未分配利润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3"/>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3)</w:t>
      </w:r>
      <w:r>
        <w:rPr/>
        <w:t>、由于重大会计差错更正，影响期初未分配利润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4)</w:t>
      </w:r>
      <w:r>
        <w:rPr/>
        <w:t>、由于同一控制导致的合并范围变更，影响期初未分配利润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spacing w:line="240" w:lineRule="auto" w:before="4"/>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61</w:t>
      </w:r>
      <w:r>
        <w:rPr/>
        <w:t>、营业收入和营业成本</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59"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59"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3,295,286,841.89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1,908,833,104.36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2,186,338,272.08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889,387,467.39</w:t>
            </w:r>
          </w:p>
        </w:tc>
      </w:tr>
      <w:tr>
        <w:trPr>
          <w:trHeight w:val="50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1,854,004.05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733,506.46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2,437,604.17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428,321.52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5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3" w:right="0"/>
              <w:jc w:val="left"/>
              <w:rPr>
                <w:rFonts w:ascii="Times New Roman" w:hAnsi="Times New Roman" w:cs="Times New Roman" w:eastAsia="Times New Roman" w:hint="default"/>
                <w:sz w:val="18"/>
                <w:szCs w:val="18"/>
              </w:rPr>
            </w:pPr>
            <w:r>
              <w:rPr>
                <w:rFonts w:ascii="Times New Roman"/>
                <w:sz w:val="18"/>
              </w:rPr>
              <w:t>3,297,140,845.94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1" w:right="0"/>
              <w:jc w:val="left"/>
              <w:rPr>
                <w:rFonts w:ascii="Times New Roman" w:hAnsi="Times New Roman" w:cs="Times New Roman" w:eastAsia="Times New Roman" w:hint="default"/>
                <w:sz w:val="18"/>
                <w:szCs w:val="18"/>
              </w:rPr>
            </w:pPr>
            <w:r>
              <w:rPr>
                <w:rFonts w:ascii="Times New Roman"/>
                <w:sz w:val="18"/>
              </w:rPr>
              <w:t>1,909,566,610.82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1" w:right="0"/>
              <w:jc w:val="left"/>
              <w:rPr>
                <w:rFonts w:ascii="Times New Roman" w:hAnsi="Times New Roman" w:cs="Times New Roman" w:eastAsia="Times New Roman" w:hint="default"/>
                <w:sz w:val="18"/>
                <w:szCs w:val="18"/>
              </w:rPr>
            </w:pPr>
            <w:r>
              <w:rPr>
                <w:rFonts w:ascii="Times New Roman"/>
                <w:sz w:val="18"/>
              </w:rPr>
              <w:t>2,188,775,876.25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56" w:right="0"/>
              <w:jc w:val="left"/>
              <w:rPr>
                <w:rFonts w:ascii="Times New Roman" w:hAnsi="Times New Roman" w:cs="Times New Roman" w:eastAsia="Times New Roman" w:hint="default"/>
                <w:sz w:val="18"/>
                <w:szCs w:val="18"/>
              </w:rPr>
            </w:pPr>
            <w:r>
              <w:rPr>
                <w:rFonts w:ascii="Times New Roman"/>
                <w:sz w:val="18"/>
              </w:rPr>
              <w:t>889,815,788.91</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62</w:t>
      </w:r>
      <w:r>
        <w:rPr/>
        <w:t>、税金及附加</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9,004,003.59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7,827,006.11</w:t>
            </w:r>
          </w:p>
        </w:tc>
      </w:tr>
      <w:tr>
        <w:trPr>
          <w:trHeight w:val="50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6,496,770.89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5,628,876.85</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889,045.72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395,511.25</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22,075.22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13,048.35</w:t>
            </w:r>
          </w:p>
        </w:tc>
      </w:tr>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52,062.33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10,061.49</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1,172,941.94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296,380.58</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-1,981,250.16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-774,316.91</w:t>
            </w:r>
          </w:p>
        </w:tc>
      </w:tr>
      <w:tr>
        <w:trPr>
          <w:trHeight w:val="506"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384,638.08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226,437.15</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16,040,287.61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13,623,004.87</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63</w:t>
      </w:r>
      <w:r>
        <w:rPr/>
        <w:t>、销售费用</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189,683,238.93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155,460,280.73</w:t>
            </w:r>
          </w:p>
        </w:tc>
      </w:tr>
      <w:tr>
        <w:trPr>
          <w:trHeight w:val="50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12,295,436.93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9,101,514.88</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12,492,629.03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7,912,273.05</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6,312,079.67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7,068,641.18</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8,875,704.34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3,736,395.87</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1,231,642.69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1,727,188.63</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49,064,385.18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43,092,155.05</w:t>
            </w:r>
          </w:p>
        </w:tc>
      </w:tr>
      <w:tr>
        <w:trPr>
          <w:trHeight w:val="50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279,955,116.77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228,098,449.39</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after="0" w:line="240" w:lineRule="auto"/>
        <w:jc w:val="left"/>
        <w:sectPr>
          <w:pgSz w:w="11910" w:h="16840"/>
          <w:pgMar w:header="0"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0" w:right="127"/>
        <w:jc w:val="right"/>
      </w:pPr>
      <w:r>
        <w:rPr>
          <w:spacing w:val="-2"/>
        </w:rPr>
        <w:t>其他说明：其他里面主要核算业务内容是折旧摊销费、业务宣传费、税务信息化产品销售服务费等。</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64</w:t>
      </w:r>
      <w:r>
        <w:rPr/>
        <w:t>、管理费用</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229,827,834.56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156,456,854.99</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科研开发费用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113,761,307.81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75,220,962.63</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37,612,283.06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22,058,315.14</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11,244,195.97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18,793,077.29</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21,095,430.96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17,618,979.05</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物业费及租赁费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42,348,699.18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30,487,563.38</w:t>
            </w:r>
            <w:r>
              <w:rPr>
                <w:rFonts w:ascii="Times New Roman"/>
                <w:sz w:val="18"/>
              </w:rPr>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8,991,969.98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10,183,691.22</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14,998,433.69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9,943,466.20</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21,024,269.86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4,996,700.00</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4,692,635.22</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7,113,559.47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3,869,987.90</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2,744,164.05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1,839,501.71</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2,215,097.60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788,824.66</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18,223,859.19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11,745,200.46</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531,201,105.38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368,695,759.85</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65</w:t>
      </w:r>
      <w:r>
        <w:rPr/>
        <w:t>、财务费用</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11,829,968.28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11,184,565.56</w:t>
            </w:r>
          </w:p>
        </w:tc>
      </w:tr>
      <w:tr>
        <w:trPr>
          <w:trHeight w:val="50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44,808,538.45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4,958,508.93</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4,512,634.53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-238,710.54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3,591,782.71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2,076,616.72</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-24,874,152.93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8,063,962.81</w:t>
            </w:r>
          </w:p>
        </w:tc>
      </w:tr>
    </w:tbl>
    <w:p>
      <w:pPr>
        <w:spacing w:line="240" w:lineRule="auto" w:before="11"/>
        <w:rPr>
          <w:rFonts w:ascii="宋体" w:hAnsi="宋体" w:cs="宋体" w:eastAsia="宋体" w:hint="default"/>
          <w:sz w:val="9"/>
          <w:szCs w:val="9"/>
        </w:rPr>
      </w:pPr>
    </w:p>
    <w:p>
      <w:pPr>
        <w:pStyle w:val="BodyText"/>
        <w:spacing w:line="240" w:lineRule="auto" w:before="36"/>
        <w:ind w:left="108" w:right="7852"/>
        <w:jc w:val="center"/>
      </w:pPr>
      <w:r>
        <w:rPr/>
        <w:t>其他说明：</w:t>
      </w:r>
    </w:p>
    <w:p>
      <w:pPr>
        <w:spacing w:line="240" w:lineRule="auto" w:before="12"/>
        <w:rPr>
          <w:rFonts w:ascii="宋体" w:hAnsi="宋体" w:cs="宋体" w:eastAsia="宋体" w:hint="default"/>
          <w:sz w:val="24"/>
          <w:szCs w:val="24"/>
        </w:rPr>
      </w:pPr>
    </w:p>
    <w:p>
      <w:pPr>
        <w:pStyle w:val="Heading3"/>
        <w:spacing w:line="240" w:lineRule="auto"/>
        <w:ind w:left="134" w:right="7852"/>
        <w:jc w:val="center"/>
      </w:pPr>
      <w:r>
        <w:rPr>
          <w:rFonts w:ascii="Times New Roman" w:hAnsi="Times New Roman" w:cs="Times New Roman" w:eastAsia="Times New Roman" w:hint="default"/>
        </w:rPr>
        <w:t>66</w:t>
      </w:r>
      <w:r>
        <w:rPr/>
        <w:t>、资产减值损失</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7"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23,702,345.33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9,160,268.71</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101,660.87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41,106.56</w:t>
            </w:r>
          </w:p>
        </w:tc>
      </w:tr>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23,804,006.20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27,201,375.27</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67</w:t>
      </w:r>
      <w:r>
        <w:rPr/>
        <w:t>、公允价值变动收益</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68</w:t>
      </w:r>
      <w:r>
        <w:rPr/>
        <w:t>、投资收益</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506"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6,845,946.66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11,493,948.94</w:t>
            </w:r>
          </w:p>
        </w:tc>
      </w:tr>
      <w:tr>
        <w:trPr>
          <w:trHeight w:val="50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12,991,847.46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1,277,631.17</w:t>
            </w:r>
          </w:p>
        </w:tc>
      </w:tr>
      <w:tr>
        <w:trPr>
          <w:trHeight w:val="506"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1,274,869.29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1,995,940.64</w:t>
            </w:r>
          </w:p>
        </w:tc>
      </w:tr>
      <w:tr>
        <w:trPr>
          <w:trHeight w:val="50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15,500,170.00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36,612,833.41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14,767,520.75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其他说明：</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权益法核算的长期股权投资收益中包括顺流销售调整的投资收益</w:t>
      </w:r>
      <w:r>
        <w:rPr>
          <w:spacing w:val="-55"/>
        </w:rPr>
        <w:t> </w:t>
      </w:r>
      <w:r>
        <w:rPr>
          <w:rFonts w:ascii="Times New Roman" w:hAnsi="Times New Roman" w:cs="Times New Roman" w:eastAsia="Times New Roman" w:hint="default"/>
        </w:rPr>
        <w:t>563,468.55</w:t>
      </w:r>
      <w:r>
        <w:rPr>
          <w:rFonts w:ascii="Times New Roman" w:hAnsi="Times New Roman" w:cs="Times New Roman" w:eastAsia="Times New Roman" w:hint="default"/>
          <w:spacing w:val="-14"/>
        </w:rPr>
        <w:t> </w:t>
      </w:r>
      <w:r>
        <w:rPr/>
        <w:t>元。</w:t>
      </w:r>
    </w:p>
    <w:p>
      <w:pPr>
        <w:spacing w:line="240" w:lineRule="auto" w:before="7"/>
        <w:rPr>
          <w:rFonts w:ascii="宋体" w:hAnsi="宋体" w:cs="宋体" w:eastAsia="宋体" w:hint="default"/>
          <w:sz w:val="23"/>
          <w:szCs w:val="23"/>
        </w:rPr>
      </w:pPr>
    </w:p>
    <w:p>
      <w:pPr>
        <w:pStyle w:val="Heading3"/>
        <w:spacing w:line="240" w:lineRule="auto"/>
        <w:ind w:left="134" w:right="7852"/>
        <w:jc w:val="center"/>
      </w:pPr>
      <w:r>
        <w:rPr>
          <w:rFonts w:ascii="Times New Roman" w:hAnsi="Times New Roman" w:cs="Times New Roman" w:eastAsia="Times New Roman" w:hint="default"/>
        </w:rPr>
        <w:t>69</w:t>
      </w:r>
      <w:r>
        <w:rPr/>
        <w:t>、资产处置收益</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-409,174.94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-179,307.16</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70</w:t>
      </w:r>
      <w:r>
        <w:rPr/>
        <w:t>、其他收益</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0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26,714,513.86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04"/>
              <w:ind w:left="24" w:right="2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北京经济技术开发区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金太阳光伏发电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示范项目</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255,924.92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金太阳示范工程项目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3,220,530.48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5"/>
              <w:jc w:val="left"/>
              <w:rPr>
                <w:rFonts w:ascii="宋体" w:hAnsi="宋体" w:cs="宋体" w:eastAsia="宋体" w:hint="default"/>
                <w:sz w:val="18"/>
                <w:szCs w:val="18"/>
              </w:rPr>
            </w:pPr>
            <w:r>
              <w:rPr>
                <w:rFonts w:ascii="宋体" w:hAnsi="宋体" w:cs="宋体" w:eastAsia="宋体" w:hint="default"/>
                <w:spacing w:val="3"/>
                <w:sz w:val="18"/>
                <w:szCs w:val="18"/>
              </w:rPr>
              <w:t>上海市国库收付中心零余额专户款政府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补贴（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年小巨人）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泰豪智慧能源园区开发区示范项目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3,510,000.00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政务大数据项目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5"/>
              <w:jc w:val="left"/>
              <w:rPr>
                <w:rFonts w:ascii="宋体" w:hAnsi="宋体" w:cs="宋体" w:eastAsia="宋体" w:hint="default"/>
                <w:sz w:val="18"/>
                <w:szCs w:val="18"/>
              </w:rPr>
            </w:pPr>
            <w:r>
              <w:rPr>
                <w:rFonts w:ascii="宋体" w:hAnsi="宋体" w:cs="宋体" w:eastAsia="宋体" w:hint="default"/>
                <w:spacing w:val="3"/>
                <w:sz w:val="18"/>
                <w:szCs w:val="18"/>
              </w:rPr>
              <w:t>基于云计算的大型工业群能耗和环境管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理预警系统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6"/>
              <w:jc w:val="left"/>
              <w:rPr>
                <w:rFonts w:ascii="宋体" w:hAnsi="宋体" w:cs="宋体" w:eastAsia="宋体" w:hint="default"/>
                <w:sz w:val="18"/>
                <w:szCs w:val="18"/>
              </w:rPr>
            </w:pPr>
            <w:r>
              <w:rPr>
                <w:rFonts w:ascii="宋体" w:hAnsi="宋体" w:cs="宋体" w:eastAsia="宋体" w:hint="default"/>
                <w:spacing w:val="15"/>
                <w:sz w:val="18"/>
                <w:szCs w:val="18"/>
              </w:rPr>
              <w:t>基于面向城市大型商务区建筑物群能</w:t>
            </w:r>
            <w:r>
              <w:rPr>
                <w:rFonts w:ascii="宋体" w:hAnsi="宋体" w:cs="宋体" w:eastAsia="宋体" w:hint="default"/>
                <w:spacing w:val="-74"/>
                <w:sz w:val="18"/>
                <w:szCs w:val="18"/>
              </w:rPr>
              <w:t> </w:t>
            </w:r>
            <w:r>
              <w:rPr>
                <w:rFonts w:ascii="宋体" w:hAnsi="宋体" w:cs="宋体" w:eastAsia="宋体" w:hint="default"/>
                <w:sz w:val="18"/>
                <w:szCs w:val="18"/>
              </w:rPr>
              <w:t>源、设施管理及智能化集成服务系统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5"/>
              <w:jc w:val="left"/>
              <w:rPr>
                <w:rFonts w:ascii="宋体" w:hAnsi="宋体" w:cs="宋体" w:eastAsia="宋体" w:hint="default"/>
                <w:sz w:val="18"/>
                <w:szCs w:val="18"/>
              </w:rPr>
            </w:pPr>
            <w:r>
              <w:rPr>
                <w:rFonts w:ascii="宋体" w:hAnsi="宋体" w:cs="宋体" w:eastAsia="宋体" w:hint="default"/>
                <w:spacing w:val="3"/>
                <w:sz w:val="18"/>
                <w:szCs w:val="18"/>
              </w:rPr>
              <w:t>基于大数据的城市环境信息监测云管理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与分析平台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5"/>
              <w:jc w:val="left"/>
              <w:rPr>
                <w:rFonts w:ascii="宋体" w:hAnsi="宋体" w:cs="宋体" w:eastAsia="宋体" w:hint="default"/>
                <w:sz w:val="18"/>
                <w:szCs w:val="18"/>
              </w:rPr>
            </w:pPr>
            <w:r>
              <w:rPr>
                <w:rFonts w:ascii="宋体" w:hAnsi="宋体" w:cs="宋体" w:eastAsia="宋体" w:hint="default"/>
                <w:spacing w:val="3"/>
                <w:sz w:val="18"/>
                <w:szCs w:val="18"/>
              </w:rPr>
              <w:t>大型公共建筑高效空气净化设备及职能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传感监控系统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37,700,969.26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71</w:t>
      </w:r>
      <w:r>
        <w:rPr/>
        <w:t>、营业外收入</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99"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0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6,654,109.57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6,776,986.97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6,654,109.57</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5,504,751.28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23,780.76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5,504,751.28</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1,328,185.46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1,461.23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1,328,185.46</w:t>
            </w:r>
          </w:p>
        </w:tc>
      </w:tr>
      <w:tr>
        <w:trPr>
          <w:trHeight w:val="50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44,309.27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48,434,711.69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44,309.27</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3,394,459.17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260,285.69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3,394,459.17</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16,925,814.75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55,497,226.34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16,925,814.75</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计入当期损益的政府补助：</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81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5"/>
              <w:jc w:val="left"/>
              <w:rPr>
                <w:rFonts w:ascii="宋体" w:hAnsi="宋体" w:cs="宋体" w:eastAsia="宋体" w:hint="default"/>
                <w:sz w:val="18"/>
                <w:szCs w:val="18"/>
              </w:rPr>
            </w:pPr>
            <w:r>
              <w:rPr>
                <w:rFonts w:ascii="宋体" w:hAnsi="宋体" w:cs="宋体" w:eastAsia="宋体" w:hint="default"/>
                <w:spacing w:val="20"/>
                <w:sz w:val="18"/>
                <w:szCs w:val="18"/>
              </w:rPr>
              <w:t>补贴是否影</w:t>
            </w:r>
            <w:r>
              <w:rPr>
                <w:rFonts w:ascii="宋体" w:hAnsi="宋体" w:cs="宋体" w:eastAsia="宋体" w:hint="default"/>
                <w:spacing w:val="-86"/>
                <w:sz w:val="18"/>
                <w:szCs w:val="18"/>
              </w:rPr>
              <w:t> </w:t>
            </w: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6" w:right="-5"/>
              <w:jc w:val="left"/>
              <w:rPr>
                <w:rFonts w:ascii="宋体" w:hAnsi="宋体" w:cs="宋体" w:eastAsia="宋体" w:hint="default"/>
                <w:sz w:val="18"/>
                <w:szCs w:val="18"/>
              </w:rPr>
            </w:pPr>
            <w:r>
              <w:rPr>
                <w:rFonts w:ascii="宋体" w:hAnsi="宋体" w:cs="宋体" w:eastAsia="宋体" w:hint="default"/>
                <w:spacing w:val="20"/>
                <w:sz w:val="18"/>
                <w:szCs w:val="18"/>
              </w:rPr>
              <w:t>是否特殊补</w:t>
            </w:r>
            <w:r>
              <w:rPr>
                <w:rFonts w:ascii="宋体" w:hAnsi="宋体" w:cs="宋体" w:eastAsia="宋体" w:hint="default"/>
                <w:spacing w:val="-86"/>
                <w:sz w:val="18"/>
                <w:szCs w:val="18"/>
              </w:rPr>
              <w:t> </w:t>
            </w: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3"/>
              <w:jc w:val="left"/>
              <w:rPr>
                <w:rFonts w:ascii="宋体" w:hAnsi="宋体" w:cs="宋体" w:eastAsia="宋体" w:hint="default"/>
                <w:sz w:val="18"/>
                <w:szCs w:val="18"/>
              </w:rPr>
            </w:pPr>
            <w:r>
              <w:rPr>
                <w:rFonts w:ascii="宋体" w:hAnsi="宋体" w:cs="宋体" w:eastAsia="宋体" w:hint="default"/>
                <w:spacing w:val="20"/>
                <w:sz w:val="18"/>
                <w:szCs w:val="18"/>
              </w:rPr>
              <w:t>本期发生金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2"/>
              <w:jc w:val="left"/>
              <w:rPr>
                <w:rFonts w:ascii="宋体" w:hAnsi="宋体" w:cs="宋体" w:eastAsia="宋体" w:hint="default"/>
                <w:sz w:val="18"/>
                <w:szCs w:val="18"/>
              </w:rPr>
            </w:pPr>
            <w:r>
              <w:rPr>
                <w:rFonts w:ascii="宋体" w:hAnsi="宋体" w:cs="宋体" w:eastAsia="宋体" w:hint="default"/>
                <w:spacing w:val="20"/>
                <w:sz w:val="18"/>
                <w:szCs w:val="18"/>
              </w:rPr>
              <w:t>上期发生金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17"/>
              <w:jc w:val="left"/>
              <w:rPr>
                <w:rFonts w:ascii="宋体" w:hAnsi="宋体" w:cs="宋体" w:eastAsia="宋体" w:hint="default"/>
                <w:sz w:val="18"/>
                <w:szCs w:val="18"/>
              </w:rPr>
            </w:pPr>
            <w:r>
              <w:rPr>
                <w:rFonts w:ascii="宋体" w:hAnsi="宋体" w:cs="宋体" w:eastAsia="宋体" w:hint="default"/>
                <w:spacing w:val="10"/>
                <w:sz w:val="18"/>
                <w:szCs w:val="18"/>
              </w:rPr>
              <w:t>与资产相关</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0"/>
              <w:jc w:val="both"/>
              <w:rPr>
                <w:rFonts w:ascii="宋体" w:hAnsi="宋体" w:cs="宋体" w:eastAsia="宋体" w:hint="default"/>
                <w:sz w:val="18"/>
                <w:szCs w:val="18"/>
              </w:rPr>
            </w:pPr>
            <w:r>
              <w:rPr>
                <w:rFonts w:ascii="宋体" w:hAnsi="宋体" w:cs="宋体" w:eastAsia="宋体" w:hint="default"/>
                <w:spacing w:val="20"/>
                <w:sz w:val="18"/>
                <w:szCs w:val="18"/>
              </w:rPr>
              <w:t>直接支付零</w:t>
            </w:r>
            <w:r>
              <w:rPr>
                <w:rFonts w:ascii="宋体" w:hAnsi="宋体" w:cs="宋体" w:eastAsia="宋体" w:hint="default"/>
                <w:spacing w:val="-86"/>
                <w:sz w:val="18"/>
                <w:szCs w:val="18"/>
              </w:rPr>
              <w:t> </w:t>
            </w:r>
            <w:r>
              <w:rPr>
                <w:rFonts w:ascii="宋体" w:hAnsi="宋体" w:cs="宋体" w:eastAsia="宋体" w:hint="default"/>
                <w:spacing w:val="20"/>
                <w:sz w:val="18"/>
                <w:szCs w:val="18"/>
              </w:rPr>
              <w:t>余额账户扶</w:t>
            </w:r>
            <w:r>
              <w:rPr>
                <w:rFonts w:ascii="宋体" w:hAnsi="宋体" w:cs="宋体" w:eastAsia="宋体" w:hint="default"/>
                <w:spacing w:val="-86"/>
                <w:sz w:val="18"/>
                <w:szCs w:val="18"/>
              </w:rPr>
              <w:t> </w:t>
            </w:r>
            <w:r>
              <w:rPr>
                <w:rFonts w:ascii="宋体" w:hAnsi="宋体" w:cs="宋体" w:eastAsia="宋体" w:hint="default"/>
                <w:sz w:val="18"/>
                <w:szCs w:val="18"/>
              </w:rPr>
              <w:t>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军民融合专</w:t>
            </w:r>
            <w:r>
              <w:rPr>
                <w:rFonts w:ascii="宋体" w:hAnsi="宋体" w:cs="宋体" w:eastAsia="宋体" w:hint="default"/>
                <w:spacing w:val="-86"/>
                <w:sz w:val="18"/>
                <w:szCs w:val="18"/>
              </w:rPr>
              <w:t> </w:t>
            </w:r>
            <w:r>
              <w:rPr>
                <w:rFonts w:ascii="宋体" w:hAnsi="宋体" w:cs="宋体" w:eastAsia="宋体" w:hint="default"/>
                <w:sz w:val="18"/>
                <w:szCs w:val="18"/>
              </w:rPr>
              <w:t>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年北京</w:t>
            </w:r>
            <w:r>
              <w:rPr>
                <w:rFonts w:ascii="宋体" w:hAnsi="宋体" w:cs="宋体" w:eastAsia="宋体" w:hint="default"/>
                <w:sz w:val="18"/>
                <w:szCs w:val="18"/>
              </w:rPr>
              <w:t> </w:t>
            </w:r>
            <w:r>
              <w:rPr>
                <w:rFonts w:ascii="宋体" w:hAnsi="宋体" w:cs="宋体" w:eastAsia="宋体" w:hint="default"/>
                <w:spacing w:val="20"/>
                <w:sz w:val="18"/>
                <w:szCs w:val="18"/>
              </w:rPr>
              <w:t>市高新技术</w:t>
            </w:r>
            <w:r>
              <w:rPr>
                <w:rFonts w:ascii="宋体" w:hAnsi="宋体" w:cs="宋体" w:eastAsia="宋体" w:hint="default"/>
                <w:spacing w:val="-86"/>
                <w:sz w:val="18"/>
                <w:szCs w:val="18"/>
              </w:rPr>
              <w:t> </w:t>
            </w:r>
            <w:r>
              <w:rPr>
                <w:rFonts w:ascii="宋体" w:hAnsi="宋体" w:cs="宋体" w:eastAsia="宋体" w:hint="default"/>
                <w:spacing w:val="20"/>
                <w:sz w:val="18"/>
                <w:szCs w:val="18"/>
              </w:rPr>
              <w:t>成果转化项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4"/>
              <w:ind w:left="24" w:right="0"/>
              <w:jc w:val="both"/>
              <w:rPr>
                <w:rFonts w:ascii="宋体" w:hAnsi="宋体" w:cs="宋体" w:eastAsia="宋体" w:hint="default"/>
                <w:sz w:val="18"/>
                <w:szCs w:val="18"/>
              </w:rPr>
            </w:pPr>
            <w:r>
              <w:rPr>
                <w:rFonts w:ascii="宋体" w:hAnsi="宋体" w:cs="宋体" w:eastAsia="宋体" w:hint="default"/>
                <w:spacing w:val="20"/>
                <w:sz w:val="18"/>
                <w:szCs w:val="18"/>
              </w:rPr>
              <w:t>陕西省财政</w:t>
            </w:r>
            <w:r>
              <w:rPr>
                <w:rFonts w:ascii="宋体" w:hAnsi="宋体" w:cs="宋体" w:eastAsia="宋体" w:hint="default"/>
                <w:spacing w:val="-86"/>
                <w:sz w:val="18"/>
                <w:szCs w:val="18"/>
              </w:rPr>
              <w:t> </w:t>
            </w:r>
            <w:r>
              <w:rPr>
                <w:rFonts w:ascii="宋体" w:hAnsi="宋体" w:cs="宋体" w:eastAsia="宋体" w:hint="default"/>
                <w:spacing w:val="-9"/>
                <w:sz w:val="18"/>
                <w:szCs w:val="18"/>
              </w:rPr>
              <w:t>厅拨款（</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重点研发）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
              <w:jc w:val="both"/>
              <w:rPr>
                <w:rFonts w:ascii="宋体" w:hAnsi="宋体" w:cs="宋体" w:eastAsia="宋体" w:hint="default"/>
                <w:sz w:val="18"/>
                <w:szCs w:val="18"/>
              </w:rPr>
            </w:pPr>
            <w:r>
              <w:rPr>
                <w:rFonts w:ascii="宋体" w:hAnsi="宋体" w:cs="宋体" w:eastAsia="宋体" w:hint="default"/>
                <w:spacing w:val="20"/>
                <w:sz w:val="18"/>
                <w:szCs w:val="18"/>
              </w:rPr>
              <w:t>西安高新技</w:t>
            </w:r>
            <w:r>
              <w:rPr>
                <w:rFonts w:ascii="宋体" w:hAnsi="宋体" w:cs="宋体" w:eastAsia="宋体" w:hint="default"/>
                <w:spacing w:val="-86"/>
                <w:sz w:val="18"/>
                <w:szCs w:val="18"/>
              </w:rPr>
              <w:t> </w:t>
            </w:r>
            <w:r>
              <w:rPr>
                <w:rFonts w:ascii="宋体" w:hAnsi="宋体" w:cs="宋体" w:eastAsia="宋体" w:hint="default"/>
                <w:spacing w:val="20"/>
                <w:sz w:val="18"/>
                <w:szCs w:val="18"/>
              </w:rPr>
              <w:t>术产业开发</w:t>
            </w:r>
            <w:r>
              <w:rPr>
                <w:rFonts w:ascii="宋体" w:hAnsi="宋体" w:cs="宋体" w:eastAsia="宋体" w:hint="default"/>
                <w:spacing w:val="-86"/>
                <w:sz w:val="18"/>
                <w:szCs w:val="18"/>
              </w:rPr>
              <w:t> </w:t>
            </w:r>
            <w:r>
              <w:rPr>
                <w:rFonts w:ascii="宋体" w:hAnsi="宋体" w:cs="宋体" w:eastAsia="宋体" w:hint="default"/>
                <w:spacing w:val="17"/>
                <w:sz w:val="18"/>
                <w:szCs w:val="18"/>
              </w:rPr>
              <w:t>区信用</w:t>
            </w:r>
            <w:r>
              <w:rPr>
                <w:rFonts w:ascii="宋体" w:hAnsi="宋体" w:cs="宋体" w:eastAsia="宋体" w:hint="default"/>
                <w:spacing w:val="-64"/>
                <w:sz w:val="18"/>
                <w:szCs w:val="18"/>
              </w:rPr>
              <w:t> </w:t>
            </w:r>
            <w:r>
              <w:rPr>
                <w:rFonts w:ascii="宋体" w:hAnsi="宋体" w:cs="宋体" w:eastAsia="宋体" w:hint="default"/>
                <w:spacing w:val="13"/>
                <w:sz w:val="18"/>
                <w:szCs w:val="18"/>
              </w:rPr>
              <w:t>服务</w:t>
            </w:r>
            <w:r>
              <w:rPr>
                <w:rFonts w:ascii="宋体" w:hAnsi="宋体" w:cs="宋体" w:eastAsia="宋体" w:hint="default"/>
                <w:spacing w:val="-64"/>
                <w:sz w:val="18"/>
                <w:szCs w:val="18"/>
              </w:rPr>
              <w:t> </w:t>
            </w:r>
            <w:r>
              <w:rPr>
                <w:rFonts w:ascii="宋体" w:hAnsi="宋体" w:cs="宋体" w:eastAsia="宋体" w:hint="default"/>
                <w:spacing w:val="20"/>
                <w:sz w:val="18"/>
                <w:szCs w:val="18"/>
              </w:rPr>
              <w:t>中心优惠补</w:t>
            </w:r>
            <w:r>
              <w:rPr>
                <w:rFonts w:ascii="宋体" w:hAnsi="宋体" w:cs="宋体" w:eastAsia="宋体" w:hint="default"/>
                <w:spacing w:val="-86"/>
                <w:sz w:val="18"/>
                <w:szCs w:val="18"/>
              </w:rPr>
              <w:t> </w:t>
            </w: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654,400.00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收上海市国</w:t>
            </w:r>
            <w:r>
              <w:rPr>
                <w:rFonts w:ascii="宋体" w:hAnsi="宋体" w:cs="宋体" w:eastAsia="宋体" w:hint="default"/>
                <w:spacing w:val="-86"/>
                <w:sz w:val="18"/>
                <w:szCs w:val="18"/>
              </w:rPr>
              <w:t> </w:t>
            </w:r>
            <w:r>
              <w:rPr>
                <w:rFonts w:ascii="宋体" w:hAnsi="宋体" w:cs="宋体" w:eastAsia="宋体" w:hint="default"/>
                <w:spacing w:val="20"/>
                <w:sz w:val="18"/>
                <w:szCs w:val="18"/>
              </w:rPr>
              <w:t>库收付中心</w:t>
            </w:r>
            <w:r>
              <w:rPr>
                <w:rFonts w:ascii="宋体" w:hAnsi="宋体" w:cs="宋体" w:eastAsia="宋体" w:hint="default"/>
                <w:spacing w:val="-86"/>
                <w:sz w:val="18"/>
                <w:szCs w:val="18"/>
              </w:rPr>
              <w:t> </w:t>
            </w:r>
            <w:r>
              <w:rPr>
                <w:rFonts w:ascii="宋体" w:hAnsi="宋体" w:cs="宋体" w:eastAsia="宋体" w:hint="default"/>
                <w:spacing w:val="20"/>
                <w:sz w:val="18"/>
                <w:szCs w:val="18"/>
              </w:rPr>
              <w:t>零余额专户</w:t>
            </w:r>
            <w:r>
              <w:rPr>
                <w:rFonts w:ascii="宋体" w:hAnsi="宋体" w:cs="宋体" w:eastAsia="宋体" w:hint="default"/>
                <w:spacing w:val="-86"/>
                <w:sz w:val="18"/>
                <w:szCs w:val="18"/>
              </w:rPr>
              <w:t> </w:t>
            </w:r>
            <w:r>
              <w:rPr>
                <w:rFonts w:ascii="宋体" w:hAnsi="宋体" w:cs="宋体" w:eastAsia="宋体" w:hint="default"/>
                <w:spacing w:val="20"/>
                <w:sz w:val="18"/>
                <w:szCs w:val="18"/>
              </w:rPr>
              <w:t>政府质量奖</w:t>
            </w:r>
            <w:r>
              <w:rPr>
                <w:rFonts w:ascii="宋体" w:hAnsi="宋体" w:cs="宋体" w:eastAsia="宋体" w:hint="default"/>
                <w:spacing w:val="-64"/>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4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奖励费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年高新</w:t>
            </w:r>
            <w:r>
              <w:rPr>
                <w:rFonts w:ascii="宋体" w:hAnsi="宋体" w:cs="宋体" w:eastAsia="宋体" w:hint="default"/>
                <w:sz w:val="18"/>
                <w:szCs w:val="18"/>
              </w:rPr>
              <w:t> </w:t>
            </w:r>
            <w:r>
              <w:rPr>
                <w:rFonts w:ascii="宋体" w:hAnsi="宋体" w:cs="宋体" w:eastAsia="宋体" w:hint="default"/>
                <w:spacing w:val="20"/>
                <w:sz w:val="18"/>
                <w:szCs w:val="18"/>
              </w:rPr>
              <w:t>技术企业培</w:t>
            </w:r>
            <w:r>
              <w:rPr>
                <w:rFonts w:ascii="宋体" w:hAnsi="宋体" w:cs="宋体" w:eastAsia="宋体" w:hint="default"/>
                <w:spacing w:val="-86"/>
                <w:sz w:val="18"/>
                <w:szCs w:val="18"/>
              </w:rPr>
              <w:t> </w:t>
            </w:r>
            <w:r>
              <w:rPr>
                <w:rFonts w:ascii="宋体" w:hAnsi="宋体" w:cs="宋体" w:eastAsia="宋体" w:hint="default"/>
                <w:sz w:val="18"/>
                <w:szCs w:val="18"/>
              </w:rPr>
              <w:t>育入库补贴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中关村创新</w:t>
            </w:r>
            <w:r>
              <w:rPr>
                <w:rFonts w:ascii="宋体" w:hAnsi="宋体" w:cs="宋体" w:eastAsia="宋体" w:hint="default"/>
                <w:spacing w:val="-86"/>
                <w:sz w:val="18"/>
                <w:szCs w:val="18"/>
              </w:rPr>
              <w:t> </w:t>
            </w:r>
            <w:r>
              <w:rPr>
                <w:rFonts w:ascii="宋体" w:hAnsi="宋体" w:cs="宋体" w:eastAsia="宋体" w:hint="default"/>
                <w:spacing w:val="20"/>
                <w:sz w:val="18"/>
                <w:szCs w:val="18"/>
              </w:rPr>
              <w:t>能力建设专</w:t>
            </w:r>
            <w:r>
              <w:rPr>
                <w:rFonts w:ascii="宋体" w:hAnsi="宋体" w:cs="宋体" w:eastAsia="宋体" w:hint="default"/>
                <w:spacing w:val="-86"/>
                <w:sz w:val="18"/>
                <w:szCs w:val="18"/>
              </w:rPr>
              <w:t> </w:t>
            </w:r>
            <w:r>
              <w:rPr>
                <w:rFonts w:ascii="宋体" w:hAnsi="宋体" w:cs="宋体" w:eastAsia="宋体" w:hint="default"/>
                <w:sz w:val="18"/>
                <w:szCs w:val="18"/>
              </w:rPr>
              <w:t>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陕西省科技</w:t>
            </w:r>
            <w:r>
              <w:rPr>
                <w:rFonts w:ascii="宋体" w:hAnsi="宋体" w:cs="宋体" w:eastAsia="宋体" w:hint="default"/>
                <w:spacing w:val="-86"/>
                <w:sz w:val="18"/>
                <w:szCs w:val="18"/>
              </w:rPr>
              <w:t> </w:t>
            </w:r>
            <w:r>
              <w:rPr>
                <w:rFonts w:ascii="宋体" w:hAnsi="宋体" w:cs="宋体" w:eastAsia="宋体" w:hint="default"/>
                <w:spacing w:val="20"/>
                <w:sz w:val="18"/>
                <w:szCs w:val="18"/>
              </w:rPr>
              <w:t>资源统筹中</w:t>
            </w:r>
            <w:r>
              <w:rPr>
                <w:rFonts w:ascii="宋体" w:hAnsi="宋体" w:cs="宋体" w:eastAsia="宋体" w:hint="default"/>
                <w:spacing w:val="-86"/>
                <w:sz w:val="18"/>
                <w:szCs w:val="18"/>
              </w:rPr>
              <w:t> </w:t>
            </w:r>
            <w:r>
              <w:rPr>
                <w:rFonts w:ascii="宋体" w:hAnsi="宋体" w:cs="宋体" w:eastAsia="宋体" w:hint="default"/>
                <w:sz w:val="18"/>
                <w:szCs w:val="18"/>
              </w:rPr>
              <w:t>心项目补贴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知识产权质</w:t>
            </w:r>
            <w:r>
              <w:rPr>
                <w:rFonts w:ascii="宋体" w:hAnsi="宋体" w:cs="宋体" w:eastAsia="宋体" w:hint="default"/>
                <w:spacing w:val="-86"/>
                <w:sz w:val="18"/>
                <w:szCs w:val="18"/>
              </w:rPr>
              <w:t> </w:t>
            </w:r>
            <w:r>
              <w:rPr>
                <w:rFonts w:ascii="宋体" w:hAnsi="宋体" w:cs="宋体" w:eastAsia="宋体" w:hint="default"/>
                <w:spacing w:val="20"/>
                <w:sz w:val="18"/>
                <w:szCs w:val="18"/>
              </w:rPr>
              <w:t>押贷款项目</w:t>
            </w:r>
            <w:r>
              <w:rPr>
                <w:rFonts w:ascii="宋体" w:hAnsi="宋体" w:cs="宋体" w:eastAsia="宋体" w:hint="default"/>
                <w:spacing w:val="-86"/>
                <w:sz w:val="18"/>
                <w:szCs w:val="18"/>
              </w:rPr>
              <w:t> </w:t>
            </w:r>
            <w:r>
              <w:rPr>
                <w:rFonts w:ascii="宋体" w:hAnsi="宋体" w:cs="宋体" w:eastAsia="宋体" w:hint="default"/>
                <w:sz w:val="18"/>
                <w:szCs w:val="18"/>
              </w:rPr>
              <w:t>拨款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高新入库补</w:t>
            </w:r>
            <w:r>
              <w:rPr>
                <w:rFonts w:ascii="宋体" w:hAnsi="宋体" w:cs="宋体" w:eastAsia="宋体" w:hint="default"/>
                <w:spacing w:val="-86"/>
                <w:sz w:val="18"/>
                <w:szCs w:val="18"/>
              </w:rPr>
              <w:t> </w:t>
            </w:r>
            <w:r>
              <w:rPr>
                <w:rFonts w:ascii="宋体" w:hAnsi="宋体" w:cs="宋体" w:eastAsia="宋体" w:hint="default"/>
                <w:sz w:val="18"/>
                <w:szCs w:val="18"/>
              </w:rPr>
              <w:t>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技术成果项</w:t>
            </w:r>
            <w:r>
              <w:rPr>
                <w:rFonts w:ascii="宋体" w:hAnsi="宋体" w:cs="宋体" w:eastAsia="宋体" w:hint="default"/>
                <w:spacing w:val="-86"/>
                <w:sz w:val="18"/>
                <w:szCs w:val="18"/>
              </w:rPr>
              <w:t> </w:t>
            </w:r>
            <w:r>
              <w:rPr>
                <w:rFonts w:ascii="宋体" w:hAnsi="宋体" w:cs="宋体" w:eastAsia="宋体" w:hint="default"/>
                <w:spacing w:val="3"/>
                <w:sz w:val="18"/>
                <w:szCs w:val="18"/>
              </w:rPr>
              <w:t>目</w:t>
            </w:r>
            <w:r>
              <w:rPr>
                <w:rFonts w:ascii="Times New Roman" w:hAnsi="Times New Roman" w:cs="Times New Roman" w:eastAsia="Times New Roman" w:hint="default"/>
                <w:spacing w:val="3"/>
                <w:sz w:val="18"/>
                <w:szCs w:val="18"/>
              </w:rPr>
              <w:t>_</w:t>
            </w:r>
            <w:r>
              <w:rPr>
                <w:rFonts w:ascii="宋体" w:hAnsi="宋体" w:cs="宋体" w:eastAsia="宋体" w:hint="default"/>
                <w:spacing w:val="3"/>
                <w:sz w:val="18"/>
                <w:szCs w:val="18"/>
              </w:rPr>
              <w:t>南昌市服</w:t>
            </w:r>
            <w:r>
              <w:rPr>
                <w:rFonts w:ascii="宋体" w:hAnsi="宋体" w:cs="宋体" w:eastAsia="宋体" w:hint="default"/>
                <w:sz w:val="18"/>
                <w:szCs w:val="18"/>
              </w:rPr>
              <w:t> </w:t>
            </w:r>
            <w:r>
              <w:rPr>
                <w:rFonts w:ascii="宋体" w:hAnsi="宋体" w:cs="宋体" w:eastAsia="宋体" w:hint="default"/>
                <w:spacing w:val="20"/>
                <w:sz w:val="18"/>
                <w:szCs w:val="18"/>
              </w:rPr>
              <w:t>务外包产业</w:t>
            </w:r>
            <w:r>
              <w:rPr>
                <w:rFonts w:ascii="宋体" w:hAnsi="宋体" w:cs="宋体" w:eastAsia="宋体" w:hint="default"/>
                <w:spacing w:val="-86"/>
                <w:sz w:val="18"/>
                <w:szCs w:val="18"/>
              </w:rPr>
              <w:t> </w:t>
            </w:r>
            <w:r>
              <w:rPr>
                <w:rFonts w:ascii="宋体" w:hAnsi="宋体" w:cs="宋体" w:eastAsia="宋体" w:hint="default"/>
                <w:spacing w:val="20"/>
                <w:sz w:val="18"/>
                <w:szCs w:val="18"/>
              </w:rPr>
              <w:t>发展专项资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97,700.00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118,689.19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服务业引导</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72,916.67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4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西安科技大</w:t>
            </w:r>
            <w:r>
              <w:rPr>
                <w:rFonts w:ascii="宋体" w:hAnsi="宋体" w:cs="宋体" w:eastAsia="宋体" w:hint="default"/>
                <w:spacing w:val="-86"/>
                <w:sz w:val="18"/>
                <w:szCs w:val="18"/>
              </w:rPr>
              <w:t> </w:t>
            </w:r>
            <w:r>
              <w:rPr>
                <w:rFonts w:ascii="宋体" w:hAnsi="宋体" w:cs="宋体" w:eastAsia="宋体" w:hint="default"/>
                <w:spacing w:val="20"/>
                <w:sz w:val="18"/>
                <w:szCs w:val="18"/>
              </w:rPr>
              <w:t>市场有限公</w:t>
            </w:r>
            <w:r>
              <w:rPr>
                <w:rFonts w:ascii="宋体" w:hAnsi="宋体" w:cs="宋体" w:eastAsia="宋体" w:hint="default"/>
                <w:spacing w:val="-86"/>
                <w:sz w:val="18"/>
                <w:szCs w:val="18"/>
              </w:rPr>
              <w:t> </w:t>
            </w:r>
            <w:r>
              <w:rPr>
                <w:rFonts w:ascii="宋体" w:hAnsi="宋体" w:cs="宋体" w:eastAsia="宋体" w:hint="default"/>
                <w:spacing w:val="20"/>
                <w:sz w:val="18"/>
                <w:szCs w:val="18"/>
              </w:rPr>
              <w:t>司技术交易</w:t>
            </w:r>
            <w:r>
              <w:rPr>
                <w:rFonts w:ascii="宋体" w:hAnsi="宋体" w:cs="宋体" w:eastAsia="宋体" w:hint="default"/>
                <w:spacing w:val="-86"/>
                <w:sz w:val="18"/>
                <w:szCs w:val="18"/>
              </w:rPr>
              <w:t> </w:t>
            </w:r>
            <w:r>
              <w:rPr>
                <w:rFonts w:ascii="宋体" w:hAnsi="宋体" w:cs="宋体" w:eastAsia="宋体" w:hint="default"/>
                <w:sz w:val="18"/>
                <w:szCs w:val="18"/>
              </w:rPr>
              <w:t>奖补款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both"/>
              <w:rPr>
                <w:rFonts w:ascii="宋体" w:hAnsi="宋体" w:cs="宋体" w:eastAsia="宋体" w:hint="default"/>
                <w:sz w:val="18"/>
                <w:szCs w:val="18"/>
              </w:rPr>
            </w:pPr>
            <w:r>
              <w:rPr>
                <w:rFonts w:ascii="宋体" w:hAnsi="宋体" w:cs="宋体" w:eastAsia="宋体" w:hint="default"/>
                <w:spacing w:val="4"/>
                <w:sz w:val="18"/>
                <w:szCs w:val="18"/>
              </w:rPr>
              <w:t>浙江省</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20"/>
                <w:sz w:val="18"/>
                <w:szCs w:val="18"/>
              </w:rPr>
              <w:t>年度高成长</w:t>
            </w:r>
            <w:r>
              <w:rPr>
                <w:rFonts w:ascii="宋体" w:hAnsi="宋体" w:cs="宋体" w:eastAsia="宋体" w:hint="default"/>
                <w:spacing w:val="-86"/>
                <w:sz w:val="18"/>
                <w:szCs w:val="18"/>
              </w:rPr>
              <w:t> </w:t>
            </w:r>
            <w:r>
              <w:rPr>
                <w:rFonts w:ascii="宋体" w:hAnsi="宋体" w:cs="宋体" w:eastAsia="宋体" w:hint="default"/>
                <w:spacing w:val="20"/>
                <w:sz w:val="18"/>
                <w:szCs w:val="18"/>
              </w:rPr>
              <w:t>科技型中小</w:t>
            </w:r>
            <w:r>
              <w:rPr>
                <w:rFonts w:ascii="宋体" w:hAnsi="宋体" w:cs="宋体" w:eastAsia="宋体" w:hint="default"/>
                <w:spacing w:val="-86"/>
                <w:sz w:val="18"/>
                <w:szCs w:val="18"/>
              </w:rPr>
              <w:t> </w:t>
            </w:r>
            <w:r>
              <w:rPr>
                <w:rFonts w:ascii="宋体" w:hAnsi="宋体" w:cs="宋体" w:eastAsia="宋体" w:hint="default"/>
                <w:spacing w:val="20"/>
                <w:sz w:val="18"/>
                <w:szCs w:val="18"/>
              </w:rPr>
              <w:t>企业奖励资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徐汇区财政</w:t>
            </w:r>
            <w:r>
              <w:rPr>
                <w:rFonts w:ascii="宋体" w:hAnsi="宋体" w:cs="宋体" w:eastAsia="宋体" w:hint="default"/>
                <w:spacing w:val="-86"/>
                <w:sz w:val="18"/>
                <w:szCs w:val="18"/>
              </w:rPr>
              <w:t> </w:t>
            </w:r>
            <w:r>
              <w:rPr>
                <w:rFonts w:ascii="宋体" w:hAnsi="宋体" w:cs="宋体" w:eastAsia="宋体" w:hint="default"/>
                <w:spacing w:val="20"/>
                <w:sz w:val="18"/>
                <w:szCs w:val="18"/>
              </w:rPr>
              <w:t>局街道扶持</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42,050.00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0"/>
              <w:jc w:val="both"/>
              <w:rPr>
                <w:rFonts w:ascii="宋体" w:hAnsi="宋体" w:cs="宋体" w:eastAsia="宋体" w:hint="default"/>
                <w:sz w:val="18"/>
                <w:szCs w:val="18"/>
              </w:rPr>
            </w:pPr>
            <w:r>
              <w:rPr>
                <w:rFonts w:ascii="宋体" w:hAnsi="宋体" w:cs="宋体" w:eastAsia="宋体" w:hint="default"/>
                <w:spacing w:val="20"/>
                <w:sz w:val="18"/>
                <w:szCs w:val="18"/>
              </w:rPr>
              <w:t>中关村企业</w:t>
            </w:r>
            <w:r>
              <w:rPr>
                <w:rFonts w:ascii="宋体" w:hAnsi="宋体" w:cs="宋体" w:eastAsia="宋体" w:hint="default"/>
                <w:spacing w:val="-86"/>
                <w:sz w:val="18"/>
                <w:szCs w:val="18"/>
              </w:rPr>
              <w:t> </w:t>
            </w:r>
            <w:r>
              <w:rPr>
                <w:rFonts w:ascii="宋体" w:hAnsi="宋体" w:cs="宋体" w:eastAsia="宋体" w:hint="default"/>
                <w:spacing w:val="20"/>
                <w:sz w:val="18"/>
                <w:szCs w:val="18"/>
              </w:rPr>
              <w:t>信用促进会</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劳务协作奖</w:t>
            </w:r>
            <w:r>
              <w:rPr>
                <w:rFonts w:ascii="宋体" w:hAnsi="宋体" w:cs="宋体" w:eastAsia="宋体" w:hint="default"/>
                <w:spacing w:val="-86"/>
                <w:sz w:val="18"/>
                <w:szCs w:val="18"/>
              </w:rPr>
              <w:t> </w:t>
            </w:r>
            <w:r>
              <w:rPr>
                <w:rFonts w:ascii="宋体" w:hAnsi="宋体" w:cs="宋体" w:eastAsia="宋体" w:hint="default"/>
                <w:sz w:val="18"/>
                <w:szCs w:val="18"/>
              </w:rPr>
              <w:t>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14,772.32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年高新</w:t>
            </w:r>
            <w:r>
              <w:rPr>
                <w:rFonts w:ascii="宋体" w:hAnsi="宋体" w:cs="宋体" w:eastAsia="宋体" w:hint="default"/>
                <w:sz w:val="18"/>
                <w:szCs w:val="18"/>
              </w:rPr>
              <w:t> </w:t>
            </w:r>
            <w:r>
              <w:rPr>
                <w:rFonts w:ascii="宋体" w:hAnsi="宋体" w:cs="宋体" w:eastAsia="宋体" w:hint="default"/>
                <w:spacing w:val="20"/>
                <w:sz w:val="18"/>
                <w:szCs w:val="18"/>
              </w:rPr>
              <w:t>技术产品区</w:t>
            </w:r>
            <w:r>
              <w:rPr>
                <w:rFonts w:ascii="宋体" w:hAnsi="宋体" w:cs="宋体" w:eastAsia="宋体" w:hint="default"/>
                <w:spacing w:val="-86"/>
                <w:sz w:val="18"/>
                <w:szCs w:val="18"/>
              </w:rPr>
              <w:t> </w:t>
            </w:r>
            <w:r>
              <w:rPr>
                <w:rFonts w:ascii="宋体" w:hAnsi="宋体" w:cs="宋体" w:eastAsia="宋体" w:hint="default"/>
                <w:sz w:val="18"/>
                <w:szCs w:val="18"/>
              </w:rPr>
              <w:t>级补助资金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年度中</w:t>
            </w:r>
            <w:r>
              <w:rPr>
                <w:rFonts w:ascii="宋体" w:hAnsi="宋体" w:cs="宋体" w:eastAsia="宋体" w:hint="default"/>
                <w:sz w:val="18"/>
                <w:szCs w:val="18"/>
              </w:rPr>
              <w:t> </w:t>
            </w:r>
            <w:r>
              <w:rPr>
                <w:rFonts w:ascii="宋体" w:hAnsi="宋体" w:cs="宋体" w:eastAsia="宋体" w:hint="default"/>
                <w:spacing w:val="20"/>
                <w:sz w:val="18"/>
                <w:szCs w:val="18"/>
              </w:rPr>
              <w:t>关村商标促</w:t>
            </w:r>
            <w:r>
              <w:rPr>
                <w:rFonts w:ascii="宋体" w:hAnsi="宋体" w:cs="宋体" w:eastAsia="宋体" w:hint="default"/>
                <w:spacing w:val="-86"/>
                <w:sz w:val="18"/>
                <w:szCs w:val="18"/>
              </w:rPr>
              <w:t> </w:t>
            </w:r>
            <w:r>
              <w:rPr>
                <w:rFonts w:ascii="宋体" w:hAnsi="宋体" w:cs="宋体" w:eastAsia="宋体" w:hint="default"/>
                <w:sz w:val="18"/>
                <w:szCs w:val="18"/>
              </w:rPr>
              <w:t>进资金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应届生的社</w:t>
            </w:r>
            <w:r>
              <w:rPr>
                <w:rFonts w:ascii="宋体" w:hAnsi="宋体" w:cs="宋体" w:eastAsia="宋体" w:hint="default"/>
                <w:spacing w:val="-86"/>
                <w:sz w:val="18"/>
                <w:szCs w:val="18"/>
              </w:rPr>
              <w:t> </w:t>
            </w:r>
            <w:r>
              <w:rPr>
                <w:rFonts w:ascii="宋体" w:hAnsi="宋体" w:cs="宋体" w:eastAsia="宋体" w:hint="default"/>
                <w:sz w:val="18"/>
                <w:szCs w:val="18"/>
              </w:rPr>
              <w:t>医保补贴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9,874.76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应届毕业生</w:t>
            </w:r>
            <w:r>
              <w:rPr>
                <w:rFonts w:ascii="宋体" w:hAnsi="宋体" w:cs="宋体" w:eastAsia="宋体" w:hint="default"/>
                <w:spacing w:val="-86"/>
                <w:sz w:val="18"/>
                <w:szCs w:val="18"/>
              </w:rPr>
              <w:t> </w:t>
            </w:r>
            <w:r>
              <w:rPr>
                <w:rFonts w:ascii="宋体" w:hAnsi="宋体" w:cs="宋体" w:eastAsia="宋体" w:hint="default"/>
                <w:sz w:val="18"/>
                <w:szCs w:val="18"/>
              </w:rPr>
              <w:t>社保补贴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9,085.50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年度社</w:t>
            </w:r>
            <w:r>
              <w:rPr>
                <w:rFonts w:ascii="宋体" w:hAnsi="宋体" w:cs="宋体" w:eastAsia="宋体" w:hint="default"/>
                <w:sz w:val="18"/>
                <w:szCs w:val="18"/>
              </w:rPr>
              <w:t> </w:t>
            </w:r>
            <w:r>
              <w:rPr>
                <w:rFonts w:ascii="宋体" w:hAnsi="宋体" w:cs="宋体" w:eastAsia="宋体" w:hint="default"/>
                <w:spacing w:val="20"/>
                <w:sz w:val="18"/>
                <w:szCs w:val="18"/>
              </w:rPr>
              <w:t>保部门拨入</w:t>
            </w:r>
            <w:r>
              <w:rPr>
                <w:rFonts w:ascii="宋体" w:hAnsi="宋体" w:cs="宋体" w:eastAsia="宋体" w:hint="default"/>
                <w:spacing w:val="-86"/>
                <w:sz w:val="18"/>
                <w:szCs w:val="18"/>
              </w:rPr>
              <w:t> </w:t>
            </w: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6,817.13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火炬计划统</w:t>
            </w:r>
            <w:r>
              <w:rPr>
                <w:rFonts w:ascii="宋体" w:hAnsi="宋体" w:cs="宋体" w:eastAsia="宋体" w:hint="default"/>
                <w:spacing w:val="-86"/>
                <w:sz w:val="18"/>
                <w:szCs w:val="18"/>
              </w:rPr>
              <w:t> </w:t>
            </w:r>
            <w:r>
              <w:rPr>
                <w:rFonts w:ascii="宋体" w:hAnsi="宋体" w:cs="宋体" w:eastAsia="宋体" w:hint="default"/>
                <w:sz w:val="18"/>
                <w:szCs w:val="18"/>
              </w:rPr>
              <w:t>计企业补贴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中国节能协</w:t>
            </w:r>
            <w:r>
              <w:rPr>
                <w:rFonts w:ascii="宋体" w:hAnsi="宋体" w:cs="宋体" w:eastAsia="宋体" w:hint="default"/>
                <w:spacing w:val="-86"/>
                <w:sz w:val="18"/>
                <w:szCs w:val="18"/>
              </w:rPr>
              <w:t> </w:t>
            </w:r>
            <w:r>
              <w:rPr>
                <w:rFonts w:ascii="宋体" w:hAnsi="宋体" w:cs="宋体" w:eastAsia="宋体" w:hint="default"/>
                <w:spacing w:val="20"/>
                <w:sz w:val="18"/>
                <w:szCs w:val="18"/>
              </w:rPr>
              <w:t>会发放的创</w:t>
            </w:r>
            <w:r>
              <w:rPr>
                <w:rFonts w:ascii="宋体" w:hAnsi="宋体" w:cs="宋体" w:eastAsia="宋体" w:hint="default"/>
                <w:spacing w:val="-86"/>
                <w:sz w:val="18"/>
                <w:szCs w:val="18"/>
              </w:rPr>
              <w:t> </w:t>
            </w:r>
            <w:r>
              <w:rPr>
                <w:rFonts w:ascii="宋体" w:hAnsi="宋体" w:cs="宋体" w:eastAsia="宋体" w:hint="default"/>
                <w:sz w:val="18"/>
                <w:szCs w:val="18"/>
              </w:rPr>
              <w:t>新奖奖金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青岛地税崂</w:t>
            </w:r>
            <w:r>
              <w:rPr>
                <w:rFonts w:ascii="宋体" w:hAnsi="宋体" w:cs="宋体" w:eastAsia="宋体" w:hint="default"/>
                <w:spacing w:val="-86"/>
                <w:sz w:val="18"/>
                <w:szCs w:val="18"/>
              </w:rPr>
              <w:t> </w:t>
            </w:r>
            <w:r>
              <w:rPr>
                <w:rFonts w:ascii="宋体" w:hAnsi="宋体" w:cs="宋体" w:eastAsia="宋体" w:hint="default"/>
                <w:spacing w:val="20"/>
                <w:sz w:val="18"/>
                <w:szCs w:val="18"/>
              </w:rPr>
              <w:t>山分局税收</w:t>
            </w:r>
            <w:r>
              <w:rPr>
                <w:rFonts w:ascii="宋体" w:hAnsi="宋体" w:cs="宋体" w:eastAsia="宋体" w:hint="default"/>
                <w:spacing w:val="-86"/>
                <w:sz w:val="18"/>
                <w:szCs w:val="18"/>
              </w:rPr>
              <w:t> </w:t>
            </w:r>
            <w:r>
              <w:rPr>
                <w:rFonts w:ascii="宋体" w:hAnsi="宋体" w:cs="宋体" w:eastAsia="宋体" w:hint="default"/>
                <w:sz w:val="18"/>
                <w:szCs w:val="18"/>
              </w:rPr>
              <w:t>退还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1,104.00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市区网络经</w:t>
            </w:r>
            <w:r>
              <w:rPr>
                <w:rFonts w:ascii="宋体" w:hAnsi="宋体" w:cs="宋体" w:eastAsia="宋体" w:hint="default"/>
                <w:spacing w:val="-86"/>
                <w:sz w:val="18"/>
                <w:szCs w:val="18"/>
              </w:rPr>
              <w:t> </w:t>
            </w:r>
            <w:r>
              <w:rPr>
                <w:rFonts w:ascii="宋体" w:hAnsi="宋体" w:cs="宋体" w:eastAsia="宋体" w:hint="default"/>
                <w:spacing w:val="20"/>
                <w:sz w:val="18"/>
                <w:szCs w:val="18"/>
              </w:rPr>
              <w:t>济专项扶持</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科技服务业</w:t>
            </w:r>
            <w:r>
              <w:rPr>
                <w:rFonts w:ascii="宋体" w:hAnsi="宋体" w:cs="宋体" w:eastAsia="宋体" w:hint="default"/>
                <w:spacing w:val="-86"/>
                <w:sz w:val="18"/>
                <w:szCs w:val="18"/>
              </w:rPr>
              <w:t> </w:t>
            </w:r>
            <w:r>
              <w:rPr>
                <w:rFonts w:ascii="宋体" w:hAnsi="宋体" w:cs="宋体" w:eastAsia="宋体" w:hint="default"/>
                <w:sz w:val="18"/>
                <w:szCs w:val="18"/>
              </w:rPr>
              <w:t>促进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 </w:t>
            </w:r>
            <w:r>
              <w:rPr>
                <w:rFonts w:ascii="宋体" w:hAnsi="宋体" w:cs="宋体" w:eastAsia="宋体" w:hint="default"/>
                <w:spacing w:val="20"/>
                <w:sz w:val="18"/>
                <w:szCs w:val="18"/>
              </w:rPr>
              <w:t>度科技服务</w:t>
            </w:r>
            <w:r>
              <w:rPr>
                <w:rFonts w:ascii="宋体" w:hAnsi="宋体" w:cs="宋体" w:eastAsia="宋体" w:hint="default"/>
                <w:spacing w:val="-86"/>
                <w:sz w:val="18"/>
                <w:szCs w:val="18"/>
              </w:rPr>
              <w:t> </w:t>
            </w:r>
            <w:r>
              <w:rPr>
                <w:rFonts w:ascii="宋体" w:hAnsi="宋体" w:cs="宋体" w:eastAsia="宋体" w:hint="default"/>
                <w:spacing w:val="20"/>
                <w:sz w:val="18"/>
                <w:szCs w:val="18"/>
              </w:rPr>
              <w:t>业后补贴专</w:t>
            </w:r>
            <w:r>
              <w:rPr>
                <w:rFonts w:ascii="宋体" w:hAnsi="宋体" w:cs="宋体" w:eastAsia="宋体" w:hint="default"/>
                <w:spacing w:val="-86"/>
                <w:sz w:val="18"/>
                <w:szCs w:val="18"/>
              </w:rPr>
              <w:t> </w:t>
            </w:r>
            <w:r>
              <w:rPr>
                <w:rFonts w:ascii="宋体" w:hAnsi="宋体" w:cs="宋体" w:eastAsia="宋体" w:hint="default"/>
                <w:sz w:val="18"/>
                <w:szCs w:val="18"/>
              </w:rPr>
              <w:t>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0"/>
              <w:jc w:val="left"/>
              <w:rPr>
                <w:rFonts w:ascii="宋体" w:hAnsi="宋体" w:cs="宋体" w:eastAsia="宋体" w:hint="default"/>
                <w:sz w:val="18"/>
                <w:szCs w:val="18"/>
              </w:rPr>
            </w:pPr>
            <w:r>
              <w:rPr>
                <w:rFonts w:ascii="宋体" w:hAnsi="宋体" w:cs="宋体" w:eastAsia="宋体" w:hint="default"/>
                <w:spacing w:val="20"/>
                <w:sz w:val="18"/>
                <w:szCs w:val="18"/>
              </w:rPr>
              <w:t>北京泰豪智</w:t>
            </w:r>
            <w:r>
              <w:rPr>
                <w:rFonts w:ascii="宋体" w:hAnsi="宋体" w:cs="宋体" w:eastAsia="宋体" w:hint="default"/>
                <w:spacing w:val="-86"/>
                <w:sz w:val="18"/>
                <w:szCs w:val="18"/>
              </w:rPr>
              <w:t> </w:t>
            </w:r>
            <w:r>
              <w:rPr>
                <w:rFonts w:ascii="宋体" w:hAnsi="宋体" w:cs="宋体" w:eastAsia="宋体" w:hint="default"/>
                <w:spacing w:val="20"/>
                <w:sz w:val="18"/>
                <w:szCs w:val="18"/>
              </w:rPr>
              <w:t>能工程有限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0"/>
              <w:jc w:val="left"/>
              <w:rPr>
                <w:rFonts w:ascii="宋体" w:hAnsi="宋体" w:cs="宋体" w:eastAsia="宋体" w:hint="default"/>
                <w:sz w:val="18"/>
                <w:szCs w:val="18"/>
              </w:rPr>
            </w:pPr>
            <w:r>
              <w:rPr>
                <w:rFonts w:ascii="宋体" w:hAnsi="宋体" w:cs="宋体" w:eastAsia="宋体" w:hint="default"/>
                <w:spacing w:val="20"/>
                <w:sz w:val="18"/>
                <w:szCs w:val="18"/>
              </w:rPr>
              <w:t>公司重点培</w:t>
            </w:r>
            <w:r>
              <w:rPr>
                <w:rFonts w:ascii="宋体" w:hAnsi="宋体" w:cs="宋体" w:eastAsia="宋体" w:hint="default"/>
                <w:spacing w:val="-86"/>
                <w:sz w:val="18"/>
                <w:szCs w:val="18"/>
              </w:rPr>
              <w:t> </w:t>
            </w:r>
            <w:r>
              <w:rPr>
                <w:rFonts w:ascii="宋体" w:hAnsi="宋体" w:cs="宋体" w:eastAsia="宋体" w:hint="default"/>
                <w:sz w:val="18"/>
                <w:szCs w:val="18"/>
              </w:rPr>
              <w:t>育企业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4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1"/>
              <w:ind w:left="24" w:right="0"/>
              <w:jc w:val="both"/>
              <w:rPr>
                <w:rFonts w:ascii="Times New Roman" w:hAnsi="Times New Roman" w:cs="Times New Roman" w:eastAsia="Times New Roman" w:hint="default"/>
                <w:sz w:val="18"/>
                <w:szCs w:val="18"/>
              </w:rPr>
            </w:pPr>
            <w:r>
              <w:rPr>
                <w:rFonts w:ascii="宋体" w:hAnsi="宋体" w:cs="宋体" w:eastAsia="宋体" w:hint="default"/>
                <w:spacing w:val="19"/>
                <w:sz w:val="18"/>
                <w:szCs w:val="18"/>
              </w:rPr>
              <w:t>北京经济</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pacing w:val="5"/>
                <w:sz w:val="18"/>
                <w:szCs w:val="18"/>
              </w:rPr>
              <w:t>术开发区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w:t>
            </w:r>
            <w:r>
              <w:rPr>
                <w:rFonts w:ascii="宋体" w:hAnsi="宋体" w:cs="宋体" w:eastAsia="宋体" w:hint="default"/>
                <w:spacing w:val="-88"/>
                <w:sz w:val="18"/>
                <w:szCs w:val="18"/>
              </w:rPr>
              <w:t> </w:t>
            </w:r>
            <w:r>
              <w:rPr>
                <w:rFonts w:ascii="宋体" w:hAnsi="宋体" w:cs="宋体" w:eastAsia="宋体" w:hint="default"/>
                <w:spacing w:val="20"/>
                <w:sz w:val="18"/>
                <w:szCs w:val="18"/>
              </w:rPr>
              <w:t>太阳光伏发</w:t>
            </w:r>
            <w:r>
              <w:rPr>
                <w:rFonts w:ascii="宋体" w:hAnsi="宋体" w:cs="宋体" w:eastAsia="宋体" w:hint="default"/>
                <w:spacing w:val="-86"/>
                <w:sz w:val="18"/>
                <w:szCs w:val="18"/>
              </w:rPr>
              <w:t> </w:t>
            </w:r>
            <w:r>
              <w:rPr>
                <w:rFonts w:ascii="宋体" w:hAnsi="宋体" w:cs="宋体" w:eastAsia="宋体" w:hint="default"/>
                <w:sz w:val="18"/>
                <w:szCs w:val="18"/>
              </w:rPr>
              <w:t>电示范项目</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63,968.73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4" w:right="0"/>
              <w:jc w:val="left"/>
              <w:rPr>
                <w:rFonts w:ascii="宋体" w:hAnsi="宋体" w:cs="宋体" w:eastAsia="宋体" w:hint="default"/>
                <w:sz w:val="18"/>
                <w:szCs w:val="18"/>
              </w:rPr>
            </w:pPr>
            <w:r>
              <w:rPr>
                <w:rFonts w:ascii="宋体" w:hAnsi="宋体" w:cs="宋体" w:eastAsia="宋体" w:hint="default"/>
                <w:spacing w:val="20"/>
                <w:sz w:val="18"/>
                <w:szCs w:val="18"/>
              </w:rPr>
              <w:t>金太阳示范</w:t>
            </w:r>
            <w:r>
              <w:rPr>
                <w:rFonts w:ascii="宋体" w:hAnsi="宋体" w:cs="宋体" w:eastAsia="宋体" w:hint="default"/>
                <w:spacing w:val="-86"/>
                <w:sz w:val="18"/>
                <w:szCs w:val="18"/>
              </w:rPr>
              <w:t> </w:t>
            </w:r>
            <w:r>
              <w:rPr>
                <w:rFonts w:ascii="宋体" w:hAnsi="宋体" w:cs="宋体" w:eastAsia="宋体" w:hint="default"/>
                <w:sz w:val="18"/>
                <w:szCs w:val="18"/>
              </w:rPr>
              <w:t>工程项目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805,132.62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06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基于云计算</w:t>
            </w:r>
            <w:r>
              <w:rPr>
                <w:rFonts w:ascii="宋体" w:hAnsi="宋体" w:cs="宋体" w:eastAsia="宋体" w:hint="default"/>
                <w:spacing w:val="-86"/>
                <w:sz w:val="18"/>
                <w:szCs w:val="18"/>
              </w:rPr>
              <w:t> </w:t>
            </w:r>
            <w:r>
              <w:rPr>
                <w:rFonts w:ascii="宋体" w:hAnsi="宋体" w:cs="宋体" w:eastAsia="宋体" w:hint="default"/>
                <w:spacing w:val="20"/>
                <w:sz w:val="18"/>
                <w:szCs w:val="18"/>
              </w:rPr>
              <w:t>的大型工业</w:t>
            </w:r>
            <w:r>
              <w:rPr>
                <w:rFonts w:ascii="宋体" w:hAnsi="宋体" w:cs="宋体" w:eastAsia="宋体" w:hint="default"/>
                <w:spacing w:val="-86"/>
                <w:sz w:val="18"/>
                <w:szCs w:val="18"/>
              </w:rPr>
              <w:t> </w:t>
            </w:r>
            <w:r>
              <w:rPr>
                <w:rFonts w:ascii="宋体" w:hAnsi="宋体" w:cs="宋体" w:eastAsia="宋体" w:hint="default"/>
                <w:spacing w:val="20"/>
                <w:sz w:val="18"/>
                <w:szCs w:val="18"/>
              </w:rPr>
              <w:t>群能耗和环</w:t>
            </w:r>
            <w:r>
              <w:rPr>
                <w:rFonts w:ascii="宋体" w:hAnsi="宋体" w:cs="宋体" w:eastAsia="宋体" w:hint="default"/>
                <w:spacing w:val="-86"/>
                <w:sz w:val="18"/>
                <w:szCs w:val="18"/>
              </w:rPr>
              <w:t> </w:t>
            </w:r>
            <w:r>
              <w:rPr>
                <w:rFonts w:ascii="宋体" w:hAnsi="宋体" w:cs="宋体" w:eastAsia="宋体" w:hint="default"/>
                <w:spacing w:val="20"/>
                <w:sz w:val="18"/>
                <w:szCs w:val="18"/>
              </w:rPr>
              <w:t>境管理预警</w:t>
            </w:r>
            <w:r>
              <w:rPr>
                <w:rFonts w:ascii="宋体" w:hAnsi="宋体" w:cs="宋体" w:eastAsia="宋体" w:hint="default"/>
                <w:spacing w:val="-86"/>
                <w:sz w:val="18"/>
                <w:szCs w:val="18"/>
              </w:rPr>
              <w:t> </w:t>
            </w:r>
            <w:r>
              <w:rPr>
                <w:rFonts w:ascii="宋体" w:hAnsi="宋体" w:cs="宋体" w:eastAsia="宋体" w:hint="default"/>
                <w:spacing w:val="-12"/>
                <w:sz w:val="18"/>
                <w:szCs w:val="18"/>
              </w:rPr>
              <w:t>系统（服务业</w:t>
            </w:r>
            <w:r>
              <w:rPr>
                <w:rFonts w:ascii="宋体" w:hAnsi="宋体" w:cs="宋体" w:eastAsia="宋体" w:hint="default"/>
                <w:sz w:val="18"/>
                <w:szCs w:val="18"/>
              </w:rPr>
              <w:t> 发展）</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8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基于面向城</w:t>
            </w:r>
            <w:r>
              <w:rPr>
                <w:rFonts w:ascii="宋体" w:hAnsi="宋体" w:cs="宋体" w:eastAsia="宋体" w:hint="default"/>
                <w:spacing w:val="-86"/>
                <w:sz w:val="18"/>
                <w:szCs w:val="18"/>
              </w:rPr>
              <w:t> </w:t>
            </w:r>
            <w:r>
              <w:rPr>
                <w:rFonts w:ascii="宋体" w:hAnsi="宋体" w:cs="宋体" w:eastAsia="宋体" w:hint="default"/>
                <w:spacing w:val="20"/>
                <w:sz w:val="18"/>
                <w:szCs w:val="18"/>
              </w:rPr>
              <w:t>市大型商务</w:t>
            </w:r>
            <w:r>
              <w:rPr>
                <w:rFonts w:ascii="宋体" w:hAnsi="宋体" w:cs="宋体" w:eastAsia="宋体" w:hint="default"/>
                <w:spacing w:val="-86"/>
                <w:sz w:val="18"/>
                <w:szCs w:val="18"/>
              </w:rPr>
              <w:t> </w:t>
            </w:r>
            <w:r>
              <w:rPr>
                <w:rFonts w:ascii="宋体" w:hAnsi="宋体" w:cs="宋体" w:eastAsia="宋体" w:hint="default"/>
                <w:spacing w:val="20"/>
                <w:sz w:val="18"/>
                <w:szCs w:val="18"/>
              </w:rPr>
              <w:t>区建筑物群</w:t>
            </w:r>
            <w:r>
              <w:rPr>
                <w:rFonts w:ascii="宋体" w:hAnsi="宋体" w:cs="宋体" w:eastAsia="宋体" w:hint="default"/>
                <w:spacing w:val="-86"/>
                <w:sz w:val="18"/>
                <w:szCs w:val="18"/>
              </w:rPr>
              <w:t> </w:t>
            </w:r>
            <w:r>
              <w:rPr>
                <w:rFonts w:ascii="宋体" w:hAnsi="宋体" w:cs="宋体" w:eastAsia="宋体" w:hint="default"/>
                <w:spacing w:val="-12"/>
                <w:sz w:val="18"/>
                <w:szCs w:val="18"/>
              </w:rPr>
              <w:t>能源、设施管</w:t>
            </w:r>
            <w:r>
              <w:rPr>
                <w:rFonts w:ascii="宋体" w:hAnsi="宋体" w:cs="宋体" w:eastAsia="宋体" w:hint="default"/>
                <w:sz w:val="18"/>
                <w:szCs w:val="18"/>
              </w:rPr>
              <w:t> </w:t>
            </w:r>
            <w:r>
              <w:rPr>
                <w:rFonts w:ascii="宋体" w:hAnsi="宋体" w:cs="宋体" w:eastAsia="宋体" w:hint="default"/>
                <w:spacing w:val="20"/>
                <w:sz w:val="18"/>
                <w:szCs w:val="18"/>
              </w:rPr>
              <w:t>理及智能化</w:t>
            </w:r>
            <w:r>
              <w:rPr>
                <w:rFonts w:ascii="宋体" w:hAnsi="宋体" w:cs="宋体" w:eastAsia="宋体" w:hint="default"/>
                <w:spacing w:val="-86"/>
                <w:sz w:val="18"/>
                <w:szCs w:val="18"/>
              </w:rPr>
              <w:t> </w:t>
            </w:r>
            <w:r>
              <w:rPr>
                <w:rFonts w:ascii="宋体" w:hAnsi="宋体" w:cs="宋体" w:eastAsia="宋体" w:hint="default"/>
                <w:spacing w:val="20"/>
                <w:sz w:val="18"/>
                <w:szCs w:val="18"/>
              </w:rPr>
              <w:t>集成服务系</w:t>
            </w:r>
            <w:r>
              <w:rPr>
                <w:rFonts w:ascii="宋体" w:hAnsi="宋体" w:cs="宋体" w:eastAsia="宋体" w:hint="default"/>
                <w:spacing w:val="-86"/>
                <w:sz w:val="18"/>
                <w:szCs w:val="18"/>
              </w:rPr>
              <w:t> </w:t>
            </w:r>
            <w:r>
              <w:rPr>
                <w:rFonts w:ascii="宋体" w:hAnsi="宋体" w:cs="宋体" w:eastAsia="宋体" w:hint="default"/>
                <w:sz w:val="18"/>
                <w:szCs w:val="18"/>
              </w:rPr>
              <w:t>统（软集）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收上海市黄</w:t>
            </w:r>
            <w:r>
              <w:rPr>
                <w:rFonts w:ascii="宋体" w:hAnsi="宋体" w:cs="宋体" w:eastAsia="宋体" w:hint="default"/>
                <w:spacing w:val="-86"/>
                <w:sz w:val="18"/>
                <w:szCs w:val="18"/>
              </w:rPr>
              <w:t> </w:t>
            </w:r>
            <w:r>
              <w:rPr>
                <w:rFonts w:ascii="宋体" w:hAnsi="宋体" w:cs="宋体" w:eastAsia="宋体" w:hint="default"/>
                <w:spacing w:val="20"/>
                <w:sz w:val="18"/>
                <w:szCs w:val="18"/>
              </w:rPr>
              <w:t>浦区财政局</w:t>
            </w:r>
            <w:r>
              <w:rPr>
                <w:rFonts w:ascii="宋体" w:hAnsi="宋体" w:cs="宋体" w:eastAsia="宋体" w:hint="default"/>
                <w:spacing w:val="-86"/>
                <w:sz w:val="18"/>
                <w:szCs w:val="18"/>
              </w:rPr>
              <w:t> </w:t>
            </w:r>
            <w:r>
              <w:rPr>
                <w:rFonts w:ascii="宋体" w:hAnsi="宋体" w:cs="宋体" w:eastAsia="宋体" w:hint="default"/>
                <w:spacing w:val="20"/>
                <w:sz w:val="18"/>
                <w:szCs w:val="18"/>
              </w:rPr>
              <w:t>直接支付零</w:t>
            </w:r>
            <w:r>
              <w:rPr>
                <w:rFonts w:ascii="宋体" w:hAnsi="宋体" w:cs="宋体" w:eastAsia="宋体" w:hint="default"/>
                <w:spacing w:val="-86"/>
                <w:sz w:val="18"/>
                <w:szCs w:val="18"/>
              </w:rPr>
              <w:t> </w:t>
            </w:r>
            <w:r>
              <w:rPr>
                <w:rFonts w:ascii="宋体" w:hAnsi="宋体" w:cs="宋体" w:eastAsia="宋体" w:hint="default"/>
                <w:spacing w:val="20"/>
                <w:sz w:val="18"/>
                <w:szCs w:val="18"/>
              </w:rPr>
              <w:t>余额账户品</w:t>
            </w:r>
            <w:r>
              <w:rPr>
                <w:rFonts w:ascii="宋体" w:hAnsi="宋体" w:cs="宋体" w:eastAsia="宋体" w:hint="default"/>
                <w:spacing w:val="-86"/>
                <w:sz w:val="18"/>
                <w:szCs w:val="18"/>
              </w:rPr>
              <w:t> </w:t>
            </w:r>
            <w:r>
              <w:rPr>
                <w:rFonts w:ascii="宋体" w:hAnsi="宋体" w:cs="宋体" w:eastAsia="宋体" w:hint="default"/>
                <w:sz w:val="18"/>
                <w:szCs w:val="18"/>
              </w:rPr>
              <w:t>牌专项资金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1"/>
              <w:ind w:left="24" w:right="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高 </w:t>
            </w:r>
            <w:r>
              <w:rPr>
                <w:rFonts w:ascii="宋体" w:hAnsi="宋体" w:cs="宋体" w:eastAsia="宋体" w:hint="default"/>
                <w:spacing w:val="20"/>
                <w:sz w:val="18"/>
                <w:szCs w:val="18"/>
              </w:rPr>
              <w:t>企入库财政</w:t>
            </w:r>
            <w:r>
              <w:rPr>
                <w:rFonts w:ascii="宋体" w:hAnsi="宋体" w:cs="宋体" w:eastAsia="宋体" w:hint="default"/>
                <w:spacing w:val="-86"/>
                <w:sz w:val="18"/>
                <w:szCs w:val="18"/>
              </w:rPr>
              <w:t> </w:t>
            </w: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高新区鼓励</w:t>
            </w:r>
            <w:r>
              <w:rPr>
                <w:rFonts w:ascii="宋体" w:hAnsi="宋体" w:cs="宋体" w:eastAsia="宋体" w:hint="default"/>
                <w:spacing w:val="-86"/>
                <w:sz w:val="18"/>
                <w:szCs w:val="18"/>
              </w:rPr>
              <w:t> </w:t>
            </w:r>
            <w:r>
              <w:rPr>
                <w:rFonts w:ascii="宋体" w:hAnsi="宋体" w:cs="宋体" w:eastAsia="宋体" w:hint="default"/>
                <w:spacing w:val="20"/>
                <w:sz w:val="18"/>
                <w:szCs w:val="18"/>
              </w:rPr>
              <w:t>企业上规入</w:t>
            </w:r>
            <w:r>
              <w:rPr>
                <w:rFonts w:ascii="宋体" w:hAnsi="宋体" w:cs="宋体" w:eastAsia="宋体" w:hint="default"/>
                <w:spacing w:val="-86"/>
                <w:sz w:val="18"/>
                <w:szCs w:val="18"/>
              </w:rPr>
              <w:t> </w:t>
            </w:r>
            <w:r>
              <w:rPr>
                <w:rFonts w:ascii="宋体" w:hAnsi="宋体" w:cs="宋体" w:eastAsia="宋体" w:hint="default"/>
                <w:sz w:val="18"/>
                <w:szCs w:val="18"/>
              </w:rPr>
              <w:t>库补贴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镇海区文创</w:t>
            </w:r>
            <w:r>
              <w:rPr>
                <w:rFonts w:ascii="宋体" w:hAnsi="宋体" w:cs="宋体" w:eastAsia="宋体" w:hint="default"/>
                <w:spacing w:val="-86"/>
                <w:sz w:val="18"/>
                <w:szCs w:val="18"/>
              </w:rPr>
              <w:t> </w:t>
            </w:r>
            <w:r>
              <w:rPr>
                <w:rFonts w:ascii="宋体" w:hAnsi="宋体" w:cs="宋体" w:eastAsia="宋体" w:hint="default"/>
                <w:spacing w:val="20"/>
                <w:sz w:val="18"/>
                <w:szCs w:val="18"/>
              </w:rPr>
              <w:t>企业地方财</w:t>
            </w:r>
            <w:r>
              <w:rPr>
                <w:rFonts w:ascii="宋体" w:hAnsi="宋体" w:cs="宋体" w:eastAsia="宋体" w:hint="default"/>
                <w:spacing w:val="-86"/>
                <w:sz w:val="18"/>
                <w:szCs w:val="18"/>
              </w:rPr>
              <w:t> </w:t>
            </w:r>
            <w:r>
              <w:rPr>
                <w:rFonts w:ascii="宋体" w:hAnsi="宋体" w:cs="宋体" w:eastAsia="宋体" w:hint="default"/>
                <w:spacing w:val="20"/>
                <w:sz w:val="18"/>
                <w:szCs w:val="18"/>
              </w:rPr>
              <w:t>政贡献政策</w:t>
            </w:r>
            <w:r>
              <w:rPr>
                <w:rFonts w:ascii="宋体" w:hAnsi="宋体" w:cs="宋体" w:eastAsia="宋体" w:hint="default"/>
                <w:spacing w:val="-86"/>
                <w:sz w:val="18"/>
                <w:szCs w:val="18"/>
              </w:rPr>
              <w:t> </w:t>
            </w: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2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0"/>
              <w:jc w:val="left"/>
              <w:rPr>
                <w:rFonts w:ascii="宋体" w:hAnsi="宋体" w:cs="宋体" w:eastAsia="宋体" w:hint="default"/>
                <w:sz w:val="18"/>
                <w:szCs w:val="18"/>
              </w:rPr>
            </w:pPr>
            <w:r>
              <w:rPr>
                <w:rFonts w:ascii="宋体" w:hAnsi="宋体" w:cs="宋体" w:eastAsia="宋体" w:hint="default"/>
                <w:spacing w:val="20"/>
                <w:sz w:val="18"/>
                <w:szCs w:val="18"/>
              </w:rPr>
              <w:t>上海百旺财</w:t>
            </w:r>
            <w:r>
              <w:rPr>
                <w:rFonts w:ascii="宋体" w:hAnsi="宋体" w:cs="宋体" w:eastAsia="宋体" w:hint="default"/>
                <w:spacing w:val="-86"/>
                <w:sz w:val="18"/>
                <w:szCs w:val="18"/>
              </w:rPr>
              <w:t> </w:t>
            </w:r>
            <w:r>
              <w:rPr>
                <w:rFonts w:ascii="宋体" w:hAnsi="宋体" w:cs="宋体" w:eastAsia="宋体" w:hint="default"/>
                <w:sz w:val="18"/>
                <w:szCs w:val="18"/>
              </w:rPr>
              <w:t>政税收奖励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269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0"/>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西安西谷微</w:t>
            </w:r>
            <w:r>
              <w:rPr>
                <w:rFonts w:ascii="宋体" w:hAnsi="宋体" w:cs="宋体" w:eastAsia="宋体" w:hint="default"/>
                <w:spacing w:val="-86"/>
                <w:sz w:val="18"/>
                <w:szCs w:val="18"/>
              </w:rPr>
              <w:t> </w:t>
            </w:r>
            <w:r>
              <w:rPr>
                <w:rFonts w:ascii="宋体" w:hAnsi="宋体" w:cs="宋体" w:eastAsia="宋体" w:hint="default"/>
                <w:spacing w:val="20"/>
                <w:sz w:val="18"/>
                <w:szCs w:val="18"/>
              </w:rPr>
              <w:t>电子有限责</w:t>
            </w:r>
            <w:r>
              <w:rPr>
                <w:rFonts w:ascii="宋体" w:hAnsi="宋体" w:cs="宋体" w:eastAsia="宋体" w:hint="default"/>
                <w:spacing w:val="-86"/>
                <w:sz w:val="18"/>
                <w:szCs w:val="18"/>
              </w:rPr>
              <w:t> </w:t>
            </w:r>
            <w:r>
              <w:rPr>
                <w:rFonts w:ascii="宋体" w:hAnsi="宋体" w:cs="宋体" w:eastAsia="宋体" w:hint="default"/>
                <w:spacing w:val="20"/>
                <w:sz w:val="18"/>
                <w:szCs w:val="18"/>
              </w:rPr>
              <w:t>任公司电子</w:t>
            </w:r>
            <w:r>
              <w:rPr>
                <w:rFonts w:ascii="宋体" w:hAnsi="宋体" w:cs="宋体" w:eastAsia="宋体" w:hint="default"/>
                <w:spacing w:val="-86"/>
                <w:sz w:val="18"/>
                <w:szCs w:val="18"/>
              </w:rPr>
              <w:t> </w:t>
            </w:r>
            <w:r>
              <w:rPr>
                <w:rFonts w:ascii="宋体" w:hAnsi="宋体" w:cs="宋体" w:eastAsia="宋体" w:hint="default"/>
                <w:spacing w:val="8"/>
                <w:sz w:val="18"/>
                <w:szCs w:val="18"/>
              </w:rPr>
              <w:t>元器件</w:t>
            </w:r>
            <w:r>
              <w:rPr>
                <w:rFonts w:ascii="宋体" w:hAnsi="宋体" w:cs="宋体" w:eastAsia="宋体" w:hint="default"/>
                <w:spacing w:val="10"/>
                <w:sz w:val="18"/>
                <w:szCs w:val="18"/>
              </w:rPr>
              <w:t> </w:t>
            </w:r>
            <w:r>
              <w:rPr>
                <w:rFonts w:ascii="Times New Roman" w:hAnsi="Times New Roman" w:cs="Times New Roman" w:eastAsia="Times New Roman" w:hint="default"/>
                <w:spacing w:val="-5"/>
                <w:sz w:val="18"/>
                <w:szCs w:val="18"/>
              </w:rPr>
              <w:t>DPA</w:t>
            </w:r>
          </w:p>
          <w:p>
            <w:pPr>
              <w:pStyle w:val="TableParagraph"/>
              <w:spacing w:line="316" w:lineRule="auto"/>
              <w:ind w:left="24" w:right="0"/>
              <w:jc w:val="both"/>
              <w:rPr>
                <w:rFonts w:ascii="宋体" w:hAnsi="宋体" w:cs="宋体" w:eastAsia="宋体" w:hint="default"/>
                <w:sz w:val="18"/>
                <w:szCs w:val="18"/>
              </w:rPr>
            </w:pPr>
            <w:r>
              <w:rPr>
                <w:rFonts w:ascii="宋体" w:hAnsi="宋体" w:cs="宋体" w:eastAsia="宋体" w:hint="default"/>
                <w:spacing w:val="20"/>
                <w:sz w:val="18"/>
                <w:szCs w:val="18"/>
              </w:rPr>
              <w:t>（破坏性物</w:t>
            </w:r>
            <w:r>
              <w:rPr>
                <w:rFonts w:ascii="宋体" w:hAnsi="宋体" w:cs="宋体" w:eastAsia="宋体" w:hint="default"/>
                <w:spacing w:val="-86"/>
                <w:sz w:val="18"/>
                <w:szCs w:val="18"/>
              </w:rPr>
              <w:t> </w:t>
            </w:r>
            <w:r>
              <w:rPr>
                <w:rFonts w:ascii="宋体" w:hAnsi="宋体" w:cs="宋体" w:eastAsia="宋体" w:hint="default"/>
                <w:spacing w:val="-12"/>
                <w:sz w:val="18"/>
                <w:szCs w:val="18"/>
              </w:rPr>
              <w:t>理分析）测试</w:t>
            </w:r>
            <w:r>
              <w:rPr>
                <w:rFonts w:ascii="宋体" w:hAnsi="宋体" w:cs="宋体" w:eastAsia="宋体" w:hint="default"/>
                <w:sz w:val="18"/>
                <w:szCs w:val="18"/>
              </w:rPr>
              <w:t> </w:t>
            </w:r>
            <w:r>
              <w:rPr>
                <w:rFonts w:ascii="宋体" w:hAnsi="宋体" w:cs="宋体" w:eastAsia="宋体" w:hint="default"/>
                <w:spacing w:val="20"/>
                <w:sz w:val="18"/>
                <w:szCs w:val="18"/>
              </w:rPr>
              <w:t>分析公共服</w:t>
            </w:r>
            <w:r>
              <w:rPr>
                <w:rFonts w:ascii="宋体" w:hAnsi="宋体" w:cs="宋体" w:eastAsia="宋体" w:hint="default"/>
                <w:spacing w:val="-86"/>
                <w:sz w:val="18"/>
                <w:szCs w:val="18"/>
              </w:rPr>
              <w:t> </w:t>
            </w:r>
            <w:r>
              <w:rPr>
                <w:rFonts w:ascii="宋体" w:hAnsi="宋体" w:cs="宋体" w:eastAsia="宋体" w:hint="default"/>
                <w:sz w:val="18"/>
                <w:szCs w:val="18"/>
              </w:rPr>
              <w:t>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both"/>
              <w:rPr>
                <w:rFonts w:ascii="宋体" w:hAnsi="宋体" w:cs="宋体" w:eastAsia="宋体" w:hint="default"/>
                <w:sz w:val="18"/>
                <w:szCs w:val="18"/>
              </w:rPr>
            </w:pPr>
            <w:r>
              <w:rPr>
                <w:rFonts w:ascii="宋体" w:hAnsi="宋体" w:cs="宋体" w:eastAsia="宋体" w:hint="default"/>
                <w:sz w:val="18"/>
                <w:szCs w:val="18"/>
              </w:rPr>
              <w:t>兑      </w:t>
            </w:r>
            <w:r>
              <w:rPr>
                <w:rFonts w:ascii="宋体" w:hAnsi="宋体" w:cs="宋体" w:eastAsia="宋体" w:hint="default"/>
                <w:spacing w:val="18"/>
                <w:sz w:val="18"/>
                <w:szCs w:val="18"/>
              </w:rPr>
              <w:t> </w:t>
            </w:r>
            <w:r>
              <w:rPr>
                <w:rFonts w:ascii="宋体" w:hAnsi="宋体" w:cs="宋体" w:eastAsia="宋体" w:hint="default"/>
                <w:sz w:val="18"/>
                <w:szCs w:val="18"/>
              </w:rPr>
              <w:t>现</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316" w:lineRule="auto" w:before="63"/>
              <w:ind w:left="24" w:right="0"/>
              <w:jc w:val="both"/>
              <w:rPr>
                <w:rFonts w:ascii="宋体" w:hAnsi="宋体" w:cs="宋体" w:eastAsia="宋体" w:hint="default"/>
                <w:sz w:val="18"/>
                <w:szCs w:val="18"/>
              </w:rPr>
            </w:pPr>
            <w:r>
              <w:rPr>
                <w:rFonts w:ascii="宋体" w:hAnsi="宋体" w:cs="宋体" w:eastAsia="宋体" w:hint="default"/>
                <w:spacing w:val="20"/>
                <w:sz w:val="18"/>
                <w:szCs w:val="18"/>
              </w:rPr>
              <w:t>度加快创新</w:t>
            </w:r>
            <w:r>
              <w:rPr>
                <w:rFonts w:ascii="宋体" w:hAnsi="宋体" w:cs="宋体" w:eastAsia="宋体" w:hint="default"/>
                <w:spacing w:val="-86"/>
                <w:sz w:val="18"/>
                <w:szCs w:val="18"/>
              </w:rPr>
              <w:t> </w:t>
            </w:r>
            <w:r>
              <w:rPr>
                <w:rFonts w:ascii="宋体" w:hAnsi="宋体" w:cs="宋体" w:eastAsia="宋体" w:hint="default"/>
                <w:spacing w:val="20"/>
                <w:sz w:val="18"/>
                <w:szCs w:val="18"/>
              </w:rPr>
              <w:t>驱动发展系</w:t>
            </w:r>
            <w:r>
              <w:rPr>
                <w:rFonts w:ascii="宋体" w:hAnsi="宋体" w:cs="宋体" w:eastAsia="宋体" w:hint="default"/>
                <w:spacing w:val="-86"/>
                <w:sz w:val="18"/>
                <w:szCs w:val="18"/>
              </w:rPr>
              <w:t> </w:t>
            </w:r>
            <w:r>
              <w:rPr>
                <w:rFonts w:ascii="宋体" w:hAnsi="宋体" w:cs="宋体" w:eastAsia="宋体" w:hint="default"/>
                <w:sz w:val="18"/>
                <w:szCs w:val="18"/>
              </w:rPr>
              <w:t>列政策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1,336,500.00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101"/>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年度设</w:t>
            </w:r>
            <w:r>
              <w:rPr>
                <w:rFonts w:ascii="宋体" w:hAnsi="宋体" w:cs="宋体" w:eastAsia="宋体" w:hint="default"/>
                <w:sz w:val="18"/>
                <w:szCs w:val="18"/>
              </w:rPr>
              <w:t> 备共享补助、 奖励</w:t>
            </w:r>
          </w:p>
        </w:tc>
        <w:tc>
          <w:tcPr>
            <w:tcW w:w="1063" w:type="dxa"/>
            <w:tcBorders>
              <w:top w:val="single" w:sz="4" w:space="0" w:color="000000"/>
              <w:left w:val="single" w:sz="13" w:space="0" w:color="FFFFFF"/>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西安市科技</w:t>
            </w:r>
            <w:r>
              <w:rPr>
                <w:rFonts w:ascii="宋体" w:hAnsi="宋体" w:cs="宋体" w:eastAsia="宋体" w:hint="default"/>
                <w:spacing w:val="-86"/>
                <w:sz w:val="18"/>
                <w:szCs w:val="18"/>
              </w:rPr>
              <w:t> </w:t>
            </w:r>
            <w:r>
              <w:rPr>
                <w:rFonts w:ascii="宋体" w:hAnsi="宋体" w:cs="宋体" w:eastAsia="宋体" w:hint="default"/>
                <w:spacing w:val="20"/>
                <w:sz w:val="18"/>
                <w:szCs w:val="18"/>
              </w:rPr>
              <w:t>计划项目尾</w:t>
            </w:r>
            <w:r>
              <w:rPr>
                <w:rFonts w:ascii="宋体" w:hAnsi="宋体" w:cs="宋体" w:eastAsia="宋体" w:hint="default"/>
                <w:spacing w:val="-86"/>
                <w:sz w:val="18"/>
                <w:szCs w:val="18"/>
              </w:rPr>
              <w:t> </w:t>
            </w:r>
            <w:r>
              <w:rPr>
                <w:rFonts w:ascii="宋体" w:hAnsi="宋体" w:cs="宋体" w:eastAsia="宋体" w:hint="default"/>
                <w:sz w:val="18"/>
                <w:szCs w:val="18"/>
              </w:rPr>
              <w:t>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西安市中小</w:t>
            </w:r>
            <w:r>
              <w:rPr>
                <w:rFonts w:ascii="宋体" w:hAnsi="宋体" w:cs="宋体" w:eastAsia="宋体" w:hint="default"/>
                <w:spacing w:val="-86"/>
                <w:sz w:val="18"/>
                <w:szCs w:val="18"/>
              </w:rPr>
              <w:t> </w:t>
            </w:r>
            <w:r>
              <w:rPr>
                <w:rFonts w:ascii="宋体" w:hAnsi="宋体" w:cs="宋体" w:eastAsia="宋体" w:hint="default"/>
                <w:spacing w:val="20"/>
                <w:sz w:val="18"/>
                <w:szCs w:val="18"/>
              </w:rPr>
              <w:t>企业公共服</w:t>
            </w:r>
            <w:r>
              <w:rPr>
                <w:rFonts w:ascii="宋体" w:hAnsi="宋体" w:cs="宋体" w:eastAsia="宋体" w:hint="default"/>
                <w:spacing w:val="-86"/>
                <w:sz w:val="18"/>
                <w:szCs w:val="18"/>
              </w:rPr>
              <w:t> </w:t>
            </w:r>
            <w:r>
              <w:rPr>
                <w:rFonts w:ascii="宋体" w:hAnsi="宋体" w:cs="宋体" w:eastAsia="宋体" w:hint="default"/>
                <w:spacing w:val="20"/>
                <w:sz w:val="18"/>
                <w:szCs w:val="18"/>
              </w:rPr>
              <w:t>务平台业务</w:t>
            </w:r>
            <w:r>
              <w:rPr>
                <w:rFonts w:ascii="宋体" w:hAnsi="宋体" w:cs="宋体" w:eastAsia="宋体" w:hint="default"/>
                <w:spacing w:val="-86"/>
                <w:sz w:val="18"/>
                <w:szCs w:val="18"/>
              </w:rPr>
              <w:t> </w:t>
            </w: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3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科技型中小</w:t>
            </w:r>
            <w:r>
              <w:rPr>
                <w:rFonts w:ascii="宋体" w:hAnsi="宋体" w:cs="宋体" w:eastAsia="宋体" w:hint="default"/>
                <w:spacing w:val="-86"/>
                <w:sz w:val="18"/>
                <w:szCs w:val="18"/>
              </w:rPr>
              <w:t> </w:t>
            </w:r>
            <w:r>
              <w:rPr>
                <w:rFonts w:ascii="宋体" w:hAnsi="宋体" w:cs="宋体" w:eastAsia="宋体" w:hint="default"/>
                <w:spacing w:val="20"/>
                <w:sz w:val="18"/>
                <w:szCs w:val="18"/>
              </w:rPr>
              <w:t>企业技术创</w:t>
            </w:r>
            <w:r>
              <w:rPr>
                <w:rFonts w:ascii="宋体" w:hAnsi="宋体" w:cs="宋体" w:eastAsia="宋体" w:hint="default"/>
                <w:spacing w:val="-86"/>
                <w:sz w:val="18"/>
                <w:szCs w:val="18"/>
              </w:rPr>
              <w:t> </w:t>
            </w:r>
            <w:r>
              <w:rPr>
                <w:rFonts w:ascii="宋体" w:hAnsi="宋体" w:cs="宋体" w:eastAsia="宋体" w:hint="default"/>
                <w:sz w:val="18"/>
                <w:szCs w:val="18"/>
              </w:rPr>
              <w:t>新基金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5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both"/>
              <w:rPr>
                <w:rFonts w:ascii="宋体" w:hAnsi="宋体" w:cs="宋体" w:eastAsia="宋体" w:hint="default"/>
                <w:sz w:val="18"/>
                <w:szCs w:val="18"/>
              </w:rPr>
            </w:pPr>
            <w:r>
              <w:rPr>
                <w:rFonts w:ascii="宋体" w:hAnsi="宋体" w:cs="宋体" w:eastAsia="宋体" w:hint="default"/>
                <w:spacing w:val="20"/>
                <w:sz w:val="18"/>
                <w:szCs w:val="18"/>
              </w:rPr>
              <w:t>基于大数据</w:t>
            </w:r>
            <w:r>
              <w:rPr>
                <w:rFonts w:ascii="宋体" w:hAnsi="宋体" w:cs="宋体" w:eastAsia="宋体" w:hint="default"/>
                <w:spacing w:val="-86"/>
                <w:sz w:val="18"/>
                <w:szCs w:val="18"/>
              </w:rPr>
              <w:t> </w:t>
            </w:r>
            <w:r>
              <w:rPr>
                <w:rFonts w:ascii="宋体" w:hAnsi="宋体" w:cs="宋体" w:eastAsia="宋体" w:hint="default"/>
                <w:spacing w:val="20"/>
                <w:sz w:val="18"/>
                <w:szCs w:val="18"/>
              </w:rPr>
              <w:t>的城市环境</w:t>
            </w:r>
            <w:r>
              <w:rPr>
                <w:rFonts w:ascii="宋体" w:hAnsi="宋体" w:cs="宋体" w:eastAsia="宋体" w:hint="default"/>
                <w:spacing w:val="-86"/>
                <w:sz w:val="18"/>
                <w:szCs w:val="18"/>
              </w:rPr>
              <w:t> </w:t>
            </w:r>
            <w:r>
              <w:rPr>
                <w:rFonts w:ascii="宋体" w:hAnsi="宋体" w:cs="宋体" w:eastAsia="宋体" w:hint="default"/>
                <w:spacing w:val="20"/>
                <w:sz w:val="18"/>
                <w:szCs w:val="18"/>
              </w:rPr>
              <w:t>信息监测云</w:t>
            </w:r>
            <w:r>
              <w:rPr>
                <w:rFonts w:ascii="宋体" w:hAnsi="宋体" w:cs="宋体" w:eastAsia="宋体" w:hint="default"/>
                <w:spacing w:val="-86"/>
                <w:sz w:val="18"/>
                <w:szCs w:val="18"/>
              </w:rPr>
              <w:t> </w:t>
            </w:r>
            <w:r>
              <w:rPr>
                <w:rFonts w:ascii="宋体" w:hAnsi="宋体" w:cs="宋体" w:eastAsia="宋体" w:hint="default"/>
                <w:spacing w:val="20"/>
                <w:sz w:val="18"/>
                <w:szCs w:val="18"/>
              </w:rPr>
              <w:t>管理与分析</w:t>
            </w:r>
            <w:r>
              <w:rPr>
                <w:rFonts w:ascii="宋体" w:hAnsi="宋体" w:cs="宋体" w:eastAsia="宋体" w:hint="default"/>
                <w:spacing w:val="-86"/>
                <w:sz w:val="18"/>
                <w:szCs w:val="18"/>
              </w:rPr>
              <w:t> </w:t>
            </w: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153,885.62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9"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6,654,109.57</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6,776,986.97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Times New Roman" w:hAnsi="Times New Roman" w:cs="Times New Roman" w:eastAsia="Times New Roman" w:hint="default"/>
          <w:sz w:val="11"/>
          <w:szCs w:val="11"/>
        </w:rPr>
      </w:pPr>
    </w:p>
    <w:p>
      <w:pPr>
        <w:pStyle w:val="BodyText"/>
        <w:spacing w:line="240" w:lineRule="auto" w:before="36"/>
        <w:ind w:left="573" w:right="11"/>
        <w:jc w:val="left"/>
      </w:pPr>
      <w:r>
        <w:rPr/>
        <w:t>其他说明：</w:t>
      </w:r>
    </w:p>
    <w:p>
      <w:pPr>
        <w:spacing w:line="240" w:lineRule="auto" w:before="4"/>
        <w:rPr>
          <w:rFonts w:ascii="宋体" w:hAnsi="宋体" w:cs="宋体" w:eastAsia="宋体" w:hint="default"/>
          <w:sz w:val="22"/>
          <w:szCs w:val="22"/>
        </w:rPr>
      </w:pPr>
    </w:p>
    <w:p>
      <w:pPr>
        <w:pStyle w:val="BodyText"/>
        <w:spacing w:line="386" w:lineRule="auto"/>
        <w:ind w:right="147" w:firstLine="420"/>
        <w:jc w:val="left"/>
      </w:pPr>
      <w:r>
        <w:rPr/>
        <w:t>其中，本期</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中 </w:t>
      </w:r>
      <w:r>
        <w:rPr>
          <w:rFonts w:ascii="Times New Roman" w:hAnsi="Times New Roman" w:cs="Times New Roman" w:eastAsia="Times New Roman" w:hint="default"/>
        </w:rPr>
        <w:t>2,708,427.83</w:t>
      </w:r>
      <w:r>
        <w:rPr>
          <w:rFonts w:ascii="Times New Roman" w:hAnsi="Times New Roman" w:cs="Times New Roman" w:eastAsia="Times New Roman" w:hint="default"/>
          <w:spacing w:val="-9"/>
        </w:rPr>
        <w:t> </w:t>
      </w:r>
      <w:r>
        <w:rPr/>
        <w:t>元为太阳能光伏电站施工过程中遭受龙卷风袭击获得的保险赔偿收</w:t>
      </w:r>
      <w:r>
        <w:rPr>
          <w:w w:val="100"/>
        </w:rPr>
        <w:t> </w:t>
      </w:r>
      <w:r>
        <w:rPr/>
        <w:t>入。</w:t>
      </w:r>
    </w:p>
    <w:p>
      <w:pPr>
        <w:spacing w:after="0" w:line="386" w:lineRule="auto"/>
        <w:jc w:val="left"/>
        <w:sectPr>
          <w:pgSz w:w="11910" w:h="16840"/>
          <w:pgMar w:header="0" w:footer="1132" w:top="1280" w:bottom="1320" w:left="980" w:right="980"/>
        </w:sectPr>
      </w:pPr>
    </w:p>
    <w:p>
      <w:pPr>
        <w:spacing w:line="240" w:lineRule="auto" w:before="2"/>
        <w:rPr>
          <w:rFonts w:ascii="宋体" w:hAnsi="宋体" w:cs="宋体" w:eastAsia="宋体" w:hint="default"/>
          <w:sz w:val="15"/>
          <w:szCs w:val="15"/>
        </w:rPr>
      </w:pPr>
    </w:p>
    <w:p>
      <w:pPr>
        <w:pStyle w:val="Heading3"/>
        <w:spacing w:line="240" w:lineRule="auto" w:before="26"/>
        <w:ind w:right="11"/>
        <w:jc w:val="left"/>
      </w:pPr>
      <w:r>
        <w:rPr>
          <w:rFonts w:ascii="Times New Roman" w:hAnsi="Times New Roman" w:cs="Times New Roman" w:eastAsia="Times New Roman" w:hint="default"/>
        </w:rPr>
        <w:t>72</w:t>
      </w:r>
      <w:r>
        <w:rPr/>
        <w:t>、营业外支出</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3"/>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97"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0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10,452,639.96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10,452,639.96</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193,853.23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12,091.63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193,853.23</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w w:val="95"/>
                <w:sz w:val="18"/>
              </w:rPr>
              <w:t>5,018.32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5,018.32</w:t>
            </w:r>
          </w:p>
        </w:tc>
      </w:tr>
      <w:tr>
        <w:trPr>
          <w:trHeight w:val="50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10,447,204.37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148,214.70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10,447,204.37</w:t>
            </w:r>
          </w:p>
        </w:tc>
      </w:tr>
      <w:tr>
        <w:trPr>
          <w:trHeight w:val="50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pacing w:val="-1"/>
                <w:sz w:val="18"/>
              </w:rPr>
              <w:t>21,098,715.88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4,410,306.33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21,098,715.88</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6"/>
        <w:rPr>
          <w:rFonts w:ascii="宋体" w:hAnsi="宋体" w:cs="宋体" w:eastAsia="宋体" w:hint="default"/>
          <w:sz w:val="22"/>
          <w:szCs w:val="22"/>
        </w:rPr>
      </w:pPr>
    </w:p>
    <w:p>
      <w:pPr>
        <w:pStyle w:val="BodyText"/>
        <w:spacing w:line="240" w:lineRule="auto"/>
        <w:ind w:left="573" w:right="11"/>
        <w:jc w:val="left"/>
      </w:pPr>
      <w:r>
        <w:rPr/>
        <w:t>本期</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中</w:t>
      </w:r>
      <w:r>
        <w:rPr>
          <w:spacing w:val="-55"/>
        </w:rPr>
        <w:t> </w:t>
      </w:r>
      <w:r>
        <w:rPr>
          <w:rFonts w:ascii="Times New Roman" w:hAnsi="Times New Roman" w:cs="Times New Roman" w:eastAsia="Times New Roman" w:hint="default"/>
        </w:rPr>
        <w:t>9,476,501.76</w:t>
      </w:r>
      <w:r>
        <w:rPr>
          <w:rFonts w:ascii="Times New Roman" w:hAnsi="Times New Roman" w:cs="Times New Roman" w:eastAsia="Times New Roman" w:hint="default"/>
          <w:spacing w:val="-14"/>
        </w:rPr>
        <w:t> </w:t>
      </w:r>
      <w:r>
        <w:rPr/>
        <w:t>元为太阳能光伏电站施工过程中遭受龙卷风袭击应赔付客户方的支出。</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73</w:t>
      </w:r>
      <w:r>
        <w:rPr/>
        <w:t>、所得税费用</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）所得税费用表</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50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124,151,298.05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125,862,497.61</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-3,660,523.44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-6,878,633.74</w:t>
            </w:r>
          </w:p>
        </w:tc>
      </w:tr>
      <w:tr>
        <w:trPr>
          <w:trHeight w:val="50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120,490,774.61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118,983,863.87</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）会计利润与所得税费用调整过程</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509"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0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631,179,598.69</w:t>
            </w:r>
          </w:p>
        </w:tc>
      </w:tr>
      <w:tr>
        <w:trPr>
          <w:trHeight w:val="50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120,490,774.61</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after="0" w:line="240" w:lineRule="auto"/>
        <w:jc w:val="left"/>
        <w:sectPr>
          <w:pgSz w:w="11910" w:h="16840"/>
          <w:pgMar w:header="0" w:footer="1132" w:top="1280" w:bottom="1320" w:left="980" w:right="980"/>
        </w:sectPr>
      </w:pPr>
    </w:p>
    <w:p>
      <w:pPr>
        <w:spacing w:line="240" w:lineRule="auto" w:before="2"/>
        <w:rPr>
          <w:rFonts w:ascii="宋体" w:hAnsi="宋体" w:cs="宋体" w:eastAsia="宋体" w:hint="default"/>
          <w:sz w:val="15"/>
          <w:szCs w:val="15"/>
        </w:rPr>
      </w:pPr>
    </w:p>
    <w:p>
      <w:pPr>
        <w:pStyle w:val="Heading3"/>
        <w:spacing w:line="240" w:lineRule="auto" w:before="26"/>
        <w:ind w:right="11"/>
        <w:jc w:val="left"/>
      </w:pPr>
      <w:r>
        <w:rPr>
          <w:rFonts w:ascii="Times New Roman" w:hAnsi="Times New Roman" w:cs="Times New Roman" w:eastAsia="Times New Roman" w:hint="default"/>
        </w:rPr>
        <w:t>74</w:t>
      </w:r>
      <w:r>
        <w:rPr/>
        <w:t>、其他综合收益</w:t>
      </w:r>
    </w:p>
    <w:p>
      <w:pPr>
        <w:spacing w:line="240" w:lineRule="auto" w:before="1"/>
        <w:rPr>
          <w:rFonts w:ascii="黑体" w:hAnsi="黑体" w:cs="黑体" w:eastAsia="黑体" w:hint="default"/>
          <w:sz w:val="24"/>
          <w:szCs w:val="24"/>
        </w:rPr>
      </w:pPr>
    </w:p>
    <w:p>
      <w:pPr>
        <w:pStyle w:val="BodyText"/>
        <w:spacing w:line="240" w:lineRule="auto"/>
        <w:ind w:left="370" w:right="7852"/>
        <w:jc w:val="center"/>
      </w:pPr>
      <w:r>
        <w:rPr/>
        <w:t>详见附注</w:t>
      </w:r>
      <w:r>
        <w:rPr>
          <w:spacing w:val="-52"/>
        </w:rPr>
        <w:t> </w:t>
      </w:r>
      <w:r>
        <w:rPr>
          <w:rFonts w:ascii="Times New Roman" w:hAnsi="Times New Roman" w:cs="Times New Roman" w:eastAsia="Times New Roman" w:hint="default"/>
        </w:rPr>
        <w:t>57</w:t>
      </w:r>
      <w:r>
        <w:rPr/>
        <w:t>。</w:t>
      </w:r>
    </w:p>
    <w:p>
      <w:pPr>
        <w:spacing w:line="240" w:lineRule="auto" w:before="7"/>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75</w:t>
      </w:r>
      <w:r>
        <w:rPr/>
        <w:t>、现金流量表项目</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）收到的其他与经营活动有关的现金</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13,600,192.90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8,967,885.62</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29,185,827.48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4,958,508.93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7,380,305.57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260,285.69</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收回个人往来款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40,503,143.65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10,994,924.49</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收回单位往来款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56,968,554.70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26,276,578.23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收到的保证金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78,121,739.27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50,258,091.93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225,759,763.57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101,716,274.89</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收到的其他与经营活动有关的现金说明：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）支付的其他与经营活动有关的现金</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27,407,510.63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24,687,620.23</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21,450,337.78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18,095,964.27</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23,872,777.03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13,679,862.07</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7,113,559.47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3,869,987.90</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44,605,477.09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26,010,157.57</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3,975,806.74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3,566,690.34</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114,509,409.64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99,775,891.21</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支出个人往来款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46,717,158.43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26,943,899.76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支出单位往来款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50,900,231.40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21,920,987.56</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76,460,660.53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90,416,153.65</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417,012,928.74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328,967,214.56</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支付的其他与经营活动有关的现金说明：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3</w:t>
      </w:r>
      <w:r>
        <w:rPr/>
        <w:t>）收到的其他与投资活动有关的现金</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收到的其他与投资活动有关的现金说明：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）支付的其他与投资活动有关的现金</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79"/>
      </w:tblGrid>
      <w:tr>
        <w:trPr>
          <w:trHeight w:val="5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支付的其他与投资活动有关的现金说明：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5</w:t>
      </w:r>
      <w:r>
        <w:rPr/>
        <w:t>）收到的其他与筹资活动有关的现金</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西安投资控股有限公司借款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463,506.83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463,506.83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收到的其他与筹资活动有关的现金说明：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6</w:t>
      </w:r>
      <w:r>
        <w:rPr/>
        <w:t>）支付的其他与筹资活动有关的现金</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5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r>
        <w:rPr/>
        <w:pict>
          <v:group style="position:absolute;margin-left:223.369995pt;margin-top:613.479980pt;width:151.25pt;height:51.4pt;mso-position-horizontal-relative:page;mso-position-vertical-relative:page;z-index:-1195864" coordorigin="4467,12270" coordsize="3025,1028">
            <v:group style="position:absolute;left:4478;top:12280;width:2;height:500" coordorigin="4478,12280" coordsize="2,500">
              <v:shape style="position:absolute;left:4478;top:12280;width:2;height:500" coordorigin="4478,12280" coordsize="0,500" path="m4478,12280l4478,12780e" filled="false" stroked="true" strokeweight="1.08pt" strokecolor="#ffffff">
                <v:path arrowok="t"/>
              </v:shape>
            </v:group>
            <v:group style="position:absolute;left:4489;top:12280;width:3003;height:500" coordorigin="4489,12280" coordsize="3003,500">
              <v:shape style="position:absolute;left:4489;top:12280;width:3003;height:500" coordorigin="4489,12280" coordsize="3003,500" path="m4489,12780l7492,12780,7492,12280,4489,12280,4489,12780xe" filled="true" fillcolor="#ffffff" stroked="false">
                <v:path arrowok="t"/>
                <v:fill type="solid"/>
              </v:shape>
            </v:group>
            <v:group style="position:absolute;left:4478;top:12789;width:2;height:497" coordorigin="4478,12789" coordsize="2,497">
              <v:shape style="position:absolute;left:4478;top:12789;width:2;height:497" coordorigin="4478,12789" coordsize="0,497" path="m4478,12789l4478,13286e" filled="false" stroked="true" strokeweight="1.08pt" strokecolor="#ffffff">
                <v:path arrowok="t"/>
              </v:shape>
            </v:group>
            <v:group style="position:absolute;left:4489;top:12789;width:3003;height:497" coordorigin="4489,12789" coordsize="3003,497">
              <v:shape style="position:absolute;left:4489;top:12789;width:3003;height:497" coordorigin="4489,12789" coordsize="3003,497" path="m4489,13286l7492,13286,7492,12789,4489,12789,4489,1328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回购限制性股票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2,299,484.21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1,913,762.50</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支付保函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1,047,606.81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收购少数股东股权支付款项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5,559,300.29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8,906,391.31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1,913,762.50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支付的其他与筹资活动有关的现金说明：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76</w:t>
      </w:r>
      <w:r>
        <w:rPr/>
        <w:t>、现金流量表补充资料</w:t>
      </w:r>
    </w:p>
    <w:p>
      <w:pPr>
        <w:spacing w:line="240" w:lineRule="auto" w:before="12"/>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）现金流量表补充资料</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0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0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3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510,688,824.08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599,968,804.88</w:t>
            </w:r>
          </w:p>
        </w:tc>
      </w:tr>
      <w:tr>
        <w:trPr>
          <w:trHeight w:val="50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23,804,006.20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27,201,375.27</w:t>
            </w:r>
          </w:p>
        </w:tc>
      </w:tr>
      <w:tr>
        <w:trPr>
          <w:trHeight w:val="82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33,581,832.38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19,318,149.57</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32,493,944.49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12,325,932.29</w:t>
            </w:r>
          </w:p>
        </w:tc>
      </w:tr>
      <w:tr>
        <w:trPr>
          <w:trHeight w:val="50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8,925,527.46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4,541,825.08</w:t>
            </w:r>
          </w:p>
        </w:tc>
      </w:tr>
      <w:tr>
        <w:trPr>
          <w:trHeight w:val="82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12" w:right="1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409,174.94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-219,636.22</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5,018.32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40,329.06</w:t>
            </w:r>
          </w:p>
        </w:tc>
      </w:tr>
      <w:tr>
        <w:trPr>
          <w:trHeight w:val="50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11,829,968.28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1"/>
                <w:sz w:val="18"/>
              </w:rPr>
              <w:t>11,184,565.56</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-36,612,833.41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-14,767,520.75</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156" w:val="left" w:leader="none"/>
              </w:tabs>
              <w:spacing w:line="240" w:lineRule="auto" w:before="101"/>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-635,037.42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-5,157,763.74</w:t>
            </w:r>
          </w:p>
        </w:tc>
      </w:tr>
      <w:tr>
        <w:trPr>
          <w:trHeight w:val="50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22" w:val="left" w:leader="none"/>
              </w:tabs>
              <w:spacing w:line="240" w:lineRule="auto" w:before="101"/>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-3,025,486.02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-1,720,870.00</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-103,644,601.33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-386,003,006.70</w:t>
            </w:r>
          </w:p>
        </w:tc>
      </w:tr>
      <w:tr>
        <w:trPr>
          <w:trHeight w:val="82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12" w:right="8"/>
              <w:jc w:val="left"/>
              <w:rPr>
                <w:rFonts w:ascii="宋体" w:hAnsi="宋体" w:cs="宋体" w:eastAsia="宋体" w:hint="default"/>
                <w:sz w:val="18"/>
                <w:szCs w:val="18"/>
              </w:rPr>
            </w:pPr>
            <w:r>
              <w:rPr>
                <w:rFonts w:ascii="宋体" w:hAnsi="宋体" w:cs="宋体" w:eastAsia="宋体" w:hint="default"/>
                <w:spacing w:val="2"/>
                <w:sz w:val="18"/>
                <w:szCs w:val="18"/>
              </w:rPr>
              <w:t>经营性应收项目的减少（增加以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-169,311,528.37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-83,686,942.63</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2" w:right="0"/>
              <w:jc w:val="left"/>
              <w:rPr>
                <w:rFonts w:ascii="宋体" w:hAnsi="宋体" w:cs="宋体" w:eastAsia="宋体" w:hint="default"/>
                <w:sz w:val="18"/>
                <w:szCs w:val="18"/>
              </w:rPr>
            </w:pPr>
            <w:r>
              <w:rPr>
                <w:rFonts w:ascii="宋体" w:hAnsi="宋体" w:cs="宋体" w:eastAsia="宋体" w:hint="default"/>
                <w:spacing w:val="2"/>
                <w:sz w:val="18"/>
                <w:szCs w:val="18"/>
              </w:rPr>
              <w:t>经营性应付项目的增加（减少以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z w:val="18"/>
                <w:szCs w:val="18"/>
              </w:rPr>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357,601,272.10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400,421,423.44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666,110,081.70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583,446,665.11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101"/>
              <w:ind w:left="12" w:right="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．不涉及现金收支的重大投资和筹资活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97"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3,021,161,694.02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2,449,710,697.04</w:t>
            </w:r>
          </w:p>
        </w:tc>
      </w:tr>
      <w:tr>
        <w:trPr>
          <w:trHeight w:val="50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2,449,710,697.04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544,836,841.61</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571,450,996.98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1,904,873,855.43</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）本期支付的取得子公司的现金净额</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5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3</w:t>
      </w:r>
      <w:r>
        <w:rPr/>
        <w:t>）本期收到的处置子公司的现金净额</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50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0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9,487,500.00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北京泰豪太阳能科技有限公司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6,987,500.00</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2,683,502.80</w:t>
            </w: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1,639,088.07</w:t>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北京泰豪太阳能科技有限公司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1,044,414.73</w:t>
            </w:r>
          </w:p>
        </w:tc>
      </w:tr>
      <w:tr>
        <w:trPr>
          <w:trHeight w:val="5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6,803,997.20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）现金和现金等价物的构成</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3,021,161,694.02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2,449,710,697.04</w:t>
            </w:r>
          </w:p>
        </w:tc>
      </w:tr>
      <w:tr>
        <w:trPr>
          <w:trHeight w:val="50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14,705,510.06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5,558,892.34</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3,006,456,183.96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2,443,696,963.65</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454,841.05</w:t>
            </w:r>
          </w:p>
        </w:tc>
      </w:tr>
      <w:tr>
        <w:trPr>
          <w:trHeight w:val="50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3,021,161,694.02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2,449,710,697.04</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77</w:t>
      </w:r>
      <w:r>
        <w:rPr/>
        <w:t>、所有者权益变动表项目注释</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78</w:t>
      </w:r>
      <w:r>
        <w:rPr/>
        <w:t>、所有权或使用权受到限制的资产</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0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1993" w:right="0"/>
              <w:jc w:val="left"/>
              <w:rPr>
                <w:rFonts w:ascii="Times New Roman" w:hAnsi="Times New Roman" w:cs="Times New Roman" w:eastAsia="Times New Roman" w:hint="default"/>
                <w:sz w:val="18"/>
                <w:szCs w:val="18"/>
              </w:rPr>
            </w:pPr>
            <w:r>
              <w:rPr>
                <w:rFonts w:ascii="Times New Roman"/>
                <w:sz w:val="18"/>
              </w:rPr>
              <w:t>42,587,164.57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保证金等受限资金</w:t>
            </w:r>
          </w:p>
        </w:tc>
      </w:tr>
    </w:tbl>
    <w:p>
      <w:pPr>
        <w:spacing w:after="0" w:line="240" w:lineRule="auto"/>
        <w:jc w:val="center"/>
        <w:rPr>
          <w:rFonts w:ascii="宋体" w:hAnsi="宋体" w:cs="宋体" w:eastAsia="宋体"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509"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4,626,159.88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506"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44"/>
              <w:ind w:right="10"/>
              <w:jc w:val="right"/>
              <w:rPr>
                <w:rFonts w:ascii="Times New Roman" w:hAnsi="Times New Roman" w:cs="Times New Roman" w:eastAsia="Times New Roman" w:hint="default"/>
                <w:sz w:val="18"/>
                <w:szCs w:val="18"/>
              </w:rPr>
            </w:pPr>
            <w:r>
              <w:rPr>
                <w:rFonts w:ascii="Times New Roman"/>
                <w:spacing w:val="-1"/>
                <w:sz w:val="18"/>
              </w:rPr>
              <w:t>47,213,324.45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79</w:t>
      </w:r>
      <w:r>
        <w:rPr/>
        <w:t>、外币货币性项目</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）外币货币性项目</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508"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6"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2.42</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20.75</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49,030,106.80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40,984,756.58</w:t>
            </w:r>
          </w:p>
        </w:tc>
      </w:tr>
      <w:tr>
        <w:trPr>
          <w:trHeight w:val="507"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231,649.27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1,513,642.66</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6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3,475,552.50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2,905,249.09</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0"/>
              <w:jc w:val="center"/>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0"/>
              <w:jc w:val="center"/>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590,110.32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493,279.12</w:t>
            </w: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235,305.55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1,537,533.52</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0"/>
              <w:jc w:val="center"/>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7,040.68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54,933.50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73,222.12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61,207.10</w:t>
            </w: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44,432,560.00</w:t>
            </w:r>
          </w:p>
        </w:tc>
      </w:tr>
      <w:tr>
        <w:trPr>
          <w:trHeight w:val="50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9,964,200.00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77,743,677.66</w:t>
            </w:r>
          </w:p>
        </w:tc>
      </w:tr>
      <w:tr>
        <w:trPr>
          <w:trHeight w:val="50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71"/>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388" w:lineRule="auto"/>
        <w:ind w:right="136"/>
        <w:jc w:val="left"/>
      </w:pPr>
      <w:r>
        <w:rPr>
          <w:spacing w:val="-2"/>
        </w:rPr>
        <w:t>（</w:t>
      </w:r>
      <w:r>
        <w:rPr>
          <w:rFonts w:ascii="Times New Roman" w:hAnsi="Times New Roman" w:cs="Times New Roman" w:eastAsia="Times New Roman" w:hint="default"/>
          <w:spacing w:val="-2"/>
        </w:rPr>
        <w:t>2</w:t>
      </w:r>
      <w:r>
        <w:rPr>
          <w:spacing w:val="-2"/>
        </w:rPr>
        <w:t>）境外经营实体说明，包括对于重要的境外经营实体，应披露其境外主要经营地、记账本</w:t>
      </w:r>
      <w:r>
        <w:rPr/>
        <w:t> 位币及选择依据，记账本位币发生变化的还应披露原因。</w:t>
      </w:r>
    </w:p>
    <w:p>
      <w:pPr>
        <w:pStyle w:val="BodyText"/>
        <w:spacing w:line="240" w:lineRule="auto" w:before="186"/>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80</w:t>
      </w:r>
      <w:r>
        <w:rPr/>
        <w:t>、套期</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按照套期类别披露套期项目及相关套期工具、被套期风险的定性和定量信息：</w:t>
      </w:r>
    </w:p>
    <w:p>
      <w:pPr>
        <w:spacing w:line="240" w:lineRule="auto" w:before="10"/>
        <w:rPr>
          <w:rFonts w:ascii="宋体" w:hAnsi="宋体" w:cs="宋体" w:eastAsia="宋体" w:hint="default"/>
          <w:sz w:val="24"/>
          <w:szCs w:val="24"/>
        </w:rPr>
      </w:pPr>
    </w:p>
    <w:p>
      <w:pPr>
        <w:pStyle w:val="Heading3"/>
        <w:spacing w:line="489" w:lineRule="auto"/>
        <w:ind w:right="7014"/>
        <w:jc w:val="left"/>
      </w:pPr>
      <w:r>
        <w:rPr>
          <w:rFonts w:ascii="Times New Roman" w:hAnsi="Times New Roman" w:cs="Times New Roman" w:eastAsia="Times New Roman" w:hint="default"/>
        </w:rPr>
        <w:t>81</w:t>
      </w:r>
      <w:r>
        <w:rPr/>
        <w:t>、其他 八、合并范围的变更 </w:t>
      </w:r>
      <w:r>
        <w:rPr>
          <w:rFonts w:ascii="Times New Roman" w:hAnsi="Times New Roman" w:cs="Times New Roman" w:eastAsia="Times New Roman" w:hint="default"/>
        </w:rPr>
        <w:t>1</w:t>
      </w:r>
      <w:r>
        <w:rPr/>
        <w:t>、非同一控制下企业合并</w:t>
      </w:r>
    </w:p>
    <w:p>
      <w:pPr>
        <w:pStyle w:val="Heading3"/>
        <w:spacing w:line="240" w:lineRule="auto" w:before="51"/>
        <w:ind w:right="11"/>
        <w:jc w:val="left"/>
      </w:pPr>
      <w:r>
        <w:rPr/>
        <w:t>（</w:t>
      </w:r>
      <w:r>
        <w:rPr>
          <w:rFonts w:ascii="Times New Roman" w:hAnsi="Times New Roman" w:cs="Times New Roman" w:eastAsia="Times New Roman" w:hint="default"/>
        </w:rPr>
        <w:t>1</w:t>
      </w:r>
      <w:r>
        <w:rPr/>
        <w:t>）本期发生的非同一控制下企业合并</w:t>
      </w:r>
    </w:p>
    <w:p>
      <w:pPr>
        <w:spacing w:line="240" w:lineRule="auto" w:before="4"/>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after="0" w:line="240" w:lineRule="auto"/>
        <w:jc w:val="right"/>
        <w:sectPr>
          <w:pgSz w:w="11910" w:h="16840"/>
          <w:pgMar w:header="0"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13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20"/>
                <w:sz w:val="18"/>
                <w:szCs w:val="18"/>
              </w:rPr>
              <w:t>被购买方名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3"/>
              <w:jc w:val="left"/>
              <w:rPr>
                <w:rFonts w:ascii="宋体" w:hAnsi="宋体" w:cs="宋体" w:eastAsia="宋体" w:hint="default"/>
                <w:sz w:val="18"/>
                <w:szCs w:val="18"/>
              </w:rPr>
            </w:pPr>
            <w:r>
              <w:rPr>
                <w:rFonts w:ascii="宋体" w:hAnsi="宋体" w:cs="宋体" w:eastAsia="宋体" w:hint="default"/>
                <w:spacing w:val="13"/>
                <w:sz w:val="18"/>
                <w:szCs w:val="18"/>
              </w:rPr>
              <w:t>股权</w:t>
            </w:r>
            <w:r>
              <w:rPr>
                <w:rFonts w:ascii="宋体" w:hAnsi="宋体" w:cs="宋体" w:eastAsia="宋体" w:hint="default"/>
                <w:spacing w:val="-64"/>
                <w:sz w:val="18"/>
                <w:szCs w:val="18"/>
              </w:rPr>
              <w:t> </w:t>
            </w:r>
            <w:r>
              <w:rPr>
                <w:rFonts w:ascii="宋体" w:hAnsi="宋体" w:cs="宋体" w:eastAsia="宋体" w:hint="default"/>
                <w:spacing w:val="17"/>
                <w:sz w:val="18"/>
                <w:szCs w:val="18"/>
              </w:rPr>
              <w:t>取得时</w:t>
            </w:r>
            <w:r>
              <w:rPr>
                <w:rFonts w:ascii="宋体" w:hAnsi="宋体" w:cs="宋体" w:eastAsia="宋体" w:hint="default"/>
                <w:spacing w:val="-64"/>
                <w:sz w:val="18"/>
                <w:szCs w:val="18"/>
              </w:rPr>
              <w:t> </w:t>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0"/>
              <w:jc w:val="left"/>
              <w:rPr>
                <w:rFonts w:ascii="宋体" w:hAnsi="宋体" w:cs="宋体" w:eastAsia="宋体" w:hint="default"/>
                <w:sz w:val="18"/>
                <w:szCs w:val="18"/>
              </w:rPr>
            </w:pPr>
            <w:r>
              <w:rPr>
                <w:rFonts w:ascii="宋体" w:hAnsi="宋体" w:cs="宋体" w:eastAsia="宋体" w:hint="default"/>
                <w:spacing w:val="20"/>
                <w:sz w:val="18"/>
                <w:szCs w:val="18"/>
              </w:rPr>
              <w:t>股权取得成</w:t>
            </w:r>
            <w:r>
              <w:rPr>
                <w:rFonts w:ascii="宋体" w:hAnsi="宋体" w:cs="宋体" w:eastAsia="宋体" w:hint="default"/>
                <w:spacing w:val="-86"/>
                <w:sz w:val="18"/>
                <w:szCs w:val="18"/>
              </w:rPr>
              <w:t> </w:t>
            </w:r>
            <w:r>
              <w:rPr>
                <w:rFonts w:ascii="宋体" w:hAnsi="宋体" w:cs="宋体" w:eastAsia="宋体" w:hint="default"/>
                <w:sz w:val="18"/>
                <w:szCs w:val="18"/>
              </w:rPr>
              <w:t>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pacing w:val="20"/>
                <w:sz w:val="18"/>
                <w:szCs w:val="18"/>
              </w:rPr>
              <w:t>股权取得比</w:t>
            </w:r>
            <w:r>
              <w:rPr>
                <w:rFonts w:ascii="宋体" w:hAnsi="宋体" w:cs="宋体" w:eastAsia="宋体" w:hint="default"/>
                <w:spacing w:val="-86"/>
                <w:sz w:val="18"/>
                <w:szCs w:val="18"/>
              </w:rPr>
              <w:t> </w:t>
            </w:r>
            <w:r>
              <w:rPr>
                <w:rFonts w:ascii="宋体" w:hAnsi="宋体" w:cs="宋体" w:eastAsia="宋体" w:hint="default"/>
                <w:sz w:val="18"/>
                <w:szCs w:val="18"/>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3"/>
              <w:jc w:val="left"/>
              <w:rPr>
                <w:rFonts w:ascii="宋体" w:hAnsi="宋体" w:cs="宋体" w:eastAsia="宋体" w:hint="default"/>
                <w:sz w:val="18"/>
                <w:szCs w:val="18"/>
              </w:rPr>
            </w:pPr>
            <w:r>
              <w:rPr>
                <w:rFonts w:ascii="宋体" w:hAnsi="宋体" w:cs="宋体" w:eastAsia="宋体" w:hint="default"/>
                <w:spacing w:val="20"/>
                <w:sz w:val="18"/>
                <w:szCs w:val="18"/>
              </w:rPr>
              <w:t>股权取得方</w:t>
            </w:r>
            <w:r>
              <w:rPr>
                <w:rFonts w:ascii="宋体" w:hAnsi="宋体" w:cs="宋体" w:eastAsia="宋体" w:hint="default"/>
                <w:spacing w:val="-86"/>
                <w:sz w:val="18"/>
                <w:szCs w:val="18"/>
              </w:rPr>
              <w:t> </w:t>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20"/>
                <w:sz w:val="18"/>
                <w:szCs w:val="18"/>
              </w:rPr>
              <w:t>购买日的确</w:t>
            </w:r>
            <w:r>
              <w:rPr>
                <w:rFonts w:ascii="宋体" w:hAnsi="宋体" w:cs="宋体" w:eastAsia="宋体" w:hint="default"/>
                <w:spacing w:val="-86"/>
                <w:sz w:val="18"/>
                <w:szCs w:val="18"/>
              </w:rPr>
              <w:t> </w:t>
            </w:r>
            <w:r>
              <w:rPr>
                <w:rFonts w:ascii="宋体" w:hAnsi="宋体" w:cs="宋体" w:eastAsia="宋体" w:hint="default"/>
                <w:sz w:val="18"/>
                <w:szCs w:val="18"/>
              </w:rPr>
              <w:t>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2"/>
              <w:jc w:val="both"/>
              <w:rPr>
                <w:rFonts w:ascii="宋体" w:hAnsi="宋体" w:cs="宋体" w:eastAsia="宋体" w:hint="default"/>
                <w:sz w:val="18"/>
                <w:szCs w:val="18"/>
              </w:rPr>
            </w:pPr>
            <w:r>
              <w:rPr>
                <w:rFonts w:ascii="宋体" w:hAnsi="宋体" w:cs="宋体" w:eastAsia="宋体" w:hint="default"/>
                <w:spacing w:val="20"/>
                <w:sz w:val="18"/>
                <w:szCs w:val="18"/>
              </w:rPr>
              <w:t>购买日至期</w:t>
            </w:r>
            <w:r>
              <w:rPr>
                <w:rFonts w:ascii="宋体" w:hAnsi="宋体" w:cs="宋体" w:eastAsia="宋体" w:hint="default"/>
                <w:spacing w:val="-86"/>
                <w:sz w:val="18"/>
                <w:szCs w:val="18"/>
              </w:rPr>
              <w:t> </w:t>
            </w:r>
            <w:r>
              <w:rPr>
                <w:rFonts w:ascii="宋体" w:hAnsi="宋体" w:cs="宋体" w:eastAsia="宋体" w:hint="default"/>
                <w:spacing w:val="20"/>
                <w:sz w:val="18"/>
                <w:szCs w:val="18"/>
              </w:rPr>
              <w:t>末被购买方</w:t>
            </w:r>
            <w:r>
              <w:rPr>
                <w:rFonts w:ascii="宋体" w:hAnsi="宋体" w:cs="宋体" w:eastAsia="宋体" w:hint="default"/>
                <w:spacing w:val="-86"/>
                <w:sz w:val="18"/>
                <w:szCs w:val="18"/>
              </w:rPr>
              <w:t> </w:t>
            </w:r>
            <w:r>
              <w:rPr>
                <w:rFonts w:ascii="宋体" w:hAnsi="宋体" w:cs="宋体" w:eastAsia="宋体" w:hint="default"/>
                <w:sz w:val="18"/>
                <w:szCs w:val="18"/>
              </w:rPr>
              <w:t>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5"/>
              <w:jc w:val="both"/>
              <w:rPr>
                <w:rFonts w:ascii="宋体" w:hAnsi="宋体" w:cs="宋体" w:eastAsia="宋体" w:hint="default"/>
                <w:sz w:val="18"/>
                <w:szCs w:val="18"/>
              </w:rPr>
            </w:pPr>
            <w:r>
              <w:rPr>
                <w:rFonts w:ascii="宋体" w:hAnsi="宋体" w:cs="宋体" w:eastAsia="宋体" w:hint="default"/>
                <w:spacing w:val="20"/>
                <w:sz w:val="18"/>
                <w:szCs w:val="18"/>
              </w:rPr>
              <w:t>购买日至期</w:t>
            </w:r>
            <w:r>
              <w:rPr>
                <w:rFonts w:ascii="宋体" w:hAnsi="宋体" w:cs="宋体" w:eastAsia="宋体" w:hint="default"/>
                <w:spacing w:val="-86"/>
                <w:sz w:val="18"/>
                <w:szCs w:val="18"/>
              </w:rPr>
              <w:t> </w:t>
            </w:r>
            <w:r>
              <w:rPr>
                <w:rFonts w:ascii="宋体" w:hAnsi="宋体" w:cs="宋体" w:eastAsia="宋体" w:hint="default"/>
                <w:spacing w:val="20"/>
                <w:sz w:val="18"/>
                <w:szCs w:val="18"/>
              </w:rPr>
              <w:t>末被购买方</w:t>
            </w:r>
            <w:r>
              <w:rPr>
                <w:rFonts w:ascii="宋体" w:hAnsi="宋体" w:cs="宋体" w:eastAsia="宋体" w:hint="default"/>
                <w:spacing w:val="-86"/>
                <w:sz w:val="18"/>
                <w:szCs w:val="18"/>
              </w:rPr>
              <w:t> </w:t>
            </w:r>
            <w:r>
              <w:rPr>
                <w:rFonts w:ascii="宋体" w:hAnsi="宋体" w:cs="宋体" w:eastAsia="宋体" w:hint="default"/>
                <w:sz w:val="18"/>
                <w:szCs w:val="18"/>
              </w:rPr>
              <w:t>的净利润</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）合并成本及商誉</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2"/>
        <w:rPr>
          <w:rFonts w:ascii="宋体" w:hAnsi="宋体" w:cs="宋体" w:eastAsia="宋体" w:hint="default"/>
          <w:sz w:val="17"/>
          <w:szCs w:val="17"/>
        </w:rPr>
      </w:pPr>
    </w:p>
    <w:p>
      <w:pPr>
        <w:spacing w:line="528" w:lineRule="exact"/>
        <w:ind w:left="14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05pt;height:26.45pt;mso-position-horizontal-relative:char;mso-position-vertical-relative:line" coordorigin="0,0" coordsize="9581,529">
            <v:group style="position:absolute;left:23;top:15;width:2;height:500" coordorigin="23,15" coordsize="2,500">
              <v:shape style="position:absolute;left:23;top:15;width:2;height:500" coordorigin="23,15" coordsize="0,500" path="m23,15l23,514e" filled="false" stroked="true" strokeweight="1.08pt" strokecolor="#d9d9d9">
                <v:path arrowok="t"/>
              </v:shape>
            </v:group>
            <v:group style="position:absolute;left:4775;top:15;width:2;height:500" coordorigin="4775,15" coordsize="2,500">
              <v:shape style="position:absolute;left:4775;top:15;width:2;height:500" coordorigin="4775,15" coordsize="0,500" path="m4775,15l4775,514e" filled="false" stroked="true" strokeweight="1.2pt" strokecolor="#d9d9d9">
                <v:path arrowok="t"/>
              </v:shape>
            </v:group>
            <v:group style="position:absolute;left:34;top:15;width:4729;height:500" coordorigin="34,15" coordsize="4729,500">
              <v:shape style="position:absolute;left:34;top:15;width:4729;height:500" coordorigin="34,15" coordsize="4729,500" path="m34,514l4763,514,4763,15,34,15,34,514xe" filled="true" fillcolor="#d9d9d9" stroked="false">
                <v:path arrowok="t"/>
                <v:fill type="solid"/>
              </v:shape>
            </v:group>
            <v:group style="position:absolute;left:4807;top:15;width:2;height:500" coordorigin="4807,15" coordsize="2,500">
              <v:shape style="position:absolute;left:4807;top:15;width:2;height:500" coordorigin="4807,15" coordsize="0,500" path="m4807,15l4807,514e" filled="false" stroked="true" strokeweight="1.08pt" strokecolor="#d9d9d9">
                <v:path arrowok="t"/>
              </v:shape>
            </v:group>
            <v:group style="position:absolute;left:9559;top:15;width:2;height:500" coordorigin="9559,15" coordsize="2,500">
              <v:shape style="position:absolute;left:9559;top:15;width:2;height:500" coordorigin="9559,15" coordsize="0,500" path="m9559,15l9559,514e" filled="false" stroked="true" strokeweight="1.2pt" strokecolor="#d9d9d9">
                <v:path arrowok="t"/>
              </v:shape>
            </v:group>
            <v:group style="position:absolute;left:4818;top:15;width:4729;height:500" coordorigin="4818,15" coordsize="4729,500">
              <v:shape style="position:absolute;left:4818;top:15;width:4729;height:500" coordorigin="4818,15" coordsize="4729,500" path="m4818,514l9547,514,9547,15,4818,15,4818,514xe" filled="true" fillcolor="#d9d9d9"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519" coordorigin="5,5" coordsize="2,519">
              <v:shape style="position:absolute;left:5;top:5;width:2;height:519" coordorigin="5,5" coordsize="0,519" path="m5,5l5,524e" filled="false" stroked="true" strokeweight=".48pt" strokecolor="#000000">
                <v:path arrowok="t"/>
              </v:shape>
            </v:group>
            <v:group style="position:absolute;left:10;top:519;width:4775;height:2" coordorigin="10,519" coordsize="4775,2">
              <v:shape style="position:absolute;left:10;top:519;width:4775;height:2" coordorigin="10,519" coordsize="4775,0" path="m10,519l4784,519e" filled="false" stroked="true" strokeweight=".48001pt" strokecolor="#000000">
                <v:path arrowok="t"/>
              </v:shape>
            </v:group>
            <v:group style="position:absolute;left:4789;top:5;width:2;height:519" coordorigin="4789,5" coordsize="2,519">
              <v:shape style="position:absolute;left:4789;top:5;width:2;height:519" coordorigin="4789,5" coordsize="0,519" path="m4789,5l4789,524e" filled="false" stroked="true" strokeweight=".48001pt" strokecolor="#000000">
                <v:path arrowok="t"/>
              </v:shape>
            </v:group>
            <v:group style="position:absolute;left:4794;top:519;width:4777;height:2" coordorigin="4794,519" coordsize="4777,2">
              <v:shape style="position:absolute;left:4794;top:519;width:4777;height:2" coordorigin="4794,519" coordsize="4777,0" path="m4794,519l9571,519e" filled="false" stroked="true" strokeweight=".48001pt" strokecolor="#000000">
                <v:path arrowok="t"/>
              </v:shape>
            </v:group>
            <v:group style="position:absolute;left:9576;top:5;width:2;height:519" coordorigin="9576,5" coordsize="2,519">
              <v:shape style="position:absolute;left:9576;top:5;width:2;height:519" coordorigin="9576,5" coordsize="0,519" path="m9576,5l9576,524e" filled="false" stroked="true" strokeweight=".47998pt" strokecolor="#000000">
                <v:path arrowok="t"/>
              </v:shape>
              <v:shape style="position:absolute;left:6;top:10;width:4783;height:510" type="#_x0000_t202" filled="false" stroked="false">
                <v:textbox inset="0,0,0,0">
                  <w:txbxContent>
                    <w:p>
                      <w:pPr>
                        <w:spacing w:before="107"/>
                        <w:ind w:left="27" w:right="0" w:firstLine="0"/>
                        <w:jc w:val="left"/>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10"/>
          <w:sz w:val="20"/>
          <w:szCs w:val="20"/>
        </w:rPr>
      </w:r>
    </w:p>
    <w:p>
      <w:pPr>
        <w:spacing w:line="240" w:lineRule="auto" w:before="7"/>
        <w:rPr>
          <w:rFonts w:ascii="宋体" w:hAnsi="宋体" w:cs="宋体" w:eastAsia="宋体" w:hint="default"/>
          <w:sz w:val="9"/>
          <w:szCs w:val="9"/>
        </w:rPr>
      </w:pPr>
    </w:p>
    <w:p>
      <w:pPr>
        <w:pStyle w:val="BodyText"/>
        <w:spacing w:line="494" w:lineRule="auto" w:before="36"/>
        <w:ind w:left="573" w:right="3315"/>
        <w:jc w:val="left"/>
      </w:pPr>
      <w:r>
        <w:rPr>
          <w:spacing w:val="-2"/>
        </w:rPr>
        <w:t>合并成本公允价值的确定方法、或有对价及其变动的说明：</w:t>
      </w:r>
      <w:r>
        <w:rPr>
          <w:spacing w:val="-55"/>
        </w:rPr>
        <w:t> </w:t>
      </w:r>
      <w:r>
        <w:rPr>
          <w:spacing w:val="-55"/>
        </w:rPr>
      </w:r>
      <w:r>
        <w:rPr/>
        <w:t>大额商誉形成的主要原因：</w:t>
      </w:r>
    </w:p>
    <w:p>
      <w:pPr>
        <w:pStyle w:val="BodyText"/>
        <w:spacing w:line="240" w:lineRule="auto" w:before="71"/>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3</w:t>
      </w:r>
      <w:r>
        <w:rPr/>
        <w:t>）被购买方于购买日可辨认资产、负债</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0"/>
        <w:rPr>
          <w:rFonts w:ascii="宋体" w:hAnsi="宋体" w:cs="宋体" w:eastAsia="宋体" w:hint="default"/>
          <w:sz w:val="17"/>
          <w:szCs w:val="17"/>
        </w:rPr>
      </w:pPr>
    </w:p>
    <w:p>
      <w:pPr>
        <w:spacing w:line="1036" w:lineRule="exact"/>
        <w:ind w:left="14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79.15pt;height:51.85pt;mso-position-horizontal-relative:char;mso-position-vertical-relative:line" coordorigin="0,0" coordsize="9583,1037">
            <v:group style="position:absolute;left:23;top:14;width:2;height:500" coordorigin="23,14" coordsize="2,500">
              <v:shape style="position:absolute;left:23;top:14;width:2;height:500" coordorigin="23,14" coordsize="0,500" path="m23,14l23,514e" filled="false" stroked="true" strokeweight="1.08pt" strokecolor="#d9d9d9">
                <v:path arrowok="t"/>
              </v:shape>
            </v:group>
            <v:group style="position:absolute;left:3181;top:14;width:2;height:500" coordorigin="3181,14" coordsize="2,500">
              <v:shape style="position:absolute;left:3181;top:14;width:2;height:500" coordorigin="3181,14" coordsize="0,500" path="m3181,14l3181,514e" filled="false" stroked="true" strokeweight="1.2pt" strokecolor="#d9d9d9">
                <v:path arrowok="t"/>
              </v:shape>
            </v:group>
            <v:group style="position:absolute;left:34;top:14;width:3136;height:500" coordorigin="34,14" coordsize="3136,500">
              <v:shape style="position:absolute;left:34;top:14;width:3136;height:500" coordorigin="34,14" coordsize="3136,500" path="m34,514l3169,514,3169,14,34,14,34,514xe" filled="true" fillcolor="#d9d9d9" stroked="false">
                <v:path arrowok="t"/>
                <v:fill type="solid"/>
              </v:shape>
            </v:group>
            <v:group style="position:absolute;left:3213;top:14;width:2;height:500" coordorigin="3213,14" coordsize="2,500">
              <v:shape style="position:absolute;left:3213;top:14;width:2;height:500" coordorigin="3213,14" coordsize="0,500" path="m3213,14l3213,514e" filled="false" stroked="true" strokeweight="1.08pt" strokecolor="#d9d9d9">
                <v:path arrowok="t"/>
              </v:shape>
            </v:group>
            <v:group style="position:absolute;left:9561;top:14;width:2;height:500" coordorigin="9561,14" coordsize="2,500">
              <v:shape style="position:absolute;left:9561;top:14;width:2;height:500" coordorigin="9561,14" coordsize="0,500" path="m9561,14l9561,514e" filled="false" stroked="true" strokeweight="1.2pt" strokecolor="#d9d9d9">
                <v:path arrowok="t"/>
              </v:shape>
            </v:group>
            <v:group style="position:absolute;left:3224;top:14;width:6325;height:500" coordorigin="3224,14" coordsize="6325,500">
              <v:shape style="position:absolute;left:3224;top:14;width:6325;height:500" coordorigin="3224,14" coordsize="6325,500" path="m3224,514l9549,514,9549,14,3224,14,3224,514xe" filled="true" fillcolor="#d9d9d9"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523;width:2;height:500" coordorigin="23,523" coordsize="2,500">
              <v:shape style="position:absolute;left:23;top:523;width:2;height:500" coordorigin="23,523" coordsize="0,500" path="m23,523l23,1022e" filled="false" stroked="true" strokeweight="1.08pt" strokecolor="#d9d9d9">
                <v:path arrowok="t"/>
              </v:shape>
            </v:group>
            <v:group style="position:absolute;left:3181;top:523;width:2;height:500" coordorigin="3181,523" coordsize="2,500">
              <v:shape style="position:absolute;left:3181;top:523;width:2;height:500" coordorigin="3181,523" coordsize="0,500" path="m3181,523l3181,1022e" filled="false" stroked="true" strokeweight="1.2pt" strokecolor="#d9d9d9">
                <v:path arrowok="t"/>
              </v:shape>
            </v:group>
            <v:group style="position:absolute;left:34;top:523;width:3136;height:500" coordorigin="34,523" coordsize="3136,500">
              <v:shape style="position:absolute;left:34;top:523;width:3136;height:500" coordorigin="34,523" coordsize="3136,500" path="m34,1022l3169,1022,3169,523,34,523,34,1022xe" filled="true" fillcolor="#d9d9d9" stroked="false">
                <v:path arrowok="t"/>
                <v:fill type="solid"/>
              </v:shape>
            </v:group>
            <v:group style="position:absolute;left:3213;top:523;width:2;height:500" coordorigin="3213,523" coordsize="2,500">
              <v:shape style="position:absolute;left:3213;top:523;width:2;height:500" coordorigin="3213,523" coordsize="0,500" path="m3213,523l3213,1022e" filled="false" stroked="true" strokeweight="1.08pt" strokecolor="#d9d9d9">
                <v:path arrowok="t"/>
              </v:shape>
            </v:group>
            <v:group style="position:absolute;left:6371;top:523;width:2;height:500" coordorigin="6371,523" coordsize="2,500">
              <v:shape style="position:absolute;left:6371;top:523;width:2;height:500" coordorigin="6371,523" coordsize="0,500" path="m6371,523l6371,1022e" filled="false" stroked="true" strokeweight="1.2pt" strokecolor="#d9d9d9">
                <v:path arrowok="t"/>
              </v:shape>
            </v:group>
            <v:group style="position:absolute;left:3224;top:523;width:3135;height:500" coordorigin="3224,523" coordsize="3135,500">
              <v:shape style="position:absolute;left:3224;top:523;width:3135;height:500" coordorigin="3224,523" coordsize="3135,500" path="m3224,1022l6359,1022,6359,523,3224,523,3224,1022xe" filled="true" fillcolor="#d9d9d9" stroked="false">
                <v:path arrowok="t"/>
                <v:fill type="solid"/>
              </v:shape>
            </v:group>
            <v:group style="position:absolute;left:6403;top:523;width:2;height:500" coordorigin="6403,523" coordsize="2,500">
              <v:shape style="position:absolute;left:6403;top:523;width:2;height:500" coordorigin="6403,523" coordsize="0,500" path="m6403,523l6403,1022e" filled="false" stroked="true" strokeweight="1.08pt" strokecolor="#d9d9d9">
                <v:path arrowok="t"/>
              </v:shape>
            </v:group>
            <v:group style="position:absolute;left:9561;top:523;width:2;height:500" coordorigin="9561,523" coordsize="2,500">
              <v:shape style="position:absolute;left:9561;top:523;width:2;height:500" coordorigin="9561,523" coordsize="0,500" path="m9561,523l9561,1022e" filled="false" stroked="true" strokeweight="1.2pt" strokecolor="#d9d9d9">
                <v:path arrowok="t"/>
              </v:shape>
            </v:group>
            <v:group style="position:absolute;left:6414;top:523;width:3135;height:500" coordorigin="6414,523" coordsize="3135,500">
              <v:shape style="position:absolute;left:6414;top:523;width:3135;height:500" coordorigin="6414,523" coordsize="3135,500" path="m6414,1022l9549,1022,9549,523,6414,523,6414,1022xe" filled="true" fillcolor="#d9d9d9" stroked="false">
                <v:path arrowok="t"/>
                <v:fill type="solid"/>
              </v:shape>
            </v:group>
            <v:group style="position:absolute;left:10;top:518;width:3181;height:2" coordorigin="10,518" coordsize="3181,2">
              <v:shape style="position:absolute;left:10;top:518;width:3181;height:2" coordorigin="10,518" coordsize="3181,0" path="m10,518l3191,518e" filled="false" stroked="true" strokeweight=".48001pt" strokecolor="#000000">
                <v:path arrowok="t"/>
              </v:shape>
            </v:group>
            <v:group style="position:absolute;left:3200;top:518;width:3181;height:2" coordorigin="3200,518" coordsize="3181,2">
              <v:shape style="position:absolute;left:3200;top:518;width:3181;height:2" coordorigin="3200,518" coordsize="3181,0" path="m3200,518l6381,518e" filled="false" stroked="true" strokeweight=".48001pt" strokecolor="#000000">
                <v:path arrowok="t"/>
              </v:shape>
            </v:group>
            <v:group style="position:absolute;left:6390;top:518;width:3183;height:2" coordorigin="6390,518" coordsize="3183,2">
              <v:shape style="position:absolute;left:6390;top:518;width:3183;height:2" coordorigin="6390,518" coordsize="3183,0" path="m6390,518l9573,518e" filled="false" stroked="true" strokeweight=".48001pt" strokecolor="#000000">
                <v:path arrowok="t"/>
              </v:shape>
            </v:group>
            <v:group style="position:absolute;left:5;top:5;width:2;height:1028" coordorigin="5,5" coordsize="2,1028">
              <v:shape style="position:absolute;left:5;top:5;width:2;height:1028" coordorigin="5,5" coordsize="0,1028" path="m5,5l5,1032e" filled="false" stroked="true" strokeweight=".48pt" strokecolor="#000000">
                <v:path arrowok="t"/>
              </v:shape>
            </v:group>
            <v:group style="position:absolute;left:10;top:1027;width:3181;height:2" coordorigin="10,1027" coordsize="3181,2">
              <v:shape style="position:absolute;left:10;top:1027;width:3181;height:2" coordorigin="10,1027" coordsize="3181,0" path="m10,1027l3191,1027e" filled="false" stroked="true" strokeweight=".48001pt" strokecolor="#000000">
                <v:path arrowok="t"/>
              </v:shape>
            </v:group>
            <v:group style="position:absolute;left:3195;top:5;width:2;height:1028" coordorigin="3195,5" coordsize="2,1028">
              <v:shape style="position:absolute;left:3195;top:5;width:2;height:1028" coordorigin="3195,5" coordsize="0,1028" path="m3195,5l3195,1032e" filled="false" stroked="true" strokeweight=".48pt" strokecolor="#000000">
                <v:path arrowok="t"/>
              </v:shape>
            </v:group>
            <v:group style="position:absolute;left:3200;top:1027;width:3181;height:2" coordorigin="3200,1027" coordsize="3181,2">
              <v:shape style="position:absolute;left:3200;top:1027;width:3181;height:2" coordorigin="3200,1027" coordsize="3181,0" path="m3200,1027l6381,1027e" filled="false" stroked="true" strokeweight=".48001pt" strokecolor="#000000">
                <v:path arrowok="t"/>
              </v:shape>
            </v:group>
            <v:group style="position:absolute;left:6385;top:514;width:2;height:519" coordorigin="6385,514" coordsize="2,519">
              <v:shape style="position:absolute;left:6385;top:514;width:2;height:519" coordorigin="6385,514" coordsize="0,519" path="m6385,514l6385,1032e" filled="false" stroked="true" strokeweight=".48001pt" strokecolor="#000000">
                <v:path arrowok="t"/>
              </v:shape>
            </v:group>
            <v:group style="position:absolute;left:6390;top:1027;width:3183;height:2" coordorigin="6390,1027" coordsize="3183,2">
              <v:shape style="position:absolute;left:6390;top:1027;width:3183;height:2" coordorigin="6390,1027" coordsize="3183,0" path="m6390,1027l9573,1027e" filled="false" stroked="true" strokeweight=".48001pt" strokecolor="#000000">
                <v:path arrowok="t"/>
              </v:shape>
            </v:group>
            <v:group style="position:absolute;left:9578;top:5;width:2;height:1028" coordorigin="9578,5" coordsize="2,1028">
              <v:shape style="position:absolute;left:9578;top:5;width:2;height:1028" coordorigin="9578,5" coordsize="0,1028" path="m9578,5l9578,1032e" filled="false" stroked="true" strokeweight=".47998pt" strokecolor="#000000">
                <v:path arrowok="t"/>
              </v:shape>
              <v:shape style="position:absolute;left:3195;top:518;width:3190;height:509" type="#_x0000_t202" filled="false" stroked="false">
                <v:textbox inset="0,0,0,0">
                  <w:txbxContent>
                    <w:p>
                      <w:pPr>
                        <w:spacing w:before="106"/>
                        <w:ind w:left="28" w:right="0" w:firstLine="0"/>
                        <w:jc w:val="left"/>
                        <w:rPr>
                          <w:rFonts w:ascii="宋体" w:hAnsi="宋体" w:cs="宋体" w:eastAsia="宋体" w:hint="default"/>
                          <w:sz w:val="18"/>
                          <w:szCs w:val="18"/>
                        </w:rPr>
                      </w:pPr>
                      <w:r>
                        <w:rPr>
                          <w:rFonts w:ascii="宋体" w:hAnsi="宋体" w:cs="宋体" w:eastAsia="宋体" w:hint="default"/>
                          <w:sz w:val="18"/>
                          <w:szCs w:val="18"/>
                        </w:rPr>
                        <w:t>购买日公允价值</w:t>
                      </w:r>
                    </w:p>
                  </w:txbxContent>
                </v:textbox>
                <w10:wrap type="none"/>
              </v:shape>
              <v:shape style="position:absolute;left:6385;top:518;width:3193;height:509" type="#_x0000_t202" filled="false" stroked="false">
                <v:textbox inset="0,0,0,0">
                  <w:txbxContent>
                    <w:p>
                      <w:pPr>
                        <w:spacing w:before="106"/>
                        <w:ind w:left="28" w:right="0" w:firstLine="0"/>
                        <w:jc w:val="left"/>
                        <w:rPr>
                          <w:rFonts w:ascii="宋体" w:hAnsi="宋体" w:cs="宋体" w:eastAsia="宋体" w:hint="default"/>
                          <w:sz w:val="18"/>
                          <w:szCs w:val="18"/>
                        </w:rPr>
                      </w:pPr>
                      <w:r>
                        <w:rPr>
                          <w:rFonts w:ascii="宋体" w:hAnsi="宋体" w:cs="宋体" w:eastAsia="宋体" w:hint="default"/>
                          <w:sz w:val="18"/>
                          <w:szCs w:val="18"/>
                        </w:rPr>
                        <w:t>购买日账面价值</w:t>
                      </w:r>
                    </w:p>
                  </w:txbxContent>
                </v:textbox>
                <w10:wrap type="none"/>
              </v:shape>
            </v:group>
          </v:group>
        </w:pict>
      </w:r>
      <w:r>
        <w:rPr>
          <w:rFonts w:ascii="宋体" w:hAnsi="宋体" w:cs="宋体" w:eastAsia="宋体" w:hint="default"/>
          <w:position w:val="-20"/>
          <w:sz w:val="20"/>
          <w:szCs w:val="20"/>
        </w:rPr>
      </w:r>
    </w:p>
    <w:p>
      <w:pPr>
        <w:spacing w:line="240" w:lineRule="auto" w:before="7"/>
        <w:rPr>
          <w:rFonts w:ascii="宋体" w:hAnsi="宋体" w:cs="宋体" w:eastAsia="宋体" w:hint="default"/>
          <w:sz w:val="9"/>
          <w:szCs w:val="9"/>
        </w:rPr>
      </w:pPr>
    </w:p>
    <w:p>
      <w:pPr>
        <w:pStyle w:val="BodyText"/>
        <w:spacing w:line="496" w:lineRule="auto" w:before="36"/>
        <w:ind w:left="573" w:right="5585"/>
        <w:jc w:val="both"/>
      </w:pPr>
      <w:r>
        <w:rPr>
          <w:spacing w:val="-2"/>
        </w:rPr>
        <w:t>可辨认资产、负债公允价值的确定方法：</w:t>
      </w:r>
      <w:r>
        <w:rPr>
          <w:spacing w:val="-69"/>
        </w:rPr>
        <w:t> </w:t>
      </w:r>
      <w:r>
        <w:rPr>
          <w:spacing w:val="-69"/>
        </w:rPr>
      </w:r>
      <w:r>
        <w:rPr>
          <w:spacing w:val="-2"/>
        </w:rPr>
        <w:t>企业合并中承担的被购买方的或有负债：</w:t>
      </w:r>
      <w:r>
        <w:rPr>
          <w:spacing w:val="-69"/>
        </w:rPr>
        <w:t> </w:t>
      </w:r>
      <w:r>
        <w:rPr>
          <w:spacing w:val="-69"/>
        </w:rPr>
      </w:r>
      <w:r>
        <w:rPr/>
        <w:t>其他说明：</w:t>
      </w:r>
    </w:p>
    <w:p>
      <w:pPr>
        <w:pStyle w:val="Heading3"/>
        <w:spacing w:line="240" w:lineRule="auto" w:before="99"/>
        <w:ind w:right="11"/>
        <w:jc w:val="left"/>
      </w:pPr>
      <w:r>
        <w:rPr/>
        <w:t>（</w:t>
      </w:r>
      <w:r>
        <w:rPr>
          <w:rFonts w:ascii="Times New Roman" w:hAnsi="Times New Roman" w:cs="Times New Roman" w:eastAsia="Times New Roman" w:hint="default"/>
        </w:rPr>
        <w:t>4</w:t>
      </w:r>
      <w:r>
        <w:rPr/>
        <w:t>）购买日之前持有的股权按照公允价值重新计量产生的利得或损失</w:t>
      </w:r>
    </w:p>
    <w:p>
      <w:pPr>
        <w:spacing w:line="240" w:lineRule="auto" w:before="1"/>
        <w:rPr>
          <w:rFonts w:ascii="黑体" w:hAnsi="黑体" w:cs="黑体" w:eastAsia="黑体" w:hint="default"/>
          <w:sz w:val="24"/>
          <w:szCs w:val="24"/>
        </w:rPr>
      </w:pPr>
    </w:p>
    <w:p>
      <w:pPr>
        <w:pStyle w:val="BodyText"/>
        <w:spacing w:line="240" w:lineRule="auto"/>
        <w:ind w:left="573" w:right="0"/>
        <w:jc w:val="both"/>
      </w:pPr>
      <w:r>
        <w:rPr/>
        <w:t>是否存在通过多次交易分步实现企业合并且在报告期内取得控制权的交易</w:t>
      </w:r>
    </w:p>
    <w:p>
      <w:pPr>
        <w:spacing w:line="240" w:lineRule="auto" w:before="6"/>
        <w:rPr>
          <w:rFonts w:ascii="宋体" w:hAnsi="宋体" w:cs="宋体" w:eastAsia="宋体" w:hint="default"/>
          <w:sz w:val="22"/>
          <w:szCs w:val="22"/>
        </w:rPr>
      </w:pPr>
    </w:p>
    <w:p>
      <w:pPr>
        <w:pStyle w:val="BodyText"/>
        <w:spacing w:line="240" w:lineRule="auto"/>
        <w:ind w:left="57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3"/>
          <w:szCs w:val="23"/>
        </w:rPr>
      </w:pPr>
    </w:p>
    <w:p>
      <w:pPr>
        <w:pStyle w:val="Heading3"/>
        <w:spacing w:line="388" w:lineRule="auto"/>
        <w:ind w:right="136"/>
        <w:jc w:val="left"/>
      </w:pPr>
      <w:r>
        <w:rPr>
          <w:spacing w:val="-2"/>
        </w:rPr>
        <w:t>（</w:t>
      </w:r>
      <w:r>
        <w:rPr>
          <w:rFonts w:ascii="Times New Roman" w:hAnsi="Times New Roman" w:cs="Times New Roman" w:eastAsia="Times New Roman" w:hint="default"/>
          <w:spacing w:val="-2"/>
        </w:rPr>
        <w:t>5</w:t>
      </w:r>
      <w:r>
        <w:rPr>
          <w:spacing w:val="-2"/>
        </w:rPr>
        <w:t>）购买日或合并当期期末无法合理确定合并对价或被购买方可辨认资产、负债公允价值的</w:t>
      </w:r>
      <w:r>
        <w:rPr/>
        <w:t> 相关说明</w:t>
      </w:r>
    </w:p>
    <w:p>
      <w:pPr>
        <w:pStyle w:val="Heading3"/>
        <w:spacing w:line="240" w:lineRule="auto" w:before="197"/>
        <w:ind w:right="11"/>
        <w:jc w:val="left"/>
      </w:pPr>
      <w:r>
        <w:rPr/>
        <w:t>（</w:t>
      </w:r>
      <w:r>
        <w:rPr>
          <w:rFonts w:ascii="Times New Roman" w:hAnsi="Times New Roman" w:cs="Times New Roman" w:eastAsia="Times New Roman" w:hint="default"/>
        </w:rPr>
        <w:t>6</w:t>
      </w:r>
      <w:r>
        <w:rPr/>
        <w:t>）其他说明</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2</w:t>
      </w:r>
      <w:r>
        <w:rPr/>
        <w:t>、同一控制下企业合并</w:t>
      </w:r>
    </w:p>
    <w:p>
      <w:pPr>
        <w:spacing w:after="0" w:line="240" w:lineRule="auto"/>
        <w:jc w:val="left"/>
        <w:sectPr>
          <w:pgSz w:w="11910" w:h="16840"/>
          <w:pgMar w:header="0" w:footer="1132" w:top="1280" w:bottom="1320" w:left="980" w:right="980"/>
        </w:sectPr>
      </w:pPr>
    </w:p>
    <w:p>
      <w:pPr>
        <w:spacing w:line="240" w:lineRule="auto" w:before="13"/>
        <w:rPr>
          <w:rFonts w:ascii="黑体" w:hAnsi="黑体" w:cs="黑体" w:eastAsia="黑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1</w:t>
      </w:r>
      <w:r>
        <w:rPr/>
        <w:t>）本期发生的同一控制下企业合并</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444"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22" w:right="-5"/>
              <w:jc w:val="left"/>
              <w:rPr>
                <w:rFonts w:ascii="宋体" w:hAnsi="宋体" w:cs="宋体" w:eastAsia="宋体" w:hint="default"/>
                <w:sz w:val="18"/>
                <w:szCs w:val="18"/>
              </w:rPr>
            </w:pPr>
            <w:r>
              <w:rPr>
                <w:rFonts w:ascii="宋体" w:hAnsi="宋体" w:cs="宋体" w:eastAsia="宋体" w:hint="default"/>
                <w:spacing w:val="20"/>
                <w:sz w:val="18"/>
                <w:szCs w:val="18"/>
              </w:rPr>
              <w:t>被合并方名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5"/>
              <w:jc w:val="both"/>
              <w:rPr>
                <w:rFonts w:ascii="宋体" w:hAnsi="宋体" w:cs="宋体" w:eastAsia="宋体" w:hint="default"/>
                <w:sz w:val="18"/>
                <w:szCs w:val="18"/>
              </w:rPr>
            </w:pPr>
            <w:r>
              <w:rPr>
                <w:rFonts w:ascii="宋体" w:hAnsi="宋体" w:cs="宋体" w:eastAsia="宋体" w:hint="default"/>
                <w:spacing w:val="20"/>
                <w:sz w:val="18"/>
                <w:szCs w:val="18"/>
              </w:rPr>
              <w:t>企业合并中</w:t>
            </w:r>
            <w:r>
              <w:rPr>
                <w:rFonts w:ascii="宋体" w:hAnsi="宋体" w:cs="宋体" w:eastAsia="宋体" w:hint="default"/>
                <w:spacing w:val="-86"/>
                <w:sz w:val="18"/>
                <w:szCs w:val="18"/>
              </w:rPr>
              <w:t> </w:t>
            </w:r>
            <w:r>
              <w:rPr>
                <w:rFonts w:ascii="宋体" w:hAnsi="宋体" w:cs="宋体" w:eastAsia="宋体" w:hint="default"/>
                <w:spacing w:val="20"/>
                <w:sz w:val="18"/>
                <w:szCs w:val="18"/>
              </w:rPr>
              <w:t>取得的权益</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2"/>
              <w:jc w:val="both"/>
              <w:rPr>
                <w:rFonts w:ascii="宋体" w:hAnsi="宋体" w:cs="宋体" w:eastAsia="宋体" w:hint="default"/>
                <w:sz w:val="18"/>
                <w:szCs w:val="18"/>
              </w:rPr>
            </w:pPr>
            <w:r>
              <w:rPr>
                <w:rFonts w:ascii="宋体" w:hAnsi="宋体" w:cs="宋体" w:eastAsia="宋体" w:hint="default"/>
                <w:spacing w:val="20"/>
                <w:sz w:val="18"/>
                <w:szCs w:val="18"/>
              </w:rPr>
              <w:t>构成同一控</w:t>
            </w:r>
            <w:r>
              <w:rPr>
                <w:rFonts w:ascii="宋体" w:hAnsi="宋体" w:cs="宋体" w:eastAsia="宋体" w:hint="default"/>
                <w:spacing w:val="-86"/>
                <w:sz w:val="18"/>
                <w:szCs w:val="18"/>
              </w:rPr>
              <w:t> </w:t>
            </w:r>
            <w:r>
              <w:rPr>
                <w:rFonts w:ascii="宋体" w:hAnsi="宋体" w:cs="宋体" w:eastAsia="宋体" w:hint="default"/>
                <w:spacing w:val="20"/>
                <w:sz w:val="18"/>
                <w:szCs w:val="18"/>
              </w:rPr>
              <w:t>制下企业合</w:t>
            </w:r>
            <w:r>
              <w:rPr>
                <w:rFonts w:ascii="宋体" w:hAnsi="宋体" w:cs="宋体" w:eastAsia="宋体" w:hint="default"/>
                <w:spacing w:val="-86"/>
                <w:sz w:val="18"/>
                <w:szCs w:val="18"/>
              </w:rPr>
              <w:t> </w:t>
            </w:r>
            <w:r>
              <w:rPr>
                <w:rFonts w:ascii="宋体" w:hAnsi="宋体" w:cs="宋体" w:eastAsia="宋体" w:hint="default"/>
                <w:sz w:val="18"/>
                <w:szCs w:val="18"/>
              </w:rPr>
              <w:t>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26" w:right="-3"/>
              <w:jc w:val="left"/>
              <w:rPr>
                <w:rFonts w:ascii="宋体" w:hAnsi="宋体" w:cs="宋体" w:eastAsia="宋体" w:hint="default"/>
                <w:sz w:val="18"/>
                <w:szCs w:val="18"/>
              </w:rPr>
            </w:pPr>
            <w:r>
              <w:rPr>
                <w:rFonts w:ascii="宋体" w:hAnsi="宋体" w:cs="宋体" w:eastAsia="宋体" w:hint="default"/>
                <w:spacing w:val="20"/>
                <w:sz w:val="18"/>
                <w:szCs w:val="18"/>
              </w:rPr>
              <w:t>合并日的确</w:t>
            </w:r>
            <w:r>
              <w:rPr>
                <w:rFonts w:ascii="宋体" w:hAnsi="宋体" w:cs="宋体" w:eastAsia="宋体" w:hint="default"/>
                <w:spacing w:val="-86"/>
                <w:sz w:val="18"/>
                <w:szCs w:val="18"/>
              </w:rPr>
              <w:t> </w:t>
            </w: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3"/>
              <w:ind w:left="24" w:right="-3"/>
              <w:jc w:val="both"/>
              <w:rPr>
                <w:rFonts w:ascii="宋体" w:hAnsi="宋体" w:cs="宋体" w:eastAsia="宋体" w:hint="default"/>
                <w:sz w:val="18"/>
                <w:szCs w:val="18"/>
              </w:rPr>
            </w:pPr>
            <w:r>
              <w:rPr>
                <w:rFonts w:ascii="宋体" w:hAnsi="宋体" w:cs="宋体" w:eastAsia="宋体" w:hint="default"/>
                <w:spacing w:val="20"/>
                <w:sz w:val="18"/>
                <w:szCs w:val="18"/>
              </w:rPr>
              <w:t>合并当期期</w:t>
            </w:r>
            <w:r>
              <w:rPr>
                <w:rFonts w:ascii="宋体" w:hAnsi="宋体" w:cs="宋体" w:eastAsia="宋体" w:hint="default"/>
                <w:spacing w:val="-86"/>
                <w:sz w:val="18"/>
                <w:szCs w:val="18"/>
              </w:rPr>
              <w:t> </w:t>
            </w:r>
            <w:r>
              <w:rPr>
                <w:rFonts w:ascii="宋体" w:hAnsi="宋体" w:cs="宋体" w:eastAsia="宋体" w:hint="default"/>
                <w:spacing w:val="20"/>
                <w:sz w:val="18"/>
                <w:szCs w:val="18"/>
              </w:rPr>
              <w:t>初至合并日</w:t>
            </w:r>
            <w:r>
              <w:rPr>
                <w:rFonts w:ascii="宋体" w:hAnsi="宋体" w:cs="宋体" w:eastAsia="宋体" w:hint="default"/>
                <w:spacing w:val="-86"/>
                <w:sz w:val="18"/>
                <w:szCs w:val="18"/>
              </w:rPr>
              <w:t> </w:t>
            </w:r>
            <w:r>
              <w:rPr>
                <w:rFonts w:ascii="宋体" w:hAnsi="宋体" w:cs="宋体" w:eastAsia="宋体" w:hint="default"/>
                <w:spacing w:val="20"/>
                <w:sz w:val="18"/>
                <w:szCs w:val="18"/>
              </w:rPr>
              <w:t>被合并方的</w:t>
            </w:r>
            <w:r>
              <w:rPr>
                <w:rFonts w:ascii="宋体" w:hAnsi="宋体" w:cs="宋体" w:eastAsia="宋体" w:hint="default"/>
                <w:spacing w:val="-86"/>
                <w:sz w:val="18"/>
                <w:szCs w:val="18"/>
              </w:rPr>
              <w:t> </w:t>
            </w:r>
            <w:r>
              <w:rPr>
                <w:rFonts w:ascii="宋体" w:hAnsi="宋体" w:cs="宋体" w:eastAsia="宋体" w:hint="default"/>
                <w:sz w:val="18"/>
                <w:szCs w:val="18"/>
              </w:rPr>
              <w:t>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3"/>
              <w:ind w:left="24" w:right="-3"/>
              <w:jc w:val="both"/>
              <w:rPr>
                <w:rFonts w:ascii="宋体" w:hAnsi="宋体" w:cs="宋体" w:eastAsia="宋体" w:hint="default"/>
                <w:sz w:val="18"/>
                <w:szCs w:val="18"/>
              </w:rPr>
            </w:pPr>
            <w:r>
              <w:rPr>
                <w:rFonts w:ascii="宋体" w:hAnsi="宋体" w:cs="宋体" w:eastAsia="宋体" w:hint="default"/>
                <w:spacing w:val="20"/>
                <w:sz w:val="18"/>
                <w:szCs w:val="18"/>
              </w:rPr>
              <w:t>合并当期期</w:t>
            </w:r>
            <w:r>
              <w:rPr>
                <w:rFonts w:ascii="宋体" w:hAnsi="宋体" w:cs="宋体" w:eastAsia="宋体" w:hint="default"/>
                <w:spacing w:val="-86"/>
                <w:sz w:val="18"/>
                <w:szCs w:val="18"/>
              </w:rPr>
              <w:t> </w:t>
            </w:r>
            <w:r>
              <w:rPr>
                <w:rFonts w:ascii="宋体" w:hAnsi="宋体" w:cs="宋体" w:eastAsia="宋体" w:hint="default"/>
                <w:spacing w:val="20"/>
                <w:sz w:val="18"/>
                <w:szCs w:val="18"/>
              </w:rPr>
              <w:t>初至合并日</w:t>
            </w:r>
            <w:r>
              <w:rPr>
                <w:rFonts w:ascii="宋体" w:hAnsi="宋体" w:cs="宋体" w:eastAsia="宋体" w:hint="default"/>
                <w:spacing w:val="-86"/>
                <w:sz w:val="18"/>
                <w:szCs w:val="18"/>
              </w:rPr>
              <w:t> </w:t>
            </w:r>
            <w:r>
              <w:rPr>
                <w:rFonts w:ascii="宋体" w:hAnsi="宋体" w:cs="宋体" w:eastAsia="宋体" w:hint="default"/>
                <w:spacing w:val="20"/>
                <w:sz w:val="18"/>
                <w:szCs w:val="18"/>
              </w:rPr>
              <w:t>被合并方的</w:t>
            </w:r>
            <w:r>
              <w:rPr>
                <w:rFonts w:ascii="宋体" w:hAnsi="宋体" w:cs="宋体" w:eastAsia="宋体" w:hint="default"/>
                <w:spacing w:val="-86"/>
                <w:sz w:val="18"/>
                <w:szCs w:val="18"/>
              </w:rPr>
              <w:t> </w:t>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2"/>
              <w:jc w:val="both"/>
              <w:rPr>
                <w:rFonts w:ascii="宋体" w:hAnsi="宋体" w:cs="宋体" w:eastAsia="宋体" w:hint="default"/>
                <w:sz w:val="18"/>
                <w:szCs w:val="18"/>
              </w:rPr>
            </w:pPr>
            <w:r>
              <w:rPr>
                <w:rFonts w:ascii="宋体" w:hAnsi="宋体" w:cs="宋体" w:eastAsia="宋体" w:hint="default"/>
                <w:spacing w:val="20"/>
                <w:sz w:val="18"/>
                <w:szCs w:val="18"/>
              </w:rPr>
              <w:t>比较期间被</w:t>
            </w:r>
            <w:r>
              <w:rPr>
                <w:rFonts w:ascii="宋体" w:hAnsi="宋体" w:cs="宋体" w:eastAsia="宋体" w:hint="default"/>
                <w:spacing w:val="-86"/>
                <w:sz w:val="18"/>
                <w:szCs w:val="18"/>
              </w:rPr>
              <w:t> </w:t>
            </w:r>
            <w:r>
              <w:rPr>
                <w:rFonts w:ascii="宋体" w:hAnsi="宋体" w:cs="宋体" w:eastAsia="宋体" w:hint="default"/>
                <w:spacing w:val="20"/>
                <w:sz w:val="18"/>
                <w:szCs w:val="18"/>
              </w:rPr>
              <w:t>合并方的收</w:t>
            </w:r>
            <w:r>
              <w:rPr>
                <w:rFonts w:ascii="宋体" w:hAnsi="宋体" w:cs="宋体" w:eastAsia="宋体" w:hint="default"/>
                <w:spacing w:val="-86"/>
                <w:sz w:val="18"/>
                <w:szCs w:val="18"/>
              </w:rPr>
              <w:t> </w:t>
            </w:r>
            <w:r>
              <w:rPr>
                <w:rFonts w:ascii="宋体" w:hAnsi="宋体" w:cs="宋体" w:eastAsia="宋体" w:hint="default"/>
                <w:sz w:val="18"/>
                <w:szCs w:val="18"/>
              </w:rPr>
              <w:t>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3"/>
              <w:jc w:val="both"/>
              <w:rPr>
                <w:rFonts w:ascii="宋体" w:hAnsi="宋体" w:cs="宋体" w:eastAsia="宋体" w:hint="default"/>
                <w:sz w:val="18"/>
                <w:szCs w:val="18"/>
              </w:rPr>
            </w:pPr>
            <w:r>
              <w:rPr>
                <w:rFonts w:ascii="宋体" w:hAnsi="宋体" w:cs="宋体" w:eastAsia="宋体" w:hint="default"/>
                <w:spacing w:val="20"/>
                <w:sz w:val="18"/>
                <w:szCs w:val="18"/>
              </w:rPr>
              <w:t>比较期间被</w:t>
            </w:r>
            <w:r>
              <w:rPr>
                <w:rFonts w:ascii="宋体" w:hAnsi="宋体" w:cs="宋体" w:eastAsia="宋体" w:hint="default"/>
                <w:spacing w:val="-86"/>
                <w:sz w:val="18"/>
                <w:szCs w:val="18"/>
              </w:rPr>
              <w:t> </w:t>
            </w:r>
            <w:r>
              <w:rPr>
                <w:rFonts w:ascii="宋体" w:hAnsi="宋体" w:cs="宋体" w:eastAsia="宋体" w:hint="default"/>
                <w:spacing w:val="20"/>
                <w:sz w:val="18"/>
                <w:szCs w:val="18"/>
              </w:rPr>
              <w:t>合并方的净</w:t>
            </w:r>
            <w:r>
              <w:rPr>
                <w:rFonts w:ascii="宋体" w:hAnsi="宋体" w:cs="宋体" w:eastAsia="宋体" w:hint="default"/>
                <w:spacing w:val="-86"/>
                <w:sz w:val="18"/>
                <w:szCs w:val="18"/>
              </w:rPr>
              <w:t> </w:t>
            </w:r>
            <w:r>
              <w:rPr>
                <w:rFonts w:ascii="宋体" w:hAnsi="宋体" w:cs="宋体" w:eastAsia="宋体" w:hint="default"/>
                <w:sz w:val="18"/>
                <w:szCs w:val="18"/>
              </w:rPr>
              <w:t>利润</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3"/>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）合并成本</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0"/>
        <w:rPr>
          <w:rFonts w:ascii="宋体" w:hAnsi="宋体" w:cs="宋体" w:eastAsia="宋体" w:hint="default"/>
          <w:sz w:val="17"/>
          <w:szCs w:val="17"/>
        </w:rPr>
      </w:pPr>
    </w:p>
    <w:p>
      <w:pPr>
        <w:spacing w:line="528" w:lineRule="exact"/>
        <w:ind w:left="14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79.05pt;height:26.4pt;mso-position-horizontal-relative:char;mso-position-vertical-relative:line" coordorigin="0,0" coordsize="9581,528">
            <v:group style="position:absolute;left:23;top:17;width:2;height:497" coordorigin="23,17" coordsize="2,497">
              <v:shape style="position:absolute;left:23;top:17;width:2;height:497" coordorigin="23,17" coordsize="0,497" path="m23,17l23,514e" filled="false" stroked="true" strokeweight="1.08pt" strokecolor="#d9d9d9">
                <v:path arrowok="t"/>
              </v:shape>
            </v:group>
            <v:group style="position:absolute;left:4775;top:17;width:2;height:497" coordorigin="4775,17" coordsize="2,497">
              <v:shape style="position:absolute;left:4775;top:17;width:2;height:497" coordorigin="4775,17" coordsize="0,497" path="m4775,17l4775,514e" filled="false" stroked="true" strokeweight="1.2pt" strokecolor="#d9d9d9">
                <v:path arrowok="t"/>
              </v:shape>
            </v:group>
            <v:group style="position:absolute;left:34;top:17;width:4729;height:497" coordorigin="34,17" coordsize="4729,497">
              <v:shape style="position:absolute;left:34;top:17;width:4729;height:497" coordorigin="34,17" coordsize="4729,497" path="m34,514l4763,514,4763,17,34,17,34,514xe" filled="true" fillcolor="#d9d9d9" stroked="false">
                <v:path arrowok="t"/>
                <v:fill type="solid"/>
              </v:shape>
            </v:group>
            <v:group style="position:absolute;left:4807;top:17;width:2;height:497" coordorigin="4807,17" coordsize="2,497">
              <v:shape style="position:absolute;left:4807;top:17;width:2;height:497" coordorigin="4807,17" coordsize="0,497" path="m4807,17l4807,514e" filled="false" stroked="true" strokeweight="1.08pt" strokecolor="#d9d9d9">
                <v:path arrowok="t"/>
              </v:shape>
            </v:group>
            <v:group style="position:absolute;left:9559;top:17;width:2;height:497" coordorigin="9559,17" coordsize="2,497">
              <v:shape style="position:absolute;left:9559;top:17;width:2;height:497" coordorigin="9559,17" coordsize="0,497" path="m9559,17l9559,514e" filled="false" stroked="true" strokeweight="1.2pt" strokecolor="#d9d9d9">
                <v:path arrowok="t"/>
              </v:shape>
            </v:group>
            <v:group style="position:absolute;left:4818;top:17;width:4729;height:497" coordorigin="4818,17" coordsize="4729,497">
              <v:shape style="position:absolute;left:4818;top:17;width:4729;height:497" coordorigin="4818,17" coordsize="4729,497" path="m4818,514l9547,514,9547,17,4818,17,4818,514xe" filled="true" fillcolor="#d9d9d9"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519" coordorigin="5,5" coordsize="2,519">
              <v:shape style="position:absolute;left:5;top:5;width:2;height:519" coordorigin="5,5" coordsize="0,519" path="m5,5l5,523e" filled="false" stroked="true" strokeweight=".48pt" strokecolor="#000000">
                <v:path arrowok="t"/>
              </v:shape>
            </v:group>
            <v:group style="position:absolute;left:10;top:518;width:4775;height:2" coordorigin="10,518" coordsize="4775,2">
              <v:shape style="position:absolute;left:10;top:518;width:4775;height:2" coordorigin="10,518" coordsize="4775,0" path="m10,518l4784,518e" filled="false" stroked="true" strokeweight=".48001pt" strokecolor="#000000">
                <v:path arrowok="t"/>
              </v:shape>
            </v:group>
            <v:group style="position:absolute;left:4789;top:5;width:2;height:519" coordorigin="4789,5" coordsize="2,519">
              <v:shape style="position:absolute;left:4789;top:5;width:2;height:519" coordorigin="4789,5" coordsize="0,519" path="m4789,5l4789,523e" filled="false" stroked="true" strokeweight=".48001pt" strokecolor="#000000">
                <v:path arrowok="t"/>
              </v:shape>
            </v:group>
            <v:group style="position:absolute;left:4794;top:518;width:4777;height:2" coordorigin="4794,518" coordsize="4777,2">
              <v:shape style="position:absolute;left:4794;top:518;width:4777;height:2" coordorigin="4794,518" coordsize="4777,0" path="m4794,518l9571,518e" filled="false" stroked="true" strokeweight=".48001pt" strokecolor="#000000">
                <v:path arrowok="t"/>
              </v:shape>
            </v:group>
            <v:group style="position:absolute;left:9576;top:5;width:2;height:519" coordorigin="9576,5" coordsize="2,519">
              <v:shape style="position:absolute;left:9576;top:5;width:2;height:519" coordorigin="9576,5" coordsize="0,519" path="m9576,5l9576,523e" filled="false" stroked="true" strokeweight=".47998pt" strokecolor="#000000">
                <v:path arrowok="t"/>
              </v:shape>
              <v:shape style="position:absolute;left:6;top:11;width:4783;height:508" type="#_x0000_t202" filled="false" stroked="false">
                <v:textbox inset="0,0,0,0">
                  <w:txbxContent>
                    <w:p>
                      <w:pPr>
                        <w:spacing w:before="107"/>
                        <w:ind w:left="27" w:right="0" w:firstLine="0"/>
                        <w:jc w:val="left"/>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10"/>
          <w:sz w:val="20"/>
          <w:szCs w:val="20"/>
        </w:rPr>
      </w:r>
    </w:p>
    <w:p>
      <w:pPr>
        <w:spacing w:line="240" w:lineRule="auto" w:before="6"/>
        <w:rPr>
          <w:rFonts w:ascii="宋体" w:hAnsi="宋体" w:cs="宋体" w:eastAsia="宋体" w:hint="default"/>
          <w:sz w:val="9"/>
          <w:szCs w:val="9"/>
        </w:rPr>
      </w:pPr>
    </w:p>
    <w:p>
      <w:pPr>
        <w:pStyle w:val="BodyText"/>
        <w:spacing w:line="496" w:lineRule="auto" w:before="36"/>
        <w:ind w:left="573" w:right="6507"/>
        <w:jc w:val="left"/>
      </w:pPr>
      <w:r>
        <w:rPr>
          <w:spacing w:val="-2"/>
        </w:rPr>
        <w:t>或有对价及其变动的说明：</w:t>
      </w:r>
      <w:r>
        <w:rPr>
          <w:spacing w:val="-82"/>
        </w:rPr>
        <w:t> </w:t>
      </w:r>
      <w:r>
        <w:rPr>
          <w:spacing w:val="-82"/>
        </w:rPr>
      </w:r>
      <w:r>
        <w:rPr/>
        <w:t>其他说明：</w:t>
      </w:r>
    </w:p>
    <w:p>
      <w:pPr>
        <w:pStyle w:val="Heading3"/>
        <w:spacing w:line="240" w:lineRule="auto" w:before="99"/>
        <w:ind w:right="11"/>
        <w:jc w:val="left"/>
      </w:pPr>
      <w:r>
        <w:rPr/>
        <w:t>（</w:t>
      </w:r>
      <w:r>
        <w:rPr>
          <w:rFonts w:ascii="Times New Roman" w:hAnsi="Times New Roman" w:cs="Times New Roman" w:eastAsia="Times New Roman" w:hint="default"/>
        </w:rPr>
        <w:t>3</w:t>
      </w:r>
      <w:r>
        <w:rPr/>
        <w:t>）合并日被合并方资产、负债的账面价值</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2"/>
        <w:rPr>
          <w:rFonts w:ascii="宋体" w:hAnsi="宋体" w:cs="宋体" w:eastAsia="宋体" w:hint="default"/>
          <w:sz w:val="17"/>
          <w:szCs w:val="17"/>
        </w:rPr>
      </w:pPr>
    </w:p>
    <w:p>
      <w:pPr>
        <w:spacing w:line="1034" w:lineRule="exact"/>
        <w:ind w:left="14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79.15pt;height:51.75pt;mso-position-horizontal-relative:char;mso-position-vertical-relative:line" coordorigin="0,0" coordsize="9583,1035">
            <v:group style="position:absolute;left:23;top:14;width:2;height:500" coordorigin="23,14" coordsize="2,500">
              <v:shape style="position:absolute;left:23;top:14;width:2;height:500" coordorigin="23,14" coordsize="0,500" path="m23,14l23,514e" filled="false" stroked="true" strokeweight="1.08pt" strokecolor="#d9d9d9">
                <v:path arrowok="t"/>
              </v:shape>
            </v:group>
            <v:group style="position:absolute;left:3181;top:14;width:2;height:500" coordorigin="3181,14" coordsize="2,500">
              <v:shape style="position:absolute;left:3181;top:14;width:2;height:500" coordorigin="3181,14" coordsize="0,500" path="m3181,14l3181,514e" filled="false" stroked="true" strokeweight="1.2pt" strokecolor="#d9d9d9">
                <v:path arrowok="t"/>
              </v:shape>
            </v:group>
            <v:group style="position:absolute;left:34;top:14;width:3136;height:500" coordorigin="34,14" coordsize="3136,500">
              <v:shape style="position:absolute;left:34;top:14;width:3136;height:500" coordorigin="34,14" coordsize="3136,500" path="m34,514l3169,514,3169,14,34,14,34,514xe" filled="true" fillcolor="#d9d9d9" stroked="false">
                <v:path arrowok="t"/>
                <v:fill type="solid"/>
              </v:shape>
            </v:group>
            <v:group style="position:absolute;left:3213;top:14;width:2;height:500" coordorigin="3213,14" coordsize="2,500">
              <v:shape style="position:absolute;left:3213;top:14;width:2;height:500" coordorigin="3213,14" coordsize="0,500" path="m3213,14l3213,514e" filled="false" stroked="true" strokeweight="1.08pt" strokecolor="#d9d9d9">
                <v:path arrowok="t"/>
              </v:shape>
            </v:group>
            <v:group style="position:absolute;left:9561;top:14;width:2;height:500" coordorigin="9561,14" coordsize="2,500">
              <v:shape style="position:absolute;left:9561;top:14;width:2;height:500" coordorigin="9561,14" coordsize="0,500" path="m9561,14l9561,514e" filled="false" stroked="true" strokeweight="1.2pt" strokecolor="#d9d9d9">
                <v:path arrowok="t"/>
              </v:shape>
            </v:group>
            <v:group style="position:absolute;left:3224;top:14;width:6325;height:500" coordorigin="3224,14" coordsize="6325,500">
              <v:shape style="position:absolute;left:3224;top:14;width:6325;height:500" coordorigin="3224,14" coordsize="6325,500" path="m3224,514l9549,514,9549,14,3224,14,3224,514xe" filled="true" fillcolor="#d9d9d9"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523;width:2;height:497" coordorigin="23,523" coordsize="2,497">
              <v:shape style="position:absolute;left:23;top:523;width:2;height:497" coordorigin="23,523" coordsize="0,497" path="m23,523l23,1020e" filled="false" stroked="true" strokeweight="1.08pt" strokecolor="#d9d9d9">
                <v:path arrowok="t"/>
              </v:shape>
            </v:group>
            <v:group style="position:absolute;left:3181;top:523;width:2;height:497" coordorigin="3181,523" coordsize="2,497">
              <v:shape style="position:absolute;left:3181;top:523;width:2;height:497" coordorigin="3181,523" coordsize="0,497" path="m3181,523l3181,1020e" filled="false" stroked="true" strokeweight="1.2pt" strokecolor="#d9d9d9">
                <v:path arrowok="t"/>
              </v:shape>
            </v:group>
            <v:group style="position:absolute;left:34;top:523;width:3136;height:497" coordorigin="34,523" coordsize="3136,497">
              <v:shape style="position:absolute;left:34;top:523;width:3136;height:497" coordorigin="34,523" coordsize="3136,497" path="m34,1020l3169,1020,3169,523,34,523,34,1020xe" filled="true" fillcolor="#d9d9d9" stroked="false">
                <v:path arrowok="t"/>
                <v:fill type="solid"/>
              </v:shape>
            </v:group>
            <v:group style="position:absolute;left:3213;top:523;width:2;height:497" coordorigin="3213,523" coordsize="2,497">
              <v:shape style="position:absolute;left:3213;top:523;width:2;height:497" coordorigin="3213,523" coordsize="0,497" path="m3213,523l3213,1020e" filled="false" stroked="true" strokeweight="1.08pt" strokecolor="#d9d9d9">
                <v:path arrowok="t"/>
              </v:shape>
            </v:group>
            <v:group style="position:absolute;left:6371;top:523;width:2;height:497" coordorigin="6371,523" coordsize="2,497">
              <v:shape style="position:absolute;left:6371;top:523;width:2;height:497" coordorigin="6371,523" coordsize="0,497" path="m6371,523l6371,1020e" filled="false" stroked="true" strokeweight="1.2pt" strokecolor="#d9d9d9">
                <v:path arrowok="t"/>
              </v:shape>
            </v:group>
            <v:group style="position:absolute;left:3224;top:523;width:3135;height:497" coordorigin="3224,523" coordsize="3135,497">
              <v:shape style="position:absolute;left:3224;top:523;width:3135;height:497" coordorigin="3224,523" coordsize="3135,497" path="m3224,1020l6359,1020,6359,523,3224,523,3224,1020xe" filled="true" fillcolor="#d9d9d9" stroked="false">
                <v:path arrowok="t"/>
                <v:fill type="solid"/>
              </v:shape>
            </v:group>
            <v:group style="position:absolute;left:6403;top:523;width:2;height:497" coordorigin="6403,523" coordsize="2,497">
              <v:shape style="position:absolute;left:6403;top:523;width:2;height:497" coordorigin="6403,523" coordsize="0,497" path="m6403,523l6403,1020e" filled="false" stroked="true" strokeweight="1.08pt" strokecolor="#d9d9d9">
                <v:path arrowok="t"/>
              </v:shape>
            </v:group>
            <v:group style="position:absolute;left:9561;top:523;width:2;height:497" coordorigin="9561,523" coordsize="2,497">
              <v:shape style="position:absolute;left:9561;top:523;width:2;height:497" coordorigin="9561,523" coordsize="0,497" path="m9561,523l9561,1020e" filled="false" stroked="true" strokeweight="1.2pt" strokecolor="#d9d9d9">
                <v:path arrowok="t"/>
              </v:shape>
            </v:group>
            <v:group style="position:absolute;left:6414;top:523;width:3135;height:497" coordorigin="6414,523" coordsize="3135,497">
              <v:shape style="position:absolute;left:6414;top:523;width:3135;height:497" coordorigin="6414,523" coordsize="3135,497" path="m6414,1020l9549,1020,9549,523,6414,523,6414,1020xe" filled="true" fillcolor="#d9d9d9" stroked="false">
                <v:path arrowok="t"/>
                <v:fill type="solid"/>
              </v:shape>
            </v:group>
            <v:group style="position:absolute;left:10;top:518;width:3181;height:2" coordorigin="10,518" coordsize="3181,2">
              <v:shape style="position:absolute;left:10;top:518;width:3181;height:2" coordorigin="10,518" coordsize="3181,0" path="m10,518l3191,518e" filled="false" stroked="true" strokeweight=".48001pt" strokecolor="#000000">
                <v:path arrowok="t"/>
              </v:shape>
            </v:group>
            <v:group style="position:absolute;left:3200;top:518;width:3181;height:2" coordorigin="3200,518" coordsize="3181,2">
              <v:shape style="position:absolute;left:3200;top:518;width:3181;height:2" coordorigin="3200,518" coordsize="3181,0" path="m3200,518l6381,518e" filled="false" stroked="true" strokeweight=".48001pt" strokecolor="#000000">
                <v:path arrowok="t"/>
              </v:shape>
            </v:group>
            <v:group style="position:absolute;left:6390;top:518;width:3183;height:2" coordorigin="6390,518" coordsize="3183,2">
              <v:shape style="position:absolute;left:6390;top:518;width:3183;height:2" coordorigin="6390,518" coordsize="3183,0" path="m6390,518l9573,518e" filled="false" stroked="true" strokeweight=".48001pt" strokecolor="#000000">
                <v:path arrowok="t"/>
              </v:shape>
            </v:group>
            <v:group style="position:absolute;left:5;top:5;width:2;height:1025" coordorigin="5,5" coordsize="2,1025">
              <v:shape style="position:absolute;left:5;top:5;width:2;height:1025" coordorigin="5,5" coordsize="0,1025" path="m5,5l5,1030e" filled="false" stroked="true" strokeweight=".48pt" strokecolor="#000000">
                <v:path arrowok="t"/>
              </v:shape>
            </v:group>
            <v:group style="position:absolute;left:10;top:1025;width:3181;height:2" coordorigin="10,1025" coordsize="3181,2">
              <v:shape style="position:absolute;left:10;top:1025;width:3181;height:2" coordorigin="10,1025" coordsize="3181,0" path="m10,1025l3191,1025e" filled="false" stroked="true" strokeweight=".47998pt" strokecolor="#000000">
                <v:path arrowok="t"/>
              </v:shape>
            </v:group>
            <v:group style="position:absolute;left:3195;top:5;width:2;height:1025" coordorigin="3195,5" coordsize="2,1025">
              <v:shape style="position:absolute;left:3195;top:5;width:2;height:1025" coordorigin="3195,5" coordsize="0,1025" path="m3195,5l3195,1030e" filled="false" stroked="true" strokeweight=".48pt" strokecolor="#000000">
                <v:path arrowok="t"/>
              </v:shape>
            </v:group>
            <v:group style="position:absolute;left:3200;top:1025;width:3181;height:2" coordorigin="3200,1025" coordsize="3181,2">
              <v:shape style="position:absolute;left:3200;top:1025;width:3181;height:2" coordorigin="3200,1025" coordsize="3181,0" path="m3200,1025l6381,1025e" filled="false" stroked="true" strokeweight=".47998pt" strokecolor="#000000">
                <v:path arrowok="t"/>
              </v:shape>
            </v:group>
            <v:group style="position:absolute;left:6385;top:514;width:2;height:516" coordorigin="6385,514" coordsize="2,516">
              <v:shape style="position:absolute;left:6385;top:514;width:2;height:516" coordorigin="6385,514" coordsize="0,516" path="m6385,514l6385,1030e" filled="false" stroked="true" strokeweight=".48001pt" strokecolor="#000000">
                <v:path arrowok="t"/>
              </v:shape>
            </v:group>
            <v:group style="position:absolute;left:6390;top:1025;width:3183;height:2" coordorigin="6390,1025" coordsize="3183,2">
              <v:shape style="position:absolute;left:6390;top:1025;width:3183;height:2" coordorigin="6390,1025" coordsize="3183,0" path="m6390,1025l9573,1025e" filled="false" stroked="true" strokeweight=".47998pt" strokecolor="#000000">
                <v:path arrowok="t"/>
              </v:shape>
            </v:group>
            <v:group style="position:absolute;left:9578;top:5;width:2;height:1025" coordorigin="9578,5" coordsize="2,1025">
              <v:shape style="position:absolute;left:9578;top:5;width:2;height:1025" coordorigin="9578,5" coordsize="0,1025" path="m9578,5l9578,1030e" filled="false" stroked="true" strokeweight=".47998pt" strokecolor="#000000">
                <v:path arrowok="t"/>
              </v:shape>
              <v:shape style="position:absolute;left:3195;top:518;width:3190;height:507" type="#_x0000_t202" filled="false" stroked="false">
                <v:textbox inset="0,0,0,0">
                  <w:txbxContent>
                    <w:p>
                      <w:pPr>
                        <w:spacing w:before="106"/>
                        <w:ind w:left="28" w:right="0" w:firstLine="0"/>
                        <w:jc w:val="left"/>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518;width:3193;height:507" type="#_x0000_t202" filled="false" stroked="false">
                <v:textbox inset="0,0,0,0">
                  <w:txbxContent>
                    <w:p>
                      <w:pPr>
                        <w:spacing w:before="106"/>
                        <w:ind w:left="28" w:right="0" w:firstLine="0"/>
                        <w:jc w:val="left"/>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20"/>
          <w:sz w:val="20"/>
          <w:szCs w:val="20"/>
        </w:rPr>
      </w:r>
    </w:p>
    <w:p>
      <w:pPr>
        <w:spacing w:line="240" w:lineRule="auto" w:before="7"/>
        <w:rPr>
          <w:rFonts w:ascii="宋体" w:hAnsi="宋体" w:cs="宋体" w:eastAsia="宋体" w:hint="default"/>
          <w:sz w:val="9"/>
          <w:szCs w:val="9"/>
        </w:rPr>
      </w:pPr>
    </w:p>
    <w:p>
      <w:pPr>
        <w:pStyle w:val="BodyText"/>
        <w:spacing w:line="496" w:lineRule="auto" w:before="36"/>
        <w:ind w:left="573" w:right="4599"/>
        <w:jc w:val="left"/>
      </w:pPr>
      <w:r>
        <w:rPr>
          <w:spacing w:val="-2"/>
        </w:rPr>
        <w:t>企业合并中承担的被合并方的或有负债：</w:t>
      </w:r>
      <w:r>
        <w:rPr>
          <w:spacing w:val="-69"/>
        </w:rPr>
        <w:t> </w:t>
      </w:r>
      <w:r>
        <w:rPr>
          <w:spacing w:val="-69"/>
        </w:rPr>
      </w:r>
      <w:r>
        <w:rPr/>
        <w:t>其他说明：</w:t>
      </w:r>
    </w:p>
    <w:p>
      <w:pPr>
        <w:pStyle w:val="Heading3"/>
        <w:spacing w:line="240" w:lineRule="auto" w:before="99"/>
        <w:ind w:right="11"/>
        <w:jc w:val="left"/>
      </w:pPr>
      <w:r>
        <w:rPr>
          <w:rFonts w:ascii="Times New Roman" w:hAnsi="Times New Roman" w:cs="Times New Roman" w:eastAsia="Times New Roman" w:hint="default"/>
        </w:rPr>
        <w:t>3</w:t>
      </w:r>
      <w:r>
        <w:rPr/>
        <w:t>、反向购买</w:t>
      </w:r>
    </w:p>
    <w:p>
      <w:pPr>
        <w:spacing w:line="240" w:lineRule="auto" w:before="3"/>
        <w:rPr>
          <w:rFonts w:ascii="黑体" w:hAnsi="黑体" w:cs="黑体" w:eastAsia="黑体" w:hint="default"/>
          <w:sz w:val="24"/>
          <w:szCs w:val="24"/>
        </w:rPr>
      </w:pPr>
    </w:p>
    <w:p>
      <w:pPr>
        <w:pStyle w:val="BodyText"/>
        <w:spacing w:line="408" w:lineRule="auto"/>
        <w:ind w:right="11" w:firstLine="420"/>
        <w:jc w:val="left"/>
      </w:pPr>
      <w:r>
        <w:rPr>
          <w:spacing w:val="-3"/>
        </w:rPr>
        <w:t>交易基本信息、交易构成反向购买的依据、上市公司保留的资产、负债是否构成业务及其依据、合并</w:t>
      </w:r>
      <w:r>
        <w:rPr>
          <w:w w:val="100"/>
        </w:rPr>
        <w:t> </w:t>
      </w:r>
      <w:r>
        <w:rPr/>
        <w:t>成本的确定、按照权益性交易处理时调整权益的金额及其计算：</w:t>
      </w:r>
    </w:p>
    <w:p>
      <w:pPr>
        <w:pStyle w:val="Heading3"/>
        <w:spacing w:line="240" w:lineRule="auto" w:before="176"/>
        <w:ind w:right="11"/>
        <w:jc w:val="left"/>
      </w:pPr>
      <w:r>
        <w:rPr>
          <w:rFonts w:ascii="Times New Roman" w:hAnsi="Times New Roman" w:cs="Times New Roman" w:eastAsia="Times New Roman" w:hint="default"/>
        </w:rPr>
        <w:t>4</w:t>
      </w:r>
      <w:r>
        <w:rPr/>
        <w:t>、处置子公司</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是否存在单次处置对子公司投资即丧失控制权的情形</w:t>
      </w:r>
    </w:p>
    <w:p>
      <w:pPr>
        <w:spacing w:line="240" w:lineRule="auto" w:before="6"/>
        <w:rPr>
          <w:rFonts w:ascii="宋体" w:hAnsi="宋体" w:cs="宋体" w:eastAsia="宋体" w:hint="default"/>
          <w:sz w:val="22"/>
          <w:szCs w:val="22"/>
        </w:rPr>
      </w:pPr>
    </w:p>
    <w:p>
      <w:pPr>
        <w:pStyle w:val="BodyText"/>
        <w:spacing w:line="470" w:lineRule="auto"/>
        <w:ind w:left="573" w:right="83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r>
        <w:rPr>
          <w:w w:val="100"/>
        </w:rPr>
        <w:t> </w:t>
      </w:r>
      <w:r>
        <w:rPr/>
        <w:t>单位：</w:t>
      </w:r>
      <w:r>
        <w:rPr>
          <w:spacing w:val="2"/>
        </w:rPr>
        <w:t> </w:t>
      </w:r>
      <w:r>
        <w:rPr/>
        <w:t>元</w:t>
      </w:r>
    </w:p>
    <w:p>
      <w:pPr>
        <w:spacing w:after="0" w:line="470" w:lineRule="auto"/>
        <w:jc w:val="left"/>
        <w:sectPr>
          <w:pgSz w:w="11910" w:h="16840"/>
          <w:pgMar w:header="0" w:footer="1132" w:top="1280" w:bottom="1320" w:left="980" w:right="980"/>
        </w:sectPr>
      </w:pPr>
    </w:p>
    <w:p>
      <w:pPr>
        <w:spacing w:line="240" w:lineRule="auto" w:before="2"/>
        <w:rPr>
          <w:rFonts w:ascii="宋体" w:hAnsi="宋体" w:cs="宋体" w:eastAsia="宋体" w:hint="default"/>
          <w:sz w:val="11"/>
          <w:szCs w:val="11"/>
        </w:rPr>
      </w:pPr>
      <w:r>
        <w:rPr/>
        <w:pict>
          <v:group style="position:absolute;margin-left:93.744003pt;margin-top:269.569977pt;width:36.4pt;height:15.6pt;mso-position-horizontal-relative:page;mso-position-vertical-relative:page;z-index:-1195576" coordorigin="1875,5391" coordsize="728,312">
            <v:shape style="position:absolute;left:1875;top:5391;width:728;height:312" coordorigin="1875,5391" coordsize="728,312" path="m1875,5703l2602,5703,2602,5391,1875,5391,1875,570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942"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pacing w:val="46"/>
                <w:sz w:val="18"/>
                <w:szCs w:val="18"/>
              </w:rPr>
              <w:t>子公司</w:t>
            </w:r>
            <w:r>
              <w:rPr>
                <w:rFonts w:ascii="宋体" w:hAnsi="宋体" w:cs="宋体" w:eastAsia="宋体" w:hint="default"/>
                <w:spacing w:val="-21"/>
                <w:sz w:val="18"/>
                <w:szCs w:val="18"/>
              </w:rPr>
              <w:t> </w:t>
            </w: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24" w:right="-49"/>
              <w:jc w:val="left"/>
              <w:rPr>
                <w:rFonts w:ascii="宋体" w:hAnsi="宋体" w:cs="宋体" w:eastAsia="宋体" w:hint="default"/>
                <w:sz w:val="18"/>
                <w:szCs w:val="18"/>
              </w:rPr>
            </w:pPr>
            <w:r>
              <w:rPr>
                <w:rFonts w:ascii="宋体" w:hAnsi="宋体" w:cs="宋体" w:eastAsia="宋体" w:hint="default"/>
                <w:spacing w:val="46"/>
                <w:sz w:val="18"/>
                <w:szCs w:val="18"/>
              </w:rPr>
              <w:t>股权处</w:t>
            </w:r>
            <w:r>
              <w:rPr>
                <w:rFonts w:ascii="宋体" w:hAnsi="宋体" w:cs="宋体" w:eastAsia="宋体" w:hint="default"/>
                <w:spacing w:val="-21"/>
                <w:sz w:val="18"/>
                <w:szCs w:val="18"/>
              </w:rPr>
              <w:t> </w:t>
            </w:r>
            <w:r>
              <w:rPr>
                <w:rFonts w:ascii="宋体" w:hAnsi="宋体" w:cs="宋体" w:eastAsia="宋体" w:hint="default"/>
                <w:sz w:val="18"/>
                <w:szCs w:val="18"/>
              </w:rPr>
              <w:t>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股权处</w:t>
            </w:r>
            <w:r>
              <w:rPr>
                <w:rFonts w:ascii="宋体" w:hAnsi="宋体" w:cs="宋体" w:eastAsia="宋体" w:hint="default"/>
                <w:spacing w:val="-21"/>
                <w:sz w:val="18"/>
                <w:szCs w:val="18"/>
              </w:rPr>
              <w:t> </w:t>
            </w:r>
            <w:r>
              <w:rPr>
                <w:rFonts w:ascii="宋体" w:hAnsi="宋体" w:cs="宋体" w:eastAsia="宋体" w:hint="default"/>
                <w:sz w:val="18"/>
                <w:szCs w:val="18"/>
              </w:rPr>
              <w:t>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pacing w:val="46"/>
                <w:sz w:val="18"/>
                <w:szCs w:val="18"/>
              </w:rPr>
              <w:t>股权处</w:t>
            </w:r>
            <w:r>
              <w:rPr>
                <w:rFonts w:ascii="宋体" w:hAnsi="宋体" w:cs="宋体" w:eastAsia="宋体" w:hint="default"/>
                <w:spacing w:val="-21"/>
                <w:sz w:val="18"/>
                <w:szCs w:val="18"/>
              </w:rPr>
              <w:t> </w:t>
            </w:r>
            <w:r>
              <w:rPr>
                <w:rFonts w:ascii="宋体" w:hAnsi="宋体" w:cs="宋体" w:eastAsia="宋体" w:hint="default"/>
                <w:sz w:val="18"/>
                <w:szCs w:val="18"/>
              </w:rPr>
              <w:t>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制权的</w:t>
            </w:r>
            <w:r>
              <w:rPr>
                <w:rFonts w:ascii="宋体" w:hAnsi="宋体" w:cs="宋体" w:eastAsia="宋体" w:hint="default"/>
                <w:spacing w:val="-21"/>
                <w:sz w:val="18"/>
                <w:szCs w:val="18"/>
              </w:rPr>
              <w:t> </w:t>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4" w:right="-49"/>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制权时</w:t>
            </w:r>
            <w:r>
              <w:rPr>
                <w:rFonts w:ascii="宋体" w:hAnsi="宋体" w:cs="宋体" w:eastAsia="宋体" w:hint="default"/>
                <w:spacing w:val="-21"/>
                <w:sz w:val="18"/>
                <w:szCs w:val="18"/>
              </w:rPr>
              <w:t> </w:t>
            </w:r>
            <w:r>
              <w:rPr>
                <w:rFonts w:ascii="宋体" w:hAnsi="宋体" w:cs="宋体" w:eastAsia="宋体" w:hint="default"/>
                <w:spacing w:val="46"/>
                <w:sz w:val="18"/>
                <w:szCs w:val="18"/>
              </w:rPr>
              <w:t>点的确</w:t>
            </w:r>
            <w:r>
              <w:rPr>
                <w:rFonts w:ascii="宋体" w:hAnsi="宋体" w:cs="宋体" w:eastAsia="宋体" w:hint="default"/>
                <w:spacing w:val="-21"/>
                <w:sz w:val="18"/>
                <w:szCs w:val="18"/>
              </w:rPr>
              <w:t> </w:t>
            </w:r>
            <w:r>
              <w:rPr>
                <w:rFonts w:ascii="宋体" w:hAnsi="宋体" w:cs="宋体" w:eastAsia="宋体" w:hint="default"/>
                <w:sz w:val="18"/>
                <w:szCs w:val="18"/>
              </w:rPr>
              <w:t>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23" w:right="-48"/>
              <w:jc w:val="both"/>
              <w:rPr>
                <w:rFonts w:ascii="宋体" w:hAnsi="宋体" w:cs="宋体" w:eastAsia="宋体" w:hint="default"/>
                <w:sz w:val="18"/>
                <w:szCs w:val="18"/>
              </w:rPr>
            </w:pPr>
            <w:r>
              <w:rPr>
                <w:rFonts w:ascii="宋体" w:hAnsi="宋体" w:cs="宋体" w:eastAsia="宋体" w:hint="default"/>
                <w:spacing w:val="46"/>
                <w:sz w:val="18"/>
                <w:szCs w:val="18"/>
              </w:rPr>
              <w:t>处置价</w:t>
            </w:r>
            <w:r>
              <w:rPr>
                <w:rFonts w:ascii="宋体" w:hAnsi="宋体" w:cs="宋体" w:eastAsia="宋体" w:hint="default"/>
                <w:spacing w:val="-21"/>
                <w:sz w:val="18"/>
                <w:szCs w:val="18"/>
              </w:rPr>
              <w:t> </w:t>
            </w:r>
            <w:r>
              <w:rPr>
                <w:rFonts w:ascii="宋体" w:hAnsi="宋体" w:cs="宋体" w:eastAsia="宋体" w:hint="default"/>
                <w:spacing w:val="46"/>
                <w:sz w:val="18"/>
                <w:szCs w:val="18"/>
              </w:rPr>
              <w:t>款与处</w:t>
            </w:r>
            <w:r>
              <w:rPr>
                <w:rFonts w:ascii="宋体" w:hAnsi="宋体" w:cs="宋体" w:eastAsia="宋体" w:hint="default"/>
                <w:spacing w:val="-21"/>
                <w:sz w:val="18"/>
                <w:szCs w:val="18"/>
              </w:rPr>
              <w:t> </w:t>
            </w:r>
            <w:r>
              <w:rPr>
                <w:rFonts w:ascii="宋体" w:hAnsi="宋体" w:cs="宋体" w:eastAsia="宋体" w:hint="default"/>
                <w:spacing w:val="46"/>
                <w:sz w:val="18"/>
                <w:szCs w:val="18"/>
              </w:rPr>
              <w:t>置投资</w:t>
            </w:r>
            <w:r>
              <w:rPr>
                <w:rFonts w:ascii="宋体" w:hAnsi="宋体" w:cs="宋体" w:eastAsia="宋体" w:hint="default"/>
                <w:spacing w:val="-21"/>
                <w:sz w:val="18"/>
                <w:szCs w:val="18"/>
              </w:rPr>
              <w:t> </w:t>
            </w:r>
            <w:r>
              <w:rPr>
                <w:rFonts w:ascii="宋体" w:hAnsi="宋体" w:cs="宋体" w:eastAsia="宋体" w:hint="default"/>
                <w:spacing w:val="46"/>
                <w:sz w:val="18"/>
                <w:szCs w:val="18"/>
              </w:rPr>
              <w:t>对应的</w:t>
            </w:r>
            <w:r>
              <w:rPr>
                <w:rFonts w:ascii="宋体" w:hAnsi="宋体" w:cs="宋体" w:eastAsia="宋体" w:hint="default"/>
                <w:spacing w:val="-21"/>
                <w:sz w:val="18"/>
                <w:szCs w:val="18"/>
              </w:rPr>
              <w:t> </w:t>
            </w:r>
            <w:r>
              <w:rPr>
                <w:rFonts w:ascii="宋体" w:hAnsi="宋体" w:cs="宋体" w:eastAsia="宋体" w:hint="default"/>
                <w:spacing w:val="46"/>
                <w:sz w:val="18"/>
                <w:szCs w:val="18"/>
              </w:rPr>
              <w:t>合并财</w:t>
            </w:r>
            <w:r>
              <w:rPr>
                <w:rFonts w:ascii="宋体" w:hAnsi="宋体" w:cs="宋体" w:eastAsia="宋体" w:hint="default"/>
                <w:spacing w:val="-21"/>
                <w:sz w:val="18"/>
                <w:szCs w:val="18"/>
              </w:rPr>
              <w:t> </w:t>
            </w:r>
            <w:r>
              <w:rPr>
                <w:rFonts w:ascii="宋体" w:hAnsi="宋体" w:cs="宋体" w:eastAsia="宋体" w:hint="default"/>
                <w:spacing w:val="46"/>
                <w:sz w:val="18"/>
                <w:szCs w:val="18"/>
              </w:rPr>
              <w:t>务报表</w:t>
            </w:r>
            <w:r>
              <w:rPr>
                <w:rFonts w:ascii="宋体" w:hAnsi="宋体" w:cs="宋体" w:eastAsia="宋体" w:hint="default"/>
                <w:spacing w:val="-21"/>
                <w:sz w:val="18"/>
                <w:szCs w:val="18"/>
              </w:rPr>
              <w:t> </w:t>
            </w:r>
            <w:r>
              <w:rPr>
                <w:rFonts w:ascii="宋体" w:hAnsi="宋体" w:cs="宋体" w:eastAsia="宋体" w:hint="default"/>
                <w:spacing w:val="46"/>
                <w:sz w:val="18"/>
                <w:szCs w:val="18"/>
              </w:rPr>
              <w:t>层面享</w:t>
            </w:r>
            <w:r>
              <w:rPr>
                <w:rFonts w:ascii="宋体" w:hAnsi="宋体" w:cs="宋体" w:eastAsia="宋体" w:hint="default"/>
                <w:spacing w:val="-21"/>
                <w:sz w:val="18"/>
                <w:szCs w:val="18"/>
              </w:rPr>
              <w:t> </w:t>
            </w:r>
            <w:r>
              <w:rPr>
                <w:rFonts w:ascii="宋体" w:hAnsi="宋体" w:cs="宋体" w:eastAsia="宋体" w:hint="default"/>
                <w:spacing w:val="46"/>
                <w:sz w:val="18"/>
                <w:szCs w:val="18"/>
              </w:rPr>
              <w:t>有该子</w:t>
            </w:r>
            <w:r>
              <w:rPr>
                <w:rFonts w:ascii="宋体" w:hAnsi="宋体" w:cs="宋体" w:eastAsia="宋体" w:hint="default"/>
                <w:spacing w:val="-21"/>
                <w:sz w:val="18"/>
                <w:szCs w:val="18"/>
              </w:rPr>
              <w:t> </w:t>
            </w:r>
            <w:r>
              <w:rPr>
                <w:rFonts w:ascii="宋体" w:hAnsi="宋体" w:cs="宋体" w:eastAsia="宋体" w:hint="default"/>
                <w:spacing w:val="46"/>
                <w:sz w:val="18"/>
                <w:szCs w:val="18"/>
              </w:rPr>
              <w:t>公司净</w:t>
            </w:r>
            <w:r>
              <w:rPr>
                <w:rFonts w:ascii="宋体" w:hAnsi="宋体" w:cs="宋体" w:eastAsia="宋体" w:hint="default"/>
                <w:spacing w:val="-21"/>
                <w:sz w:val="18"/>
                <w:szCs w:val="18"/>
              </w:rPr>
              <w:t> </w:t>
            </w:r>
            <w:r>
              <w:rPr>
                <w:rFonts w:ascii="宋体" w:hAnsi="宋体" w:cs="宋体" w:eastAsia="宋体" w:hint="default"/>
                <w:spacing w:val="46"/>
                <w:sz w:val="18"/>
                <w:szCs w:val="18"/>
              </w:rPr>
              <w:t>资产份</w:t>
            </w:r>
            <w:r>
              <w:rPr>
                <w:rFonts w:ascii="宋体" w:hAnsi="宋体" w:cs="宋体" w:eastAsia="宋体" w:hint="default"/>
                <w:spacing w:val="-21"/>
                <w:sz w:val="18"/>
                <w:szCs w:val="18"/>
              </w:rPr>
              <w:t> </w:t>
            </w:r>
            <w:r>
              <w:rPr>
                <w:rFonts w:ascii="宋体" w:hAnsi="宋体" w:cs="宋体" w:eastAsia="宋体" w:hint="default"/>
                <w:spacing w:val="46"/>
                <w:sz w:val="18"/>
                <w:szCs w:val="18"/>
              </w:rPr>
              <w:t>额的差</w:t>
            </w:r>
            <w:r>
              <w:rPr>
                <w:rFonts w:ascii="宋体" w:hAnsi="宋体" w:cs="宋体" w:eastAsia="宋体" w:hint="default"/>
                <w:spacing w:val="-2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 w:right="-49"/>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制权之</w:t>
            </w:r>
            <w:r>
              <w:rPr>
                <w:rFonts w:ascii="宋体" w:hAnsi="宋体" w:cs="宋体" w:eastAsia="宋体" w:hint="default"/>
                <w:spacing w:val="-21"/>
                <w:sz w:val="18"/>
                <w:szCs w:val="18"/>
              </w:rPr>
              <w:t> </w:t>
            </w:r>
            <w:r>
              <w:rPr>
                <w:rFonts w:ascii="宋体" w:hAnsi="宋体" w:cs="宋体" w:eastAsia="宋体" w:hint="default"/>
                <w:spacing w:val="46"/>
                <w:sz w:val="18"/>
                <w:szCs w:val="18"/>
              </w:rPr>
              <w:t>日剩余</w:t>
            </w:r>
            <w:r>
              <w:rPr>
                <w:rFonts w:ascii="宋体" w:hAnsi="宋体" w:cs="宋体" w:eastAsia="宋体" w:hint="default"/>
                <w:spacing w:val="-21"/>
                <w:sz w:val="18"/>
                <w:szCs w:val="18"/>
              </w:rPr>
              <w:t> </w:t>
            </w:r>
            <w:r>
              <w:rPr>
                <w:rFonts w:ascii="宋体" w:hAnsi="宋体" w:cs="宋体" w:eastAsia="宋体" w:hint="default"/>
                <w:spacing w:val="46"/>
                <w:sz w:val="18"/>
                <w:szCs w:val="18"/>
              </w:rPr>
              <w:t>股权的</w:t>
            </w:r>
            <w:r>
              <w:rPr>
                <w:rFonts w:ascii="宋体" w:hAnsi="宋体" w:cs="宋体" w:eastAsia="宋体" w:hint="default"/>
                <w:spacing w:val="-21"/>
                <w:sz w:val="18"/>
                <w:szCs w:val="18"/>
              </w:rPr>
              <w:t> </w:t>
            </w: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制权之</w:t>
            </w:r>
            <w:r>
              <w:rPr>
                <w:rFonts w:ascii="宋体" w:hAnsi="宋体" w:cs="宋体" w:eastAsia="宋体" w:hint="default"/>
                <w:spacing w:val="-21"/>
                <w:sz w:val="18"/>
                <w:szCs w:val="18"/>
              </w:rPr>
              <w:t> </w:t>
            </w:r>
            <w:r>
              <w:rPr>
                <w:rFonts w:ascii="宋体" w:hAnsi="宋体" w:cs="宋体" w:eastAsia="宋体" w:hint="default"/>
                <w:spacing w:val="46"/>
                <w:sz w:val="18"/>
                <w:szCs w:val="18"/>
              </w:rPr>
              <w:t>日剩余</w:t>
            </w:r>
            <w:r>
              <w:rPr>
                <w:rFonts w:ascii="宋体" w:hAnsi="宋体" w:cs="宋体" w:eastAsia="宋体" w:hint="default"/>
                <w:spacing w:val="-21"/>
                <w:sz w:val="18"/>
                <w:szCs w:val="18"/>
              </w:rPr>
              <w:t> </w:t>
            </w:r>
            <w:r>
              <w:rPr>
                <w:rFonts w:ascii="宋体" w:hAnsi="宋体" w:cs="宋体" w:eastAsia="宋体" w:hint="default"/>
                <w:spacing w:val="46"/>
                <w:sz w:val="18"/>
                <w:szCs w:val="18"/>
              </w:rPr>
              <w:t>股权的</w:t>
            </w:r>
            <w:r>
              <w:rPr>
                <w:rFonts w:ascii="宋体" w:hAnsi="宋体" w:cs="宋体" w:eastAsia="宋体" w:hint="default"/>
                <w:spacing w:val="-21"/>
                <w:sz w:val="18"/>
                <w:szCs w:val="18"/>
              </w:rPr>
              <w:t> </w:t>
            </w:r>
            <w:r>
              <w:rPr>
                <w:rFonts w:ascii="宋体" w:hAnsi="宋体" w:cs="宋体" w:eastAsia="宋体" w:hint="default"/>
                <w:spacing w:val="46"/>
                <w:sz w:val="18"/>
                <w:szCs w:val="18"/>
              </w:rPr>
              <w:t>账面价</w:t>
            </w:r>
            <w:r>
              <w:rPr>
                <w:rFonts w:ascii="宋体" w:hAnsi="宋体" w:cs="宋体" w:eastAsia="宋体" w:hint="default"/>
                <w:spacing w:val="-21"/>
                <w:sz w:val="18"/>
                <w:szCs w:val="18"/>
              </w:rPr>
              <w:t> </w:t>
            </w:r>
            <w:r>
              <w:rPr>
                <w:rFonts w:ascii="宋体" w:hAnsi="宋体" w:cs="宋体" w:eastAsia="宋体" w:hint="default"/>
                <w:sz w:val="18"/>
                <w:szCs w:val="18"/>
              </w:rPr>
              <w:t>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制权之</w:t>
            </w:r>
            <w:r>
              <w:rPr>
                <w:rFonts w:ascii="宋体" w:hAnsi="宋体" w:cs="宋体" w:eastAsia="宋体" w:hint="default"/>
                <w:spacing w:val="-21"/>
                <w:sz w:val="18"/>
                <w:szCs w:val="18"/>
              </w:rPr>
              <w:t> </w:t>
            </w:r>
            <w:r>
              <w:rPr>
                <w:rFonts w:ascii="宋体" w:hAnsi="宋体" w:cs="宋体" w:eastAsia="宋体" w:hint="default"/>
                <w:spacing w:val="46"/>
                <w:sz w:val="18"/>
                <w:szCs w:val="18"/>
              </w:rPr>
              <w:t>日剩余</w:t>
            </w:r>
            <w:r>
              <w:rPr>
                <w:rFonts w:ascii="宋体" w:hAnsi="宋体" w:cs="宋体" w:eastAsia="宋体" w:hint="default"/>
                <w:spacing w:val="-21"/>
                <w:sz w:val="18"/>
                <w:szCs w:val="18"/>
              </w:rPr>
              <w:t> </w:t>
            </w:r>
            <w:r>
              <w:rPr>
                <w:rFonts w:ascii="宋体" w:hAnsi="宋体" w:cs="宋体" w:eastAsia="宋体" w:hint="default"/>
                <w:spacing w:val="46"/>
                <w:sz w:val="18"/>
                <w:szCs w:val="18"/>
              </w:rPr>
              <w:t>股权的</w:t>
            </w:r>
            <w:r>
              <w:rPr>
                <w:rFonts w:ascii="宋体" w:hAnsi="宋体" w:cs="宋体" w:eastAsia="宋体" w:hint="default"/>
                <w:spacing w:val="-21"/>
                <w:sz w:val="18"/>
                <w:szCs w:val="18"/>
              </w:rPr>
              <w:t> </w:t>
            </w:r>
            <w:r>
              <w:rPr>
                <w:rFonts w:ascii="宋体" w:hAnsi="宋体" w:cs="宋体" w:eastAsia="宋体" w:hint="default"/>
                <w:spacing w:val="46"/>
                <w:sz w:val="18"/>
                <w:szCs w:val="18"/>
              </w:rPr>
              <w:t>公允价</w:t>
            </w:r>
            <w:r>
              <w:rPr>
                <w:rFonts w:ascii="宋体" w:hAnsi="宋体" w:cs="宋体" w:eastAsia="宋体" w:hint="default"/>
                <w:spacing w:val="-21"/>
                <w:sz w:val="18"/>
                <w:szCs w:val="18"/>
              </w:rPr>
              <w:t> </w:t>
            </w:r>
            <w:r>
              <w:rPr>
                <w:rFonts w:ascii="宋体" w:hAnsi="宋体" w:cs="宋体" w:eastAsia="宋体" w:hint="default"/>
                <w:sz w:val="18"/>
                <w:szCs w:val="18"/>
              </w:rPr>
              <w:t>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按照公</w:t>
            </w:r>
            <w:r>
              <w:rPr>
                <w:rFonts w:ascii="宋体" w:hAnsi="宋体" w:cs="宋体" w:eastAsia="宋体" w:hint="default"/>
                <w:spacing w:val="-21"/>
                <w:sz w:val="18"/>
                <w:szCs w:val="18"/>
              </w:rPr>
              <w:t> </w:t>
            </w:r>
            <w:r>
              <w:rPr>
                <w:rFonts w:ascii="宋体" w:hAnsi="宋体" w:cs="宋体" w:eastAsia="宋体" w:hint="default"/>
                <w:spacing w:val="46"/>
                <w:sz w:val="18"/>
                <w:szCs w:val="18"/>
              </w:rPr>
              <w:t>允价值</w:t>
            </w:r>
            <w:r>
              <w:rPr>
                <w:rFonts w:ascii="宋体" w:hAnsi="宋体" w:cs="宋体" w:eastAsia="宋体" w:hint="default"/>
                <w:spacing w:val="-21"/>
                <w:sz w:val="18"/>
                <w:szCs w:val="18"/>
              </w:rPr>
              <w:t> </w:t>
            </w:r>
            <w:r>
              <w:rPr>
                <w:rFonts w:ascii="宋体" w:hAnsi="宋体" w:cs="宋体" w:eastAsia="宋体" w:hint="default"/>
                <w:spacing w:val="46"/>
                <w:sz w:val="18"/>
                <w:szCs w:val="18"/>
              </w:rPr>
              <w:t>重新计</w:t>
            </w:r>
            <w:r>
              <w:rPr>
                <w:rFonts w:ascii="宋体" w:hAnsi="宋体" w:cs="宋体" w:eastAsia="宋体" w:hint="default"/>
                <w:spacing w:val="-21"/>
                <w:sz w:val="18"/>
                <w:szCs w:val="18"/>
              </w:rPr>
              <w:t> </w:t>
            </w:r>
            <w:r>
              <w:rPr>
                <w:rFonts w:ascii="宋体" w:hAnsi="宋体" w:cs="宋体" w:eastAsia="宋体" w:hint="default"/>
                <w:spacing w:val="46"/>
                <w:sz w:val="18"/>
                <w:szCs w:val="18"/>
              </w:rPr>
              <w:t>量剩余</w:t>
            </w:r>
            <w:r>
              <w:rPr>
                <w:rFonts w:ascii="宋体" w:hAnsi="宋体" w:cs="宋体" w:eastAsia="宋体" w:hint="default"/>
                <w:spacing w:val="-21"/>
                <w:sz w:val="18"/>
                <w:szCs w:val="18"/>
              </w:rPr>
              <w:t> </w:t>
            </w:r>
            <w:r>
              <w:rPr>
                <w:rFonts w:ascii="宋体" w:hAnsi="宋体" w:cs="宋体" w:eastAsia="宋体" w:hint="default"/>
                <w:spacing w:val="46"/>
                <w:sz w:val="18"/>
                <w:szCs w:val="18"/>
              </w:rPr>
              <w:t>股权产</w:t>
            </w:r>
            <w:r>
              <w:rPr>
                <w:rFonts w:ascii="宋体" w:hAnsi="宋体" w:cs="宋体" w:eastAsia="宋体" w:hint="default"/>
                <w:spacing w:val="-21"/>
                <w:sz w:val="18"/>
                <w:szCs w:val="18"/>
              </w:rPr>
              <w:t> </w:t>
            </w:r>
            <w:r>
              <w:rPr>
                <w:rFonts w:ascii="宋体" w:hAnsi="宋体" w:cs="宋体" w:eastAsia="宋体" w:hint="default"/>
                <w:spacing w:val="46"/>
                <w:sz w:val="18"/>
                <w:szCs w:val="18"/>
              </w:rPr>
              <w:t>生的利</w:t>
            </w:r>
            <w:r>
              <w:rPr>
                <w:rFonts w:ascii="宋体" w:hAnsi="宋体" w:cs="宋体" w:eastAsia="宋体" w:hint="default"/>
                <w:spacing w:val="-21"/>
                <w:sz w:val="18"/>
                <w:szCs w:val="18"/>
              </w:rPr>
              <w:t> </w:t>
            </w:r>
            <w:r>
              <w:rPr>
                <w:rFonts w:ascii="宋体" w:hAnsi="宋体" w:cs="宋体" w:eastAsia="宋体" w:hint="default"/>
                <w:spacing w:val="46"/>
                <w:sz w:val="18"/>
                <w:szCs w:val="18"/>
              </w:rPr>
              <w:t>得或损</w:t>
            </w:r>
            <w:r>
              <w:rPr>
                <w:rFonts w:ascii="宋体" w:hAnsi="宋体" w:cs="宋体" w:eastAsia="宋体" w:hint="default"/>
                <w:spacing w:val="-21"/>
                <w:sz w:val="18"/>
                <w:szCs w:val="18"/>
              </w:rPr>
              <w:t> </w:t>
            </w:r>
            <w:r>
              <w:rPr>
                <w:rFonts w:ascii="宋体" w:hAnsi="宋体" w:cs="宋体" w:eastAsia="宋体" w:hint="default"/>
                <w:sz w:val="18"/>
                <w:szCs w:val="18"/>
              </w:rPr>
              <w:t>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4" w:right="-49"/>
              <w:jc w:val="both"/>
              <w:rPr>
                <w:rFonts w:ascii="宋体" w:hAnsi="宋体" w:cs="宋体" w:eastAsia="宋体" w:hint="default"/>
                <w:sz w:val="18"/>
                <w:szCs w:val="18"/>
              </w:rPr>
            </w:pPr>
            <w:r>
              <w:rPr>
                <w:rFonts w:ascii="宋体" w:hAnsi="宋体" w:cs="宋体" w:eastAsia="宋体" w:hint="default"/>
                <w:spacing w:val="46"/>
                <w:sz w:val="18"/>
                <w:szCs w:val="18"/>
              </w:rPr>
              <w:t>丧失控</w:t>
            </w:r>
            <w:r>
              <w:rPr>
                <w:rFonts w:ascii="宋体" w:hAnsi="宋体" w:cs="宋体" w:eastAsia="宋体" w:hint="default"/>
                <w:spacing w:val="-21"/>
                <w:sz w:val="18"/>
                <w:szCs w:val="18"/>
              </w:rPr>
              <w:t> </w:t>
            </w:r>
            <w:r>
              <w:rPr>
                <w:rFonts w:ascii="宋体" w:hAnsi="宋体" w:cs="宋体" w:eastAsia="宋体" w:hint="default"/>
                <w:spacing w:val="46"/>
                <w:sz w:val="18"/>
                <w:szCs w:val="18"/>
              </w:rPr>
              <w:t>制权之</w:t>
            </w:r>
            <w:r>
              <w:rPr>
                <w:rFonts w:ascii="宋体" w:hAnsi="宋体" w:cs="宋体" w:eastAsia="宋体" w:hint="default"/>
                <w:spacing w:val="-21"/>
                <w:sz w:val="18"/>
                <w:szCs w:val="18"/>
              </w:rPr>
              <w:t> </w:t>
            </w:r>
            <w:r>
              <w:rPr>
                <w:rFonts w:ascii="宋体" w:hAnsi="宋体" w:cs="宋体" w:eastAsia="宋体" w:hint="default"/>
                <w:spacing w:val="46"/>
                <w:sz w:val="18"/>
                <w:szCs w:val="18"/>
              </w:rPr>
              <w:t>日剩余</w:t>
            </w:r>
            <w:r>
              <w:rPr>
                <w:rFonts w:ascii="宋体" w:hAnsi="宋体" w:cs="宋体" w:eastAsia="宋体" w:hint="default"/>
                <w:spacing w:val="-21"/>
                <w:sz w:val="18"/>
                <w:szCs w:val="18"/>
              </w:rPr>
              <w:t> </w:t>
            </w:r>
            <w:r>
              <w:rPr>
                <w:rFonts w:ascii="宋体" w:hAnsi="宋体" w:cs="宋体" w:eastAsia="宋体" w:hint="default"/>
                <w:spacing w:val="46"/>
                <w:sz w:val="18"/>
                <w:szCs w:val="18"/>
              </w:rPr>
              <w:t>股权公</w:t>
            </w:r>
            <w:r>
              <w:rPr>
                <w:rFonts w:ascii="宋体" w:hAnsi="宋体" w:cs="宋体" w:eastAsia="宋体" w:hint="default"/>
                <w:spacing w:val="-21"/>
                <w:sz w:val="18"/>
                <w:szCs w:val="18"/>
              </w:rPr>
              <w:t> </w:t>
            </w:r>
            <w:r>
              <w:rPr>
                <w:rFonts w:ascii="宋体" w:hAnsi="宋体" w:cs="宋体" w:eastAsia="宋体" w:hint="default"/>
                <w:spacing w:val="46"/>
                <w:sz w:val="18"/>
                <w:szCs w:val="18"/>
              </w:rPr>
              <w:t>允价值</w:t>
            </w:r>
            <w:r>
              <w:rPr>
                <w:rFonts w:ascii="宋体" w:hAnsi="宋体" w:cs="宋体" w:eastAsia="宋体" w:hint="default"/>
                <w:spacing w:val="-21"/>
                <w:sz w:val="18"/>
                <w:szCs w:val="18"/>
              </w:rPr>
              <w:t> </w:t>
            </w:r>
            <w:r>
              <w:rPr>
                <w:rFonts w:ascii="宋体" w:hAnsi="宋体" w:cs="宋体" w:eastAsia="宋体" w:hint="default"/>
                <w:spacing w:val="46"/>
                <w:sz w:val="18"/>
                <w:szCs w:val="18"/>
              </w:rPr>
              <w:t>的确定</w:t>
            </w:r>
            <w:r>
              <w:rPr>
                <w:rFonts w:ascii="宋体" w:hAnsi="宋体" w:cs="宋体" w:eastAsia="宋体" w:hint="default"/>
                <w:spacing w:val="-21"/>
                <w:sz w:val="18"/>
                <w:szCs w:val="18"/>
              </w:rPr>
              <w:t> </w:t>
            </w:r>
            <w:r>
              <w:rPr>
                <w:rFonts w:ascii="宋体" w:hAnsi="宋体" w:cs="宋体" w:eastAsia="宋体" w:hint="default"/>
                <w:spacing w:val="46"/>
                <w:sz w:val="18"/>
                <w:szCs w:val="18"/>
              </w:rPr>
              <w:t>方法及</w:t>
            </w:r>
            <w:r>
              <w:rPr>
                <w:rFonts w:ascii="宋体" w:hAnsi="宋体" w:cs="宋体" w:eastAsia="宋体" w:hint="default"/>
                <w:spacing w:val="-21"/>
                <w:sz w:val="18"/>
                <w:szCs w:val="18"/>
              </w:rPr>
              <w:t> </w:t>
            </w:r>
            <w:r>
              <w:rPr>
                <w:rFonts w:ascii="宋体" w:hAnsi="宋体" w:cs="宋体" w:eastAsia="宋体" w:hint="default"/>
                <w:spacing w:val="46"/>
                <w:sz w:val="18"/>
                <w:szCs w:val="18"/>
              </w:rPr>
              <w:t>主要假</w:t>
            </w:r>
            <w:r>
              <w:rPr>
                <w:rFonts w:ascii="宋体" w:hAnsi="宋体" w:cs="宋体" w:eastAsia="宋体" w:hint="default"/>
                <w:spacing w:val="-21"/>
                <w:sz w:val="18"/>
                <w:szCs w:val="18"/>
              </w:rPr>
              <w:t> </w:t>
            </w:r>
            <w:r>
              <w:rPr>
                <w:rFonts w:ascii="宋体" w:hAnsi="宋体" w:cs="宋体" w:eastAsia="宋体" w:hint="default"/>
                <w:sz w:val="18"/>
                <w:szCs w:val="18"/>
              </w:rPr>
              <w:t>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4" w:right="-46"/>
              <w:jc w:val="both"/>
              <w:rPr>
                <w:rFonts w:ascii="宋体" w:hAnsi="宋体" w:cs="宋体" w:eastAsia="宋体" w:hint="default"/>
                <w:sz w:val="18"/>
                <w:szCs w:val="18"/>
              </w:rPr>
            </w:pPr>
            <w:r>
              <w:rPr>
                <w:rFonts w:ascii="宋体" w:hAnsi="宋体" w:cs="宋体" w:eastAsia="宋体" w:hint="default"/>
                <w:spacing w:val="46"/>
                <w:sz w:val="18"/>
                <w:szCs w:val="18"/>
              </w:rPr>
              <w:t>与原子</w:t>
            </w:r>
            <w:r>
              <w:rPr>
                <w:rFonts w:ascii="宋体" w:hAnsi="宋体" w:cs="宋体" w:eastAsia="宋体" w:hint="default"/>
                <w:spacing w:val="-21"/>
                <w:sz w:val="18"/>
                <w:szCs w:val="18"/>
              </w:rPr>
              <w:t> </w:t>
            </w:r>
            <w:r>
              <w:rPr>
                <w:rFonts w:ascii="宋体" w:hAnsi="宋体" w:cs="宋体" w:eastAsia="宋体" w:hint="default"/>
                <w:spacing w:val="46"/>
                <w:sz w:val="18"/>
                <w:szCs w:val="18"/>
              </w:rPr>
              <w:t>公司股</w:t>
            </w:r>
            <w:r>
              <w:rPr>
                <w:rFonts w:ascii="宋体" w:hAnsi="宋体" w:cs="宋体" w:eastAsia="宋体" w:hint="default"/>
                <w:spacing w:val="-21"/>
                <w:sz w:val="18"/>
                <w:szCs w:val="18"/>
              </w:rPr>
              <w:t> </w:t>
            </w:r>
            <w:r>
              <w:rPr>
                <w:rFonts w:ascii="宋体" w:hAnsi="宋体" w:cs="宋体" w:eastAsia="宋体" w:hint="default"/>
                <w:spacing w:val="46"/>
                <w:sz w:val="18"/>
                <w:szCs w:val="18"/>
              </w:rPr>
              <w:t>权投资</w:t>
            </w:r>
            <w:r>
              <w:rPr>
                <w:rFonts w:ascii="宋体" w:hAnsi="宋体" w:cs="宋体" w:eastAsia="宋体" w:hint="default"/>
                <w:spacing w:val="-21"/>
                <w:sz w:val="18"/>
                <w:szCs w:val="18"/>
              </w:rPr>
              <w:t> </w:t>
            </w:r>
            <w:r>
              <w:rPr>
                <w:rFonts w:ascii="宋体" w:hAnsi="宋体" w:cs="宋体" w:eastAsia="宋体" w:hint="default"/>
                <w:spacing w:val="46"/>
                <w:sz w:val="18"/>
                <w:szCs w:val="18"/>
              </w:rPr>
              <w:t>相关的</w:t>
            </w:r>
            <w:r>
              <w:rPr>
                <w:rFonts w:ascii="宋体" w:hAnsi="宋体" w:cs="宋体" w:eastAsia="宋体" w:hint="default"/>
                <w:spacing w:val="-21"/>
                <w:sz w:val="18"/>
                <w:szCs w:val="18"/>
              </w:rPr>
              <w:t> </w:t>
            </w:r>
            <w:r>
              <w:rPr>
                <w:rFonts w:ascii="宋体" w:hAnsi="宋体" w:cs="宋体" w:eastAsia="宋体" w:hint="default"/>
                <w:spacing w:val="46"/>
                <w:sz w:val="18"/>
                <w:szCs w:val="18"/>
              </w:rPr>
              <w:t>其他综</w:t>
            </w:r>
            <w:r>
              <w:rPr>
                <w:rFonts w:ascii="宋体" w:hAnsi="宋体" w:cs="宋体" w:eastAsia="宋体" w:hint="default"/>
                <w:spacing w:val="-21"/>
                <w:sz w:val="18"/>
                <w:szCs w:val="18"/>
              </w:rPr>
              <w:t> </w:t>
            </w:r>
            <w:r>
              <w:rPr>
                <w:rFonts w:ascii="宋体" w:hAnsi="宋体" w:cs="宋体" w:eastAsia="宋体" w:hint="default"/>
                <w:spacing w:val="46"/>
                <w:sz w:val="18"/>
                <w:szCs w:val="18"/>
              </w:rPr>
              <w:t>合收益</w:t>
            </w:r>
            <w:r>
              <w:rPr>
                <w:rFonts w:ascii="宋体" w:hAnsi="宋体" w:cs="宋体" w:eastAsia="宋体" w:hint="default"/>
                <w:spacing w:val="-21"/>
                <w:sz w:val="18"/>
                <w:szCs w:val="18"/>
              </w:rPr>
              <w:t> </w:t>
            </w:r>
            <w:r>
              <w:rPr>
                <w:rFonts w:ascii="宋体" w:hAnsi="宋体" w:cs="宋体" w:eastAsia="宋体" w:hint="default"/>
                <w:spacing w:val="46"/>
                <w:sz w:val="18"/>
                <w:szCs w:val="18"/>
              </w:rPr>
              <w:t>转入投</w:t>
            </w:r>
            <w:r>
              <w:rPr>
                <w:rFonts w:ascii="宋体" w:hAnsi="宋体" w:cs="宋体" w:eastAsia="宋体" w:hint="default"/>
                <w:spacing w:val="-21"/>
                <w:sz w:val="18"/>
                <w:szCs w:val="18"/>
              </w:rPr>
              <w:t> </w:t>
            </w:r>
            <w:r>
              <w:rPr>
                <w:rFonts w:ascii="宋体" w:hAnsi="宋体" w:cs="宋体" w:eastAsia="宋体" w:hint="default"/>
                <w:spacing w:val="46"/>
                <w:sz w:val="18"/>
                <w:szCs w:val="18"/>
              </w:rPr>
              <w:t>资损益</w:t>
            </w:r>
            <w:r>
              <w:rPr>
                <w:rFonts w:ascii="宋体" w:hAnsi="宋体" w:cs="宋体" w:eastAsia="宋体" w:hint="default"/>
                <w:spacing w:val="-21"/>
                <w:sz w:val="18"/>
                <w:szCs w:val="18"/>
              </w:rPr>
              <w:t> </w:t>
            </w:r>
            <w:r>
              <w:rPr>
                <w:rFonts w:ascii="宋体" w:hAnsi="宋体" w:cs="宋体" w:eastAsia="宋体" w:hint="default"/>
                <w:sz w:val="18"/>
                <w:szCs w:val="18"/>
              </w:rPr>
              <w:t>的金额</w:t>
            </w:r>
          </w:p>
        </w:tc>
      </w:tr>
      <w:tr>
        <w:trPr>
          <w:trHeight w:val="1442" w:hRule="exact"/>
        </w:trPr>
        <w:tc>
          <w:tcPr>
            <w:tcW w:w="73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1"/>
              <w:ind w:left="24" w:right="-58"/>
              <w:jc w:val="both"/>
              <w:rPr>
                <w:rFonts w:ascii="宋体" w:hAnsi="宋体" w:cs="宋体" w:eastAsia="宋体" w:hint="default"/>
                <w:sz w:val="18"/>
                <w:szCs w:val="18"/>
              </w:rPr>
            </w:pPr>
            <w:r>
              <w:rPr>
                <w:rFonts w:ascii="宋体" w:hAnsi="宋体" w:cs="宋体" w:eastAsia="宋体" w:hint="default"/>
                <w:spacing w:val="46"/>
                <w:sz w:val="18"/>
                <w:szCs w:val="18"/>
              </w:rPr>
              <w:t>沈阳旋</w:t>
            </w:r>
            <w:r>
              <w:rPr>
                <w:rFonts w:ascii="宋体" w:hAnsi="宋体" w:cs="宋体" w:eastAsia="宋体" w:hint="default"/>
                <w:spacing w:val="-21"/>
                <w:sz w:val="18"/>
                <w:szCs w:val="18"/>
              </w:rPr>
              <w:t> </w:t>
            </w:r>
            <w:r>
              <w:rPr>
                <w:rFonts w:ascii="宋体" w:hAnsi="宋体" w:cs="宋体" w:eastAsia="宋体" w:hint="default"/>
                <w:spacing w:val="46"/>
                <w:sz w:val="18"/>
                <w:szCs w:val="18"/>
              </w:rPr>
              <w:t>飞航空</w:t>
            </w:r>
            <w:r>
              <w:rPr>
                <w:rFonts w:ascii="宋体" w:hAnsi="宋体" w:cs="宋体" w:eastAsia="宋体" w:hint="default"/>
                <w:spacing w:val="-21"/>
                <w:sz w:val="18"/>
                <w:szCs w:val="18"/>
              </w:rPr>
              <w:t> </w:t>
            </w:r>
            <w:r>
              <w:rPr>
                <w:rFonts w:ascii="宋体" w:hAnsi="宋体" w:cs="宋体" w:eastAsia="宋体" w:hint="default"/>
                <w:spacing w:val="46"/>
                <w:sz w:val="18"/>
                <w:szCs w:val="18"/>
              </w:rPr>
              <w:t>技术有</w:t>
            </w:r>
            <w:r>
              <w:rPr>
                <w:rFonts w:ascii="宋体" w:hAnsi="宋体" w:cs="宋体" w:eastAsia="宋体" w:hint="default"/>
                <w:spacing w:val="-21"/>
                <w:sz w:val="18"/>
                <w:szCs w:val="18"/>
              </w:rPr>
              <w:t> </w:t>
            </w:r>
            <w:r>
              <w:rPr>
                <w:rFonts w:ascii="宋体" w:hAnsi="宋体" w:cs="宋体" w:eastAsia="宋体" w:hint="default"/>
                <w:sz w:val="18"/>
                <w:szCs w:val="18"/>
              </w:rPr>
              <w:t>限公司</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2"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62.50%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56"/>
              <w:jc w:val="both"/>
              <w:rPr>
                <w:rFonts w:ascii="宋体" w:hAnsi="宋体" w:cs="宋体" w:eastAsia="宋体" w:hint="default"/>
                <w:sz w:val="18"/>
                <w:szCs w:val="18"/>
              </w:rPr>
            </w:pPr>
            <w:r>
              <w:rPr>
                <w:rFonts w:ascii="宋体" w:hAnsi="宋体" w:cs="宋体" w:eastAsia="宋体" w:hint="default"/>
                <w:spacing w:val="46"/>
                <w:sz w:val="18"/>
                <w:szCs w:val="18"/>
              </w:rPr>
              <w:t>办理完</w:t>
            </w:r>
            <w:r>
              <w:rPr>
                <w:rFonts w:ascii="宋体" w:hAnsi="宋体" w:cs="宋体" w:eastAsia="宋体" w:hint="default"/>
                <w:spacing w:val="-21"/>
                <w:sz w:val="18"/>
                <w:szCs w:val="18"/>
              </w:rPr>
              <w:t> </w:t>
            </w:r>
            <w:r>
              <w:rPr>
                <w:rFonts w:ascii="宋体" w:hAnsi="宋体" w:cs="宋体" w:eastAsia="宋体" w:hint="default"/>
                <w:spacing w:val="46"/>
                <w:sz w:val="18"/>
                <w:szCs w:val="18"/>
              </w:rPr>
              <w:t>成工商</w:t>
            </w:r>
            <w:r>
              <w:rPr>
                <w:rFonts w:ascii="宋体" w:hAnsi="宋体" w:cs="宋体" w:eastAsia="宋体" w:hint="default"/>
                <w:spacing w:val="-21"/>
                <w:sz w:val="18"/>
                <w:szCs w:val="18"/>
              </w:rPr>
              <w:t> </w:t>
            </w:r>
            <w:r>
              <w:rPr>
                <w:rFonts w:ascii="宋体" w:hAnsi="宋体" w:cs="宋体" w:eastAsia="宋体" w:hint="default"/>
                <w:sz w:val="18"/>
                <w:szCs w:val="18"/>
              </w:rPr>
              <w:t>登记</w:t>
            </w:r>
          </w:p>
        </w:tc>
        <w:tc>
          <w:tcPr>
            <w:tcW w:w="73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2,161,11</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3.40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37.50%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757" w:hRule="exact"/>
        </w:trPr>
        <w:tc>
          <w:tcPr>
            <w:tcW w:w="73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101"/>
              <w:ind w:left="24" w:right="-58"/>
              <w:jc w:val="both"/>
              <w:rPr>
                <w:rFonts w:ascii="宋体" w:hAnsi="宋体" w:cs="宋体" w:eastAsia="宋体" w:hint="default"/>
                <w:sz w:val="18"/>
                <w:szCs w:val="18"/>
              </w:rPr>
            </w:pPr>
            <w:r>
              <w:rPr>
                <w:rFonts w:ascii="宋体" w:hAnsi="宋体" w:cs="宋体" w:eastAsia="宋体" w:hint="default"/>
                <w:spacing w:val="46"/>
                <w:sz w:val="18"/>
                <w:szCs w:val="18"/>
              </w:rPr>
              <w:t>北京泰</w:t>
            </w:r>
            <w:r>
              <w:rPr>
                <w:rFonts w:ascii="宋体" w:hAnsi="宋体" w:cs="宋体" w:eastAsia="宋体" w:hint="default"/>
                <w:spacing w:val="-21"/>
                <w:sz w:val="18"/>
                <w:szCs w:val="18"/>
              </w:rPr>
              <w:t> </w:t>
            </w:r>
            <w:r>
              <w:rPr>
                <w:rFonts w:ascii="宋体" w:hAnsi="宋体" w:cs="宋体" w:eastAsia="宋体" w:hint="default"/>
                <w:spacing w:val="46"/>
                <w:sz w:val="18"/>
                <w:szCs w:val="18"/>
              </w:rPr>
              <w:t>豪太阳</w:t>
            </w:r>
            <w:r>
              <w:rPr>
                <w:rFonts w:ascii="宋体" w:hAnsi="宋体" w:cs="宋体" w:eastAsia="宋体" w:hint="default"/>
                <w:spacing w:val="-21"/>
                <w:sz w:val="18"/>
                <w:szCs w:val="18"/>
              </w:rPr>
              <w:t> </w:t>
            </w:r>
            <w:r>
              <w:rPr>
                <w:rFonts w:ascii="宋体" w:hAnsi="宋体" w:cs="宋体" w:eastAsia="宋体" w:hint="default"/>
                <w:spacing w:val="46"/>
                <w:sz w:val="18"/>
                <w:szCs w:val="18"/>
              </w:rPr>
              <w:t>能科技</w:t>
            </w:r>
            <w:r>
              <w:rPr>
                <w:rFonts w:ascii="宋体" w:hAnsi="宋体" w:cs="宋体" w:eastAsia="宋体" w:hint="default"/>
                <w:spacing w:val="-21"/>
                <w:sz w:val="18"/>
                <w:szCs w:val="18"/>
              </w:rPr>
              <w:t> </w:t>
            </w:r>
            <w:r>
              <w:rPr>
                <w:rFonts w:ascii="宋体" w:hAnsi="宋体" w:cs="宋体" w:eastAsia="宋体" w:hint="default"/>
                <w:spacing w:val="46"/>
                <w:sz w:val="18"/>
                <w:szCs w:val="18"/>
              </w:rPr>
              <w:t>有限公</w:t>
            </w:r>
            <w:r>
              <w:rPr>
                <w:rFonts w:ascii="宋体" w:hAnsi="宋体" w:cs="宋体" w:eastAsia="宋体" w:hint="default"/>
                <w:spacing w:val="-21"/>
                <w:sz w:val="18"/>
                <w:szCs w:val="18"/>
              </w:rPr>
              <w:t> </w:t>
            </w:r>
            <w:r>
              <w:rPr>
                <w:rFonts w:ascii="宋体" w:hAnsi="宋体" w:cs="宋体" w:eastAsia="宋体" w:hint="default"/>
                <w:sz w:val="18"/>
                <w:szCs w:val="18"/>
              </w:rPr>
              <w:t>司</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2" w:right="0"/>
              <w:jc w:val="left"/>
              <w:rPr>
                <w:rFonts w:ascii="Times New Roman" w:hAnsi="Times New Roman" w:cs="Times New Roman" w:eastAsia="Times New Roman" w:hint="default"/>
                <w:sz w:val="18"/>
                <w:szCs w:val="18"/>
              </w:rPr>
            </w:pPr>
            <w:r>
              <w:rPr>
                <w:rFonts w:ascii="Times New Roman"/>
                <w:sz w:val="18"/>
              </w:rPr>
              <w:t>6,987,50</w:t>
            </w:r>
          </w:p>
          <w:p>
            <w:pPr>
              <w:pStyle w:val="TableParagraph"/>
              <w:spacing w:line="240" w:lineRule="auto" w:before="105"/>
              <w:ind w:left="12"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4" w:right="-56"/>
              <w:jc w:val="both"/>
              <w:rPr>
                <w:rFonts w:ascii="宋体" w:hAnsi="宋体" w:cs="宋体" w:eastAsia="宋体" w:hint="default"/>
                <w:sz w:val="18"/>
                <w:szCs w:val="18"/>
              </w:rPr>
            </w:pPr>
            <w:r>
              <w:rPr>
                <w:rFonts w:ascii="宋体" w:hAnsi="宋体" w:cs="宋体" w:eastAsia="宋体" w:hint="default"/>
                <w:spacing w:val="46"/>
                <w:sz w:val="18"/>
                <w:szCs w:val="18"/>
              </w:rPr>
              <w:t>办理完</w:t>
            </w:r>
            <w:r>
              <w:rPr>
                <w:rFonts w:ascii="宋体" w:hAnsi="宋体" w:cs="宋体" w:eastAsia="宋体" w:hint="default"/>
                <w:spacing w:val="-21"/>
                <w:sz w:val="18"/>
                <w:szCs w:val="18"/>
              </w:rPr>
              <w:t> </w:t>
            </w:r>
            <w:r>
              <w:rPr>
                <w:rFonts w:ascii="宋体" w:hAnsi="宋体" w:cs="宋体" w:eastAsia="宋体" w:hint="default"/>
                <w:spacing w:val="46"/>
                <w:sz w:val="18"/>
                <w:szCs w:val="18"/>
              </w:rPr>
              <w:t>成工商</w:t>
            </w:r>
            <w:r>
              <w:rPr>
                <w:rFonts w:ascii="宋体" w:hAnsi="宋体" w:cs="宋体" w:eastAsia="宋体" w:hint="default"/>
                <w:spacing w:val="-21"/>
                <w:sz w:val="18"/>
                <w:szCs w:val="18"/>
              </w:rPr>
              <w:t> </w:t>
            </w:r>
            <w:r>
              <w:rPr>
                <w:rFonts w:ascii="宋体" w:hAnsi="宋体" w:cs="宋体" w:eastAsia="宋体" w:hint="default"/>
                <w:sz w:val="18"/>
                <w:szCs w:val="18"/>
              </w:rPr>
              <w:t>登记</w:t>
            </w:r>
          </w:p>
        </w:tc>
        <w:tc>
          <w:tcPr>
            <w:tcW w:w="735" w:type="dxa"/>
            <w:tcBorders>
              <w:top w:val="single" w:sz="4" w:space="0" w:color="000000"/>
              <w:left w:val="single" w:sz="10" w:space="0" w:color="FFFFFF"/>
              <w:bottom w:val="single" w:sz="4" w:space="0" w:color="000000"/>
              <w:right w:val="single" w:sz="4" w:space="0" w:color="000000"/>
            </w:tcBorders>
          </w:tcPr>
          <w:p>
            <w:pPr>
              <w:pStyle w:val="TableParagraph"/>
              <w:spacing w:line="624" w:lineRule="exact"/>
              <w:ind w:left="-8"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36.3pt;height:31.2pt;mso-position-horizontal-relative:char;mso-position-vertical-relative:line" coordorigin="0,0" coordsize="726,624">
                  <v:group style="position:absolute;left:0;top:0;width:726;height:624" coordorigin="0,0" coordsize="726,624">
                    <v:shape style="position:absolute;left:0;top:0;width:726;height:624" coordorigin="0,0" coordsize="726,624" path="m0,624l725,624,725,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44"/>
              <w:ind w:left="16" w:right="0"/>
              <w:jc w:val="left"/>
              <w:rPr>
                <w:rFonts w:ascii="Times New Roman" w:hAnsi="Times New Roman" w:cs="Times New Roman" w:eastAsia="Times New Roman" w:hint="default"/>
                <w:sz w:val="18"/>
                <w:szCs w:val="18"/>
              </w:rPr>
            </w:pPr>
            <w:r>
              <w:rPr>
                <w:rFonts w:ascii="Times New Roman"/>
                <w:sz w:val="18"/>
              </w:rPr>
              <w:t>6,230.44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494" w:lineRule="auto" w:before="36"/>
        <w:ind w:left="573" w:right="1836"/>
        <w:jc w:val="left"/>
      </w:pPr>
      <w:r>
        <w:rPr/>
        <w:pict>
          <v:group style="position:absolute;margin-left:93.744003pt;margin-top:-94.316322pt;width:36.4pt;height:23.4pt;mso-position-horizontal-relative:page;mso-position-vertical-relative:paragraph;z-index:-1195552" coordorigin="1875,-1886" coordsize="728,468">
            <v:shape style="position:absolute;left:1875;top:-1886;width:728;height:468" coordorigin="1875,-1886" coordsize="728,468" path="m1875,-1418l2602,-1418,2602,-1886,1875,-1886,1875,-1418xe" filled="true" fillcolor="#ffffff" stroked="false">
              <v:path arrowok="t"/>
              <v:fill type="solid"/>
            </v:shape>
            <w10:wrap type="none"/>
          </v:group>
        </w:pict>
      </w:r>
      <w:r>
        <w:rPr/>
        <w:t>其他说明：</w:t>
      </w:r>
      <w:r>
        <w:rPr>
          <w:spacing w:val="-102"/>
        </w:rPr>
        <w:t> </w:t>
      </w:r>
      <w:r>
        <w:rPr>
          <w:spacing w:val="-102"/>
        </w:rPr>
      </w:r>
      <w:r>
        <w:rPr>
          <w:spacing w:val="-2"/>
        </w:rPr>
        <w:t>是否存在通过多次交易分步处置对子公司投资且在本期丧失控制权的情形</w:t>
      </w:r>
    </w:p>
    <w:p>
      <w:pPr>
        <w:pStyle w:val="BodyText"/>
        <w:spacing w:line="240" w:lineRule="auto" w:before="71"/>
        <w:ind w:left="573" w:right="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3"/>
          <w:szCs w:val="23"/>
        </w:rPr>
      </w:pPr>
    </w:p>
    <w:p>
      <w:pPr>
        <w:pStyle w:val="BodyText"/>
        <w:spacing w:line="482" w:lineRule="auto"/>
        <w:ind w:left="573" w:right="11" w:hanging="421"/>
        <w:jc w:val="left"/>
      </w:pPr>
      <w:r>
        <w:rPr>
          <w:rFonts w:ascii="Times New Roman" w:hAnsi="Times New Roman" w:cs="Times New Roman" w:eastAsia="Times New Roman" w:hint="default"/>
          <w:sz w:val="24"/>
          <w:szCs w:val="24"/>
        </w:rPr>
        <w:t>5</w:t>
      </w:r>
      <w:r>
        <w:rPr>
          <w:rFonts w:ascii="黑体" w:hAnsi="黑体" w:cs="黑体" w:eastAsia="黑体" w:hint="default"/>
          <w:sz w:val="24"/>
          <w:szCs w:val="24"/>
        </w:rPr>
        <w:t>、其他原因的合并范围变动 </w:t>
      </w:r>
      <w:r>
        <w:rPr/>
        <w:t>说明其他原因导致的合并范围变动（如，新设子公司、清算子公司等）及其相关情况：</w:t>
      </w:r>
      <w:r>
        <w:rPr>
          <w:w w:val="100"/>
        </w:rPr>
        <w:t> </w:t>
      </w:r>
      <w:r>
        <w:rPr>
          <w:spacing w:val="-2"/>
        </w:rPr>
        <w:t>新设子公司西安华睿云创信息技术有限公司、北京伏羲众合投资管理有限公司，清算河北泰豪慧城科</w:t>
      </w:r>
    </w:p>
    <w:p>
      <w:pPr>
        <w:pStyle w:val="BodyText"/>
        <w:spacing w:line="272" w:lineRule="exact"/>
        <w:ind w:right="11"/>
        <w:jc w:val="left"/>
        <w:rPr>
          <w:rFonts w:ascii="Times New Roman" w:hAnsi="Times New Roman" w:cs="Times New Roman" w:eastAsia="Times New Roman" w:hint="default"/>
        </w:rPr>
      </w:pPr>
      <w:r>
        <w:rPr/>
        <w:t>技有限公司</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6"/>
          <w:szCs w:val="26"/>
        </w:rPr>
      </w:pPr>
    </w:p>
    <w:p>
      <w:pPr>
        <w:pStyle w:val="Heading3"/>
        <w:spacing w:line="489" w:lineRule="auto"/>
        <w:ind w:right="7134"/>
        <w:jc w:val="left"/>
      </w:pPr>
      <w:r>
        <w:rPr>
          <w:rFonts w:ascii="Times New Roman" w:hAnsi="Times New Roman" w:cs="Times New Roman" w:eastAsia="Times New Roman" w:hint="default"/>
        </w:rPr>
        <w:t>6</w:t>
      </w:r>
      <w:r>
        <w:rPr/>
        <w:t>、其他 九、在其他主体中的权益 </w:t>
      </w:r>
      <w:r>
        <w:rPr>
          <w:rFonts w:ascii="Times New Roman" w:hAnsi="Times New Roman" w:cs="Times New Roman" w:eastAsia="Times New Roman" w:hint="default"/>
        </w:rPr>
        <w:t>1</w:t>
      </w:r>
      <w:r>
        <w:rPr/>
        <w:t>、在子公司中的权益</w:t>
      </w:r>
    </w:p>
    <w:p>
      <w:pPr>
        <w:pStyle w:val="Heading3"/>
        <w:spacing w:line="240" w:lineRule="auto" w:before="51"/>
        <w:ind w:right="11"/>
        <w:jc w:val="left"/>
      </w:pPr>
      <w:r>
        <w:rPr/>
        <w:t>（</w:t>
      </w:r>
      <w:r>
        <w:rPr>
          <w:rFonts w:ascii="Times New Roman" w:hAnsi="Times New Roman" w:cs="Times New Roman" w:eastAsia="Times New Roman" w:hint="default"/>
        </w:rPr>
        <w:t>1</w:t>
      </w:r>
      <w:r>
        <w:rPr/>
        <w:t>）企业集团的构成</w:t>
      </w:r>
    </w:p>
    <w:p>
      <w:pPr>
        <w:spacing w:after="0" w:line="240" w:lineRule="auto"/>
        <w:jc w:val="left"/>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r>
        <w:rPr/>
        <w:pict>
          <v:group style="position:absolute;margin-left:125.540001pt;margin-top:212.599976pt;width:66.75pt;height:25.95pt;mso-position-horizontal-relative:page;mso-position-vertical-relative:page;z-index:-1195528" coordorigin="2511,4252" coordsize="1335,519">
            <v:group style="position:absolute;left:2522;top:4263;width:2;height:497" coordorigin="2522,4263" coordsize="2,497">
              <v:shape style="position:absolute;left:2522;top:4263;width:2;height:497" coordorigin="2522,4263" coordsize="0,497" path="m2522,4263l2522,4760e" filled="false" stroked="true" strokeweight="1.08pt" strokecolor="#ffffff">
                <v:path arrowok="t"/>
              </v:shape>
            </v:group>
            <v:group style="position:absolute;left:2532;top:4263;width:1314;height:497" coordorigin="2532,4263" coordsize="1314,497">
              <v:shape style="position:absolute;left:2532;top:4263;width:1314;height:497" coordorigin="2532,4263" coordsize="1314,497" path="m2532,4760l3846,4760,3846,4263,2532,4263,2532,4760xe" filled="true" fillcolor="#ffffff" stroked="false">
                <v:path arrowok="t"/>
                <v:fill type="solid"/>
              </v:shape>
            </v:group>
            <w10:wrap type="none"/>
          </v:group>
        </w:pict>
      </w:r>
      <w:r>
        <w:rPr/>
        <w:pict>
          <v:group style="position:absolute;margin-left:125.540001pt;margin-top:515.169983pt;width:66.75pt;height:26.05pt;mso-position-horizontal-relative:page;mso-position-vertical-relative:page;z-index:-1195504" coordorigin="2511,10303" coordsize="1335,521">
            <v:group style="position:absolute;left:2522;top:10314;width:2;height:500" coordorigin="2522,10314" coordsize="2,500">
              <v:shape style="position:absolute;left:2522;top:10314;width:2;height:500" coordorigin="2522,10314" coordsize="0,500" path="m2522,10314l2522,10813e" filled="false" stroked="true" strokeweight="1.08pt" strokecolor="#ffffff">
                <v:path arrowok="t"/>
              </v:shape>
            </v:group>
            <v:group style="position:absolute;left:2532;top:10314;width:1314;height:500" coordorigin="2532,10314" coordsize="1314,500">
              <v:shape style="position:absolute;left:2532;top:10314;width:1314;height:500" coordorigin="2532,10314" coordsize="1314,500" path="m2532,10813l3846,10813,3846,10314,2532,10314,2532,1081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1"/>
        <w:gridCol w:w="237"/>
        <w:gridCol w:w="1131"/>
        <w:gridCol w:w="1366"/>
        <w:gridCol w:w="1368"/>
        <w:gridCol w:w="1368"/>
        <w:gridCol w:w="1366"/>
        <w:gridCol w:w="1366"/>
      </w:tblGrid>
      <w:tr>
        <w:trPr>
          <w:trHeight w:val="509"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06"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上海旋极信息技 </w:t>
            </w:r>
            <w:r>
              <w:rPr>
                <w:rFonts w:ascii="宋体" w:hAnsi="宋体" w:cs="宋体" w:eastAsia="宋体" w:hint="default"/>
                <w:sz w:val="18"/>
                <w:szCs w:val="18"/>
              </w:rPr>
              <w:t>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成都旋极历通信 </w:t>
            </w:r>
            <w:r>
              <w:rPr>
                <w:rFonts w:ascii="宋体" w:hAnsi="宋体" w:cs="宋体" w:eastAsia="宋体" w:hint="default"/>
                <w:sz w:val="18"/>
                <w:szCs w:val="18"/>
              </w:rPr>
              <w:t>息技术有限公司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1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11"/>
              <w:jc w:val="left"/>
              <w:rPr>
                <w:rFonts w:ascii="宋体" w:hAnsi="宋体" w:cs="宋体" w:eastAsia="宋体" w:hint="default"/>
                <w:sz w:val="18"/>
                <w:szCs w:val="18"/>
              </w:rPr>
            </w:pPr>
            <w:r>
              <w:rPr>
                <w:rFonts w:ascii="宋体" w:hAnsi="宋体" w:cs="宋体" w:eastAsia="宋体" w:hint="default"/>
                <w:spacing w:val="-6"/>
                <w:sz w:val="18"/>
                <w:szCs w:val="18"/>
              </w:rPr>
              <w:t>旋极国际（香港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3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北京中软金卡信 </w:t>
            </w:r>
            <w:r>
              <w:rPr>
                <w:rFonts w:ascii="宋体" w:hAnsi="宋体" w:cs="宋体" w:eastAsia="宋体" w:hint="default"/>
                <w:sz w:val="18"/>
                <w:szCs w:val="18"/>
              </w:rPr>
              <w:t>息技术有限公司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西安西谷微电子 </w:t>
            </w:r>
            <w:r>
              <w:rPr>
                <w:rFonts w:ascii="宋体" w:hAnsi="宋体" w:cs="宋体" w:eastAsia="宋体" w:hint="default"/>
                <w:sz w:val="18"/>
                <w:szCs w:val="18"/>
              </w:rPr>
              <w:t>有限责任公司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1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北京泰豪智能工 </w:t>
            </w:r>
            <w:r>
              <w:rPr>
                <w:rFonts w:ascii="宋体" w:hAnsi="宋体" w:cs="宋体" w:eastAsia="宋体" w:hint="default"/>
                <w:sz w:val="18"/>
                <w:szCs w:val="18"/>
              </w:rPr>
              <w:t>程有限公司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智慧城市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北京麦禾信通科 </w:t>
            </w:r>
            <w:r>
              <w:rPr>
                <w:rFonts w:ascii="宋体" w:hAnsi="宋体" w:cs="宋体" w:eastAsia="宋体" w:hint="default"/>
                <w:sz w:val="18"/>
                <w:szCs w:val="18"/>
              </w:rPr>
              <w:t>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深圳旋极历通科 </w:t>
            </w:r>
            <w:r>
              <w:rPr>
                <w:rFonts w:ascii="宋体" w:hAnsi="宋体" w:cs="宋体" w:eastAsia="宋体" w:hint="default"/>
                <w:sz w:val="18"/>
                <w:szCs w:val="18"/>
              </w:rPr>
              <w:t>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13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赛</w:t>
            </w:r>
            <w:r>
              <w:rPr>
                <w:rFonts w:ascii="宋体" w:hAnsi="宋体" w:cs="宋体" w:eastAsia="宋体" w:hint="default"/>
                <w:spacing w:val="-43"/>
                <w:sz w:val="18"/>
                <w:szCs w:val="18"/>
              </w:rPr>
              <w:t> </w:t>
            </w:r>
            <w:r>
              <w:rPr>
                <w:rFonts w:ascii="宋体" w:hAnsi="宋体" w:cs="宋体" w:eastAsia="宋体" w:hint="default"/>
                <w:sz w:val="18"/>
                <w:szCs w:val="18"/>
              </w:rPr>
              <w:t>瑞</w:t>
            </w:r>
            <w:r>
              <w:rPr>
                <w:rFonts w:ascii="宋体" w:hAnsi="宋体" w:cs="宋体" w:eastAsia="宋体" w:hint="default"/>
                <w:spacing w:val="-43"/>
                <w:sz w:val="18"/>
                <w:szCs w:val="18"/>
              </w:rPr>
              <w:t> </w:t>
            </w:r>
            <w:r>
              <w:rPr>
                <w:rFonts w:ascii="宋体" w:hAnsi="宋体" w:cs="宋体" w:eastAsia="宋体" w:hint="default"/>
                <w:sz w:val="18"/>
                <w:szCs w:val="18"/>
              </w:rPr>
              <w:t>工</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pacing w:val="-43"/>
                <w:sz w:val="18"/>
                <w:szCs w:val="18"/>
              </w:rPr>
              <w:t> </w:t>
            </w:r>
            <w:r>
              <w:rPr>
                <w:rFonts w:ascii="宋体" w:hAnsi="宋体" w:cs="宋体" w:eastAsia="宋体" w:hint="default"/>
                <w:sz w:val="18"/>
                <w:szCs w:val="18"/>
              </w:rPr>
              <w:t>科</w:t>
            </w:r>
            <w:r>
              <w:rPr>
                <w:rFonts w:ascii="宋体" w:hAnsi="宋体" w:cs="宋体" w:eastAsia="宋体" w:hint="default"/>
                <w:spacing w:val="-43"/>
                <w:sz w:val="18"/>
                <w:szCs w:val="18"/>
              </w:rPr>
              <w:t> </w:t>
            </w:r>
            <w:r>
              <w:rPr>
                <w:rFonts w:ascii="宋体" w:hAnsi="宋体" w:cs="宋体" w:eastAsia="宋体" w:hint="default"/>
                <w:sz w:val="18"/>
                <w:szCs w:val="18"/>
              </w:rPr>
              <w:t>技</w:t>
            </w:r>
          </w:p>
          <w:p>
            <w:pPr>
              <w:pStyle w:val="TableParagraph"/>
              <w:spacing w:line="316" w:lineRule="auto" w:before="76"/>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（北京）有限公 </w:t>
            </w:r>
            <w:r>
              <w:rPr>
                <w:rFonts w:ascii="宋体" w:hAnsi="宋体" w:cs="宋体" w:eastAsia="宋体" w:hint="default"/>
                <w:sz w:val="18"/>
                <w:szCs w:val="18"/>
              </w:rPr>
              <w:t>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11"/>
              <w:jc w:val="left"/>
              <w:rPr>
                <w:rFonts w:ascii="宋体" w:hAnsi="宋体" w:cs="宋体" w:eastAsia="宋体" w:hint="default"/>
                <w:sz w:val="18"/>
                <w:szCs w:val="18"/>
              </w:rPr>
            </w:pPr>
            <w:r>
              <w:rPr>
                <w:rFonts w:ascii="宋体" w:hAnsi="宋体" w:cs="宋体" w:eastAsia="宋体" w:hint="default"/>
                <w:spacing w:val="-6"/>
                <w:sz w:val="18"/>
                <w:szCs w:val="18"/>
              </w:rPr>
              <w:t>航泰恒通（北京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33"/>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北京分贝海洋信 </w:t>
            </w:r>
            <w:r>
              <w:rPr>
                <w:rFonts w:ascii="宋体" w:hAnsi="宋体" w:cs="宋体" w:eastAsia="宋体" w:hint="default"/>
                <w:sz w:val="18"/>
                <w:szCs w:val="18"/>
              </w:rPr>
              <w:t>息技术有限公司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1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北京云网信服信 </w:t>
            </w:r>
            <w:r>
              <w:rPr>
                <w:rFonts w:ascii="宋体" w:hAnsi="宋体" w:cs="宋体" w:eastAsia="宋体" w:hint="default"/>
                <w:sz w:val="18"/>
                <w:szCs w:val="18"/>
              </w:rPr>
              <w:t>息技术有限公司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13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both"/>
              <w:rPr>
                <w:rFonts w:ascii="宋体" w:hAnsi="宋体" w:cs="宋体" w:eastAsia="宋体" w:hint="default"/>
                <w:sz w:val="18"/>
                <w:szCs w:val="18"/>
              </w:rPr>
            </w:pPr>
            <w:r>
              <w:rPr>
                <w:rFonts w:ascii="宋体" w:hAnsi="宋体" w:cs="宋体" w:eastAsia="宋体" w:hint="default"/>
                <w:spacing w:val="9"/>
                <w:sz w:val="18"/>
                <w:szCs w:val="18"/>
              </w:rPr>
              <w:t>北京旋极伏羲大 数据技术有限公 </w:t>
            </w:r>
            <w:r>
              <w:rPr>
                <w:rFonts w:ascii="宋体" w:hAnsi="宋体" w:cs="宋体" w:eastAsia="宋体" w:hint="default"/>
                <w:sz w:val="18"/>
                <w:szCs w:val="18"/>
              </w:rPr>
              <w:t>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北京百旺金赋科 </w:t>
            </w:r>
            <w:r>
              <w:rPr>
                <w:rFonts w:ascii="宋体" w:hAnsi="宋体" w:cs="宋体" w:eastAsia="宋体" w:hint="default"/>
                <w:sz w:val="18"/>
                <w:szCs w:val="18"/>
              </w:rPr>
              <w:t>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1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北京旋极百旺科 </w:t>
            </w:r>
            <w:r>
              <w:rPr>
                <w:rFonts w:ascii="宋体" w:hAnsi="宋体" w:cs="宋体" w:eastAsia="宋体" w:hint="default"/>
                <w:sz w:val="18"/>
                <w:szCs w:val="18"/>
              </w:rPr>
              <w:t>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0"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9"/>
              <w:jc w:val="left"/>
              <w:rPr>
                <w:rFonts w:ascii="宋体" w:hAnsi="宋体" w:cs="宋体" w:eastAsia="宋体" w:hint="default"/>
                <w:sz w:val="18"/>
                <w:szCs w:val="18"/>
              </w:rPr>
            </w:pPr>
            <w:r>
              <w:rPr>
                <w:rFonts w:ascii="宋体" w:hAnsi="宋体" w:cs="宋体" w:eastAsia="宋体" w:hint="default"/>
                <w:spacing w:val="9"/>
                <w:sz w:val="18"/>
                <w:szCs w:val="18"/>
              </w:rPr>
              <w:t>天津百望金赋科 </w:t>
            </w: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1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杭州百旺金赋科 </w:t>
            </w: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宁波百旺金赋信 </w:t>
            </w:r>
            <w:r>
              <w:rPr>
                <w:rFonts w:ascii="宋体" w:hAnsi="宋体" w:cs="宋体" w:eastAsia="宋体" w:hint="default"/>
                <w:sz w:val="18"/>
                <w:szCs w:val="18"/>
              </w:rPr>
              <w:t>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宁夏百旺金赋科 </w:t>
            </w: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宁夏自治区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银川市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税务信息化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Times New Roman" w:hAnsi="Times New Roman" w:cs="Times New Roman" w:eastAsia="Times New Roman" w:hint="default"/>
          <w:sz w:val="11"/>
          <w:szCs w:val="11"/>
        </w:rPr>
      </w:pPr>
    </w:p>
    <w:p>
      <w:pPr>
        <w:pStyle w:val="BodyText"/>
        <w:spacing w:line="496" w:lineRule="auto" w:before="36"/>
        <w:ind w:left="573" w:right="11"/>
        <w:jc w:val="left"/>
      </w:pPr>
      <w:r>
        <w:rPr/>
        <w:t>在子公司的持股比例不同于表决权比例的说明：</w:t>
      </w:r>
      <w:r>
        <w:rPr>
          <w:w w:val="100"/>
        </w:rPr>
        <w:t> </w:t>
      </w:r>
      <w:r>
        <w:rPr>
          <w:spacing w:val="-2"/>
        </w:rPr>
        <w:t>持有半数或以下表决权但仍控制被投资单位、以及持有半数以上表决权但不控制被投资单位的依据：</w:t>
      </w:r>
      <w:r>
        <w:rPr>
          <w:spacing w:val="-28"/>
        </w:rPr>
        <w:t> </w:t>
      </w:r>
      <w:r>
        <w:rPr>
          <w:spacing w:val="-28"/>
        </w:rPr>
      </w:r>
      <w:r>
        <w:rPr/>
        <w:t>对于纳入合并范围的重要的结构化主体，控制的依据：</w:t>
      </w:r>
    </w:p>
    <w:p>
      <w:pPr>
        <w:pStyle w:val="BodyText"/>
        <w:spacing w:line="496" w:lineRule="auto" w:before="67"/>
        <w:ind w:left="573" w:right="5647"/>
        <w:jc w:val="left"/>
      </w:pPr>
      <w:r>
        <w:rPr>
          <w:spacing w:val="-2"/>
        </w:rPr>
        <w:t>确定公司是代理人还是委托人的依据：</w:t>
      </w:r>
      <w:r>
        <w:rPr>
          <w:spacing w:val="-72"/>
        </w:rPr>
        <w:t> </w:t>
      </w:r>
      <w:r>
        <w:rPr>
          <w:spacing w:val="-72"/>
        </w:rPr>
      </w:r>
      <w:r>
        <w:rPr/>
        <w:t>其他说明：</w:t>
      </w:r>
    </w:p>
    <w:p>
      <w:pPr>
        <w:pStyle w:val="Heading3"/>
        <w:spacing w:line="240" w:lineRule="auto" w:before="101"/>
        <w:ind w:right="11"/>
        <w:jc w:val="left"/>
      </w:pPr>
      <w:r>
        <w:rPr/>
        <w:t>（</w:t>
      </w:r>
      <w:r>
        <w:rPr>
          <w:rFonts w:ascii="Times New Roman" w:hAnsi="Times New Roman" w:cs="Times New Roman" w:eastAsia="Times New Roman" w:hint="default"/>
        </w:rPr>
        <w:t>2</w:t>
      </w:r>
      <w:r>
        <w:rPr/>
        <w:t>）重要的非全资子公司</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125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4" w:lineRule="auto"/>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4" w:lineRule="auto"/>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82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jc w:val="left"/>
              <w:rPr>
                <w:rFonts w:ascii="宋体" w:hAnsi="宋体" w:cs="宋体" w:eastAsia="宋体" w:hint="default"/>
                <w:sz w:val="18"/>
                <w:szCs w:val="18"/>
              </w:rPr>
            </w:pPr>
            <w:r>
              <w:rPr>
                <w:rFonts w:ascii="宋体" w:hAnsi="宋体" w:cs="宋体" w:eastAsia="宋体" w:hint="default"/>
                <w:spacing w:val="6"/>
                <w:sz w:val="18"/>
                <w:szCs w:val="18"/>
              </w:rPr>
              <w:t>成都旋极历通信息技术</w:t>
            </w:r>
            <w:r>
              <w:rPr>
                <w:rFonts w:ascii="宋体" w:hAnsi="宋体" w:cs="宋体" w:eastAsia="宋体" w:hint="default"/>
                <w:sz w:val="18"/>
                <w:szCs w:val="18"/>
              </w:rPr>
              <w:t>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2,484,830.52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22,470,429.84</w:t>
            </w:r>
          </w:p>
        </w:tc>
      </w:tr>
      <w:tr>
        <w:trPr>
          <w:trHeight w:val="81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jc w:val="left"/>
              <w:rPr>
                <w:rFonts w:ascii="宋体" w:hAnsi="宋体" w:cs="宋体" w:eastAsia="宋体" w:hint="default"/>
                <w:sz w:val="18"/>
                <w:szCs w:val="18"/>
              </w:rPr>
            </w:pPr>
            <w:r>
              <w:rPr>
                <w:rFonts w:ascii="宋体" w:hAnsi="宋体" w:cs="宋体" w:eastAsia="宋体" w:hint="default"/>
                <w:spacing w:val="6"/>
                <w:sz w:val="18"/>
                <w:szCs w:val="18"/>
              </w:rPr>
              <w:t>北京旋极伏羲大数据技</w:t>
            </w:r>
            <w:r>
              <w:rPr>
                <w:rFonts w:ascii="宋体" w:hAnsi="宋体" w:cs="宋体" w:eastAsia="宋体" w:hint="default"/>
                <w:sz w:val="18"/>
                <w:szCs w:val="18"/>
              </w:rPr>
              <w:t> 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-12,341,872.64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8,240,819.52</w:t>
            </w:r>
          </w:p>
        </w:tc>
      </w:tr>
      <w:tr>
        <w:trPr>
          <w:trHeight w:val="82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9"/>
              <w:jc w:val="left"/>
              <w:rPr>
                <w:rFonts w:ascii="宋体" w:hAnsi="宋体" w:cs="宋体" w:eastAsia="宋体" w:hint="default"/>
                <w:sz w:val="18"/>
                <w:szCs w:val="18"/>
              </w:rPr>
            </w:pPr>
            <w:r>
              <w:rPr>
                <w:rFonts w:ascii="宋体" w:hAnsi="宋体" w:cs="宋体" w:eastAsia="宋体" w:hint="default"/>
                <w:spacing w:val="6"/>
                <w:sz w:val="18"/>
                <w:szCs w:val="18"/>
              </w:rPr>
              <w:t>北京百旺金赋科技有限</w:t>
            </w:r>
            <w:r>
              <w:rPr>
                <w:rFonts w:ascii="宋体" w:hAnsi="宋体" w:cs="宋体" w:eastAsia="宋体" w:hint="default"/>
                <w:sz w:val="18"/>
                <w:szCs w:val="18"/>
              </w:rPr>
              <w:t>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57,042,703.26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147,000,000.00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57,057,251.08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32" w:top="1280" w:bottom="1320" w:left="980" w:right="980"/>
        </w:sectPr>
      </w:pPr>
    </w:p>
    <w:p>
      <w:pPr>
        <w:spacing w:line="240" w:lineRule="auto" w:before="5"/>
        <w:rPr>
          <w:rFonts w:ascii="宋体" w:hAnsi="宋体" w:cs="宋体" w:eastAsia="宋体" w:hint="default"/>
          <w:sz w:val="13"/>
          <w:szCs w:val="1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496" w:lineRule="auto" w:before="58"/>
        <w:ind w:left="560" w:right="8264"/>
        <w:jc w:val="left"/>
      </w:pPr>
      <w:r>
        <w:rPr>
          <w:spacing w:val="-2"/>
        </w:rPr>
        <w:t>子公司少数股东的持股比例不同于表决权比例的说明：</w:t>
      </w:r>
      <w:r>
        <w:rPr>
          <w:spacing w:val="-59"/>
        </w:rPr>
        <w:t> </w:t>
      </w:r>
      <w:r>
        <w:rPr>
          <w:spacing w:val="-59"/>
        </w:rPr>
      </w:r>
      <w:r>
        <w:rPr/>
        <w:t>其他说明：</w:t>
      </w:r>
    </w:p>
    <w:p>
      <w:pPr>
        <w:pStyle w:val="Heading3"/>
        <w:spacing w:line="240" w:lineRule="auto" w:before="101"/>
        <w:ind w:left="140" w:right="8264"/>
        <w:jc w:val="left"/>
      </w:pPr>
      <w:r>
        <w:rPr/>
        <w:t>（</w:t>
      </w:r>
      <w:r>
        <w:rPr>
          <w:rFonts w:ascii="Times New Roman" w:hAnsi="Times New Roman" w:cs="Times New Roman" w:eastAsia="Times New Roman" w:hint="default"/>
        </w:rPr>
        <w:t>3</w:t>
      </w:r>
      <w:r>
        <w:rPr/>
        <w:t>）重要非全资子公司的主要财务信息</w:t>
      </w:r>
    </w:p>
    <w:p>
      <w:pPr>
        <w:spacing w:line="240" w:lineRule="auto" w:before="4"/>
        <w:rPr>
          <w:rFonts w:ascii="黑体" w:hAnsi="黑体" w:cs="黑体" w:eastAsia="黑体" w:hint="default"/>
          <w:sz w:val="21"/>
          <w:szCs w:val="21"/>
        </w:rPr>
      </w:pPr>
    </w:p>
    <w:p>
      <w:pPr>
        <w:pStyle w:val="BodyText"/>
        <w:spacing w:line="240" w:lineRule="auto" w:before="36"/>
        <w:ind w:left="0" w:right="251"/>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802"/>
        <w:gridCol w:w="1174"/>
        <w:gridCol w:w="1092"/>
        <w:gridCol w:w="1181"/>
        <w:gridCol w:w="1181"/>
        <w:gridCol w:w="797"/>
        <w:gridCol w:w="1184"/>
        <w:gridCol w:w="1183"/>
        <w:gridCol w:w="1090"/>
        <w:gridCol w:w="1181"/>
        <w:gridCol w:w="1176"/>
        <w:gridCol w:w="802"/>
        <w:gridCol w:w="1176"/>
      </w:tblGrid>
      <w:tr>
        <w:trPr>
          <w:trHeight w:val="508" w:hRule="exact"/>
        </w:trPr>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7"/>
              <w:jc w:val="left"/>
              <w:rPr>
                <w:rFonts w:ascii="宋体" w:hAnsi="宋体" w:cs="宋体" w:eastAsia="宋体" w:hint="default"/>
                <w:sz w:val="18"/>
                <w:szCs w:val="18"/>
              </w:rPr>
            </w:pPr>
            <w:r>
              <w:rPr>
                <w:rFonts w:ascii="宋体" w:hAnsi="宋体" w:cs="宋体" w:eastAsia="宋体" w:hint="default"/>
                <w:spacing w:val="7"/>
                <w:sz w:val="18"/>
                <w:szCs w:val="18"/>
              </w:rPr>
              <w:t>子公司名 </w:t>
            </w:r>
            <w:r>
              <w:rPr>
                <w:rFonts w:ascii="宋体" w:hAnsi="宋体" w:cs="宋体" w:eastAsia="宋体" w:hint="default"/>
                <w:sz w:val="18"/>
                <w:szCs w:val="18"/>
              </w:rPr>
              <w:t>称</w:t>
            </w:r>
          </w:p>
        </w:tc>
        <w:tc>
          <w:tcPr>
            <w:tcW w:w="660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60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821" w:hRule="exact"/>
        </w:trPr>
        <w:tc>
          <w:tcPr>
            <w:tcW w:w="802"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4" w:right="12"/>
              <w:jc w:val="left"/>
              <w:rPr>
                <w:rFonts w:ascii="宋体" w:hAnsi="宋体" w:cs="宋体" w:eastAsia="宋体" w:hint="default"/>
                <w:sz w:val="18"/>
                <w:szCs w:val="18"/>
              </w:rPr>
            </w:pPr>
            <w:r>
              <w:rPr>
                <w:rFonts w:ascii="宋体" w:hAnsi="宋体" w:cs="宋体" w:eastAsia="宋体" w:hint="default"/>
                <w:spacing w:val="7"/>
                <w:sz w:val="18"/>
                <w:szCs w:val="18"/>
              </w:rPr>
              <w:t>非流动负 </w:t>
            </w:r>
            <w:r>
              <w:rPr>
                <w:rFonts w:ascii="宋体" w:hAnsi="宋体" w:cs="宋体" w:eastAsia="宋体" w:hint="default"/>
                <w:sz w:val="18"/>
                <w:szCs w:val="18"/>
              </w:rPr>
              <w:t>债</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1" w:right="19"/>
              <w:jc w:val="left"/>
              <w:rPr>
                <w:rFonts w:ascii="宋体" w:hAnsi="宋体" w:cs="宋体" w:eastAsia="宋体" w:hint="default"/>
                <w:sz w:val="18"/>
                <w:szCs w:val="18"/>
              </w:rPr>
            </w:pPr>
            <w:r>
              <w:rPr>
                <w:rFonts w:ascii="宋体" w:hAnsi="宋体" w:cs="宋体" w:eastAsia="宋体" w:hint="default"/>
                <w:spacing w:val="7"/>
                <w:sz w:val="18"/>
                <w:szCs w:val="18"/>
              </w:rPr>
              <w:t>非流动负 </w:t>
            </w:r>
            <w:r>
              <w:rPr>
                <w:rFonts w:ascii="宋体" w:hAnsi="宋体" w:cs="宋体" w:eastAsia="宋体" w:hint="default"/>
                <w:sz w:val="18"/>
                <w:szCs w:val="18"/>
              </w:rPr>
              <w:t>债</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4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17"/>
              <w:jc w:val="both"/>
              <w:rPr>
                <w:rFonts w:ascii="宋体" w:hAnsi="宋体" w:cs="宋体" w:eastAsia="宋体" w:hint="default"/>
                <w:sz w:val="18"/>
                <w:szCs w:val="18"/>
              </w:rPr>
            </w:pPr>
            <w:r>
              <w:rPr>
                <w:rFonts w:ascii="宋体" w:hAnsi="宋体" w:cs="宋体" w:eastAsia="宋体" w:hint="default"/>
                <w:spacing w:val="7"/>
                <w:sz w:val="18"/>
                <w:szCs w:val="18"/>
              </w:rPr>
              <w:t>成都旋极 历通信息 技术有限 </w:t>
            </w:r>
            <w:r>
              <w:rPr>
                <w:rFonts w:ascii="宋体" w:hAnsi="宋体" w:cs="宋体" w:eastAsia="宋体" w:hint="default"/>
                <w:sz w:val="18"/>
                <w:szCs w:val="18"/>
              </w:rPr>
              <w:t>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 w:right="0"/>
              <w:jc w:val="left"/>
              <w:rPr>
                <w:rFonts w:ascii="Times New Roman" w:hAnsi="Times New Roman" w:cs="Times New Roman" w:eastAsia="Times New Roman" w:hint="default"/>
                <w:sz w:val="18"/>
                <w:szCs w:val="18"/>
              </w:rPr>
            </w:pPr>
            <w:r>
              <w:rPr>
                <w:rFonts w:ascii="Times New Roman"/>
                <w:sz w:val="18"/>
              </w:rPr>
              <w:t>56,120,241.50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13,397,076.51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 w:right="0"/>
              <w:jc w:val="left"/>
              <w:rPr>
                <w:rFonts w:ascii="Times New Roman" w:hAnsi="Times New Roman" w:cs="Times New Roman" w:eastAsia="Times New Roman" w:hint="default"/>
                <w:sz w:val="18"/>
                <w:szCs w:val="18"/>
              </w:rPr>
            </w:pPr>
            <w:r>
              <w:rPr>
                <w:rFonts w:ascii="Times New Roman"/>
                <w:sz w:val="18"/>
              </w:rPr>
              <w:t>69,517,318.01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22,096,771.82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22,096,771.82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49,355,333.79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 w:right="0"/>
              <w:jc w:val="left"/>
              <w:rPr>
                <w:rFonts w:ascii="Times New Roman" w:hAnsi="Times New Roman" w:cs="Times New Roman" w:eastAsia="Times New Roman" w:hint="default"/>
                <w:sz w:val="18"/>
                <w:szCs w:val="18"/>
              </w:rPr>
            </w:pPr>
            <w:r>
              <w:rPr>
                <w:rFonts w:ascii="Times New Roman"/>
                <w:sz w:val="18"/>
              </w:rPr>
              <w:t>14,787,187.59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64,142,521.38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 w:right="0"/>
              <w:jc w:val="left"/>
              <w:rPr>
                <w:rFonts w:ascii="Times New Roman" w:hAnsi="Times New Roman" w:cs="Times New Roman" w:eastAsia="Times New Roman" w:hint="default"/>
                <w:sz w:val="18"/>
                <w:szCs w:val="18"/>
              </w:rPr>
            </w:pPr>
            <w:r>
              <w:rPr>
                <w:rFonts w:ascii="Times New Roman"/>
                <w:sz w:val="18"/>
              </w:rPr>
              <w:t>21,806,547.57</w:t>
            </w:r>
          </w:p>
        </w:tc>
        <w:tc>
          <w:tcPr>
            <w:tcW w:w="80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 w:right="0"/>
              <w:jc w:val="left"/>
              <w:rPr>
                <w:rFonts w:ascii="Times New Roman" w:hAnsi="Times New Roman" w:cs="Times New Roman" w:eastAsia="Times New Roman" w:hint="default"/>
                <w:sz w:val="18"/>
                <w:szCs w:val="18"/>
              </w:rPr>
            </w:pPr>
            <w:r>
              <w:rPr>
                <w:rFonts w:ascii="Times New Roman"/>
                <w:sz w:val="18"/>
              </w:rPr>
              <w:t>21,806,547.57</w:t>
            </w:r>
          </w:p>
        </w:tc>
      </w:tr>
      <w:tr>
        <w:trPr>
          <w:trHeight w:val="144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3" w:right="17"/>
              <w:jc w:val="both"/>
              <w:rPr>
                <w:rFonts w:ascii="宋体" w:hAnsi="宋体" w:cs="宋体" w:eastAsia="宋体" w:hint="default"/>
                <w:sz w:val="18"/>
                <w:szCs w:val="18"/>
              </w:rPr>
            </w:pPr>
            <w:r>
              <w:rPr>
                <w:rFonts w:ascii="宋体" w:hAnsi="宋体" w:cs="宋体" w:eastAsia="宋体" w:hint="default"/>
                <w:spacing w:val="7"/>
                <w:sz w:val="18"/>
                <w:szCs w:val="18"/>
              </w:rPr>
              <w:t>北京旋极 伏羲大数 据技术有 </w:t>
            </w:r>
            <w:r>
              <w:rPr>
                <w:rFonts w:ascii="宋体" w:hAnsi="宋体" w:cs="宋体" w:eastAsia="宋体" w:hint="default"/>
                <w:sz w:val="18"/>
                <w:szCs w:val="18"/>
              </w:rPr>
              <w:t>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 w:right="0"/>
              <w:jc w:val="left"/>
              <w:rPr>
                <w:rFonts w:ascii="Times New Roman" w:hAnsi="Times New Roman" w:cs="Times New Roman" w:eastAsia="Times New Roman" w:hint="default"/>
                <w:sz w:val="18"/>
                <w:szCs w:val="18"/>
              </w:rPr>
            </w:pPr>
            <w:r>
              <w:rPr>
                <w:rFonts w:ascii="Times New Roman"/>
                <w:sz w:val="18"/>
              </w:rPr>
              <w:t>6,811,405.23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Times New Roman"/>
                <w:sz w:val="18"/>
              </w:rPr>
              <w:t>20,730,603.88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 w:right="0"/>
              <w:jc w:val="left"/>
              <w:rPr>
                <w:rFonts w:ascii="Times New Roman" w:hAnsi="Times New Roman" w:cs="Times New Roman" w:eastAsia="Times New Roman" w:hint="default"/>
                <w:sz w:val="18"/>
                <w:szCs w:val="18"/>
              </w:rPr>
            </w:pPr>
            <w:r>
              <w:rPr>
                <w:rFonts w:ascii="Times New Roman"/>
                <w:sz w:val="18"/>
              </w:rPr>
              <w:t>27,542,009.11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5,854,280.80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Times New Roman"/>
                <w:sz w:val="18"/>
              </w:rPr>
              <w:t>5,854,280.80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22,755,054.30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 w:right="0"/>
              <w:jc w:val="left"/>
              <w:rPr>
                <w:rFonts w:ascii="Times New Roman" w:hAnsi="Times New Roman" w:cs="Times New Roman" w:eastAsia="Times New Roman" w:hint="default"/>
                <w:sz w:val="18"/>
                <w:szCs w:val="18"/>
              </w:rPr>
            </w:pPr>
            <w:r>
              <w:rPr>
                <w:rFonts w:ascii="Times New Roman"/>
                <w:sz w:val="18"/>
              </w:rPr>
              <w:t>20,127,408.37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42,882,462.67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Times New Roman"/>
                <w:sz w:val="18"/>
              </w:rPr>
              <w:t>1,179,208.06</w:t>
            </w:r>
          </w:p>
        </w:tc>
        <w:tc>
          <w:tcPr>
            <w:tcW w:w="80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 w:right="0"/>
              <w:jc w:val="left"/>
              <w:rPr>
                <w:rFonts w:ascii="Times New Roman" w:hAnsi="Times New Roman" w:cs="Times New Roman" w:eastAsia="Times New Roman" w:hint="default"/>
                <w:sz w:val="18"/>
                <w:szCs w:val="18"/>
              </w:rPr>
            </w:pPr>
            <w:r>
              <w:rPr>
                <w:rFonts w:ascii="Times New Roman"/>
                <w:sz w:val="18"/>
              </w:rPr>
              <w:t>1,179,208.06</w:t>
            </w:r>
          </w:p>
        </w:tc>
      </w:tr>
      <w:tr>
        <w:trPr>
          <w:trHeight w:val="113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17"/>
              <w:jc w:val="both"/>
              <w:rPr>
                <w:rFonts w:ascii="宋体" w:hAnsi="宋体" w:cs="宋体" w:eastAsia="宋体" w:hint="default"/>
                <w:sz w:val="18"/>
                <w:szCs w:val="18"/>
              </w:rPr>
            </w:pPr>
            <w:r>
              <w:rPr>
                <w:rFonts w:ascii="宋体" w:hAnsi="宋体" w:cs="宋体" w:eastAsia="宋体" w:hint="default"/>
                <w:spacing w:val="7"/>
                <w:sz w:val="18"/>
                <w:szCs w:val="18"/>
              </w:rPr>
              <w:t>北京百旺 金赋科技 </w:t>
            </w:r>
            <w:r>
              <w:rPr>
                <w:rFonts w:ascii="宋体" w:hAnsi="宋体" w:cs="宋体" w:eastAsia="宋体" w:hint="default"/>
                <w:sz w:val="18"/>
                <w:szCs w:val="18"/>
              </w:rPr>
              <w:t>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313,131,911.00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5,339,241.12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318,471,152.12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133,336,883.19</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133,336,883.19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481,670,195.38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8,012,538.38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489,682,733.76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118,941,969.53</w:t>
            </w:r>
          </w:p>
        </w:tc>
        <w:tc>
          <w:tcPr>
            <w:tcW w:w="80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118,941,969.53</w:t>
            </w:r>
          </w:p>
        </w:tc>
      </w:tr>
    </w:tbl>
    <w:p>
      <w:pPr>
        <w:spacing w:line="240" w:lineRule="auto" w:before="11"/>
        <w:rPr>
          <w:rFonts w:ascii="宋体" w:hAnsi="宋体" w:cs="宋体" w:eastAsia="宋体" w:hint="default"/>
          <w:sz w:val="9"/>
          <w:szCs w:val="9"/>
        </w:rPr>
      </w:pPr>
    </w:p>
    <w:p>
      <w:pPr>
        <w:pStyle w:val="BodyText"/>
        <w:spacing w:line="240" w:lineRule="auto" w:before="36"/>
        <w:ind w:left="0" w:right="251"/>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558"/>
        <w:gridCol w:w="6229"/>
        <w:gridCol w:w="6233"/>
      </w:tblGrid>
      <w:tr>
        <w:trPr>
          <w:trHeight w:val="509" w:hRule="exact"/>
        </w:trPr>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6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headerReference w:type="default" r:id="rId69"/>
          <w:footerReference w:type="default" r:id="rId70"/>
          <w:pgSz w:w="16840" w:h="11910" w:orient="landscape"/>
          <w:pgMar w:header="882" w:footer="1132" w:top="1100" w:bottom="1320" w:left="1300" w:right="1280"/>
          <w:pgNumType w:start="249"/>
        </w:sectPr>
      </w:pPr>
    </w:p>
    <w:p>
      <w:pPr>
        <w:spacing w:line="240" w:lineRule="auto" w:before="6"/>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556"/>
        <w:gridCol w:w="1553"/>
        <w:gridCol w:w="1556"/>
        <w:gridCol w:w="1558"/>
        <w:gridCol w:w="1563"/>
        <w:gridCol w:w="1555"/>
        <w:gridCol w:w="1558"/>
        <w:gridCol w:w="1555"/>
        <w:gridCol w:w="1565"/>
      </w:tblGrid>
      <w:tr>
        <w:trPr>
          <w:trHeight w:val="515" w:hRule="exact"/>
        </w:trPr>
        <w:tc>
          <w:tcPr>
            <w:tcW w:w="155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82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6"/>
              <w:jc w:val="left"/>
              <w:rPr>
                <w:rFonts w:ascii="宋体" w:hAnsi="宋体" w:cs="宋体" w:eastAsia="宋体" w:hint="default"/>
                <w:sz w:val="18"/>
                <w:szCs w:val="18"/>
              </w:rPr>
            </w:pPr>
            <w:r>
              <w:rPr>
                <w:rFonts w:ascii="宋体" w:hAnsi="宋体" w:cs="宋体" w:eastAsia="宋体" w:hint="default"/>
                <w:spacing w:val="6"/>
                <w:sz w:val="18"/>
                <w:szCs w:val="18"/>
              </w:rPr>
              <w:t>成都旋极历通信息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40,072,055.31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5,084,572.38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5,084,572.38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4,820,568.38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43,422,694.05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9,893,207.80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9,893,207.80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5,939,450.25</w:t>
            </w:r>
          </w:p>
        </w:tc>
      </w:tr>
      <w:tr>
        <w:trPr>
          <w:trHeight w:val="81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6"/>
              <w:jc w:val="left"/>
              <w:rPr>
                <w:rFonts w:ascii="宋体" w:hAnsi="宋体" w:cs="宋体" w:eastAsia="宋体" w:hint="default"/>
                <w:sz w:val="18"/>
                <w:szCs w:val="18"/>
              </w:rPr>
            </w:pPr>
            <w:r>
              <w:rPr>
                <w:rFonts w:ascii="宋体" w:hAnsi="宋体" w:cs="宋体" w:eastAsia="宋体" w:hint="default"/>
                <w:spacing w:val="6"/>
                <w:sz w:val="18"/>
                <w:szCs w:val="18"/>
              </w:rPr>
              <w:t>北京旋极伏羲大数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据技术有限公司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2,039,192.23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-30,161,602.49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-30,161,602.49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-21,188,060.23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520,097.10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-10,190,990.26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-10,190,990.26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-14,077,681.44</w:t>
            </w:r>
          </w:p>
        </w:tc>
      </w:tr>
      <w:tr>
        <w:trPr>
          <w:trHeight w:val="82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6"/>
              <w:jc w:val="left"/>
              <w:rPr>
                <w:rFonts w:ascii="宋体" w:hAnsi="宋体" w:cs="宋体" w:eastAsia="宋体" w:hint="default"/>
                <w:sz w:val="18"/>
                <w:szCs w:val="18"/>
              </w:rPr>
            </w:pPr>
            <w:r>
              <w:rPr>
                <w:rFonts w:ascii="宋体" w:hAnsi="宋体" w:cs="宋体" w:eastAsia="宋体" w:hint="default"/>
                <w:spacing w:val="6"/>
                <w:sz w:val="18"/>
                <w:szCs w:val="18"/>
              </w:rPr>
              <w:t>北京百旺金赋科技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304,378,288.46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116,413,680.12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116,413,680.12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188,787,439.76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544,337,158.38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316,741,271.70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316,741,271.70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222,708,539.06</w:t>
            </w:r>
          </w:p>
        </w:tc>
      </w:tr>
    </w:tbl>
    <w:p>
      <w:pPr>
        <w:spacing w:line="240" w:lineRule="auto" w:before="11"/>
        <w:rPr>
          <w:rFonts w:ascii="宋体" w:hAnsi="宋体" w:cs="宋体" w:eastAsia="宋体" w:hint="default"/>
          <w:sz w:val="9"/>
          <w:szCs w:val="9"/>
        </w:rPr>
      </w:pPr>
    </w:p>
    <w:p>
      <w:pPr>
        <w:pStyle w:val="BodyText"/>
        <w:spacing w:line="240" w:lineRule="auto" w:before="36"/>
        <w:ind w:left="560" w:right="8264"/>
        <w:jc w:val="left"/>
      </w:pPr>
      <w:r>
        <w:rPr/>
        <w:t>其他说明：</w:t>
      </w:r>
    </w:p>
    <w:p>
      <w:pPr>
        <w:spacing w:after="0" w:line="240" w:lineRule="auto"/>
        <w:jc w:val="left"/>
        <w:sectPr>
          <w:pgSz w:w="16840" w:h="11910" w:orient="landscape"/>
          <w:pgMar w:header="882" w:footer="1132" w:top="1100" w:bottom="1320" w:left="1300" w:right="1280"/>
        </w:sectPr>
      </w:pPr>
    </w:p>
    <w:p>
      <w:pPr>
        <w:spacing w:line="240" w:lineRule="auto" w:before="13"/>
        <w:rPr>
          <w:rFonts w:ascii="宋体" w:hAnsi="宋体" w:cs="宋体" w:eastAsia="宋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4</w:t>
      </w:r>
      <w:r>
        <w:rPr/>
        <w:t>）使用企业集团资产和清偿企业集团债务的重大限制</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5</w:t>
      </w:r>
      <w:r>
        <w:rPr/>
        <w:t>）向纳入合并财务报表范围的结构化主体提供的财务支持或其他支持</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、在子公司的所有者权益份额发生变化且仍控制子公司的交易</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）在子公司所有者权益份额发生变化的情况说明</w:t>
      </w:r>
    </w:p>
    <w:p>
      <w:pPr>
        <w:spacing w:line="240" w:lineRule="auto" w:before="4"/>
        <w:rPr>
          <w:rFonts w:ascii="黑体" w:hAnsi="黑体" w:cs="黑体" w:eastAsia="黑体" w:hint="default"/>
          <w:sz w:val="24"/>
          <w:szCs w:val="24"/>
        </w:rPr>
      </w:pPr>
    </w:p>
    <w:p>
      <w:pPr>
        <w:pStyle w:val="BodyText"/>
        <w:spacing w:line="386" w:lineRule="auto"/>
        <w:ind w:right="11" w:firstLine="420"/>
        <w:jc w:val="left"/>
        <w:rPr>
          <w:rFonts w:ascii="Times New Roman" w:hAnsi="Times New Roman" w:cs="Times New Roman" w:eastAsia="Times New Roman" w:hint="default"/>
        </w:rPr>
      </w:pPr>
      <w:r>
        <w:rPr/>
        <w:t>上海信业购买少数股东</w:t>
      </w:r>
      <w:r>
        <w:rPr>
          <w:spacing w:val="-45"/>
        </w:rPr>
        <w:t> </w:t>
      </w:r>
      <w:r>
        <w:rPr>
          <w:rFonts w:ascii="Times New Roman" w:hAnsi="Times New Roman" w:cs="Times New Roman" w:eastAsia="Times New Roman" w:hint="default"/>
          <w:spacing w:val="-4"/>
        </w:rPr>
        <w:t>5.86%</w:t>
      </w:r>
      <w:r>
        <w:rPr>
          <w:spacing w:val="-4"/>
        </w:rPr>
        <w:t>股权，持股比例从</w:t>
      </w:r>
      <w:r>
        <w:rPr>
          <w:spacing w:val="-45"/>
        </w:rPr>
        <w:t> </w:t>
      </w:r>
      <w:r>
        <w:rPr>
          <w:rFonts w:ascii="Times New Roman" w:hAnsi="Times New Roman" w:cs="Times New Roman" w:eastAsia="Times New Roman" w:hint="default"/>
        </w:rPr>
        <w:t>94.14%</w:t>
      </w:r>
      <w:r>
        <w:rPr>
          <w:rFonts w:ascii="Times New Roman" w:hAnsi="Times New Roman" w:cs="Times New Roman" w:eastAsia="Times New Roman" w:hint="default"/>
          <w:spacing w:val="44"/>
        </w:rPr>
        <w:t> </w:t>
      </w:r>
      <w:r>
        <w:rPr/>
        <w:t>上升至</w:t>
      </w:r>
      <w:r>
        <w:rPr>
          <w:spacing w:val="-45"/>
        </w:rPr>
        <w:t> </w:t>
      </w:r>
      <w:r>
        <w:rPr>
          <w:rFonts w:ascii="Times New Roman" w:hAnsi="Times New Roman" w:cs="Times New Roman" w:eastAsia="Times New Roman" w:hint="default"/>
          <w:spacing w:val="-3"/>
        </w:rPr>
        <w:t>100%</w:t>
      </w:r>
      <w:r>
        <w:rPr>
          <w:spacing w:val="-3"/>
        </w:rPr>
        <w:t>，赛瑞工信因少数股东减资导致</w:t>
      </w:r>
      <w:r>
        <w:rPr>
          <w:w w:val="100"/>
        </w:rPr>
        <w:t> </w:t>
      </w:r>
      <w:r>
        <w:rPr/>
        <w:t>持股比例从</w:t>
      </w:r>
      <w:r>
        <w:rPr>
          <w:spacing w:val="-54"/>
        </w:rPr>
        <w:t> </w:t>
      </w:r>
      <w:r>
        <w:rPr>
          <w:rFonts w:ascii="Times New Roman" w:hAnsi="Times New Roman" w:cs="Times New Roman" w:eastAsia="Times New Roman" w:hint="default"/>
        </w:rPr>
        <w:t>60%</w:t>
      </w:r>
      <w:r>
        <w:rPr/>
        <w:t>上升至</w:t>
      </w:r>
      <w:r>
        <w:rPr>
          <w:spacing w:val="-55"/>
        </w:rPr>
        <w:t> </w:t>
      </w:r>
      <w:r>
        <w:rPr>
          <w:rFonts w:ascii="Times New Roman" w:hAnsi="Times New Roman" w:cs="Times New Roman" w:eastAsia="Times New Roman" w:hint="default"/>
        </w:rPr>
        <w:t>67.42%</w:t>
      </w:r>
      <w:r>
        <w:rPr/>
        <w:t>，旋极百旺购买少数股东</w:t>
      </w:r>
      <w:r>
        <w:rPr>
          <w:spacing w:val="-55"/>
        </w:rPr>
        <w:t> </w:t>
      </w:r>
      <w:r>
        <w:rPr>
          <w:rFonts w:ascii="Times New Roman" w:hAnsi="Times New Roman" w:cs="Times New Roman" w:eastAsia="Times New Roman" w:hint="default"/>
        </w:rPr>
        <w:t>0.3%</w:t>
      </w:r>
      <w:r>
        <w:rPr/>
        <w:t>的股权，持股比例从</w:t>
      </w:r>
      <w:r>
        <w:rPr>
          <w:spacing w:val="-55"/>
        </w:rPr>
        <w:t> </w:t>
      </w:r>
      <w:r>
        <w:rPr>
          <w:rFonts w:ascii="Times New Roman" w:hAnsi="Times New Roman" w:cs="Times New Roman" w:eastAsia="Times New Roman" w:hint="default"/>
        </w:rPr>
        <w:t>88%</w:t>
      </w:r>
      <w:r>
        <w:rPr/>
        <w:t>上升至</w:t>
      </w:r>
      <w:r>
        <w:rPr>
          <w:spacing w:val="-57"/>
        </w:rPr>
        <w:t> </w:t>
      </w:r>
      <w:r>
        <w:rPr>
          <w:rFonts w:ascii="Times New Roman" w:hAnsi="Times New Roman" w:cs="Times New Roman" w:eastAsia="Times New Roman" w:hint="default"/>
        </w:rPr>
        <w:t>88.30%.</w:t>
      </w:r>
    </w:p>
    <w:p>
      <w:pPr>
        <w:pStyle w:val="Heading3"/>
        <w:spacing w:line="240" w:lineRule="auto" w:before="168"/>
        <w:ind w:right="11"/>
        <w:jc w:val="left"/>
      </w:pPr>
      <w:r>
        <w:rPr/>
        <w:t>（</w:t>
      </w:r>
      <w:r>
        <w:rPr>
          <w:rFonts w:ascii="Times New Roman" w:hAnsi="Times New Roman" w:cs="Times New Roman" w:eastAsia="Times New Roman" w:hint="default"/>
        </w:rPr>
        <w:t>2</w:t>
      </w:r>
      <w:r>
        <w:rPr/>
        <w:t>）交易对于少数股东权益及归属于母公司所有者权益的影响</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5,559,300.28</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5,559,300.28</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6,821,228.36</w:t>
            </w:r>
          </w:p>
        </w:tc>
      </w:tr>
      <w:tr>
        <w:trPr>
          <w:trHeight w:val="5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1,261,928.08</w:t>
            </w:r>
          </w:p>
        </w:tc>
      </w:tr>
      <w:tr>
        <w:trPr>
          <w:trHeight w:val="5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1,261,928.08</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、在合营安排或联营企业中的权益</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）重要的合营企业或联营企业</w:t>
      </w:r>
    </w:p>
    <w:p>
      <w:pPr>
        <w:spacing w:line="240" w:lineRule="auto" w:before="2"/>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538"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9"/>
                <w:szCs w:val="19"/>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595"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27"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27"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82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上海索乐互娱科 </w:t>
            </w: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81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上海海多投资发 </w:t>
            </w:r>
            <w:r>
              <w:rPr>
                <w:rFonts w:ascii="宋体" w:hAnsi="宋体" w:cs="宋体" w:eastAsia="宋体" w:hint="default"/>
                <w:sz w:val="18"/>
                <w:szCs w:val="18"/>
              </w:rPr>
              <w:t>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北京唯致动力网 络信息科技有限</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center"/>
        <w:rPr>
          <w:rFonts w:ascii="宋体" w:hAnsi="宋体" w:cs="宋体" w:eastAsia="宋体" w:hint="default"/>
          <w:sz w:val="18"/>
          <w:szCs w:val="18"/>
        </w:rPr>
        <w:sectPr>
          <w:headerReference w:type="default" r:id="rId71"/>
          <w:footerReference w:type="default" r:id="rId72"/>
          <w:pgSz w:w="11910" w:h="16840"/>
          <w:pgMar w:header="882" w:footer="1132" w:top="1280" w:bottom="1320" w:left="980" w:right="980"/>
          <w:pgNumType w:start="251"/>
        </w:sectPr>
      </w:pPr>
    </w:p>
    <w:p>
      <w:pPr>
        <w:spacing w:line="240" w:lineRule="auto" w:before="2"/>
        <w:rPr>
          <w:rFonts w:ascii="黑体" w:hAnsi="黑体" w:cs="黑体" w:eastAsia="黑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9"/>
              <w:jc w:val="both"/>
              <w:rPr>
                <w:rFonts w:ascii="宋体" w:hAnsi="宋体" w:cs="宋体" w:eastAsia="宋体" w:hint="default"/>
                <w:sz w:val="18"/>
                <w:szCs w:val="18"/>
              </w:rPr>
            </w:pPr>
            <w:r>
              <w:rPr>
                <w:rFonts w:ascii="宋体" w:hAnsi="宋体" w:cs="宋体" w:eastAsia="宋体" w:hint="default"/>
                <w:spacing w:val="9"/>
                <w:sz w:val="18"/>
                <w:szCs w:val="18"/>
              </w:rPr>
              <w:t>北京旋极拉卡拉 信息技术有限公 </w:t>
            </w: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1"/>
        <w:rPr>
          <w:rFonts w:ascii="黑体" w:hAnsi="黑体" w:cs="黑体" w:eastAsia="黑体" w:hint="default"/>
          <w:sz w:val="9"/>
          <w:szCs w:val="9"/>
        </w:rPr>
      </w:pPr>
    </w:p>
    <w:p>
      <w:pPr>
        <w:pStyle w:val="BodyText"/>
        <w:spacing w:line="240" w:lineRule="auto" w:before="36"/>
        <w:ind w:left="573" w:right="11"/>
        <w:jc w:val="left"/>
      </w:pPr>
      <w:r>
        <w:rPr/>
        <w:t>在合营企业或联营企业的持股比例不同于表决权比例的说明：</w:t>
      </w:r>
    </w:p>
    <w:p>
      <w:pPr>
        <w:spacing w:line="240" w:lineRule="auto" w:before="4"/>
        <w:rPr>
          <w:rFonts w:ascii="宋体" w:hAnsi="宋体" w:cs="宋体" w:eastAsia="宋体" w:hint="default"/>
          <w:sz w:val="22"/>
          <w:szCs w:val="22"/>
        </w:rPr>
      </w:pPr>
    </w:p>
    <w:p>
      <w:pPr>
        <w:pStyle w:val="BodyText"/>
        <w:spacing w:line="386" w:lineRule="auto"/>
        <w:ind w:right="156" w:firstLine="420"/>
        <w:jc w:val="both"/>
      </w:pPr>
      <w:r>
        <w:rPr/>
        <w:t>（</w:t>
      </w:r>
      <w:r>
        <w:rPr>
          <w:rFonts w:ascii="Times New Roman" w:hAnsi="Times New Roman" w:cs="Times New Roman" w:eastAsia="Times New Roman" w:hint="default"/>
        </w:rPr>
        <w:t>1</w:t>
      </w:r>
      <w:r>
        <w:rPr/>
        <w:t>）公司在上海索乐软件有限公司的董事会中派有代表，并享有相应的实质性的参与决策权，能够</w:t>
      </w:r>
      <w:r>
        <w:rPr>
          <w:w w:val="100"/>
        </w:rPr>
        <w:t> </w:t>
      </w:r>
      <w:r>
        <w:rPr/>
        <w:t>对上海索乐软件有限公司施加重大影响，对其按权益法核算。</w:t>
      </w:r>
    </w:p>
    <w:p>
      <w:pPr>
        <w:pStyle w:val="BodyText"/>
        <w:spacing w:line="398" w:lineRule="auto" w:before="166"/>
        <w:ind w:right="146" w:firstLine="420"/>
        <w:jc w:val="both"/>
      </w:pPr>
      <w:r>
        <w:rPr>
          <w:spacing w:val="-6"/>
        </w:rPr>
        <w:t>（</w:t>
      </w:r>
      <w:r>
        <w:rPr>
          <w:rFonts w:ascii="Times New Roman" w:hAnsi="Times New Roman" w:cs="Times New Roman" w:eastAsia="Times New Roman" w:hint="default"/>
          <w:spacing w:val="-6"/>
        </w:rPr>
        <w:t>2</w:t>
      </w:r>
      <w:r>
        <w:rPr>
          <w:spacing w:val="-6"/>
        </w:rPr>
        <w:t>）上海海多投资发展有限公司于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月由原上海索乐软件有限公司按其注册资本</w:t>
      </w:r>
      <w:r>
        <w:rPr>
          <w:spacing w:val="-49"/>
        </w:rPr>
        <w:t> </w:t>
      </w:r>
      <w:r>
        <w:rPr>
          <w:rFonts w:ascii="Times New Roman" w:hAnsi="Times New Roman" w:cs="Times New Roman" w:eastAsia="Times New Roman" w:hint="default"/>
        </w:rPr>
        <w:t>10.20%</w:t>
      </w:r>
      <w:r>
        <w:rPr/>
        <w:t>的比</w:t>
      </w:r>
      <w:r>
        <w:rPr>
          <w:spacing w:val="-3"/>
          <w:w w:val="100"/>
        </w:rPr>
        <w:t> </w:t>
      </w:r>
      <w:r>
        <w:rPr>
          <w:spacing w:val="-3"/>
        </w:rPr>
        <w:t>例分立而成的。旋极信息在存续的上海索乐软件有限公司的出资比例（</w:t>
      </w:r>
      <w:r>
        <w:rPr>
          <w:rFonts w:ascii="Times New Roman" w:hAnsi="Times New Roman" w:cs="Times New Roman" w:eastAsia="Times New Roman" w:hint="default"/>
          <w:spacing w:val="-3"/>
        </w:rPr>
        <w:t>18.00%</w:t>
      </w:r>
      <w:r>
        <w:rPr>
          <w:spacing w:val="-3"/>
        </w:rPr>
        <w:t>）保持不变，新设立的上海</w:t>
      </w:r>
      <w:r>
        <w:rPr>
          <w:spacing w:val="-10"/>
        </w:rPr>
        <w:t> </w:t>
      </w:r>
      <w:r>
        <w:rPr>
          <w:spacing w:val="-10"/>
        </w:rPr>
      </w:r>
      <w:r>
        <w:rPr>
          <w:spacing w:val="-2"/>
        </w:rPr>
        <w:t>海多投资发展有限公司股东与出资比例与上海索乐软件有限公司股东与出资比例保持一致。旋极信息在上</w:t>
      </w:r>
      <w:r>
        <w:rPr>
          <w:spacing w:val="-43"/>
        </w:rPr>
        <w:t> </w:t>
      </w:r>
      <w:r>
        <w:rPr>
          <w:spacing w:val="-43"/>
        </w:rPr>
      </w:r>
      <w:r>
        <w:rPr>
          <w:spacing w:val="-2"/>
        </w:rPr>
        <w:t>海海多投资发展有限公司的董事会中派有代表，并享有相应的实质性的参与决策权，能够对上海海多投资</w:t>
      </w:r>
      <w:r>
        <w:rPr>
          <w:spacing w:val="-44"/>
        </w:rPr>
        <w:t> </w:t>
      </w:r>
      <w:r>
        <w:rPr>
          <w:spacing w:val="-44"/>
        </w:rPr>
      </w:r>
      <w:r>
        <w:rPr/>
        <w:t>发展有限公司施加重大影响，对其按权益法核算。</w:t>
      </w:r>
    </w:p>
    <w:p>
      <w:pPr>
        <w:pStyle w:val="BodyText"/>
        <w:spacing w:line="386" w:lineRule="auto" w:before="153"/>
        <w:ind w:right="146" w:firstLine="420"/>
        <w:jc w:val="both"/>
      </w:pPr>
      <w:r>
        <w:rPr/>
        <w:t>（</w:t>
      </w:r>
      <w:r>
        <w:rPr>
          <w:rFonts w:ascii="Times New Roman" w:hAnsi="Times New Roman" w:cs="Times New Roman" w:eastAsia="Times New Roman" w:hint="default"/>
        </w:rPr>
        <w:t>3</w:t>
      </w:r>
      <w:r>
        <w:rPr/>
        <w:t>）北京旋极拉卡拉信息技术有限公司于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月由旋极信息同拉卡拉支付有限公司共同出资设</w:t>
      </w:r>
      <w:r>
        <w:rPr>
          <w:w w:val="100"/>
        </w:rPr>
        <w:t> </w:t>
      </w:r>
      <w:r>
        <w:rPr>
          <w:spacing w:val="-5"/>
        </w:rPr>
        <w:t>立，总投资金额</w:t>
      </w:r>
      <w:r>
        <w:rPr>
          <w:spacing w:val="-34"/>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3"/>
        </w:rPr>
        <w:t> </w:t>
      </w:r>
      <w:r>
        <w:rPr>
          <w:spacing w:val="-3"/>
        </w:rPr>
        <w:t>元，北京旋极信息技术股份有限公司出资比例是</w:t>
      </w:r>
      <w:r>
        <w:rPr>
          <w:spacing w:val="-37"/>
        </w:rPr>
        <w:t> </w:t>
      </w:r>
      <w:r>
        <w:rPr>
          <w:rFonts w:ascii="Times New Roman" w:hAnsi="Times New Roman" w:cs="Times New Roman" w:eastAsia="Times New Roman" w:hint="default"/>
          <w:spacing w:val="-4"/>
        </w:rPr>
        <w:t>50%</w:t>
      </w:r>
      <w:r>
        <w:rPr>
          <w:spacing w:val="-4"/>
        </w:rPr>
        <w:t>，公司对北京旋极拉卡</w:t>
      </w:r>
      <w:r>
        <w:rPr>
          <w:spacing w:val="-96"/>
        </w:rPr>
        <w:t> </w:t>
      </w:r>
      <w:r>
        <w:rPr>
          <w:spacing w:val="-96"/>
        </w:rPr>
      </w:r>
      <w:r>
        <w:rPr/>
        <w:t>拉信息技术有限公司无实际控制权，对其按权益法核算。</w:t>
      </w:r>
    </w:p>
    <w:p>
      <w:pPr>
        <w:pStyle w:val="BodyText"/>
        <w:spacing w:line="386" w:lineRule="auto" w:before="166"/>
        <w:ind w:right="156" w:firstLine="420"/>
        <w:jc w:val="both"/>
      </w:pPr>
      <w:r>
        <w:rPr/>
        <w:t>（</w:t>
      </w:r>
      <w:r>
        <w:rPr>
          <w:rFonts w:ascii="Times New Roman" w:hAnsi="Times New Roman" w:cs="Times New Roman" w:eastAsia="Times New Roman" w:hint="default"/>
        </w:rPr>
        <w:t>4</w:t>
      </w:r>
      <w:r>
        <w:rPr/>
        <w:t>）公司在沈阳旋飞航空技术有限公司的董事会中派有代表，并享有相应的实质性的参与决策权，</w:t>
      </w:r>
      <w:r>
        <w:rPr>
          <w:w w:val="100"/>
        </w:rPr>
        <w:t> </w:t>
      </w:r>
      <w:r>
        <w:rPr/>
        <w:t>能够对沈阳旋飞航空技术有限公司施加重大影响，对其按权益法核算。</w:t>
      </w:r>
    </w:p>
    <w:p>
      <w:pPr>
        <w:pStyle w:val="BodyText"/>
        <w:spacing w:line="386" w:lineRule="auto" w:before="166"/>
        <w:ind w:right="154" w:firstLine="420"/>
        <w:jc w:val="both"/>
      </w:pPr>
      <w:r>
        <w:rPr/>
        <w:t>（</w:t>
      </w:r>
      <w:r>
        <w:rPr>
          <w:rFonts w:ascii="Times New Roman" w:hAnsi="Times New Roman" w:cs="Times New Roman" w:eastAsia="Times New Roman" w:hint="default"/>
        </w:rPr>
        <w:t>5</w:t>
      </w:r>
      <w:r>
        <w:rPr/>
        <w:t>）公司在北京蓝鲸众合投资管理有限公司的董事会中派有代表，并享有相应的实质性的参与决策</w:t>
      </w:r>
      <w:r>
        <w:rPr>
          <w:w w:val="100"/>
        </w:rPr>
        <w:t> </w:t>
      </w:r>
      <w:r>
        <w:rPr/>
        <w:t>权，能够对北京蓝鲸众合投资管理有限公司施加重大影响，对其按权益法核算。</w:t>
      </w:r>
    </w:p>
    <w:p>
      <w:pPr>
        <w:pStyle w:val="BodyText"/>
        <w:spacing w:line="470" w:lineRule="auto" w:before="163"/>
        <w:ind w:left="573" w:right="11"/>
        <w:jc w:val="left"/>
      </w:pPr>
      <w:r>
        <w:rPr/>
        <w:t>持有</w:t>
      </w:r>
      <w:r>
        <w:rPr>
          <w:spacing w:val="-54"/>
        </w:rPr>
        <w:t> </w:t>
      </w:r>
      <w:r>
        <w:rPr>
          <w:rFonts w:ascii="Times New Roman" w:hAnsi="Times New Roman" w:cs="Times New Roman" w:eastAsia="Times New Roman" w:hint="default"/>
        </w:rPr>
        <w:t>20%</w:t>
      </w:r>
      <w:r>
        <w:rPr/>
        <w:t>以下表决权但具有重大影响，或者持有</w:t>
      </w:r>
      <w:r>
        <w:rPr>
          <w:spacing w:val="-54"/>
        </w:rPr>
        <w:t> </w:t>
      </w:r>
      <w:r>
        <w:rPr>
          <w:rFonts w:ascii="Times New Roman" w:hAnsi="Times New Roman" w:cs="Times New Roman" w:eastAsia="Times New Roman" w:hint="default"/>
        </w:rPr>
        <w:t>20%</w:t>
      </w:r>
      <w:r>
        <w:rPr/>
        <w:t>或以上表决权但不具有重大影响的依据：</w:t>
      </w:r>
      <w:r>
        <w:rPr>
          <w:w w:val="100"/>
        </w:rPr>
        <w:t> </w:t>
      </w:r>
      <w:r>
        <w:rPr>
          <w:spacing w:val="-2"/>
        </w:rPr>
        <w:t>公司在上海索乐软件有限公司的董事会中派有代表，并享有相应的实质性的参与决策权，能够对上海</w:t>
      </w:r>
    </w:p>
    <w:p>
      <w:pPr>
        <w:pStyle w:val="BodyText"/>
        <w:spacing w:line="496" w:lineRule="auto"/>
        <w:ind w:left="573" w:right="11" w:hanging="421"/>
        <w:jc w:val="left"/>
      </w:pPr>
      <w:r>
        <w:rPr/>
        <w:t>索乐软件有限公司施加重大影响，对其按权益法核算。</w:t>
      </w:r>
      <w:r>
        <w:rPr>
          <w:w w:val="100"/>
        </w:rPr>
        <w:t> </w:t>
      </w:r>
      <w:r>
        <w:rPr>
          <w:spacing w:val="-2"/>
        </w:rPr>
        <w:t>公司在北京蓝鲸众合投资管理有限公司的董事会中派有代表，并享有相应的实质性的参与决策权，能</w:t>
      </w:r>
    </w:p>
    <w:p>
      <w:pPr>
        <w:pStyle w:val="BodyText"/>
        <w:spacing w:line="243" w:lineRule="exact"/>
        <w:ind w:right="11"/>
        <w:jc w:val="left"/>
      </w:pPr>
      <w:r>
        <w:rPr/>
        <w:t>够对北京蓝鲸众合投资管理有限公司施加重大影响，对其按权益法核算。</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2</w:t>
      </w:r>
      <w:r>
        <w:rPr/>
        <w:t>）重要合营企业的主要财务信息</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509"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80"/>
      </w:tblGrid>
      <w:tr>
        <w:trPr>
          <w:trHeight w:val="509"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11"/>
        <w:rPr>
          <w:rFonts w:ascii="宋体" w:hAnsi="宋体" w:cs="宋体" w:eastAsia="宋体" w:hint="default"/>
          <w:sz w:val="9"/>
          <w:szCs w:val="9"/>
        </w:rPr>
      </w:pPr>
    </w:p>
    <w:p>
      <w:pPr>
        <w:pStyle w:val="BodyText"/>
        <w:spacing w:line="240" w:lineRule="auto" w:before="36"/>
        <w:ind w:left="633" w:right="100"/>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left="212" w:right="100"/>
        <w:jc w:val="left"/>
      </w:pPr>
      <w:r>
        <w:rPr/>
        <w:t>（</w:t>
      </w:r>
      <w:r>
        <w:rPr>
          <w:rFonts w:ascii="Times New Roman" w:hAnsi="Times New Roman" w:cs="Times New Roman" w:eastAsia="Times New Roman" w:hint="default"/>
        </w:rPr>
        <w:t>3</w:t>
      </w:r>
      <w:r>
        <w:rPr/>
        <w:t>）重要联营企业的主要财务信息</w:t>
      </w:r>
    </w:p>
    <w:p>
      <w:pPr>
        <w:spacing w:line="240" w:lineRule="auto" w:before="1"/>
        <w:rPr>
          <w:rFonts w:ascii="黑体" w:hAnsi="黑体" w:cs="黑体" w:eastAsia="黑体" w:hint="default"/>
          <w:sz w:val="24"/>
          <w:szCs w:val="24"/>
        </w:rPr>
      </w:pPr>
    </w:p>
    <w:p>
      <w:pPr>
        <w:pStyle w:val="BodyText"/>
        <w:spacing w:line="240" w:lineRule="auto"/>
        <w:ind w:left="633" w:right="100"/>
        <w:jc w:val="lef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69"/>
        <w:gridCol w:w="974"/>
        <w:gridCol w:w="1133"/>
        <w:gridCol w:w="994"/>
        <w:gridCol w:w="1133"/>
        <w:gridCol w:w="1136"/>
        <w:gridCol w:w="994"/>
        <w:gridCol w:w="1133"/>
        <w:gridCol w:w="1135"/>
      </w:tblGrid>
      <w:tr>
        <w:trPr>
          <w:trHeight w:val="509" w:hRule="exact"/>
        </w:trPr>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23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7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98"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35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443" w:hRule="exact"/>
        </w:trPr>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24" w:right="119"/>
              <w:jc w:val="both"/>
              <w:rPr>
                <w:rFonts w:ascii="宋体" w:hAnsi="宋体" w:cs="宋体" w:eastAsia="宋体" w:hint="default"/>
                <w:sz w:val="18"/>
                <w:szCs w:val="18"/>
              </w:rPr>
            </w:pPr>
            <w:r>
              <w:rPr>
                <w:rFonts w:ascii="宋体" w:hAnsi="宋体" w:cs="宋体" w:eastAsia="宋体" w:hint="default"/>
                <w:sz w:val="18"/>
                <w:szCs w:val="18"/>
              </w:rPr>
              <w:t>上海索乐 互娱科技 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10" w:right="111"/>
              <w:jc w:val="center"/>
              <w:rPr>
                <w:rFonts w:ascii="宋体" w:hAnsi="宋体" w:cs="宋体" w:eastAsia="宋体" w:hint="default"/>
                <w:sz w:val="18"/>
                <w:szCs w:val="18"/>
              </w:rPr>
            </w:pPr>
            <w:r>
              <w:rPr>
                <w:rFonts w:ascii="宋体" w:hAnsi="宋体" w:cs="宋体" w:eastAsia="宋体" w:hint="default"/>
                <w:sz w:val="18"/>
                <w:szCs w:val="18"/>
              </w:rPr>
              <w:t>上海海多投 资发展有限 公司</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32" w:right="131"/>
              <w:jc w:val="both"/>
              <w:rPr>
                <w:rFonts w:ascii="宋体" w:hAnsi="宋体" w:cs="宋体" w:eastAsia="宋体" w:hint="default"/>
                <w:sz w:val="18"/>
                <w:szCs w:val="18"/>
              </w:rPr>
            </w:pPr>
            <w:r>
              <w:rPr>
                <w:rFonts w:ascii="宋体" w:hAnsi="宋体" w:cs="宋体" w:eastAsia="宋体" w:hint="default"/>
                <w:sz w:val="18"/>
                <w:szCs w:val="18"/>
              </w:rPr>
              <w:t>北京旋极 拉卡拉信 息技术有 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10" w:right="110"/>
              <w:jc w:val="center"/>
              <w:rPr>
                <w:rFonts w:ascii="宋体" w:hAnsi="宋体" w:cs="宋体" w:eastAsia="宋体" w:hint="default"/>
                <w:sz w:val="18"/>
                <w:szCs w:val="18"/>
              </w:rPr>
            </w:pPr>
            <w:r>
              <w:rPr>
                <w:rFonts w:ascii="宋体" w:hAnsi="宋体" w:cs="宋体" w:eastAsia="宋体" w:hint="default"/>
                <w:sz w:val="18"/>
                <w:szCs w:val="18"/>
              </w:rPr>
              <w:t>北京唯致动 力网络信息 科技有限公 司</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12" w:right="111"/>
              <w:jc w:val="center"/>
              <w:rPr>
                <w:rFonts w:ascii="宋体" w:hAnsi="宋体" w:cs="宋体" w:eastAsia="宋体" w:hint="default"/>
                <w:sz w:val="18"/>
                <w:szCs w:val="18"/>
              </w:rPr>
            </w:pPr>
            <w:r>
              <w:rPr>
                <w:rFonts w:ascii="宋体" w:hAnsi="宋体" w:cs="宋体" w:eastAsia="宋体" w:hint="default"/>
                <w:sz w:val="18"/>
                <w:szCs w:val="18"/>
              </w:rPr>
              <w:t>上海索乐互 娱科技有限 公司</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31" w:right="131"/>
              <w:jc w:val="both"/>
              <w:rPr>
                <w:rFonts w:ascii="宋体" w:hAnsi="宋体" w:cs="宋体" w:eastAsia="宋体" w:hint="default"/>
                <w:sz w:val="18"/>
                <w:szCs w:val="18"/>
              </w:rPr>
            </w:pPr>
            <w:r>
              <w:rPr>
                <w:rFonts w:ascii="宋体" w:hAnsi="宋体" w:cs="宋体" w:eastAsia="宋体" w:hint="default"/>
                <w:sz w:val="18"/>
                <w:szCs w:val="18"/>
              </w:rPr>
              <w:t>上海海多 投资发展 有限公司</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10" w:right="111"/>
              <w:jc w:val="both"/>
              <w:rPr>
                <w:rFonts w:ascii="宋体" w:hAnsi="宋体" w:cs="宋体" w:eastAsia="宋体" w:hint="default"/>
                <w:sz w:val="18"/>
                <w:szCs w:val="18"/>
              </w:rPr>
            </w:pPr>
            <w:r>
              <w:rPr>
                <w:rFonts w:ascii="宋体" w:hAnsi="宋体" w:cs="宋体" w:eastAsia="宋体" w:hint="default"/>
                <w:sz w:val="18"/>
                <w:szCs w:val="18"/>
              </w:rPr>
              <w:t>北京旋极拉 卡拉信息技 术有限公司</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1"/>
              <w:ind w:left="110" w:right="113"/>
              <w:jc w:val="center"/>
              <w:rPr>
                <w:rFonts w:ascii="宋体" w:hAnsi="宋体" w:cs="宋体" w:eastAsia="宋体" w:hint="default"/>
                <w:sz w:val="18"/>
                <w:szCs w:val="18"/>
              </w:rPr>
            </w:pPr>
            <w:r>
              <w:rPr>
                <w:rFonts w:ascii="宋体" w:hAnsi="宋体" w:cs="宋体" w:eastAsia="宋体" w:hint="default"/>
                <w:sz w:val="18"/>
                <w:szCs w:val="18"/>
              </w:rPr>
              <w:t>北京唯致动 力网络信息 科技有限公 司</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流动资</w:t>
            </w:r>
            <w:r>
              <w:rPr>
                <w:rFonts w:ascii="宋体" w:hAnsi="宋体" w:cs="宋体" w:eastAsia="宋体" w:hint="default"/>
                <w:spacing w:val="-33"/>
                <w:sz w:val="18"/>
                <w:szCs w:val="18"/>
              </w:rPr>
              <w:t> </w:t>
            </w:r>
            <w:r>
              <w:rPr>
                <w:rFonts w:ascii="宋体" w:hAnsi="宋体" w:cs="宋体" w:eastAsia="宋体" w:hint="default"/>
                <w:sz w:val="18"/>
                <w:szCs w:val="18"/>
              </w:rPr>
              <w:t>产</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13,489,86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10,798,374.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10,960,03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10,813,447.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18,959,059.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25,510,36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10,857,598.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6,793,431.7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非流动</w:t>
            </w:r>
            <w:r>
              <w:rPr>
                <w:rFonts w:ascii="宋体" w:hAnsi="宋体" w:cs="宋体" w:eastAsia="宋体" w:hint="default"/>
                <w:spacing w:val="-33"/>
                <w:sz w:val="18"/>
                <w:szCs w:val="18"/>
              </w:rPr>
              <w:t> </w:t>
            </w:r>
            <w:r>
              <w:rPr>
                <w:rFonts w:ascii="宋体" w:hAnsi="宋体" w:cs="宋体" w:eastAsia="宋体" w:hint="default"/>
                <w:sz w:val="18"/>
                <w:szCs w:val="18"/>
              </w:rPr>
              <w:t>资产</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21,778,73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67,496,819.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3,498.18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794,093.60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23,813,223.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75,824,11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10,501.41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27,512,540.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w:t>
            </w:r>
          </w:p>
        </w:tc>
      </w:tr>
      <w:tr>
        <w:trPr>
          <w:trHeight w:val="81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资产合</w:t>
            </w:r>
            <w:r>
              <w:rPr>
                <w:rFonts w:ascii="宋体" w:hAnsi="宋体" w:cs="宋体" w:eastAsia="宋体" w:hint="default"/>
                <w:spacing w:val="-33"/>
                <w:sz w:val="18"/>
                <w:szCs w:val="18"/>
              </w:rPr>
              <w:t> </w:t>
            </w:r>
            <w:r>
              <w:rPr>
                <w:rFonts w:ascii="宋体" w:hAnsi="宋体" w:cs="宋体" w:eastAsia="宋体" w:hint="default"/>
                <w:sz w:val="18"/>
                <w:szCs w:val="18"/>
              </w:rPr>
              <w:t>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35,268,60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78,296,193.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10,963,53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11,607,541.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42,772,283.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101,334,4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10,868,100.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34,305,972.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流动负</w:t>
            </w:r>
            <w:r>
              <w:rPr>
                <w:rFonts w:ascii="宋体" w:hAnsi="宋体" w:cs="宋体" w:eastAsia="宋体" w:hint="default"/>
                <w:spacing w:val="-33"/>
                <w:sz w:val="18"/>
                <w:szCs w:val="18"/>
              </w:rPr>
              <w:t> </w:t>
            </w:r>
            <w:r>
              <w:rPr>
                <w:rFonts w:ascii="宋体" w:hAnsi="宋体" w:cs="宋体" w:eastAsia="宋体" w:hint="default"/>
                <w:sz w:val="18"/>
                <w:szCs w:val="18"/>
              </w:rPr>
              <w:t>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28,986,28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7,844,559.3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-549.54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8,685,246.3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14,083,813.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4,390,241.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-670.74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10,519,104.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非流动</w:t>
            </w:r>
            <w:r>
              <w:rPr>
                <w:rFonts w:ascii="宋体" w:hAnsi="宋体" w:cs="宋体" w:eastAsia="宋体" w:hint="default"/>
                <w:spacing w:val="-33"/>
                <w:sz w:val="18"/>
                <w:szCs w:val="18"/>
              </w:rPr>
              <w:t> </w:t>
            </w:r>
            <w:r>
              <w:rPr>
                <w:rFonts w:ascii="宋体" w:hAnsi="宋体" w:cs="宋体" w:eastAsia="宋体" w:hint="default"/>
                <w:sz w:val="18"/>
                <w:szCs w:val="18"/>
              </w:rPr>
              <w:t>负债</w:t>
            </w:r>
          </w:p>
        </w:tc>
        <w:tc>
          <w:tcPr>
            <w:tcW w:w="9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负债合</w:t>
            </w:r>
            <w:r>
              <w:rPr>
                <w:rFonts w:ascii="宋体" w:hAnsi="宋体" w:cs="宋体" w:eastAsia="宋体" w:hint="default"/>
                <w:spacing w:val="-33"/>
                <w:sz w:val="18"/>
                <w:szCs w:val="18"/>
              </w:rPr>
              <w:t> </w:t>
            </w:r>
            <w:r>
              <w:rPr>
                <w:rFonts w:ascii="宋体" w:hAnsi="宋体" w:cs="宋体" w:eastAsia="宋体" w:hint="default"/>
                <w:sz w:val="18"/>
                <w:szCs w:val="18"/>
              </w:rPr>
              <w:t>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28,986,28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7,844,559.3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-549.54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8,685,246.3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14,083,813.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4,390,241.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-670.74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10,519,104.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55</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少数股</w:t>
            </w:r>
            <w:r>
              <w:rPr>
                <w:rFonts w:ascii="宋体" w:hAnsi="宋体" w:cs="宋体" w:eastAsia="宋体" w:hint="default"/>
                <w:spacing w:val="-33"/>
                <w:sz w:val="18"/>
                <w:szCs w:val="18"/>
              </w:rPr>
              <w:t> </w:t>
            </w:r>
            <w:r>
              <w:rPr>
                <w:rFonts w:ascii="宋体" w:hAnsi="宋体" w:cs="宋体" w:eastAsia="宋体" w:hint="default"/>
                <w:sz w:val="18"/>
                <w:szCs w:val="18"/>
              </w:rPr>
              <w:t>东权益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-2,784,32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16,535,587.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-550,752.03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29,715,91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44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both"/>
              <w:rPr>
                <w:rFonts w:ascii="宋体" w:hAnsi="宋体" w:cs="宋体" w:eastAsia="宋体" w:hint="default"/>
                <w:sz w:val="18"/>
                <w:szCs w:val="18"/>
              </w:rPr>
            </w:pPr>
            <w:r>
              <w:rPr>
                <w:rFonts w:ascii="宋体" w:hAnsi="宋体" w:cs="宋体" w:eastAsia="宋体" w:hint="default"/>
                <w:spacing w:val="38"/>
                <w:sz w:val="18"/>
                <w:szCs w:val="18"/>
              </w:rPr>
              <w:t>归属于</w:t>
            </w:r>
            <w:r>
              <w:rPr>
                <w:rFonts w:ascii="宋体" w:hAnsi="宋体" w:cs="宋体" w:eastAsia="宋体" w:hint="default"/>
                <w:spacing w:val="-33"/>
                <w:sz w:val="18"/>
                <w:szCs w:val="18"/>
              </w:rPr>
              <w:t> </w:t>
            </w:r>
            <w:r>
              <w:rPr>
                <w:rFonts w:ascii="宋体" w:hAnsi="宋体" w:cs="宋体" w:eastAsia="宋体" w:hint="default"/>
                <w:spacing w:val="38"/>
                <w:sz w:val="18"/>
                <w:szCs w:val="18"/>
              </w:rPr>
              <w:t>母公司</w:t>
            </w:r>
            <w:r>
              <w:rPr>
                <w:rFonts w:ascii="宋体" w:hAnsi="宋体" w:cs="宋体" w:eastAsia="宋体" w:hint="default"/>
                <w:spacing w:val="-33"/>
                <w:sz w:val="18"/>
                <w:szCs w:val="18"/>
              </w:rPr>
              <w:t> </w:t>
            </w:r>
            <w:r>
              <w:rPr>
                <w:rFonts w:ascii="宋体" w:hAnsi="宋体" w:cs="宋体" w:eastAsia="宋体" w:hint="default"/>
                <w:spacing w:val="38"/>
                <w:sz w:val="18"/>
                <w:szCs w:val="18"/>
              </w:rPr>
              <w:t>股东权</w:t>
            </w:r>
            <w:r>
              <w:rPr>
                <w:rFonts w:ascii="宋体" w:hAnsi="宋体" w:cs="宋体" w:eastAsia="宋体" w:hint="default"/>
                <w:spacing w:val="-33"/>
                <w:sz w:val="18"/>
                <w:szCs w:val="18"/>
              </w:rPr>
              <w:t> </w:t>
            </w:r>
            <w:r>
              <w:rPr>
                <w:rFonts w:ascii="宋体" w:hAnsi="宋体" w:cs="宋体" w:eastAsia="宋体" w:hint="default"/>
                <w:sz w:val="18"/>
                <w:szCs w:val="18"/>
              </w:rPr>
              <w:t>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9,066,634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53,915,046.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10,964,08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2,922,295.2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29,239,222.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67,228,31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10,868,770.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23,786,867.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w:t>
            </w:r>
          </w:p>
        </w:tc>
      </w:tr>
      <w:tr>
        <w:trPr>
          <w:trHeight w:val="175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both"/>
              <w:rPr>
                <w:rFonts w:ascii="宋体" w:hAnsi="宋体" w:cs="宋体" w:eastAsia="宋体" w:hint="default"/>
                <w:sz w:val="18"/>
                <w:szCs w:val="18"/>
              </w:rPr>
            </w:pPr>
            <w:r>
              <w:rPr>
                <w:rFonts w:ascii="宋体" w:hAnsi="宋体" w:cs="宋体" w:eastAsia="宋体" w:hint="default"/>
                <w:spacing w:val="38"/>
                <w:sz w:val="18"/>
                <w:szCs w:val="18"/>
              </w:rPr>
              <w:t>按持股</w:t>
            </w:r>
            <w:r>
              <w:rPr>
                <w:rFonts w:ascii="宋体" w:hAnsi="宋体" w:cs="宋体" w:eastAsia="宋体" w:hint="default"/>
                <w:spacing w:val="-33"/>
                <w:sz w:val="18"/>
                <w:szCs w:val="18"/>
              </w:rPr>
              <w:t> </w:t>
            </w:r>
            <w:r>
              <w:rPr>
                <w:rFonts w:ascii="宋体" w:hAnsi="宋体" w:cs="宋体" w:eastAsia="宋体" w:hint="default"/>
                <w:spacing w:val="38"/>
                <w:sz w:val="18"/>
                <w:szCs w:val="18"/>
              </w:rPr>
              <w:t>比例计</w:t>
            </w:r>
            <w:r>
              <w:rPr>
                <w:rFonts w:ascii="宋体" w:hAnsi="宋体" w:cs="宋体" w:eastAsia="宋体" w:hint="default"/>
                <w:spacing w:val="-33"/>
                <w:sz w:val="18"/>
                <w:szCs w:val="18"/>
              </w:rPr>
              <w:t> </w:t>
            </w:r>
            <w:r>
              <w:rPr>
                <w:rFonts w:ascii="宋体" w:hAnsi="宋体" w:cs="宋体" w:eastAsia="宋体" w:hint="default"/>
                <w:spacing w:val="38"/>
                <w:sz w:val="18"/>
                <w:szCs w:val="18"/>
              </w:rPr>
              <w:t>算的净</w:t>
            </w:r>
            <w:r>
              <w:rPr>
                <w:rFonts w:ascii="宋体" w:hAnsi="宋体" w:cs="宋体" w:eastAsia="宋体" w:hint="default"/>
                <w:spacing w:val="-33"/>
                <w:sz w:val="18"/>
                <w:szCs w:val="18"/>
              </w:rPr>
              <w:t> </w:t>
            </w:r>
            <w:r>
              <w:rPr>
                <w:rFonts w:ascii="宋体" w:hAnsi="宋体" w:cs="宋体" w:eastAsia="宋体" w:hint="default"/>
                <w:spacing w:val="38"/>
                <w:sz w:val="18"/>
                <w:szCs w:val="18"/>
              </w:rPr>
              <w:t>资产份</w:t>
            </w:r>
            <w:r>
              <w:rPr>
                <w:rFonts w:ascii="宋体" w:hAnsi="宋体" w:cs="宋体" w:eastAsia="宋体" w:hint="default"/>
                <w:spacing w:val="-33"/>
                <w:sz w:val="18"/>
                <w:szCs w:val="18"/>
              </w:rPr>
              <w:t> </w:t>
            </w:r>
            <w:r>
              <w:rPr>
                <w:rFonts w:ascii="宋体" w:hAnsi="宋体" w:cs="宋体" w:eastAsia="宋体" w:hint="default"/>
                <w:sz w:val="18"/>
                <w:szCs w:val="18"/>
              </w:rPr>
              <w:t>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1,631,994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9,704,708.3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5,482,040.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1,177,392.7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5,263,059.9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12,101,09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5,434,385.3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9,583,728.9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50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43,158,42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11,789,687.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43,158,421.</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11,789,687.</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20" w:right="980"/>
        </w:sectPr>
      </w:pP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869"/>
        <w:gridCol w:w="974"/>
        <w:gridCol w:w="1133"/>
        <w:gridCol w:w="994"/>
        <w:gridCol w:w="1133"/>
        <w:gridCol w:w="1136"/>
        <w:gridCol w:w="994"/>
        <w:gridCol w:w="1133"/>
        <w:gridCol w:w="1135"/>
      </w:tblGrid>
      <w:tr>
        <w:trPr>
          <w:trHeight w:val="416"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9,973,652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-9,685,935.2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8,138,906.8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9,909,096.2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-9,450,09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75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both"/>
              <w:rPr>
                <w:rFonts w:ascii="宋体" w:hAnsi="宋体" w:cs="宋体" w:eastAsia="宋体" w:hint="default"/>
                <w:sz w:val="18"/>
                <w:szCs w:val="18"/>
              </w:rPr>
            </w:pPr>
            <w:r>
              <w:rPr>
                <w:rFonts w:ascii="宋体" w:hAnsi="宋体" w:cs="宋体" w:eastAsia="宋体" w:hint="default"/>
                <w:spacing w:val="38"/>
                <w:sz w:val="18"/>
                <w:szCs w:val="18"/>
              </w:rPr>
              <w:t>对联营</w:t>
            </w:r>
            <w:r>
              <w:rPr>
                <w:rFonts w:ascii="宋体" w:hAnsi="宋体" w:cs="宋体" w:eastAsia="宋体" w:hint="default"/>
                <w:spacing w:val="-33"/>
                <w:sz w:val="18"/>
                <w:szCs w:val="18"/>
              </w:rPr>
              <w:t> </w:t>
            </w:r>
            <w:r>
              <w:rPr>
                <w:rFonts w:ascii="宋体" w:hAnsi="宋体" w:cs="宋体" w:eastAsia="宋体" w:hint="default"/>
                <w:spacing w:val="38"/>
                <w:sz w:val="18"/>
                <w:szCs w:val="18"/>
              </w:rPr>
              <w:t>企业权</w:t>
            </w:r>
            <w:r>
              <w:rPr>
                <w:rFonts w:ascii="宋体" w:hAnsi="宋体" w:cs="宋体" w:eastAsia="宋体" w:hint="default"/>
                <w:spacing w:val="-33"/>
                <w:sz w:val="18"/>
                <w:szCs w:val="18"/>
              </w:rPr>
              <w:t> </w:t>
            </w:r>
            <w:r>
              <w:rPr>
                <w:rFonts w:ascii="宋体" w:hAnsi="宋体" w:cs="宋体" w:eastAsia="宋体" w:hint="default"/>
                <w:spacing w:val="38"/>
                <w:sz w:val="18"/>
                <w:szCs w:val="18"/>
              </w:rPr>
              <w:t>益投资</w:t>
            </w:r>
            <w:r>
              <w:rPr>
                <w:rFonts w:ascii="宋体" w:hAnsi="宋体" w:cs="宋体" w:eastAsia="宋体" w:hint="default"/>
                <w:spacing w:val="-33"/>
                <w:sz w:val="18"/>
                <w:szCs w:val="18"/>
              </w:rPr>
              <w:t> </w:t>
            </w:r>
            <w:r>
              <w:rPr>
                <w:rFonts w:ascii="宋体" w:hAnsi="宋体" w:cs="宋体" w:eastAsia="宋体" w:hint="default"/>
                <w:spacing w:val="38"/>
                <w:sz w:val="18"/>
                <w:szCs w:val="18"/>
              </w:rPr>
              <w:t>的账面</w:t>
            </w:r>
            <w:r>
              <w:rPr>
                <w:rFonts w:ascii="宋体" w:hAnsi="宋体" w:cs="宋体" w:eastAsia="宋体" w:hint="default"/>
                <w:spacing w:val="-33"/>
                <w:sz w:val="18"/>
                <w:szCs w:val="18"/>
              </w:rPr>
              <w:t> </w:t>
            </w:r>
            <w:r>
              <w:rPr>
                <w:rFonts w:ascii="宋体" w:hAnsi="宋体" w:cs="宋体" w:eastAsia="宋体" w:hint="default"/>
                <w:sz w:val="18"/>
                <w:szCs w:val="18"/>
              </w:rPr>
              <w:t>价值</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54,764,06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18,773.13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5,482,040.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21,105,986.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58,330,577.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2,651,000.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5,434,385.3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21,373,416.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营业收</w:t>
            </w:r>
            <w:r>
              <w:rPr>
                <w:rFonts w:ascii="宋体" w:hAnsi="宋体" w:cs="宋体" w:eastAsia="宋体" w:hint="default"/>
                <w:spacing w:val="-33"/>
                <w:sz w:val="18"/>
                <w:szCs w:val="18"/>
              </w:rPr>
              <w:t> </w:t>
            </w:r>
            <w:r>
              <w:rPr>
                <w:rFonts w:ascii="宋体" w:hAnsi="宋体" w:cs="宋体" w:eastAsia="宋体" w:hint="default"/>
                <w:sz w:val="18"/>
                <w:szCs w:val="18"/>
              </w:rPr>
              <w:t>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5,626,414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7,266,935.3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7,959.83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12,737,061.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29,295,046.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3,952,056.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877,583.46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12,294,367.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-19,813,9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-14,623,486.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95,310.26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-663,761.19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4,110,515.1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-18,845,4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-3,311,074.7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92,391.45</w:t>
            </w:r>
          </w:p>
        </w:tc>
      </w:tr>
      <w:tr>
        <w:trPr>
          <w:trHeight w:val="818"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其他综</w:t>
            </w:r>
            <w:r>
              <w:rPr>
                <w:rFonts w:ascii="宋体" w:hAnsi="宋体" w:cs="宋体" w:eastAsia="宋体" w:hint="default"/>
                <w:spacing w:val="-33"/>
                <w:sz w:val="18"/>
                <w:szCs w:val="18"/>
              </w:rPr>
              <w:t> </w:t>
            </w:r>
            <w:r>
              <w:rPr>
                <w:rFonts w:ascii="宋体" w:hAnsi="宋体" w:cs="宋体" w:eastAsia="宋体" w:hint="default"/>
                <w:sz w:val="18"/>
                <w:szCs w:val="18"/>
              </w:rPr>
              <w:t>合收益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0.00</w:t>
            </w:r>
          </w:p>
        </w:tc>
      </w:tr>
      <w:tr>
        <w:trPr>
          <w:trHeight w:val="82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41"/>
              <w:jc w:val="left"/>
              <w:rPr>
                <w:rFonts w:ascii="宋体" w:hAnsi="宋体" w:cs="宋体" w:eastAsia="宋体" w:hint="default"/>
                <w:sz w:val="18"/>
                <w:szCs w:val="18"/>
              </w:rPr>
            </w:pPr>
            <w:r>
              <w:rPr>
                <w:rFonts w:ascii="宋体" w:hAnsi="宋体" w:cs="宋体" w:eastAsia="宋体" w:hint="default"/>
                <w:spacing w:val="38"/>
                <w:sz w:val="18"/>
                <w:szCs w:val="18"/>
              </w:rPr>
              <w:t>综合收</w:t>
            </w:r>
            <w:r>
              <w:rPr>
                <w:rFonts w:ascii="宋体" w:hAnsi="宋体" w:cs="宋体" w:eastAsia="宋体" w:hint="default"/>
                <w:spacing w:val="-33"/>
                <w:sz w:val="18"/>
                <w:szCs w:val="18"/>
              </w:rPr>
              <w:t> </w:t>
            </w:r>
            <w:r>
              <w:rPr>
                <w:rFonts w:ascii="宋体" w:hAnsi="宋体" w:cs="宋体" w:eastAsia="宋体" w:hint="default"/>
                <w:sz w:val="18"/>
                <w:szCs w:val="18"/>
              </w:rPr>
              <w:t>益总额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-19,813,9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-14,623,486.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95,310.26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-663,761.19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1,568,589.6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-18,845,4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-3,311,074.7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92,391.45</w:t>
            </w:r>
          </w:p>
        </w:tc>
      </w:tr>
    </w:tbl>
    <w:p>
      <w:pPr>
        <w:spacing w:line="240" w:lineRule="auto" w:before="12"/>
        <w:rPr>
          <w:rFonts w:ascii="宋体" w:hAnsi="宋体" w:cs="宋体" w:eastAsia="宋体" w:hint="default"/>
          <w:sz w:val="9"/>
          <w:szCs w:val="9"/>
        </w:rPr>
      </w:pPr>
    </w:p>
    <w:p>
      <w:pPr>
        <w:pStyle w:val="BodyText"/>
        <w:spacing w:line="240" w:lineRule="auto" w:before="36"/>
        <w:ind w:left="633" w:right="100"/>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left="212" w:right="100"/>
        <w:jc w:val="left"/>
      </w:pPr>
      <w:r>
        <w:rPr/>
        <w:t>（</w:t>
      </w:r>
      <w:r>
        <w:rPr>
          <w:rFonts w:ascii="Times New Roman" w:hAnsi="Times New Roman" w:cs="Times New Roman" w:eastAsia="Times New Roman" w:hint="default"/>
        </w:rPr>
        <w:t>4</w:t>
      </w:r>
      <w:r>
        <w:rPr/>
        <w:t>）不重要的合营企业和联营企业的汇总财务信息</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5"/>
      </w:tblGrid>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50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238,438,835.01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147,257,495.61</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12,700,988.93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11,235,370.18</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12,700,988.93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11,235,370.18</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11"/>
        <w:rPr>
          <w:rFonts w:ascii="宋体" w:hAnsi="宋体" w:cs="宋体" w:eastAsia="宋体" w:hint="default"/>
          <w:sz w:val="9"/>
          <w:szCs w:val="9"/>
        </w:rPr>
      </w:pPr>
    </w:p>
    <w:p>
      <w:pPr>
        <w:pStyle w:val="BodyText"/>
        <w:spacing w:line="240" w:lineRule="auto" w:before="36"/>
        <w:ind w:left="633" w:right="100"/>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left="212" w:right="100"/>
        <w:jc w:val="left"/>
      </w:pPr>
      <w:r>
        <w:rPr/>
        <w:t>（</w:t>
      </w:r>
      <w:r>
        <w:rPr>
          <w:rFonts w:ascii="Times New Roman" w:hAnsi="Times New Roman" w:cs="Times New Roman" w:eastAsia="Times New Roman" w:hint="default"/>
        </w:rPr>
        <w:t>5</w:t>
      </w:r>
      <w:r>
        <w:rPr/>
        <w:t>）合营企业或联营企业向本公司转移资金的能力存在重大限制的说明</w:t>
      </w:r>
    </w:p>
    <w:p>
      <w:pPr>
        <w:spacing w:after="0" w:line="240" w:lineRule="auto"/>
        <w:jc w:val="left"/>
        <w:sectPr>
          <w:pgSz w:w="11910" w:h="16840"/>
          <w:pgMar w:header="882" w:footer="1132" w:top="1280" w:bottom="1320" w:left="920" w:right="980"/>
        </w:sectPr>
      </w:pPr>
    </w:p>
    <w:p>
      <w:pPr>
        <w:spacing w:line="240" w:lineRule="auto" w:before="13"/>
        <w:rPr>
          <w:rFonts w:ascii="黑体" w:hAnsi="黑体" w:cs="黑体" w:eastAsia="黑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6</w:t>
      </w:r>
      <w:r>
        <w:rPr/>
        <w:t>）合营企业或联营企业发生的超额亏损</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82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23" w:right="22"/>
              <w:jc w:val="left"/>
              <w:rPr>
                <w:rFonts w:ascii="宋体" w:hAnsi="宋体" w:cs="宋体" w:eastAsia="宋体" w:hint="default"/>
                <w:sz w:val="18"/>
                <w:szCs w:val="18"/>
              </w:rPr>
            </w:pPr>
            <w:r>
              <w:rPr>
                <w:rFonts w:ascii="宋体" w:hAnsi="宋体" w:cs="宋体" w:eastAsia="宋体" w:hint="default"/>
                <w:spacing w:val="14"/>
                <w:sz w:val="18"/>
                <w:szCs w:val="18"/>
              </w:rPr>
              <w:t>累积未确认前期累计认的损</w:t>
            </w:r>
            <w:r>
              <w:rPr>
                <w:rFonts w:ascii="宋体" w:hAnsi="宋体" w:cs="宋体" w:eastAsia="宋体" w:hint="default"/>
                <w:sz w:val="18"/>
                <w:szCs w:val="18"/>
              </w:rPr>
              <w:t>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24" w:right="20"/>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7</w:t>
      </w:r>
      <w:r>
        <w:rPr/>
        <w:t>）与合营企业投资相关的未确认承诺</w:t>
      </w:r>
    </w:p>
    <w:p>
      <w:pPr>
        <w:spacing w:line="240" w:lineRule="auto" w:before="12"/>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8</w:t>
      </w:r>
      <w:r>
        <w:rPr/>
        <w:t>）与合营企业或联营企业投资相关的或有负债</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4</w:t>
      </w:r>
      <w:r>
        <w:rPr/>
        <w:t>、重要的共同经营</w:t>
      </w:r>
    </w:p>
    <w:p>
      <w:pPr>
        <w:spacing w:line="240" w:lineRule="auto" w:before="2"/>
        <w:rPr>
          <w:rFonts w:ascii="黑体" w:hAnsi="黑体" w:cs="黑体" w:eastAsia="黑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509"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0"/>
              <w:ind w:left="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509"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间接</w:t>
            </w:r>
          </w:p>
        </w:tc>
      </w:tr>
    </w:tbl>
    <w:p>
      <w:pPr>
        <w:spacing w:line="240" w:lineRule="auto" w:before="11"/>
        <w:rPr>
          <w:rFonts w:ascii="黑体" w:hAnsi="黑体" w:cs="黑体" w:eastAsia="黑体" w:hint="default"/>
          <w:sz w:val="9"/>
          <w:szCs w:val="9"/>
        </w:rPr>
      </w:pPr>
    </w:p>
    <w:p>
      <w:pPr>
        <w:pStyle w:val="BodyText"/>
        <w:spacing w:line="494" w:lineRule="auto" w:before="36"/>
        <w:ind w:left="573" w:right="11"/>
        <w:jc w:val="left"/>
      </w:pPr>
      <w:r>
        <w:rPr>
          <w:spacing w:val="-2"/>
        </w:rPr>
        <w:t>在共同经营中的持股比例或享有的份额不同于表决权比例的说明：</w:t>
      </w:r>
      <w:r>
        <w:rPr>
          <w:spacing w:val="-49"/>
        </w:rPr>
        <w:t> </w:t>
      </w:r>
      <w:r>
        <w:rPr>
          <w:spacing w:val="-49"/>
        </w:rPr>
      </w:r>
      <w:r>
        <w:rPr/>
        <w:t>共同经营为单独主体的，分类为共同经营的依据：</w:t>
      </w:r>
    </w:p>
    <w:p>
      <w:pPr>
        <w:pStyle w:val="BodyText"/>
        <w:spacing w:line="240" w:lineRule="auto" w:before="71"/>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w:t>
      </w:r>
      <w:r>
        <w:rPr/>
        <w:t>、在未纳入合并财务报表范围的结构化主体中的权益</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未纳入合并财务报表范围的结构化主体的相关说明：</w:t>
      </w:r>
    </w:p>
    <w:p>
      <w:pPr>
        <w:spacing w:line="240" w:lineRule="auto" w:before="10"/>
        <w:rPr>
          <w:rFonts w:ascii="宋体" w:hAnsi="宋体" w:cs="宋体" w:eastAsia="宋体" w:hint="default"/>
          <w:sz w:val="24"/>
          <w:szCs w:val="24"/>
        </w:rPr>
      </w:pPr>
    </w:p>
    <w:p>
      <w:pPr>
        <w:pStyle w:val="Heading2"/>
        <w:spacing w:line="583" w:lineRule="auto" w:before="0"/>
        <w:ind w:right="6426"/>
        <w:jc w:val="left"/>
      </w:pPr>
      <w:r>
        <w:rPr>
          <w:rFonts w:ascii="Times New Roman" w:hAnsi="Times New Roman" w:cs="Times New Roman" w:eastAsia="Times New Roman" w:hint="default"/>
          <w:sz w:val="24"/>
          <w:szCs w:val="24"/>
        </w:rPr>
        <w:t>6</w:t>
      </w:r>
      <w:r>
        <w:rPr>
          <w:sz w:val="24"/>
          <w:szCs w:val="24"/>
        </w:rPr>
        <w:t>、其他 </w:t>
      </w:r>
      <w:r>
        <w:rPr>
          <w:spacing w:val="-1"/>
        </w:rPr>
        <w:t>十、与金融工具相关的风险</w:t>
      </w:r>
      <w:r>
        <w:rPr>
          <w:spacing w:val="-128"/>
        </w:rPr>
        <w:t> </w:t>
      </w:r>
      <w:r>
        <w:rPr>
          <w:spacing w:val="-128"/>
        </w:rPr>
      </w:r>
      <w:r>
        <w:rPr/>
        <w:t>十一、公允价值的披露</w:t>
      </w:r>
    </w:p>
    <w:p>
      <w:pPr>
        <w:pStyle w:val="Heading3"/>
        <w:spacing w:line="240" w:lineRule="auto" w:before="103"/>
        <w:ind w:right="11"/>
        <w:jc w:val="left"/>
      </w:pPr>
      <w:r>
        <w:rPr>
          <w:rFonts w:ascii="Times New Roman" w:hAnsi="Times New Roman" w:cs="Times New Roman" w:eastAsia="Times New Roman" w:hint="default"/>
        </w:rPr>
        <w:t>1</w:t>
      </w:r>
      <w:r>
        <w:rPr/>
        <w:t>、以公允价值计量的资产和负债的期末公允价值</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508"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820"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3" w:right="23"/>
              <w:jc w:val="left"/>
              <w:rPr>
                <w:rFonts w:ascii="宋体" w:hAnsi="宋体" w:cs="宋体" w:eastAsia="宋体" w:hint="default"/>
                <w:sz w:val="18"/>
                <w:szCs w:val="18"/>
              </w:rPr>
            </w:pPr>
            <w:r>
              <w:rPr>
                <w:rFonts w:ascii="宋体" w:hAnsi="宋体" w:cs="宋体" w:eastAsia="宋体" w:hint="default"/>
                <w:spacing w:val="17"/>
                <w:sz w:val="18"/>
                <w:szCs w:val="18"/>
              </w:rPr>
              <w:t>第一层次公允价值计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509"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818"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、持续和非持续第一层次公允价值计量项目市价的确定依据</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3</w:t>
      </w:r>
      <w:r>
        <w:rPr/>
        <w:t>、持续和非持续第二层次公允价值计量项目，采用的估值技术和重要参数的定性及定量信息</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4</w:t>
      </w:r>
      <w:r>
        <w:rPr/>
        <w:t>、持续和非持续第三层次公允价值计量项目，采用的估值技术和重要参数的定性及定量信息</w:t>
      </w:r>
    </w:p>
    <w:p>
      <w:pPr>
        <w:spacing w:line="240" w:lineRule="auto" w:before="1"/>
        <w:rPr>
          <w:rFonts w:ascii="黑体" w:hAnsi="黑体" w:cs="黑体" w:eastAsia="黑体" w:hint="default"/>
          <w:sz w:val="25"/>
          <w:szCs w:val="25"/>
        </w:rPr>
      </w:pPr>
    </w:p>
    <w:p>
      <w:pPr>
        <w:pStyle w:val="Heading3"/>
        <w:spacing w:line="391" w:lineRule="auto"/>
        <w:ind w:right="136"/>
        <w:jc w:val="left"/>
      </w:pPr>
      <w:r>
        <w:rPr>
          <w:rFonts w:ascii="Times New Roman" w:hAnsi="Times New Roman" w:cs="Times New Roman" w:eastAsia="Times New Roman" w:hint="default"/>
          <w:spacing w:val="-2"/>
        </w:rPr>
        <w:t>5</w:t>
      </w:r>
      <w:r>
        <w:rPr>
          <w:spacing w:val="-2"/>
        </w:rPr>
        <w:t>、持续的第三层次公允价值计量项目，期初与期末账面价值间的调节信息及不可观察参数敏</w:t>
      </w:r>
      <w:r>
        <w:rPr/>
        <w:t> 感性分析</w:t>
      </w:r>
    </w:p>
    <w:p>
      <w:pPr>
        <w:pStyle w:val="Heading3"/>
        <w:spacing w:line="391" w:lineRule="auto" w:before="192"/>
        <w:ind w:right="136"/>
        <w:jc w:val="left"/>
      </w:pPr>
      <w:r>
        <w:rPr>
          <w:rFonts w:ascii="Times New Roman" w:hAnsi="Times New Roman" w:cs="Times New Roman" w:eastAsia="Times New Roman" w:hint="default"/>
          <w:spacing w:val="-2"/>
        </w:rPr>
        <w:t>6</w:t>
      </w:r>
      <w:r>
        <w:rPr>
          <w:spacing w:val="-2"/>
        </w:rPr>
        <w:t>、持续的公允价值计量项目，本期内发生各层级之间转换的，转换的原因及确定转换时点的</w:t>
      </w:r>
      <w:r>
        <w:rPr/>
        <w:t> 政策</w:t>
      </w:r>
    </w:p>
    <w:p>
      <w:pPr>
        <w:pStyle w:val="Heading3"/>
        <w:spacing w:line="240" w:lineRule="auto" w:before="194"/>
        <w:ind w:right="11"/>
        <w:jc w:val="left"/>
      </w:pPr>
      <w:r>
        <w:rPr>
          <w:rFonts w:ascii="Times New Roman" w:hAnsi="Times New Roman" w:cs="Times New Roman" w:eastAsia="Times New Roman" w:hint="default"/>
        </w:rPr>
        <w:t>7</w:t>
      </w:r>
      <w:r>
        <w:rPr/>
        <w:t>、本期内发生的估值技术变更及变更原因</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8</w:t>
      </w:r>
      <w:r>
        <w:rPr/>
        <w:t>、不以公允价值计量的金融资产和金融负债的公允价值情况</w:t>
      </w:r>
    </w:p>
    <w:p>
      <w:pPr>
        <w:spacing w:line="240" w:lineRule="auto" w:before="1"/>
        <w:rPr>
          <w:rFonts w:ascii="黑体" w:hAnsi="黑体" w:cs="黑体" w:eastAsia="黑体" w:hint="default"/>
          <w:sz w:val="25"/>
          <w:szCs w:val="25"/>
        </w:rPr>
      </w:pPr>
    </w:p>
    <w:p>
      <w:pPr>
        <w:spacing w:line="578" w:lineRule="auto" w:before="0"/>
        <w:ind w:left="152" w:right="6705" w:firstLine="0"/>
        <w:jc w:val="left"/>
        <w:rPr>
          <w:rFonts w:ascii="黑体" w:hAnsi="黑体" w:cs="黑体" w:eastAsia="黑体" w:hint="default"/>
          <w:sz w:val="24"/>
          <w:szCs w:val="24"/>
        </w:rPr>
      </w:pPr>
      <w:r>
        <w:rPr/>
        <w:pict>
          <v:shape style="position:absolute;margin-left:56.459999pt;margin-top:113.37558pt;width:479.1pt;height:41.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82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4" w:right="4"/>
                          <w:jc w:val="left"/>
                          <w:rPr>
                            <w:rFonts w:ascii="宋体" w:hAnsi="宋体" w:cs="宋体" w:eastAsia="宋体" w:hint="default"/>
                            <w:sz w:val="18"/>
                            <w:szCs w:val="18"/>
                          </w:rPr>
                        </w:pPr>
                        <w:r>
                          <w:rPr>
                            <w:rFonts w:ascii="宋体" w:hAnsi="宋体" w:cs="宋体" w:eastAsia="宋体" w:hint="default"/>
                            <w:spacing w:val="14"/>
                            <w:sz w:val="18"/>
                            <w:szCs w:val="18"/>
                          </w:rPr>
                          <w:t>母公司对本企业的 </w:t>
                        </w: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1"/>
                          <w:ind w:left="22" w:right="5"/>
                          <w:jc w:val="left"/>
                          <w:rPr>
                            <w:rFonts w:ascii="宋体" w:hAnsi="宋体" w:cs="宋体" w:eastAsia="宋体" w:hint="default"/>
                            <w:sz w:val="18"/>
                            <w:szCs w:val="18"/>
                          </w:rPr>
                        </w:pPr>
                        <w:r>
                          <w:rPr>
                            <w:rFonts w:ascii="宋体" w:hAnsi="宋体" w:cs="宋体" w:eastAsia="宋体" w:hint="default"/>
                            <w:spacing w:val="14"/>
                            <w:sz w:val="18"/>
                            <w:szCs w:val="18"/>
                          </w:rPr>
                          <w:t>母公司对本企业的 </w:t>
                        </w:r>
                        <w:r>
                          <w:rPr>
                            <w:rFonts w:ascii="宋体" w:hAnsi="宋体" w:cs="宋体" w:eastAsia="宋体" w:hint="default"/>
                            <w:sz w:val="18"/>
                            <w:szCs w:val="18"/>
                          </w:rPr>
                          <w:t>表决权比例</w:t>
                        </w:r>
                      </w:p>
                    </w:tc>
                  </w:tr>
                </w:tbl>
                <w:p>
                  <w:pPr/>
                </w:p>
              </w:txbxContent>
            </v:textbox>
            <w10:wrap type="none"/>
          </v:shape>
        </w:pict>
      </w:r>
      <w:r>
        <w:rPr>
          <w:rFonts w:ascii="Times New Roman" w:hAnsi="Times New Roman" w:cs="Times New Roman" w:eastAsia="Times New Roman" w:hint="default"/>
          <w:sz w:val="24"/>
          <w:szCs w:val="24"/>
        </w:rPr>
        <w:t>9</w:t>
      </w:r>
      <w:r>
        <w:rPr>
          <w:rFonts w:ascii="黑体" w:hAnsi="黑体" w:cs="黑体" w:eastAsia="黑体" w:hint="default"/>
          <w:sz w:val="24"/>
          <w:szCs w:val="24"/>
        </w:rPr>
        <w:t>、其他 </w:t>
      </w:r>
      <w:r>
        <w:rPr>
          <w:rFonts w:ascii="黑体" w:hAnsi="黑体" w:cs="黑体" w:eastAsia="黑体" w:hint="default"/>
          <w:spacing w:val="-1"/>
          <w:sz w:val="28"/>
          <w:szCs w:val="28"/>
        </w:rPr>
        <w:t>十二、关联方及关联交易</w:t>
      </w:r>
      <w:r>
        <w:rPr>
          <w:rFonts w:ascii="黑体" w:hAnsi="黑体" w:cs="黑体" w:eastAsia="黑体" w:hint="default"/>
          <w:spacing w:val="-130"/>
          <w:sz w:val="28"/>
          <w:szCs w:val="28"/>
        </w:rPr>
        <w:t> </w:t>
      </w:r>
      <w:r>
        <w:rPr>
          <w:rFonts w:ascii="黑体" w:hAnsi="黑体" w:cs="黑体" w:eastAsia="黑体" w:hint="default"/>
          <w:spacing w:val="-130"/>
          <w:sz w:val="28"/>
          <w:szCs w:val="28"/>
        </w:rPr>
      </w:r>
      <w:r>
        <w:rPr>
          <w:rFonts w:ascii="Times New Roman" w:hAnsi="Times New Roman" w:cs="Times New Roman" w:eastAsia="Times New Roman" w:hint="default"/>
          <w:sz w:val="24"/>
          <w:szCs w:val="24"/>
        </w:rPr>
        <w:t>1</w:t>
      </w:r>
      <w:r>
        <w:rPr>
          <w:rFonts w:ascii="黑体" w:hAnsi="黑体" w:cs="黑体" w:eastAsia="黑体" w:hint="default"/>
          <w:sz w:val="24"/>
          <w:szCs w:val="24"/>
        </w:rPr>
        <w:t>、本企业的母公司情况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4"/>
          <w:szCs w:val="24"/>
        </w:rPr>
      </w:pPr>
    </w:p>
    <w:p>
      <w:pPr>
        <w:pStyle w:val="BodyText"/>
        <w:spacing w:line="496" w:lineRule="auto" w:before="36"/>
        <w:ind w:left="573" w:right="5647"/>
        <w:jc w:val="left"/>
      </w:pPr>
      <w:r>
        <w:rPr/>
        <w:t>本企业的母公司情况的说明</w:t>
      </w:r>
      <w:r>
        <w:rPr>
          <w:w w:val="100"/>
        </w:rPr>
        <w:t> </w:t>
      </w:r>
      <w:r>
        <w:rPr>
          <w:spacing w:val="-2"/>
        </w:rPr>
        <w:t>本企业最终控制方是陈江涛。</w:t>
      </w:r>
      <w:r>
        <w:rPr>
          <w:spacing w:val="-79"/>
        </w:rPr>
        <w:t> </w:t>
      </w:r>
      <w:r>
        <w:rPr>
          <w:spacing w:val="-79"/>
        </w:rPr>
      </w:r>
      <w:r>
        <w:rPr/>
        <w:t>其他说明：</w:t>
      </w:r>
    </w:p>
    <w:p>
      <w:pPr>
        <w:pStyle w:val="BodyText"/>
        <w:spacing w:line="386" w:lineRule="auto" w:before="67"/>
        <w:ind w:right="147" w:firstLine="420"/>
        <w:jc w:val="both"/>
      </w:pPr>
      <w:r>
        <w:rPr/>
        <w:t>陈江涛先生直接持有公司 </w:t>
      </w:r>
      <w:r>
        <w:rPr>
          <w:rFonts w:ascii="Times New Roman" w:hAnsi="Times New Roman" w:cs="Times New Roman" w:eastAsia="Times New Roman" w:hint="default"/>
        </w:rPr>
        <w:t>33.93%</w:t>
      </w:r>
      <w:r>
        <w:rPr/>
        <w:t>股份，通过中天涌慧间接持有</w:t>
      </w:r>
      <w:r>
        <w:rPr>
          <w:spacing w:val="47"/>
        </w:rPr>
        <w:t> </w:t>
      </w:r>
      <w:r>
        <w:rPr>
          <w:rFonts w:ascii="Times New Roman" w:hAnsi="Times New Roman" w:cs="Times New Roman" w:eastAsia="Times New Roman" w:hint="default"/>
        </w:rPr>
        <w:t>2.72%</w:t>
      </w:r>
      <w:r>
        <w:rPr/>
        <w:t>股份，通过南华期货间接持有</w:t>
      </w:r>
      <w:r>
        <w:rPr>
          <w:w w:val="100"/>
        </w:rPr>
        <w:t> </w:t>
      </w:r>
      <w:r>
        <w:rPr>
          <w:rFonts w:ascii="Times New Roman" w:hAnsi="Times New Roman" w:cs="Times New Roman" w:eastAsia="Times New Roman" w:hint="default"/>
          <w:spacing w:val="-2"/>
        </w:rPr>
        <w:t>0.16%</w:t>
      </w:r>
      <w:r>
        <w:rPr>
          <w:spacing w:val="-2"/>
        </w:rPr>
        <w:t>股份，通过其一致行动人北京达麟投资管理有限公司</w:t>
      </w:r>
      <w:r>
        <w:rPr>
          <w:rFonts w:ascii="Times New Roman" w:hAnsi="Times New Roman" w:cs="Times New Roman" w:eastAsia="Times New Roman" w:hint="default"/>
          <w:spacing w:val="-2"/>
        </w:rPr>
        <w:t>-</w:t>
      </w:r>
      <w:r>
        <w:rPr>
          <w:spacing w:val="-2"/>
        </w:rPr>
        <w:t>北京汇达高新投资基金、北京达麟投资管理有</w:t>
      </w:r>
      <w:r>
        <w:rPr>
          <w:spacing w:val="-21"/>
        </w:rPr>
        <w:t> </w:t>
      </w:r>
      <w:r>
        <w:rPr>
          <w:spacing w:val="-21"/>
        </w:rPr>
      </w:r>
      <w:r>
        <w:rPr/>
        <w:t>限公司</w:t>
      </w:r>
      <w:r>
        <w:rPr>
          <w:rFonts w:ascii="Times New Roman" w:hAnsi="Times New Roman" w:cs="Times New Roman" w:eastAsia="Times New Roman" w:hint="default"/>
        </w:rPr>
        <w:t>-</w:t>
      </w:r>
      <w:r>
        <w:rPr/>
        <w:t>北京新余京达投资基金分别持有旋极信息</w:t>
      </w:r>
      <w:r>
        <w:rPr>
          <w:spacing w:val="-31"/>
        </w:rPr>
        <w:t> </w:t>
      </w:r>
      <w:r>
        <w:rPr>
          <w:rFonts w:ascii="Times New Roman" w:hAnsi="Times New Roman" w:cs="Times New Roman" w:eastAsia="Times New Roman" w:hint="default"/>
        </w:rPr>
        <w:t>1.73%</w:t>
      </w:r>
      <w:r>
        <w:rPr/>
        <w:t>、</w:t>
      </w:r>
      <w:r>
        <w:rPr>
          <w:rFonts w:ascii="Times New Roman" w:hAnsi="Times New Roman" w:cs="Times New Roman" w:eastAsia="Times New Roman" w:hint="default"/>
        </w:rPr>
        <w:t>1.81%</w:t>
      </w:r>
      <w:r>
        <w:rPr/>
        <w:t>股权，通过北方国际信托股份有限公司－</w:t>
      </w:r>
      <w:r>
        <w:rPr>
          <w:w w:val="100"/>
        </w:rPr>
        <w:t> </w:t>
      </w:r>
      <w:r>
        <w:rPr>
          <w:spacing w:val="-2"/>
        </w:rPr>
        <w:t>北方信托</w:t>
      </w:r>
      <w:r>
        <w:rPr>
          <w:rFonts w:ascii="Times New Roman" w:hAnsi="Times New Roman" w:cs="Times New Roman" w:eastAsia="Times New Roman" w:hint="default"/>
          <w:spacing w:val="-2"/>
        </w:rPr>
        <w:t>•</w:t>
      </w:r>
      <w:r>
        <w:rPr>
          <w:spacing w:val="-2"/>
        </w:rPr>
        <w:t>恒升一号证券投资单一资金信托间接持有公司股份</w:t>
      </w:r>
      <w:r>
        <w:rPr>
          <w:spacing w:val="8"/>
        </w:rPr>
        <w:t> </w:t>
      </w:r>
      <w:r>
        <w:rPr>
          <w:rFonts w:ascii="Times New Roman" w:hAnsi="Times New Roman" w:cs="Times New Roman" w:eastAsia="Times New Roman" w:hint="default"/>
          <w:spacing w:val="-2"/>
        </w:rPr>
        <w:t>1.65%</w:t>
      </w:r>
      <w:r>
        <w:rPr>
          <w:spacing w:val="-2"/>
        </w:rPr>
        <w:t>。</w:t>
      </w:r>
    </w:p>
    <w:p>
      <w:pPr>
        <w:spacing w:after="0" w:line="386" w:lineRule="auto"/>
        <w:jc w:val="both"/>
        <w:sectPr>
          <w:pgSz w:w="11910" w:h="16840"/>
          <w:pgMar w:header="882" w:footer="1132" w:top="1280" w:bottom="1320" w:left="980" w:right="980"/>
        </w:sectPr>
      </w:pPr>
    </w:p>
    <w:p>
      <w:pPr>
        <w:spacing w:line="240" w:lineRule="auto" w:before="2"/>
        <w:rPr>
          <w:rFonts w:ascii="宋体" w:hAnsi="宋体" w:cs="宋体" w:eastAsia="宋体" w:hint="default"/>
          <w:sz w:val="15"/>
          <w:szCs w:val="15"/>
        </w:rPr>
      </w:pPr>
    </w:p>
    <w:p>
      <w:pPr>
        <w:pStyle w:val="Heading3"/>
        <w:spacing w:line="240" w:lineRule="auto" w:before="26"/>
        <w:ind w:right="11"/>
        <w:jc w:val="left"/>
      </w:pPr>
      <w:r>
        <w:rPr>
          <w:rFonts w:ascii="Times New Roman" w:hAnsi="Times New Roman" w:cs="Times New Roman" w:eastAsia="Times New Roman" w:hint="default"/>
        </w:rPr>
        <w:t>2</w:t>
      </w:r>
      <w:r>
        <w:rPr/>
        <w:t>、本企业的子公司情况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本企业子公司的情况详见附注。</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、本企业合营和联营企业情况</w:t>
      </w:r>
    </w:p>
    <w:p>
      <w:pPr>
        <w:spacing w:line="240" w:lineRule="auto" w:before="3"/>
        <w:rPr>
          <w:rFonts w:ascii="黑体" w:hAnsi="黑体" w:cs="黑体" w:eastAsia="黑体" w:hint="default"/>
          <w:sz w:val="24"/>
          <w:szCs w:val="24"/>
        </w:rPr>
      </w:pPr>
    </w:p>
    <w:p>
      <w:pPr>
        <w:pStyle w:val="BodyText"/>
        <w:spacing w:line="494" w:lineRule="auto"/>
        <w:ind w:left="573" w:right="11"/>
        <w:jc w:val="left"/>
      </w:pPr>
      <w:r>
        <w:rPr/>
        <w:t>本企业重要的合营或联营企业详见附注。</w:t>
      </w:r>
      <w:r>
        <w:rPr>
          <w:w w:val="100"/>
        </w:rPr>
        <w:t> </w:t>
      </w:r>
      <w:r>
        <w:rPr>
          <w:spacing w:val="-2"/>
        </w:rPr>
        <w:t>本期与本公司发生关联方交易，或前期与本公司发生关联方交易形成余额的其他合营或联营企业情况</w:t>
      </w:r>
    </w:p>
    <w:p>
      <w:pPr>
        <w:pStyle w:val="BodyText"/>
        <w:spacing w:line="245" w:lineRule="exact"/>
        <w:ind w:right="11"/>
        <w:jc w:val="left"/>
      </w:pPr>
      <w:r>
        <w:rPr/>
        <w:t>如下：</w:t>
      </w:r>
    </w:p>
    <w:p>
      <w:pPr>
        <w:spacing w:line="240" w:lineRule="auto" w:before="8"/>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北京旋极星达技术有限公司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安徽百旺金赋信息科技有限公司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深圳市百旺金赋科技有限公司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成都凯天质检技术服务有限公司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西安兵标检测有限责任公司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西安东仪综合技术实验室有限责任公司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子公司的联营企业</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4</w:t>
      </w:r>
      <w:r>
        <w:rPr/>
        <w:t>、其他关联方情况</w:t>
      </w:r>
    </w:p>
    <w:p>
      <w:pPr>
        <w:spacing w:line="240" w:lineRule="auto" w:before="3"/>
        <w:rPr>
          <w:rFonts w:ascii="黑体" w:hAnsi="黑体" w:cs="黑体" w:eastAsia="黑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陈江涛之妻、本公司股东之一</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陈江涛之妹、本公司股东之一</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白巍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本公司股东之一、监事</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本公司股东之一、总经理、董事</w:t>
            </w:r>
          </w:p>
        </w:tc>
      </w:tr>
    </w:tbl>
    <w:p>
      <w:pPr>
        <w:spacing w:after="0" w:line="240" w:lineRule="auto"/>
        <w:jc w:val="center"/>
        <w:rPr>
          <w:rFonts w:ascii="宋体" w:hAnsi="宋体" w:cs="宋体" w:eastAsia="宋体" w:hint="default"/>
          <w:sz w:val="18"/>
          <w:szCs w:val="18"/>
        </w:rPr>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本公司股东之一、监事会主席</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本公司股东之一、副总经理、董事</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孙陶然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于明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李绍滨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孙宝国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赵庭荣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谢军伟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本公司股东之一、副总经理、董事会秘书</w:t>
            </w:r>
          </w:p>
        </w:tc>
      </w:tr>
      <w:tr>
        <w:trPr>
          <w:trHeight w:val="50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周翔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日任命为副总经理）</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本公司股东之一</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北京旋风航电科技有限公司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r>
        <w:trPr>
          <w:trHeight w:val="50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r>
        <w:trPr>
          <w:trHeight w:val="50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北京联合信标测试技术有限公司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本公司控股股东陈江涛间接持股的公司</w:t>
            </w:r>
          </w:p>
        </w:tc>
      </w:tr>
    </w:tbl>
    <w:p>
      <w:pPr>
        <w:spacing w:line="240" w:lineRule="auto" w:before="11"/>
        <w:rPr>
          <w:rFonts w:ascii="黑体" w:hAnsi="黑体" w:cs="黑体" w:eastAsia="黑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5</w:t>
      </w:r>
      <w:r>
        <w:rPr/>
        <w:t>、关联交易情况</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）购销商品、提供和接受劳务的关联交易</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采购商品</w:t>
      </w:r>
      <w:r>
        <w:rPr>
          <w:rFonts w:ascii="Times New Roman" w:hAnsi="Times New Roman" w:cs="Times New Roman" w:eastAsia="Times New Roman" w:hint="default"/>
        </w:rPr>
        <w:t>/</w:t>
      </w:r>
      <w:r>
        <w:rPr/>
        <w:t>接受劳务情况表</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506"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北京汉荣捷通技术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1,036,958.91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58,367.52</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北京汉荣捷通技术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3,009,296.05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259,433.96</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1"/>
              <w:jc w:val="left"/>
              <w:rPr>
                <w:rFonts w:ascii="宋体" w:hAnsi="宋体" w:cs="宋体" w:eastAsia="宋体" w:hint="default"/>
                <w:sz w:val="18"/>
                <w:szCs w:val="18"/>
              </w:rPr>
            </w:pPr>
            <w:r>
              <w:rPr>
                <w:rFonts w:ascii="宋体" w:hAnsi="宋体" w:cs="宋体" w:eastAsia="宋体" w:hint="default"/>
                <w:spacing w:val="5"/>
                <w:sz w:val="18"/>
                <w:szCs w:val="18"/>
              </w:rPr>
              <w:t>安徽百旺金赋信息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25,384.62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30,923.08</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1"/>
              <w:jc w:val="left"/>
              <w:rPr>
                <w:rFonts w:ascii="宋体" w:hAnsi="宋体" w:cs="宋体" w:eastAsia="宋体" w:hint="default"/>
                <w:sz w:val="18"/>
                <w:szCs w:val="18"/>
              </w:rPr>
            </w:pPr>
            <w:r>
              <w:rPr>
                <w:rFonts w:ascii="宋体" w:hAnsi="宋体" w:cs="宋体" w:eastAsia="宋体" w:hint="default"/>
                <w:spacing w:val="5"/>
                <w:sz w:val="18"/>
                <w:szCs w:val="18"/>
              </w:rPr>
              <w:t>安徽百旺金赋信息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35,513.20</w:t>
            </w:r>
          </w:p>
        </w:tc>
      </w:tr>
      <w:tr>
        <w:trPr>
          <w:trHeight w:val="50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5"/>
              <w:jc w:val="righ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w w:val="95"/>
                <w:sz w:val="18"/>
              </w:rPr>
              <w:t>8,506.75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5"/>
              <w:jc w:val="righ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10,796.12</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北京旋极星达技术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181,723.49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1,093,471.39</w:t>
            </w:r>
          </w:p>
        </w:tc>
      </w:tr>
      <w:tr>
        <w:trPr>
          <w:trHeight w:val="81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北京旋极星达技术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330,188.67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471,698.10</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北京中航通用科技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84,102.56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深圳市百旺金赋科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23,312.00</w:t>
            </w:r>
          </w:p>
        </w:tc>
      </w:tr>
      <w:tr>
        <w:trPr>
          <w:trHeight w:val="81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西安兵标检测有限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345,283.01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21"/>
              <w:jc w:val="both"/>
              <w:rPr>
                <w:rFonts w:ascii="宋体" w:hAnsi="宋体" w:cs="宋体" w:eastAsia="宋体" w:hint="default"/>
                <w:sz w:val="18"/>
                <w:szCs w:val="18"/>
              </w:rPr>
            </w:pPr>
            <w:r>
              <w:rPr>
                <w:rFonts w:ascii="宋体" w:hAnsi="宋体" w:cs="宋体" w:eastAsia="宋体" w:hint="default"/>
                <w:spacing w:val="5"/>
                <w:sz w:val="18"/>
                <w:szCs w:val="18"/>
              </w:rPr>
              <w:t>西安东仪综合技术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实验室有限责任公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4,226,509.32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2,871,698.03</w:t>
            </w:r>
          </w:p>
        </w:tc>
      </w:tr>
      <w:tr>
        <w:trPr>
          <w:trHeight w:val="82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云南百望金赋科技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13,207.55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6,016.00</w:t>
            </w:r>
          </w:p>
        </w:tc>
      </w:tr>
      <w:tr>
        <w:trPr>
          <w:trHeight w:val="81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1"/>
              <w:jc w:val="left"/>
              <w:rPr>
                <w:rFonts w:ascii="宋体" w:hAnsi="宋体" w:cs="宋体" w:eastAsia="宋体" w:hint="default"/>
                <w:sz w:val="18"/>
                <w:szCs w:val="18"/>
              </w:rPr>
            </w:pPr>
            <w:r>
              <w:rPr>
                <w:rFonts w:ascii="宋体" w:hAnsi="宋体" w:cs="宋体" w:eastAsia="宋体" w:hint="default"/>
                <w:spacing w:val="5"/>
                <w:sz w:val="18"/>
                <w:szCs w:val="18"/>
              </w:rPr>
              <w:t>北京旋极拉卡拉信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752,126.21</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出售商品</w:t>
      </w:r>
      <w:r>
        <w:rPr>
          <w:rFonts w:ascii="Times New Roman" w:hAnsi="Times New Roman" w:cs="Times New Roman" w:eastAsia="Times New Roman" w:hint="default"/>
        </w:rPr>
        <w:t>/</w:t>
      </w:r>
      <w:r>
        <w:rPr/>
        <w:t>提供劳务情况表</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50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2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安徽百旺金赋信息科技有限公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9,191,231.67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15,993,340.17</w:t>
            </w:r>
          </w:p>
        </w:tc>
      </w:tr>
      <w:tr>
        <w:trPr>
          <w:trHeight w:val="81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安徽百旺金赋信息科技有限公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3,158,429.73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4,284,165.09</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22,681,735.08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51,568,649.57</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2,621,254.67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46,783.02</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463,682.34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246,753.07</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6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56,603.77</w:t>
            </w:r>
          </w:p>
        </w:tc>
      </w:tr>
      <w:tr>
        <w:trPr>
          <w:trHeight w:val="81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北京联合信标测试技术有限公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61"/>
              <w:jc w:val="righ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9,003,461.55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北京旋极星达技术有限公司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61"/>
              <w:jc w:val="righ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247,863.25</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北京中航通用科技有限公司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61"/>
              <w:jc w:val="righ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6,897,435.90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23,713.67</w:t>
            </w:r>
          </w:p>
        </w:tc>
      </w:tr>
      <w:tr>
        <w:trPr>
          <w:trHeight w:val="81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成都凯天质检技术服务有限公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6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15,611,447.57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7,121,177.70</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深圳市百旺金赋科技有限公司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61"/>
              <w:jc w:val="righ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4,568,242.74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2"/>
                <w:sz w:val="18"/>
              </w:rPr>
              <w:t>5,382,311.11</w:t>
            </w:r>
          </w:p>
        </w:tc>
      </w:tr>
      <w:tr>
        <w:trPr>
          <w:trHeight w:val="82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2"/>
              <w:jc w:val="left"/>
              <w:rPr>
                <w:rFonts w:ascii="宋体" w:hAnsi="宋体" w:cs="宋体" w:eastAsia="宋体" w:hint="default"/>
                <w:sz w:val="18"/>
                <w:szCs w:val="18"/>
              </w:rPr>
            </w:pPr>
            <w:r>
              <w:rPr>
                <w:rFonts w:ascii="宋体" w:hAnsi="宋体" w:cs="宋体" w:eastAsia="宋体" w:hint="default"/>
                <w:sz w:val="18"/>
                <w:szCs w:val="18"/>
              </w:rPr>
              <w:t>西安东仪综合技术实验室有限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6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2,972,081.99</w:t>
            </w:r>
          </w:p>
        </w:tc>
      </w:tr>
      <w:tr>
        <w:trPr>
          <w:trHeight w:val="50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61"/>
              <w:jc w:val="righ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7,435,639.32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4,158,388.08</w:t>
            </w:r>
          </w:p>
        </w:tc>
      </w:tr>
      <w:tr>
        <w:trPr>
          <w:trHeight w:val="5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61"/>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3,091,259.92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18,689,847.17</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购销商品、提供和接受劳务的关联交易说明</w:t>
      </w:r>
    </w:p>
    <w:p>
      <w:pPr>
        <w:spacing w:line="240" w:lineRule="auto" w:before="10"/>
        <w:rPr>
          <w:rFonts w:ascii="宋体" w:hAnsi="宋体" w:cs="宋体" w:eastAsia="宋体" w:hint="default"/>
          <w:sz w:val="24"/>
          <w:szCs w:val="24"/>
        </w:rPr>
      </w:pPr>
    </w:p>
    <w:p>
      <w:pPr>
        <w:pStyle w:val="Heading3"/>
        <w:spacing w:line="240" w:lineRule="auto"/>
        <w:ind w:left="134" w:right="4957"/>
        <w:jc w:val="cente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p>
    <w:p>
      <w:pPr>
        <w:spacing w:line="240" w:lineRule="auto" w:before="4"/>
        <w:rPr>
          <w:rFonts w:ascii="黑体" w:hAnsi="黑体" w:cs="黑体" w:eastAsia="黑体" w:hint="default"/>
          <w:sz w:val="24"/>
          <w:szCs w:val="24"/>
        </w:rPr>
      </w:pPr>
    </w:p>
    <w:p>
      <w:pPr>
        <w:pStyle w:val="BodyText"/>
        <w:spacing w:line="240" w:lineRule="auto"/>
        <w:ind w:left="573" w:right="11"/>
        <w:jc w:val="left"/>
      </w:pPr>
      <w:r>
        <w:rPr/>
        <w:t>本公司受托管理</w:t>
      </w:r>
      <w:r>
        <w:rPr>
          <w:rFonts w:ascii="Times New Roman" w:hAnsi="Times New Roman" w:cs="Times New Roman" w:eastAsia="Times New Roman" w:hint="default"/>
        </w:rPr>
        <w:t>/</w:t>
      </w:r>
      <w:r>
        <w:rPr/>
        <w:t>承包情况表：</w:t>
      </w:r>
    </w:p>
    <w:p>
      <w:pPr>
        <w:spacing w:line="240" w:lineRule="auto" w:before="4"/>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2" w:right="21"/>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2"/>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4" w:right="23"/>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1"/>
              <w:ind w:left="23" w:right="21"/>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2" w:right="20"/>
              <w:jc w:val="left"/>
              <w:rPr>
                <w:rFonts w:ascii="宋体" w:hAnsi="宋体" w:cs="宋体" w:eastAsia="宋体" w:hint="default"/>
                <w:sz w:val="18"/>
                <w:szCs w:val="18"/>
              </w:rPr>
            </w:pPr>
            <w:r>
              <w:rPr>
                <w:rFonts w:ascii="宋体" w:hAnsi="宋体" w:cs="宋体" w:eastAsia="宋体" w:hint="default"/>
                <w:spacing w:val="7"/>
                <w:sz w:val="18"/>
                <w:szCs w:val="18"/>
              </w:rPr>
              <w:t>本期确认的托管</w:t>
            </w:r>
            <w:r>
              <w:rPr>
                <w:rFonts w:ascii="宋体" w:hAnsi="宋体" w:cs="宋体" w:eastAsia="宋体" w:hint="default"/>
                <w:sz w:val="18"/>
                <w:szCs w:val="18"/>
              </w:rPr>
              <w:t>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line="240" w:lineRule="auto" w:before="11"/>
        <w:rPr>
          <w:rFonts w:ascii="宋体" w:hAnsi="宋体" w:cs="宋体" w:eastAsia="宋体" w:hint="default"/>
          <w:sz w:val="9"/>
          <w:szCs w:val="9"/>
        </w:rPr>
      </w:pPr>
    </w:p>
    <w:p>
      <w:pPr>
        <w:pStyle w:val="BodyText"/>
        <w:spacing w:line="468" w:lineRule="auto" w:before="36"/>
        <w:ind w:left="573" w:right="5647"/>
        <w:jc w:val="left"/>
      </w:pPr>
      <w:r>
        <w:rPr/>
        <w:t>关联托管</w:t>
      </w:r>
      <w:r>
        <w:rPr>
          <w:rFonts w:ascii="Times New Roman" w:hAnsi="Times New Roman" w:cs="Times New Roman" w:eastAsia="Times New Roman" w:hint="default"/>
        </w:rPr>
        <w:t>/</w:t>
      </w:r>
      <w:r>
        <w:rPr/>
        <w:t>承包情况说明</w:t>
      </w:r>
      <w:r>
        <w:rPr>
          <w:w w:val="100"/>
        </w:rPr>
        <w:t> </w:t>
      </w:r>
      <w:r>
        <w:rPr>
          <w:spacing w:val="-2"/>
        </w:rPr>
        <w:t>本公司委托管理</w:t>
      </w:r>
      <w:r>
        <w:rPr>
          <w:rFonts w:ascii="Times New Roman" w:hAnsi="Times New Roman" w:cs="Times New Roman" w:eastAsia="Times New Roman" w:hint="default"/>
          <w:spacing w:val="-2"/>
        </w:rPr>
        <w:t>/</w:t>
      </w:r>
      <w:r>
        <w:rPr>
          <w:spacing w:val="-2"/>
        </w:rPr>
        <w:t>出包情况表：</w:t>
      </w:r>
    </w:p>
    <w:p>
      <w:pPr>
        <w:pStyle w:val="BodyText"/>
        <w:spacing w:line="240" w:lineRule="auto" w:before="57"/>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82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2" w:right="21"/>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3" w:right="22"/>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4" w:right="23"/>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104"/>
              <w:ind w:left="23" w:right="21"/>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4"/>
              <w:ind w:left="22" w:right="20"/>
              <w:jc w:val="left"/>
              <w:rPr>
                <w:rFonts w:ascii="宋体" w:hAnsi="宋体" w:cs="宋体" w:eastAsia="宋体" w:hint="default"/>
                <w:sz w:val="18"/>
                <w:szCs w:val="18"/>
              </w:rPr>
            </w:pPr>
            <w:r>
              <w:rPr>
                <w:rFonts w:ascii="宋体" w:hAnsi="宋体" w:cs="宋体" w:eastAsia="宋体" w:hint="default"/>
                <w:spacing w:val="7"/>
                <w:sz w:val="18"/>
                <w:szCs w:val="18"/>
              </w:rPr>
              <w:t>本期确认的托管</w:t>
            </w:r>
            <w:r>
              <w:rPr>
                <w:rFonts w:ascii="宋体" w:hAnsi="宋体" w:cs="宋体" w:eastAsia="宋体" w:hint="default"/>
                <w:sz w:val="18"/>
                <w:szCs w:val="18"/>
              </w:rPr>
              <w:t>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3</w:t>
      </w:r>
      <w:r>
        <w:rPr/>
        <w:t>）关联租赁情况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本公司作为出租方：</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50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本公司作为承租方：</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393"/>
        <w:gridCol w:w="2395"/>
        <w:gridCol w:w="2392"/>
        <w:gridCol w:w="2381"/>
      </w:tblGrid>
      <w:tr>
        <w:trPr>
          <w:trHeight w:val="509"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关联租赁情况说明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）关联担保情况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本公司作为担保方</w:t>
      </w:r>
    </w:p>
    <w:p>
      <w:pPr>
        <w:spacing w:line="240" w:lineRule="auto" w:before="9"/>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410"/>
        <w:gridCol w:w="1419"/>
        <w:gridCol w:w="1916"/>
        <w:gridCol w:w="1913"/>
        <w:gridCol w:w="1916"/>
      </w:tblGrid>
      <w:tr>
        <w:trPr>
          <w:trHeight w:val="50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4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47,464,000.00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34,714,500.00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42,880,000.00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1,108,000.00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本公司作为被担保方</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5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关联担保情况说明</w:t>
      </w:r>
    </w:p>
    <w:p>
      <w:pPr>
        <w:spacing w:line="240" w:lineRule="auto" w:before="4"/>
        <w:rPr>
          <w:rFonts w:ascii="宋体" w:hAnsi="宋体" w:cs="宋体" w:eastAsia="宋体" w:hint="default"/>
          <w:sz w:val="22"/>
          <w:szCs w:val="22"/>
        </w:rPr>
      </w:pPr>
    </w:p>
    <w:p>
      <w:pPr>
        <w:pStyle w:val="BodyText"/>
        <w:spacing w:line="240" w:lineRule="auto"/>
        <w:ind w:left="573" w:right="11"/>
        <w:jc w:val="left"/>
      </w:pPr>
      <w:r>
        <w:rPr/>
        <w:t>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日召开第三届董事会第三十次会议，同意公司为全资子公司西安西谷微电子有</w:t>
      </w:r>
    </w:p>
    <w:p>
      <w:pPr>
        <w:pStyle w:val="BodyText"/>
        <w:spacing w:line="240" w:lineRule="auto" w:before="177"/>
        <w:ind w:right="11"/>
        <w:jc w:val="left"/>
      </w:pPr>
      <w:r>
        <w:rPr/>
        <w:t>限责任公司申请政府财政扶持资金提供担保，担保额度为人民币</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t>万元，期限为</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年，用途为发展电子</w:t>
      </w:r>
    </w:p>
    <w:p>
      <w:pPr>
        <w:spacing w:after="0" w:line="240" w:lineRule="auto"/>
        <w:jc w:val="left"/>
        <w:sectPr>
          <w:footerReference w:type="default" r:id="rId73"/>
          <w:pgSz w:w="11910" w:h="16840"/>
          <w:pgMar w:footer="1132" w:header="882" w:top="1280" w:bottom="1320" w:left="980" w:right="980"/>
          <w:pgNumType w:start="261"/>
        </w:sectPr>
      </w:pPr>
    </w:p>
    <w:p>
      <w:pPr>
        <w:spacing w:line="240" w:lineRule="auto" w:before="5"/>
        <w:rPr>
          <w:rFonts w:ascii="宋体" w:hAnsi="宋体" w:cs="宋体" w:eastAsia="宋体" w:hint="default"/>
          <w:sz w:val="13"/>
          <w:szCs w:val="13"/>
        </w:rPr>
      </w:pPr>
    </w:p>
    <w:p>
      <w:pPr>
        <w:pStyle w:val="BodyText"/>
        <w:spacing w:line="408" w:lineRule="auto" w:before="36"/>
        <w:ind w:right="206"/>
        <w:jc w:val="both"/>
      </w:pPr>
      <w:r>
        <w:rPr>
          <w:spacing w:val="-2"/>
        </w:rPr>
        <w:t>元器件测试及可靠性分析公共服务平台项目，西安西谷以主营业务销售收入及其他收入作为还款来源。西</w:t>
      </w:r>
      <w:r>
        <w:rPr>
          <w:spacing w:val="-43"/>
        </w:rPr>
        <w:t> </w:t>
      </w:r>
      <w:r>
        <w:rPr>
          <w:spacing w:val="-43"/>
        </w:rPr>
      </w:r>
      <w:r>
        <w:rPr>
          <w:spacing w:val="-2"/>
        </w:rPr>
        <w:t>安西谷以其自有机器设备向西投控股提供担保，公司作为西安西谷的控股股东提供连带责任保证。截止到</w:t>
      </w:r>
      <w:r>
        <w:rPr>
          <w:spacing w:val="-44"/>
        </w:rPr>
        <w:t> </w:t>
      </w:r>
      <w:r>
        <w:rPr>
          <w:spacing w:val="-44"/>
        </w:rPr>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日已使用额度为</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1"/>
        </w:rPr>
        <w:t> </w:t>
      </w:r>
      <w:r>
        <w:rPr/>
        <w:t>万元；</w:t>
      </w:r>
    </w:p>
    <w:p>
      <w:pPr>
        <w:pStyle w:val="BodyText"/>
        <w:spacing w:line="240" w:lineRule="auto" w:before="115"/>
        <w:ind w:left="573" w:right="100"/>
        <w:jc w:val="left"/>
      </w:pP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2"/>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月</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rPr>
        <w:t> </w:t>
      </w:r>
      <w:r>
        <w:rPr>
          <w:spacing w:val="-3"/>
          <w:w w:val="100"/>
        </w:rPr>
        <w:t>日召</w:t>
      </w:r>
      <w:r>
        <w:rPr>
          <w:w w:val="100"/>
        </w:rPr>
        <w:t>开第</w:t>
      </w:r>
      <w:r>
        <w:rPr>
          <w:spacing w:val="-3"/>
          <w:w w:val="100"/>
        </w:rPr>
        <w:t>三</w:t>
      </w:r>
      <w:r>
        <w:rPr>
          <w:w w:val="100"/>
        </w:rPr>
        <w:t>届</w:t>
      </w:r>
      <w:r>
        <w:rPr>
          <w:spacing w:val="-3"/>
          <w:w w:val="100"/>
        </w:rPr>
        <w:t>董</w:t>
      </w:r>
      <w:r>
        <w:rPr>
          <w:w w:val="100"/>
        </w:rPr>
        <w:t>事</w:t>
      </w:r>
      <w:r>
        <w:rPr>
          <w:spacing w:val="-3"/>
          <w:w w:val="100"/>
        </w:rPr>
        <w:t>会</w:t>
      </w:r>
      <w:r>
        <w:rPr>
          <w:w w:val="100"/>
        </w:rPr>
        <w:t>第</w:t>
      </w:r>
      <w:r>
        <w:rPr>
          <w:spacing w:val="-3"/>
          <w:w w:val="100"/>
        </w:rPr>
        <w:t>三</w:t>
      </w:r>
      <w:r>
        <w:rPr>
          <w:w w:val="100"/>
        </w:rPr>
        <w:t>十</w:t>
      </w:r>
      <w:r>
        <w:rPr>
          <w:spacing w:val="-3"/>
          <w:w w:val="100"/>
        </w:rPr>
        <w:t>八</w:t>
      </w:r>
      <w:r>
        <w:rPr>
          <w:w w:val="100"/>
        </w:rPr>
        <w:t>次会</w:t>
      </w:r>
      <w:r>
        <w:rPr>
          <w:spacing w:val="-3"/>
          <w:w w:val="100"/>
        </w:rPr>
        <w:t>议</w:t>
      </w:r>
      <w:r>
        <w:rPr>
          <w:spacing w:val="-97"/>
          <w:w w:val="100"/>
        </w:rPr>
        <w:t>，</w:t>
      </w:r>
      <w:r>
        <w:rPr>
          <w:spacing w:val="-3"/>
          <w:w w:val="100"/>
        </w:rPr>
        <w:t>同</w:t>
      </w:r>
      <w:r>
        <w:rPr>
          <w:w w:val="100"/>
        </w:rPr>
        <w:t>意</w:t>
      </w:r>
      <w:r>
        <w:rPr>
          <w:spacing w:val="-3"/>
          <w:w w:val="100"/>
        </w:rPr>
        <w:t>公</w:t>
      </w:r>
      <w:r>
        <w:rPr>
          <w:w w:val="100"/>
        </w:rPr>
        <w:t>司</w:t>
      </w:r>
      <w:r>
        <w:rPr>
          <w:spacing w:val="-3"/>
          <w:w w:val="100"/>
        </w:rPr>
        <w:t>为</w:t>
      </w:r>
      <w:r>
        <w:rPr>
          <w:w w:val="100"/>
        </w:rPr>
        <w:t>全</w:t>
      </w:r>
      <w:r>
        <w:rPr>
          <w:spacing w:val="-3"/>
          <w:w w:val="100"/>
        </w:rPr>
        <w:t>资子</w:t>
      </w:r>
      <w:r>
        <w:rPr>
          <w:w w:val="100"/>
        </w:rPr>
        <w:t>公司</w:t>
      </w:r>
      <w:r>
        <w:rPr>
          <w:spacing w:val="-3"/>
          <w:w w:val="100"/>
        </w:rPr>
        <w:t>北</w:t>
      </w:r>
      <w:r>
        <w:rPr>
          <w:w w:val="100"/>
        </w:rPr>
        <w:t>京</w:t>
      </w:r>
      <w:r>
        <w:rPr>
          <w:spacing w:val="-3"/>
          <w:w w:val="100"/>
        </w:rPr>
        <w:t>泰</w:t>
      </w:r>
      <w:r>
        <w:rPr>
          <w:w w:val="100"/>
        </w:rPr>
        <w:t>豪</w:t>
      </w:r>
      <w:r>
        <w:rPr>
          <w:spacing w:val="-3"/>
          <w:w w:val="100"/>
        </w:rPr>
        <w:t>智</w:t>
      </w:r>
      <w:r>
        <w:rPr>
          <w:w w:val="100"/>
        </w:rPr>
        <w:t>能</w:t>
      </w:r>
      <w:r>
        <w:rPr>
          <w:spacing w:val="-3"/>
          <w:w w:val="100"/>
        </w:rPr>
        <w:t>工</w:t>
      </w:r>
      <w:r>
        <w:rPr>
          <w:w w:val="100"/>
        </w:rPr>
        <w:t>程</w:t>
      </w:r>
    </w:p>
    <w:p>
      <w:pPr>
        <w:pStyle w:val="BodyText"/>
        <w:spacing w:line="240" w:lineRule="auto" w:before="177"/>
        <w:ind w:right="0"/>
        <w:jc w:val="both"/>
      </w:pPr>
      <w:r>
        <w:rPr/>
        <w:t>有限公司向宁波银行股份有限公司北京分行申请人民币</w:t>
      </w:r>
      <w:r>
        <w:rPr>
          <w:spacing w:val="-3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万元的</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年期综合授信业务、向招商银行股</w:t>
      </w:r>
    </w:p>
    <w:p>
      <w:pPr>
        <w:pStyle w:val="BodyText"/>
        <w:spacing w:line="240" w:lineRule="auto" w:before="177"/>
        <w:ind w:right="0"/>
        <w:jc w:val="both"/>
      </w:pPr>
      <w:r>
        <w:rPr/>
        <w:t>份有限公司西三环支行申请人民币</w:t>
      </w:r>
      <w:r>
        <w:rPr>
          <w:spacing w:val="-3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万元的</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年期综合授信业务、向民生银行股份有限公司北京分行</w:t>
      </w:r>
    </w:p>
    <w:p>
      <w:pPr>
        <w:pStyle w:val="BodyText"/>
        <w:spacing w:line="240" w:lineRule="auto" w:before="177"/>
        <w:ind w:right="0"/>
        <w:jc w:val="both"/>
      </w:pPr>
      <w:r>
        <w:rPr/>
        <w:t>申请人民币</w:t>
      </w:r>
      <w:r>
        <w:rPr>
          <w:spacing w:val="-3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6"/>
        </w:rPr>
        <w:t> </w:t>
      </w:r>
      <w:r>
        <w:rPr/>
        <w:t>万元的</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年期综合授信业务提供连带责任保证担保。贷款用途为补充流动资金。截止到</w:t>
      </w:r>
    </w:p>
    <w:p>
      <w:pPr>
        <w:pStyle w:val="BodyText"/>
        <w:spacing w:line="240" w:lineRule="auto" w:before="178"/>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日已使用额度为</w:t>
      </w:r>
      <w:r>
        <w:rPr>
          <w:spacing w:val="-53"/>
        </w:rPr>
        <w:t> </w:t>
      </w:r>
      <w:r>
        <w:rPr>
          <w:rFonts w:ascii="Times New Roman" w:hAnsi="Times New Roman" w:cs="Times New Roman" w:eastAsia="Times New Roman" w:hint="default"/>
        </w:rPr>
        <w:t>8,217.85</w:t>
      </w:r>
      <w:r>
        <w:rPr>
          <w:rFonts w:ascii="Times New Roman" w:hAnsi="Times New Roman" w:cs="Times New Roman" w:eastAsia="Times New Roman" w:hint="default"/>
          <w:spacing w:val="-11"/>
        </w:rPr>
        <w:t> </w:t>
      </w:r>
      <w:r>
        <w:rPr/>
        <w:t>万元；</w:t>
      </w:r>
    </w:p>
    <w:p>
      <w:pPr>
        <w:spacing w:line="240" w:lineRule="auto" w:before="1"/>
        <w:rPr>
          <w:rFonts w:ascii="宋体" w:hAnsi="宋体" w:cs="宋体" w:eastAsia="宋体" w:hint="default"/>
          <w:sz w:val="21"/>
          <w:szCs w:val="21"/>
        </w:rPr>
      </w:pPr>
    </w:p>
    <w:p>
      <w:pPr>
        <w:pStyle w:val="BodyText"/>
        <w:spacing w:line="240" w:lineRule="auto"/>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日召开第三届董事会第三十九次会议，同意公司为全资子公司北京泰豪智能工</w:t>
      </w:r>
    </w:p>
    <w:p>
      <w:pPr>
        <w:pStyle w:val="BodyText"/>
        <w:spacing w:line="240" w:lineRule="auto" w:before="177"/>
        <w:ind w:right="0"/>
        <w:jc w:val="both"/>
      </w:pPr>
      <w:r>
        <w:rPr/>
        <w:t>程有限公司向北京银行股份有限公司翠微路支行申请人民币</w:t>
      </w:r>
      <w:r>
        <w:rPr>
          <w:spacing w:val="-6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4"/>
        </w:rPr>
        <w:t> </w:t>
      </w:r>
      <w:r>
        <w:rPr/>
        <w:t>万元的</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年期综合授信业务提供连带责</w:t>
      </w:r>
    </w:p>
    <w:p>
      <w:pPr>
        <w:pStyle w:val="BodyText"/>
        <w:spacing w:line="240" w:lineRule="auto" w:before="177"/>
        <w:ind w:right="0"/>
        <w:jc w:val="both"/>
      </w:pPr>
      <w:r>
        <w:rPr/>
        <w:t>任保证担保，公司于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日召开第三届董事会第四十一次会议，同意公司为全资子公司泰豪智</w:t>
      </w:r>
    </w:p>
    <w:p>
      <w:pPr>
        <w:pStyle w:val="BodyText"/>
        <w:spacing w:line="240" w:lineRule="auto" w:before="177"/>
        <w:ind w:right="0"/>
        <w:jc w:val="both"/>
      </w:pPr>
      <w:r>
        <w:rPr/>
        <w:t>能向中国建设银行北京隆庆街支行申请人民币</w:t>
      </w:r>
      <w:r>
        <w:rPr>
          <w:spacing w:val="-3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4"/>
        </w:rPr>
        <w:t> </w:t>
      </w:r>
      <w:r>
        <w:rPr/>
        <w:t>万元的</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年期综合授信业务、向北京银行翠微路支行</w:t>
      </w:r>
    </w:p>
    <w:p>
      <w:pPr>
        <w:pStyle w:val="BodyText"/>
        <w:spacing w:line="240" w:lineRule="auto" w:before="177"/>
        <w:ind w:right="0"/>
        <w:jc w:val="both"/>
      </w:pPr>
      <w:r>
        <w:rPr/>
        <w:t>申请追加人民币</w:t>
      </w:r>
      <w:r>
        <w:rPr>
          <w:spacing w:val="-35"/>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2"/>
        </w:rPr>
        <w:t> </w:t>
      </w:r>
      <w:r>
        <w:rPr/>
        <w:t>万元的</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4"/>
        </w:rPr>
        <w:t>年期综合授信业务、向盛京银行股份有限公司北京五棵松支行申请人民币</w:t>
      </w:r>
    </w:p>
    <w:p>
      <w:pPr>
        <w:pStyle w:val="BodyText"/>
        <w:spacing w:line="240" w:lineRule="auto" w:before="177"/>
        <w:ind w:right="0"/>
        <w:jc w:val="both"/>
        <w:rPr>
          <w:rFonts w:ascii="Times New Roman" w:hAnsi="Times New Roman" w:cs="Times New Roman" w:eastAsia="Times New Roman" w:hint="default"/>
        </w:rPr>
      </w:pPr>
      <w:r>
        <w:rPr>
          <w:rFonts w:ascii="Times New Roman" w:hAnsi="Times New Roman" w:cs="Times New Roman" w:eastAsia="Times New Roman" w:hint="default"/>
        </w:rPr>
        <w:t>20,000</w:t>
      </w:r>
      <w:r>
        <w:rPr>
          <w:rFonts w:ascii="Times New Roman" w:hAnsi="Times New Roman" w:cs="Times New Roman" w:eastAsia="Times New Roman" w:hint="default"/>
          <w:spacing w:val="-6"/>
        </w:rPr>
        <w:t> </w:t>
      </w:r>
      <w:r>
        <w:rPr/>
        <w:t>万元的</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年期综合授信业务提供连带责任保证担保。贷款用途为用于日常经营。截止到</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12</w:t>
      </w:r>
    </w:p>
    <w:p>
      <w:pPr>
        <w:pStyle w:val="BodyText"/>
        <w:spacing w:line="240" w:lineRule="auto" w:before="177"/>
        <w:ind w:right="0"/>
        <w:jc w:val="both"/>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日已使用额度为</w:t>
      </w:r>
      <w:r>
        <w:rPr>
          <w:spacing w:val="-55"/>
        </w:rPr>
        <w:t> </w:t>
      </w:r>
      <w:r>
        <w:rPr>
          <w:rFonts w:ascii="Times New Roman" w:hAnsi="Times New Roman" w:cs="Times New Roman" w:eastAsia="Times New Roman" w:hint="default"/>
        </w:rPr>
        <w:t>14,088.00</w:t>
      </w:r>
      <w:r>
        <w:rPr>
          <w:rFonts w:ascii="Times New Roman" w:hAnsi="Times New Roman" w:cs="Times New Roman" w:eastAsia="Times New Roman" w:hint="default"/>
          <w:spacing w:val="-11"/>
        </w:rPr>
        <w:t> </w:t>
      </w:r>
      <w:r>
        <w:rPr/>
        <w:t>万元；</w:t>
      </w:r>
    </w:p>
    <w:p>
      <w:pPr>
        <w:spacing w:line="240" w:lineRule="auto" w:before="3"/>
        <w:rPr>
          <w:rFonts w:ascii="宋体" w:hAnsi="宋体" w:cs="宋体" w:eastAsia="宋体" w:hint="default"/>
          <w:sz w:val="21"/>
          <w:szCs w:val="21"/>
        </w:rPr>
      </w:pPr>
    </w:p>
    <w:p>
      <w:pPr>
        <w:pStyle w:val="BodyText"/>
        <w:spacing w:line="240" w:lineRule="auto"/>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日召开第三届董事会第四十三次会议，同意公司为全资子公司北京泰豪智能工</w:t>
      </w:r>
    </w:p>
    <w:p>
      <w:pPr>
        <w:pStyle w:val="BodyText"/>
        <w:spacing w:line="240" w:lineRule="auto" w:before="177"/>
        <w:ind w:right="0"/>
        <w:jc w:val="both"/>
      </w:pPr>
      <w:r>
        <w:rPr/>
        <w:t>程有限公司向渤海银行北京经济技术开发区支行申请人民币</w:t>
      </w:r>
      <w:r>
        <w:rPr>
          <w:spacing w:val="-6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4"/>
        </w:rPr>
        <w:t> </w:t>
      </w:r>
      <w:r>
        <w:rPr/>
        <w:t>万元的</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年期综合授信业务提供连带责</w:t>
      </w:r>
    </w:p>
    <w:p>
      <w:pPr>
        <w:pStyle w:val="BodyText"/>
        <w:spacing w:line="240" w:lineRule="auto" w:before="177"/>
        <w:ind w:right="0"/>
        <w:jc w:val="both"/>
      </w:pPr>
      <w:r>
        <w:rPr/>
        <w:t>任保证担保。贷款用途为用于日常经营。截止到</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日已使用额度为</w:t>
      </w:r>
      <w:r>
        <w:rPr>
          <w:spacing w:val="-55"/>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3"/>
        </w:rPr>
        <w:t> </w:t>
      </w:r>
      <w:r>
        <w:rPr/>
        <w:t>万元；</w:t>
      </w:r>
    </w:p>
    <w:p>
      <w:pPr>
        <w:spacing w:line="240" w:lineRule="auto" w:before="3"/>
        <w:rPr>
          <w:rFonts w:ascii="宋体" w:hAnsi="宋体" w:cs="宋体" w:eastAsia="宋体" w:hint="default"/>
          <w:sz w:val="21"/>
          <w:szCs w:val="21"/>
        </w:rPr>
      </w:pPr>
    </w:p>
    <w:p>
      <w:pPr>
        <w:pStyle w:val="BodyText"/>
        <w:spacing w:line="398" w:lineRule="auto"/>
        <w:ind w:right="103" w:firstLine="420"/>
        <w:jc w:val="both"/>
      </w:pPr>
      <w:r>
        <w:rPr/>
        <w:t>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5"/>
        </w:rPr>
        <w:t>日召开第三届董事会第四十六次会议，审议通过了《关于为全资子公司申请银行</w:t>
      </w:r>
      <w:r>
        <w:rPr>
          <w:w w:val="100"/>
        </w:rPr>
        <w:t> </w:t>
      </w:r>
      <w:r>
        <w:rPr>
          <w:spacing w:val="-2"/>
          <w:w w:val="100"/>
        </w:rPr>
        <w:t>综合授信提供担保的议案》，同意公司为全资子公司北京泰豪智能工程有限公司向广发银行股份有限公司</w:t>
      </w:r>
      <w:r>
        <w:rPr>
          <w:spacing w:val="-94"/>
          <w:w w:val="100"/>
        </w:rPr>
        <w:t> </w:t>
      </w:r>
      <w:r>
        <w:rPr>
          <w:spacing w:val="-94"/>
          <w:w w:val="100"/>
        </w:rPr>
      </w:r>
      <w:r>
        <w:rPr>
          <w:spacing w:val="-1"/>
          <w:w w:val="100"/>
        </w:rPr>
        <w:t>北京分行申请人民币</w:t>
      </w:r>
      <w:r>
        <w:rPr>
          <w:spacing w:val="-70"/>
          <w:w w:val="100"/>
        </w:rPr>
        <w:t> </w:t>
      </w:r>
      <w:r>
        <w:rPr>
          <w:rFonts w:ascii="Times New Roman" w:hAnsi="Times New Roman" w:cs="Times New Roman" w:eastAsia="Times New Roman" w:hint="default"/>
          <w:spacing w:val="-1"/>
          <w:w w:val="100"/>
        </w:rPr>
        <w:t>10,000</w:t>
      </w:r>
      <w:r>
        <w:rPr>
          <w:rFonts w:ascii="Times New Roman" w:hAnsi="Times New Roman" w:cs="Times New Roman" w:eastAsia="Times New Roman" w:hint="default"/>
          <w:spacing w:val="-22"/>
          <w:w w:val="100"/>
        </w:rPr>
        <w:t> </w:t>
      </w:r>
      <w:r>
        <w:rPr>
          <w:w w:val="100"/>
        </w:rPr>
        <w:t>万元的</w:t>
      </w:r>
      <w:r>
        <w:rPr>
          <w:spacing w:val="-7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w w:val="100"/>
        </w:rPr>
        <w:t> </w:t>
      </w:r>
      <w:r>
        <w:rPr>
          <w:spacing w:val="-5"/>
          <w:w w:val="100"/>
        </w:rPr>
        <w:t>年期综合授信业务提供连带责任保证担保。贷款用途为用于日常经营。</w:t>
      </w:r>
    </w:p>
    <w:p>
      <w:pPr>
        <w:pStyle w:val="BodyText"/>
        <w:spacing w:line="240" w:lineRule="auto" w:before="24"/>
        <w:ind w:right="0"/>
        <w:jc w:val="both"/>
      </w:pPr>
      <w:r>
        <w:rPr/>
        <w:t>截止到</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日已使用额度为</w:t>
      </w:r>
      <w:r>
        <w:rPr>
          <w:spacing w:val="-57"/>
        </w:rPr>
        <w:t> </w:t>
      </w:r>
      <w:r>
        <w:rPr>
          <w:rFonts w:ascii="Times New Roman" w:hAnsi="Times New Roman" w:cs="Times New Roman" w:eastAsia="Times New Roman" w:hint="default"/>
        </w:rPr>
        <w:t>110.80</w:t>
      </w:r>
      <w:r>
        <w:rPr>
          <w:rFonts w:ascii="Times New Roman" w:hAnsi="Times New Roman" w:cs="Times New Roman" w:eastAsia="Times New Roman" w:hint="default"/>
          <w:spacing w:val="-13"/>
        </w:rPr>
        <w:t> </w:t>
      </w:r>
      <w:r>
        <w:rPr/>
        <w:t>万元；</w:t>
      </w:r>
    </w:p>
    <w:p>
      <w:pPr>
        <w:spacing w:line="240" w:lineRule="auto" w:before="1"/>
        <w:rPr>
          <w:rFonts w:ascii="宋体" w:hAnsi="宋体" w:cs="宋体" w:eastAsia="宋体" w:hint="default"/>
          <w:sz w:val="21"/>
          <w:szCs w:val="21"/>
        </w:rPr>
      </w:pPr>
    </w:p>
    <w:p>
      <w:pPr>
        <w:pStyle w:val="BodyText"/>
        <w:spacing w:line="398" w:lineRule="auto"/>
        <w:ind w:right="206" w:firstLine="420"/>
        <w:jc w:val="both"/>
      </w:pPr>
      <w:r>
        <w:rPr/>
        <w:t>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日召开第三届董事会第五十次会议，审议通过了《关于为全资子公司申请银行</w:t>
      </w:r>
      <w:r>
        <w:rPr>
          <w:w w:val="100"/>
        </w:rPr>
        <w:t> </w:t>
      </w:r>
      <w:r>
        <w:rPr>
          <w:spacing w:val="-2"/>
          <w:w w:val="100"/>
        </w:rPr>
        <w:t>综合授信提供担保的议案》，同意公司为全资子公司北京泰豪智能工程有限公司向江苏银行股份有限公司</w:t>
      </w:r>
      <w:r>
        <w:rPr>
          <w:spacing w:val="-94"/>
          <w:w w:val="100"/>
        </w:rPr>
        <w:t> </w:t>
      </w:r>
      <w:r>
        <w:rPr>
          <w:spacing w:val="-94"/>
          <w:w w:val="100"/>
        </w:rPr>
      </w:r>
      <w:r>
        <w:rPr/>
        <w:t>北京中关村西区支行申请人民币</w:t>
      </w:r>
      <w:r>
        <w:rPr>
          <w:spacing w:val="-41"/>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万元的</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年期综合授信业务提供连带责任保证担保。贷款用途为用</w:t>
      </w:r>
    </w:p>
    <w:p>
      <w:pPr>
        <w:pStyle w:val="BodyText"/>
        <w:spacing w:line="240" w:lineRule="auto" w:before="24"/>
        <w:ind w:right="0"/>
        <w:jc w:val="both"/>
      </w:pPr>
      <w:r>
        <w:rPr/>
        <w:t>于日常经营。截止到</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日已使用额度为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万元。</w:t>
      </w:r>
    </w:p>
    <w:p>
      <w:pPr>
        <w:spacing w:line="240" w:lineRule="auto" w:before="9"/>
        <w:rPr>
          <w:rFonts w:ascii="宋体" w:hAnsi="宋体" w:cs="宋体" w:eastAsia="宋体" w:hint="default"/>
          <w:sz w:val="23"/>
          <w:szCs w:val="23"/>
        </w:rPr>
      </w:pPr>
    </w:p>
    <w:p>
      <w:pPr>
        <w:pStyle w:val="Heading3"/>
        <w:spacing w:line="240" w:lineRule="auto"/>
        <w:ind w:right="0"/>
        <w:jc w:val="both"/>
      </w:pPr>
      <w:r>
        <w:rPr/>
        <w:t>（</w:t>
      </w:r>
      <w:r>
        <w:rPr>
          <w:rFonts w:ascii="Times New Roman" w:hAnsi="Times New Roman" w:cs="Times New Roman" w:eastAsia="Times New Roman" w:hint="default"/>
        </w:rPr>
        <w:t>5</w:t>
      </w:r>
      <w:r>
        <w:rPr/>
        <w:t>）关联方资金拆借</w:t>
      </w:r>
    </w:p>
    <w:p>
      <w:pPr>
        <w:spacing w:line="240" w:lineRule="auto" w:before="1"/>
        <w:rPr>
          <w:rFonts w:ascii="黑体" w:hAnsi="黑体" w:cs="黑体" w:eastAsia="黑体" w:hint="default"/>
          <w:sz w:val="24"/>
          <w:szCs w:val="24"/>
        </w:rPr>
      </w:pPr>
    </w:p>
    <w:p>
      <w:pPr>
        <w:pStyle w:val="BodyText"/>
        <w:spacing w:line="240" w:lineRule="auto"/>
        <w:ind w:left="0" w:right="208"/>
        <w:jc w:val="right"/>
      </w:pPr>
      <w:r>
        <w:rPr/>
        <w:t>单位：</w:t>
      </w:r>
      <w:r>
        <w:rPr>
          <w:spacing w:val="2"/>
        </w:rPr>
        <w:t> </w:t>
      </w:r>
      <w:r>
        <w:rPr/>
        <w:t>元</w:t>
      </w:r>
    </w:p>
    <w:p>
      <w:pPr>
        <w:spacing w:after="0" w:line="240" w:lineRule="auto"/>
        <w:jc w:val="right"/>
        <w:sectPr>
          <w:pgSz w:w="11910" w:h="16840"/>
          <w:pgMar w:header="882" w:footer="1132" w:top="1280" w:bottom="1320" w:left="980" w:right="92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5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506"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509"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6</w:t>
      </w:r>
      <w:r>
        <w:rPr/>
        <w:t>）关联方资产转让、债务重组情况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393"/>
        <w:gridCol w:w="2394"/>
        <w:gridCol w:w="2392"/>
        <w:gridCol w:w="2381"/>
      </w:tblGrid>
      <w:tr>
        <w:trPr>
          <w:trHeight w:val="507"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7</w:t>
      </w:r>
      <w:r>
        <w:rPr/>
        <w:t>）关键管理人员报酬</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4,121,415.20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4,125,000.00</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8</w:t>
      </w:r>
      <w:r>
        <w:rPr/>
        <w:t>）其他关联交易</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6</w:t>
      </w:r>
      <w:r>
        <w:rPr/>
        <w:t>、关联方应收应付款项</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）应收项目</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08"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3"/>
              <w:jc w:val="left"/>
              <w:rPr>
                <w:rFonts w:ascii="宋体" w:hAnsi="宋体" w:cs="宋体" w:eastAsia="宋体" w:hint="default"/>
                <w:sz w:val="18"/>
                <w:szCs w:val="18"/>
              </w:rPr>
            </w:pPr>
            <w:r>
              <w:rPr>
                <w:rFonts w:ascii="宋体" w:hAnsi="宋体" w:cs="宋体" w:eastAsia="宋体" w:hint="default"/>
                <w:spacing w:val="14"/>
                <w:sz w:val="18"/>
                <w:szCs w:val="18"/>
              </w:rPr>
              <w:t>安徽百旺金赋信息 </w:t>
            </w:r>
            <w:r>
              <w:rPr>
                <w:rFonts w:ascii="宋体" w:hAnsi="宋体" w:cs="宋体" w:eastAsia="宋体" w:hint="default"/>
                <w:sz w:val="18"/>
                <w:szCs w:val="18"/>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611,240.00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114,741.00</w:t>
            </w: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北京汉荣捷通技术 </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1,908,167.46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271,431.36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1,365,659.11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122,152.97</w:t>
            </w:r>
          </w:p>
        </w:tc>
      </w:tr>
      <w:tr>
        <w:trPr>
          <w:trHeight w:val="81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北京联合信标测试 </w:t>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218,502.50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3"/>
              <w:jc w:val="left"/>
              <w:rPr>
                <w:rFonts w:ascii="宋体" w:hAnsi="宋体" w:cs="宋体" w:eastAsia="宋体" w:hint="default"/>
                <w:sz w:val="18"/>
                <w:szCs w:val="18"/>
              </w:rPr>
            </w:pPr>
            <w:r>
              <w:rPr>
                <w:rFonts w:ascii="宋体" w:hAnsi="宋体" w:cs="宋体" w:eastAsia="宋体" w:hint="default"/>
                <w:spacing w:val="14"/>
                <w:sz w:val="18"/>
                <w:szCs w:val="18"/>
              </w:rPr>
              <w:t>北京旋极星达技术 </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pacing w:val="14"/>
                <w:sz w:val="18"/>
                <w:szCs w:val="18"/>
              </w:rPr>
              <w:t>北京中航通用科技</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8,070,000.00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403,500.00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成都凯天质检技术 </w:t>
            </w:r>
            <w:r>
              <w:rPr>
                <w:rFonts w:ascii="宋体" w:hAnsi="宋体" w:cs="宋体" w:eastAsia="宋体" w:hint="default"/>
                <w:sz w:val="18"/>
                <w:szCs w:val="18"/>
              </w:rPr>
              <w:t>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18,731,809.95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1,045,774.27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5,281,791.26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264,089.56</w:t>
            </w:r>
          </w:p>
        </w:tc>
      </w:tr>
      <w:tr>
        <w:trPr>
          <w:trHeight w:val="5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北京旋极星达技术 </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2"/>
              <w:ind w:left="24" w:right="3"/>
              <w:jc w:val="left"/>
              <w:rPr>
                <w:rFonts w:ascii="宋体" w:hAnsi="宋体" w:cs="宋体" w:eastAsia="宋体" w:hint="default"/>
                <w:sz w:val="18"/>
                <w:szCs w:val="18"/>
              </w:rPr>
            </w:pPr>
            <w:r>
              <w:rPr>
                <w:rFonts w:ascii="宋体" w:hAnsi="宋体" w:cs="宋体" w:eastAsia="宋体" w:hint="default"/>
                <w:spacing w:val="14"/>
                <w:sz w:val="18"/>
                <w:szCs w:val="18"/>
              </w:rPr>
              <w:t>安徽百旺金赋信息 </w:t>
            </w:r>
            <w:r>
              <w:rPr>
                <w:rFonts w:ascii="宋体" w:hAnsi="宋体" w:cs="宋体" w:eastAsia="宋体" w:hint="default"/>
                <w:sz w:val="18"/>
                <w:szCs w:val="18"/>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354,537.46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21,226.87</w:t>
            </w:r>
          </w:p>
        </w:tc>
      </w:tr>
      <w:tr>
        <w:trPr>
          <w:trHeight w:val="82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3"/>
              <w:jc w:val="left"/>
              <w:rPr>
                <w:rFonts w:ascii="宋体" w:hAnsi="宋体" w:cs="宋体" w:eastAsia="宋体" w:hint="default"/>
                <w:sz w:val="18"/>
                <w:szCs w:val="18"/>
              </w:rPr>
            </w:pPr>
            <w:r>
              <w:rPr>
                <w:rFonts w:ascii="宋体" w:hAnsi="宋体" w:cs="宋体" w:eastAsia="宋体" w:hint="default"/>
                <w:spacing w:val="14"/>
                <w:sz w:val="18"/>
                <w:szCs w:val="18"/>
              </w:rPr>
              <w:t>北京汉荣捷通技术 </w:t>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4,457.40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222.87</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）应付项目</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50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9,763.15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1"/>
              <w:ind w:left="23" w:right="0"/>
              <w:jc w:val="left"/>
              <w:rPr>
                <w:rFonts w:ascii="宋体" w:hAnsi="宋体" w:cs="宋体" w:eastAsia="宋体" w:hint="default"/>
                <w:sz w:val="18"/>
                <w:szCs w:val="18"/>
              </w:rPr>
            </w:pPr>
            <w:r>
              <w:rPr>
                <w:rFonts w:ascii="宋体" w:hAnsi="宋体" w:cs="宋体" w:eastAsia="宋体" w:hint="default"/>
                <w:spacing w:val="14"/>
                <w:sz w:val="18"/>
                <w:szCs w:val="18"/>
              </w:rPr>
              <w:t>安徽百旺金赋信息科技有限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510,927.14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393,452.99</w:t>
            </w:r>
          </w:p>
        </w:tc>
      </w:tr>
      <w:tr>
        <w:trPr>
          <w:trHeight w:val="81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0"/>
              <w:jc w:val="left"/>
              <w:rPr>
                <w:rFonts w:ascii="宋体" w:hAnsi="宋体" w:cs="宋体" w:eastAsia="宋体" w:hint="default"/>
                <w:sz w:val="18"/>
                <w:szCs w:val="18"/>
              </w:rPr>
            </w:pPr>
            <w:r>
              <w:rPr>
                <w:rFonts w:ascii="宋体" w:hAnsi="宋体" w:cs="宋体" w:eastAsia="宋体" w:hint="default"/>
                <w:spacing w:val="14"/>
                <w:sz w:val="18"/>
                <w:szCs w:val="18"/>
              </w:rPr>
              <w:t>北京旋极拉卡拉信息技术有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774,690.00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北京旋极星达技术有限公司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76,162.60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0"/>
              <w:jc w:val="left"/>
              <w:rPr>
                <w:rFonts w:ascii="宋体" w:hAnsi="宋体" w:cs="宋体" w:eastAsia="宋体" w:hint="default"/>
                <w:sz w:val="18"/>
                <w:szCs w:val="18"/>
              </w:rPr>
            </w:pPr>
            <w:r>
              <w:rPr>
                <w:rFonts w:ascii="宋体" w:hAnsi="宋体" w:cs="宋体" w:eastAsia="宋体" w:hint="default"/>
                <w:spacing w:val="14"/>
                <w:sz w:val="18"/>
                <w:szCs w:val="18"/>
              </w:rPr>
              <w:t>安徽百旺金赋信息科技有限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34,797.10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391,299.60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236,435.00</w:t>
            </w: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沈阳旋飞航空技术有限公司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百望股份有限公司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13"/>
        <w:rPr>
          <w:rFonts w:ascii="宋体" w:hAnsi="宋体" w:cs="宋体" w:eastAsia="宋体" w:hint="default"/>
          <w:sz w:val="14"/>
          <w:szCs w:val="14"/>
        </w:rPr>
      </w:pPr>
    </w:p>
    <w:p>
      <w:pPr>
        <w:pStyle w:val="Heading3"/>
        <w:spacing w:line="240" w:lineRule="auto" w:before="26"/>
        <w:ind w:right="11"/>
        <w:jc w:val="left"/>
      </w:pPr>
      <w:r>
        <w:rPr>
          <w:rFonts w:ascii="Times New Roman" w:hAnsi="Times New Roman" w:cs="Times New Roman" w:eastAsia="Times New Roman" w:hint="default"/>
        </w:rPr>
        <w:t>7</w:t>
      </w:r>
      <w:r>
        <w:rPr/>
        <w:t>、关联方承诺</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8</w:t>
      </w:r>
      <w:r>
        <w:rPr/>
        <w:t>、其他</w:t>
      </w:r>
    </w:p>
    <w:p>
      <w:pPr>
        <w:spacing w:line="240" w:lineRule="auto" w:before="0"/>
        <w:rPr>
          <w:rFonts w:ascii="黑体" w:hAnsi="黑体" w:cs="黑体" w:eastAsia="黑体" w:hint="default"/>
          <w:sz w:val="24"/>
          <w:szCs w:val="24"/>
        </w:rPr>
      </w:pPr>
    </w:p>
    <w:p>
      <w:pPr>
        <w:pStyle w:val="Heading2"/>
        <w:spacing w:line="240" w:lineRule="auto" w:before="166"/>
        <w:ind w:right="11"/>
        <w:jc w:val="left"/>
      </w:pPr>
      <w:r>
        <w:rPr/>
        <w:t>十三、股份支付</w:t>
      </w:r>
    </w:p>
    <w:p>
      <w:pPr>
        <w:spacing w:line="240" w:lineRule="auto" w:before="6"/>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、股份支付总体情况</w:t>
      </w:r>
    </w:p>
    <w:p>
      <w:pPr>
        <w:spacing w:line="240" w:lineRule="auto" w:before="3"/>
        <w:rPr>
          <w:rFonts w:ascii="黑体" w:hAnsi="黑体" w:cs="黑体" w:eastAsia="黑体" w:hint="default"/>
          <w:sz w:val="24"/>
          <w:szCs w:val="24"/>
        </w:rPr>
      </w:pPr>
    </w:p>
    <w:p>
      <w:pPr>
        <w:pStyle w:val="BodyText"/>
        <w:spacing w:line="240" w:lineRule="auto"/>
        <w:ind w:left="555" w:right="774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50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22,860,000.00</w:t>
            </w:r>
          </w:p>
        </w:tc>
      </w:tr>
      <w:tr>
        <w:trPr>
          <w:trHeight w:val="50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8,534,941.00</w:t>
            </w:r>
          </w:p>
        </w:tc>
      </w:tr>
      <w:tr>
        <w:trPr>
          <w:trHeight w:val="50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492,272.00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、以权益结算的股份支付情况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0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28,628,100.00</w:t>
            </w:r>
          </w:p>
        </w:tc>
      </w:tr>
      <w:tr>
        <w:trPr>
          <w:trHeight w:val="50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28,628,100.00</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、以现金结算的股份支付情况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4</w:t>
      </w:r>
      <w:r>
        <w:rPr/>
        <w:t>、股份支付的修改、终止情况</w:t>
      </w:r>
    </w:p>
    <w:p>
      <w:pPr>
        <w:spacing w:line="240" w:lineRule="auto" w:before="11"/>
        <w:rPr>
          <w:rFonts w:ascii="黑体" w:hAnsi="黑体" w:cs="黑体" w:eastAsia="黑体" w:hint="default"/>
          <w:sz w:val="24"/>
          <w:szCs w:val="24"/>
        </w:rPr>
      </w:pPr>
    </w:p>
    <w:p>
      <w:pPr>
        <w:pStyle w:val="Heading3"/>
        <w:spacing w:line="240" w:lineRule="auto"/>
        <w:ind w:right="11"/>
        <w:jc w:val="left"/>
      </w:pPr>
      <w:r>
        <w:rPr>
          <w:rFonts w:ascii="Times New Roman" w:hAnsi="Times New Roman" w:cs="Times New Roman" w:eastAsia="Times New Roman" w:hint="default"/>
        </w:rPr>
        <w:t>5</w:t>
      </w:r>
      <w:r>
        <w:rPr/>
        <w:t>、其他</w:t>
      </w:r>
    </w:p>
    <w:p>
      <w:pPr>
        <w:spacing w:line="240" w:lineRule="auto" w:before="0"/>
        <w:rPr>
          <w:rFonts w:ascii="黑体" w:hAnsi="黑体" w:cs="黑体" w:eastAsia="黑体" w:hint="default"/>
          <w:sz w:val="24"/>
          <w:szCs w:val="24"/>
        </w:rPr>
      </w:pPr>
    </w:p>
    <w:p>
      <w:pPr>
        <w:pStyle w:val="Heading2"/>
        <w:spacing w:line="240" w:lineRule="auto" w:before="166"/>
        <w:ind w:right="11"/>
        <w:jc w:val="left"/>
      </w:pPr>
      <w:r>
        <w:rPr/>
        <w:t>十四、承诺及或有事项</w:t>
      </w:r>
    </w:p>
    <w:p>
      <w:pPr>
        <w:spacing w:line="240" w:lineRule="auto" w:before="7"/>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、重要承诺事项</w:t>
      </w:r>
    </w:p>
    <w:p>
      <w:pPr>
        <w:spacing w:after="0" w:line="240" w:lineRule="auto"/>
        <w:jc w:val="left"/>
        <w:sectPr>
          <w:pgSz w:w="11910" w:h="16840"/>
          <w:pgMar w:header="882" w:footer="1132" w:top="1280" w:bottom="1320" w:left="980" w:right="980"/>
        </w:sectPr>
      </w:pPr>
    </w:p>
    <w:p>
      <w:pPr>
        <w:spacing w:line="240" w:lineRule="auto" w:before="5"/>
        <w:rPr>
          <w:rFonts w:ascii="黑体" w:hAnsi="黑体" w:cs="黑体" w:eastAsia="黑体" w:hint="default"/>
          <w:sz w:val="13"/>
          <w:szCs w:val="13"/>
        </w:rPr>
      </w:pPr>
    </w:p>
    <w:p>
      <w:pPr>
        <w:pStyle w:val="BodyText"/>
        <w:spacing w:line="496" w:lineRule="auto" w:before="36"/>
        <w:ind w:left="573" w:right="6369"/>
        <w:jc w:val="left"/>
      </w:pPr>
      <w:r>
        <w:rPr>
          <w:spacing w:val="-2"/>
        </w:rPr>
        <w:t>资产负债表日存在的重要承诺</w:t>
      </w:r>
      <w:r>
        <w:rPr>
          <w:spacing w:val="-79"/>
        </w:rPr>
        <w:t> </w:t>
      </w:r>
      <w:r>
        <w:rPr>
          <w:spacing w:val="-79"/>
        </w:rPr>
      </w:r>
      <w:r>
        <w:rPr/>
        <w:t>无。</w:t>
      </w:r>
    </w:p>
    <w:p>
      <w:pPr>
        <w:pStyle w:val="Heading3"/>
        <w:spacing w:line="240" w:lineRule="auto" w:before="99"/>
        <w:ind w:right="100"/>
        <w:jc w:val="left"/>
      </w:pPr>
      <w:r>
        <w:rPr>
          <w:rFonts w:ascii="Times New Roman" w:hAnsi="Times New Roman" w:cs="Times New Roman" w:eastAsia="Times New Roman" w:hint="default"/>
        </w:rPr>
        <w:t>2</w:t>
      </w:r>
      <w:r>
        <w:rPr/>
        <w:t>、或有事项</w:t>
      </w:r>
    </w:p>
    <w:p>
      <w:pPr>
        <w:spacing w:line="240" w:lineRule="auto" w:before="11"/>
        <w:rPr>
          <w:rFonts w:ascii="黑体" w:hAnsi="黑体" w:cs="黑体" w:eastAsia="黑体" w:hint="default"/>
          <w:sz w:val="24"/>
          <w:szCs w:val="24"/>
        </w:rPr>
      </w:pPr>
    </w:p>
    <w:p>
      <w:pPr>
        <w:pStyle w:val="Heading3"/>
        <w:spacing w:line="240" w:lineRule="auto"/>
        <w:ind w:right="100"/>
        <w:jc w:val="left"/>
      </w:pPr>
      <w:r>
        <w:rPr/>
        <w:t>（</w:t>
      </w:r>
      <w:r>
        <w:rPr>
          <w:rFonts w:ascii="Times New Roman" w:hAnsi="Times New Roman" w:cs="Times New Roman" w:eastAsia="Times New Roman" w:hint="default"/>
        </w:rPr>
        <w:t>1</w:t>
      </w:r>
      <w:r>
        <w:rPr/>
        <w:t>）资产负债表日存在的重要或有事项</w:t>
      </w:r>
    </w:p>
    <w:p>
      <w:pPr>
        <w:spacing w:line="240" w:lineRule="auto" w:before="1"/>
        <w:rPr>
          <w:rFonts w:ascii="黑体" w:hAnsi="黑体" w:cs="黑体" w:eastAsia="黑体" w:hint="default"/>
          <w:sz w:val="25"/>
          <w:szCs w:val="25"/>
        </w:rPr>
      </w:pPr>
    </w:p>
    <w:p>
      <w:pPr>
        <w:pStyle w:val="Heading3"/>
        <w:spacing w:line="240" w:lineRule="auto"/>
        <w:ind w:right="100"/>
        <w:jc w:val="left"/>
      </w:pPr>
      <w:r>
        <w:rPr>
          <w:rFonts w:ascii="Times New Roman" w:hAnsi="Times New Roman" w:cs="Times New Roman" w:eastAsia="Times New Roman" w:hint="default"/>
        </w:rPr>
        <w:t>1</w:t>
      </w:r>
      <w:r>
        <w:rPr/>
        <w:t>、诉讼事项</w:t>
      </w:r>
    </w:p>
    <w:p>
      <w:pPr>
        <w:spacing w:line="240" w:lineRule="auto" w:before="4"/>
        <w:rPr>
          <w:rFonts w:ascii="黑体" w:hAnsi="黑体" w:cs="黑体" w:eastAsia="黑体" w:hint="default"/>
          <w:sz w:val="24"/>
          <w:szCs w:val="24"/>
        </w:rPr>
      </w:pPr>
    </w:p>
    <w:p>
      <w:pPr>
        <w:pStyle w:val="BodyText"/>
        <w:spacing w:line="386" w:lineRule="auto"/>
        <w:ind w:right="20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日，深圳朗科科技股份有限公司向广西壮族自治区南宁市中级人民法院递交《民事起</w:t>
      </w:r>
      <w:r>
        <w:rPr>
          <w:w w:val="100"/>
        </w:rPr>
        <w:t> </w:t>
      </w:r>
      <w:r>
        <w:rPr>
          <w:spacing w:val="-4"/>
          <w:w w:val="100"/>
        </w:rPr>
        <w:t>诉状》。起诉本公司等单位侵犯朗科科技发明专利权（专利名称为</w:t>
      </w:r>
      <w:r>
        <w:rPr>
          <w:rFonts w:ascii="Times New Roman" w:hAnsi="Times New Roman" w:cs="Times New Roman" w:eastAsia="Times New Roman" w:hint="default"/>
          <w:spacing w:val="-4"/>
          <w:w w:val="100"/>
        </w:rPr>
        <w:t>“</w:t>
      </w:r>
      <w:r>
        <w:rPr>
          <w:spacing w:val="-4"/>
          <w:w w:val="100"/>
        </w:rPr>
        <w:t>用于数据处理系统的快闪电子式外存储</w:t>
      </w:r>
      <w:r>
        <w:rPr>
          <w:spacing w:val="-99"/>
          <w:w w:val="100"/>
        </w:rPr>
        <w:t> </w:t>
      </w:r>
      <w:r>
        <w:rPr>
          <w:spacing w:val="-99"/>
          <w:w w:val="100"/>
        </w:rPr>
      </w:r>
      <w:r>
        <w:rPr>
          <w:spacing w:val="-5"/>
          <w:w w:val="100"/>
        </w:rPr>
        <w:t>方法及其装置</w:t>
      </w:r>
      <w:r>
        <w:rPr>
          <w:rFonts w:ascii="Times New Roman" w:hAnsi="Times New Roman" w:cs="Times New Roman" w:eastAsia="Times New Roman" w:hint="default"/>
          <w:spacing w:val="-5"/>
          <w:w w:val="100"/>
        </w:rPr>
        <w:t>”</w:t>
      </w:r>
      <w:r>
        <w:rPr>
          <w:spacing w:val="-5"/>
          <w:w w:val="100"/>
        </w:rPr>
        <w:t>，专利号：</w:t>
      </w:r>
      <w:r>
        <w:rPr>
          <w:rFonts w:ascii="Times New Roman" w:hAnsi="Times New Roman" w:cs="Times New Roman" w:eastAsia="Times New Roman" w:hint="default"/>
          <w:spacing w:val="-5"/>
          <w:w w:val="100"/>
        </w:rPr>
        <w:t>99117225.6</w:t>
      </w:r>
      <w:r>
        <w:rPr>
          <w:spacing w:val="-5"/>
          <w:w w:val="100"/>
        </w:rPr>
        <w:t>）。南宁市中级人民法院于</w:t>
      </w:r>
      <w:r>
        <w:rPr>
          <w:spacing w:val="-50"/>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10"/>
          <w:w w:val="100"/>
        </w:rPr>
        <w:t> </w:t>
      </w:r>
      <w:r>
        <w:rPr>
          <w:w w:val="100"/>
        </w:rPr>
        <w:t>年</w:t>
      </w:r>
      <w:r>
        <w:rPr>
          <w:spacing w:val="-50"/>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w w:val="100"/>
        </w:rPr>
        <w:t> </w:t>
      </w:r>
      <w:r>
        <w:rPr>
          <w:w w:val="100"/>
        </w:rPr>
        <w:t>月</w:t>
      </w:r>
      <w:r>
        <w:rPr>
          <w:spacing w:val="-50"/>
          <w:w w:val="100"/>
        </w:rPr>
        <w:t> </w:t>
      </w:r>
      <w:r>
        <w:rPr>
          <w:rFonts w:ascii="Times New Roman" w:hAnsi="Times New Roman" w:cs="Times New Roman" w:eastAsia="Times New Roman" w:hint="default"/>
          <w:spacing w:val="-2"/>
          <w:w w:val="100"/>
        </w:rPr>
        <w:t>15</w:t>
      </w:r>
      <w:r>
        <w:rPr>
          <w:rFonts w:ascii="Times New Roman" w:hAnsi="Times New Roman" w:cs="Times New Roman" w:eastAsia="Times New Roman" w:hint="default"/>
          <w:spacing w:val="-7"/>
          <w:w w:val="100"/>
        </w:rPr>
        <w:t> </w:t>
      </w:r>
      <w:r>
        <w:rPr>
          <w:spacing w:val="-2"/>
          <w:w w:val="100"/>
        </w:rPr>
        <w:t>日受理了本案。</w:t>
      </w:r>
    </w:p>
    <w:p>
      <w:pPr>
        <w:pStyle w:val="BodyText"/>
        <w:spacing w:line="240" w:lineRule="auto" w:before="136"/>
        <w:ind w:left="573" w:right="10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日，公司收到广西南宁市中级人民法院作出的一审判决，被告北京旋极信息技术股份</w:t>
      </w:r>
    </w:p>
    <w:p>
      <w:pPr>
        <w:pStyle w:val="BodyText"/>
        <w:spacing w:line="386" w:lineRule="auto" w:before="177"/>
        <w:ind w:right="100"/>
        <w:jc w:val="left"/>
      </w:pPr>
      <w:r>
        <w:rPr/>
        <w:t>有限公司赔偿原告深圳市朗科科技股份有限公司经济损失</w:t>
      </w:r>
      <w:r>
        <w:rPr>
          <w:spacing w:val="-3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日公司依法向广西南</w:t>
      </w:r>
      <w:r>
        <w:rPr>
          <w:w w:val="100"/>
        </w:rPr>
        <w:t> </w:t>
      </w:r>
      <w:r>
        <w:rPr/>
        <w:t>宁市中级人民法院提交上诉材料，截止本报告日本案尚未判决。</w:t>
      </w:r>
    </w:p>
    <w:p>
      <w:pPr>
        <w:pStyle w:val="BodyText"/>
        <w:spacing w:line="240" w:lineRule="auto" w:before="163"/>
        <w:ind w:left="573" w:right="10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月，公司收到广西壮族自治区高级人民法院对公司上诉的判决，判决如下：</w:t>
      </w:r>
      <w:r>
        <w:rPr>
          <w:rFonts w:ascii="Times New Roman" w:hAnsi="Times New Roman" w:cs="Times New Roman" w:eastAsia="Times New Roman" w:hint="default"/>
          <w:spacing w:val="-3"/>
        </w:rPr>
        <w:t>"1</w:t>
      </w:r>
      <w:r>
        <w:rPr>
          <w:spacing w:val="-3"/>
        </w:rPr>
        <w:t>、撤销南宁市</w:t>
      </w:r>
    </w:p>
    <w:p>
      <w:pPr>
        <w:pStyle w:val="BodyText"/>
        <w:spacing w:line="470" w:lineRule="auto" w:before="177"/>
        <w:ind w:left="573" w:right="100" w:hanging="421"/>
        <w:jc w:val="left"/>
      </w:pPr>
      <w:r>
        <w:rPr/>
        <w:t>中级人民法院（</w:t>
      </w:r>
      <w:r>
        <w:rPr>
          <w:rFonts w:ascii="Times New Roman" w:hAnsi="Times New Roman" w:cs="Times New Roman" w:eastAsia="Times New Roman" w:hint="default"/>
        </w:rPr>
        <w:t>2012</w:t>
      </w:r>
      <w:r>
        <w:rPr/>
        <w:t>）南市民三初字第</w:t>
      </w:r>
      <w:r>
        <w:rPr>
          <w:spacing w:val="-53"/>
        </w:rPr>
        <w:t> </w:t>
      </w:r>
      <w:r>
        <w:rPr>
          <w:rFonts w:ascii="Times New Roman" w:hAnsi="Times New Roman" w:cs="Times New Roman" w:eastAsia="Times New Roman" w:hint="default"/>
        </w:rPr>
        <w:t>59</w:t>
      </w:r>
      <w:r>
        <w:rPr>
          <w:rFonts w:ascii="Times New Roman" w:hAnsi="Times New Roman" w:cs="Times New Roman" w:eastAsia="Times New Roman" w:hint="default"/>
          <w:spacing w:val="-13"/>
        </w:rPr>
        <w:t> </w:t>
      </w:r>
      <w:r>
        <w:rPr/>
        <w:t>号民事裁决；</w:t>
      </w:r>
      <w:r>
        <w:rPr>
          <w:rFonts w:ascii="Times New Roman" w:hAnsi="Times New Roman" w:cs="Times New Roman" w:eastAsia="Times New Roman" w:hint="default"/>
        </w:rPr>
        <w:t>2</w:t>
      </w:r>
      <w:r>
        <w:rPr/>
        <w:t>、将本案发回南宁市中级人民法院重审。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公司大股东、实际控制人陈江涛已对本案件向本公司做出书面承诺：</w:t>
      </w:r>
      <w:r>
        <w:rPr>
          <w:rFonts w:ascii="Times New Roman" w:hAnsi="Times New Roman" w:cs="Times New Roman" w:eastAsia="Times New Roman" w:hint="default"/>
        </w:rPr>
        <w:t>“</w:t>
      </w:r>
      <w:r>
        <w:rPr/>
        <w:t>如果公司因本次侵权案件最终</w:t>
      </w:r>
    </w:p>
    <w:p>
      <w:pPr>
        <w:pStyle w:val="BodyText"/>
        <w:spacing w:line="229" w:lineRule="exact"/>
        <w:ind w:right="100"/>
        <w:jc w:val="left"/>
      </w:pPr>
      <w:r>
        <w:rPr/>
        <w:t>败诉，并因此需要支付任何侵权赔偿金、相关诉讼费用，或因本次诉讼导致公司的生产、经营遭受损失，</w:t>
      </w:r>
    </w:p>
    <w:p>
      <w:pPr>
        <w:spacing w:line="240" w:lineRule="auto" w:before="10"/>
        <w:rPr>
          <w:rFonts w:ascii="宋体" w:hAnsi="宋体" w:cs="宋体" w:eastAsia="宋体" w:hint="default"/>
          <w:sz w:val="14"/>
          <w:szCs w:val="14"/>
        </w:rPr>
      </w:pPr>
    </w:p>
    <w:p>
      <w:pPr>
        <w:pStyle w:val="BodyText"/>
        <w:spacing w:line="240" w:lineRule="auto"/>
        <w:ind w:right="100"/>
        <w:jc w:val="left"/>
        <w:rPr>
          <w:rFonts w:ascii="Times New Roman" w:hAnsi="Times New Roman" w:cs="Times New Roman" w:eastAsia="Times New Roman" w:hint="default"/>
        </w:rPr>
      </w:pPr>
      <w:r>
        <w:rPr/>
        <w:t>公司实际控制人陈江涛先生将承担公司因本次诉讼产生的侵权赔偿金、案件费用及生产、经营损失。</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6"/>
          <w:szCs w:val="26"/>
        </w:rPr>
      </w:pPr>
    </w:p>
    <w:p>
      <w:pPr>
        <w:pStyle w:val="Heading3"/>
        <w:spacing w:line="240" w:lineRule="auto"/>
        <w:ind w:right="100"/>
        <w:jc w:val="left"/>
      </w:pPr>
      <w:r>
        <w:rPr>
          <w:rFonts w:ascii="Times New Roman" w:hAnsi="Times New Roman" w:cs="Times New Roman" w:eastAsia="Times New Roman" w:hint="default"/>
        </w:rPr>
        <w:t>2</w:t>
      </w:r>
      <w:r>
        <w:rPr/>
        <w:t>、股权质押事项</w:t>
      </w:r>
    </w:p>
    <w:p>
      <w:pPr>
        <w:spacing w:line="240" w:lineRule="auto" w:before="1"/>
        <w:rPr>
          <w:rFonts w:ascii="黑体" w:hAnsi="黑体" w:cs="黑体" w:eastAsia="黑体" w:hint="default"/>
          <w:sz w:val="24"/>
          <w:szCs w:val="24"/>
        </w:rPr>
      </w:pPr>
    </w:p>
    <w:p>
      <w:pPr>
        <w:pStyle w:val="BodyText"/>
        <w:spacing w:line="386" w:lineRule="auto"/>
        <w:ind w:right="20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与兴业证券股份有限公司以其持有的公司股份</w:t>
      </w:r>
      <w:r>
        <w:rPr>
          <w:spacing w:val="-44"/>
        </w:rPr>
        <w:t> </w:t>
      </w:r>
      <w:r>
        <w:rPr>
          <w:rFonts w:ascii="Times New Roman" w:hAnsi="Times New Roman" w:cs="Times New Roman" w:eastAsia="Times New Roman" w:hint="default"/>
        </w:rPr>
        <w:t>23,170,000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5.94%</w:t>
      </w:r>
      <w:r>
        <w:rPr/>
        <w:t>，占公司股份</w:t>
      </w:r>
      <w:r>
        <w:rPr>
          <w:w w:val="100"/>
        </w:rPr>
        <w:t> </w:t>
      </w:r>
      <w:r>
        <w:rPr/>
        <w:t>总数的 </w:t>
      </w:r>
      <w:r>
        <w:rPr>
          <w:rFonts w:ascii="Times New Roman" w:hAnsi="Times New Roman" w:cs="Times New Roman" w:eastAsia="Times New Roman" w:hint="default"/>
          <w:spacing w:val="-2"/>
        </w:rPr>
        <w:t>2.01%</w:t>
      </w:r>
      <w:r>
        <w:rPr>
          <w:spacing w:val="-2"/>
        </w:rPr>
        <w:t>）办理了股票质押式回购业务。详见公司于同日在巨潮资讯网披露的《关于公司控股股东股</w:t>
      </w:r>
      <w:r>
        <w:rPr>
          <w:spacing w:val="-62"/>
        </w:rPr>
        <w:t> </w:t>
      </w:r>
      <w:r>
        <w:rPr>
          <w:spacing w:val="-62"/>
        </w:rPr>
      </w:r>
      <w:r>
        <w:rPr>
          <w:spacing w:val="-15"/>
          <w:w w:val="100"/>
        </w:rPr>
        <w:t>份质押的公告》。</w:t>
      </w:r>
    </w:p>
    <w:p>
      <w:pPr>
        <w:pStyle w:val="BodyText"/>
        <w:spacing w:line="240" w:lineRule="auto" w:before="163"/>
        <w:ind w:left="573" w:right="100"/>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日接到公司控股股东、实际控制人陈江涛先生的通知，陈江涛先生因个人需要</w:t>
      </w:r>
    </w:p>
    <w:p>
      <w:pPr>
        <w:pStyle w:val="BodyText"/>
        <w:spacing w:line="386" w:lineRule="auto" w:before="177"/>
        <w:ind w:right="100"/>
        <w:jc w:val="left"/>
      </w:pPr>
      <w:r>
        <w:rPr/>
        <w:t>与长城证券股份有限公司、兴业证券股份有限公司以其持有的公司股份共计</w:t>
      </w:r>
      <w:r>
        <w:rPr>
          <w:spacing w:val="-56"/>
        </w:rPr>
        <w:t> </w:t>
      </w:r>
      <w:r>
        <w:rPr>
          <w:rFonts w:ascii="Times New Roman" w:hAnsi="Times New Roman" w:cs="Times New Roman" w:eastAsia="Times New Roman" w:hint="default"/>
        </w:rPr>
        <w:t>51,940,000</w:t>
      </w:r>
      <w:r>
        <w:rPr>
          <w:rFonts w:ascii="Times New Roman" w:hAnsi="Times New Roman" w:cs="Times New Roman" w:eastAsia="Times New Roman" w:hint="default"/>
          <w:spacing w:val="-9"/>
        </w:rPr>
        <w:t> </w:t>
      </w:r>
      <w:r>
        <w:rPr>
          <w:spacing w:val="-3"/>
        </w:rPr>
        <w:t>股（占其所持公司</w:t>
      </w:r>
      <w:r>
        <w:rPr>
          <w:w w:val="100"/>
        </w:rPr>
        <w:t> </w:t>
      </w:r>
      <w:r>
        <w:rPr/>
        <w:t>股份总数</w:t>
      </w:r>
      <w:r>
        <w:rPr>
          <w:spacing w:val="-35"/>
        </w:rPr>
        <w:t> </w:t>
      </w:r>
      <w:r>
        <w:rPr>
          <w:rFonts w:ascii="Times New Roman" w:hAnsi="Times New Roman" w:cs="Times New Roman" w:eastAsia="Times New Roman" w:hint="default"/>
          <w:spacing w:val="-3"/>
        </w:rPr>
        <w:t>13.03%</w:t>
      </w:r>
      <w:r>
        <w:rPr>
          <w:spacing w:val="-3"/>
        </w:rPr>
        <w:t>，占公司股份总数的</w:t>
      </w:r>
      <w:r>
        <w:rPr>
          <w:spacing w:val="-35"/>
        </w:rPr>
        <w:t> </w:t>
      </w:r>
      <w:r>
        <w:rPr>
          <w:rFonts w:ascii="Times New Roman" w:hAnsi="Times New Roman" w:cs="Times New Roman" w:eastAsia="Times New Roman" w:hint="default"/>
          <w:spacing w:val="-3"/>
        </w:rPr>
        <w:t>4.52%</w:t>
      </w:r>
      <w:r>
        <w:rPr>
          <w:spacing w:val="-3"/>
        </w:rPr>
        <w:t>）办理了股票质押式回购业务；陈江涛先生将其质押给齐鲁证</w:t>
      </w:r>
      <w:r>
        <w:rPr>
          <w:spacing w:val="-65"/>
        </w:rPr>
        <w:t> </w:t>
      </w:r>
      <w:r>
        <w:rPr>
          <w:spacing w:val="-65"/>
        </w:rPr>
      </w:r>
      <w:r>
        <w:rPr>
          <w:spacing w:val="-4"/>
        </w:rPr>
        <w:t>券（上海）资产管理有限公司的</w:t>
      </w:r>
      <w:r>
        <w:rPr>
          <w:spacing w:val="-34"/>
        </w:rPr>
        <w:t> </w:t>
      </w:r>
      <w:r>
        <w:rPr>
          <w:rFonts w:ascii="Times New Roman" w:hAnsi="Times New Roman" w:cs="Times New Roman" w:eastAsia="Times New Roman" w:hint="default"/>
        </w:rPr>
        <w:t>32,000,000</w:t>
      </w:r>
      <w:r>
        <w:rPr>
          <w:rFonts w:ascii="Times New Roman" w:hAnsi="Times New Roman" w:cs="Times New Roman" w:eastAsia="Times New Roman" w:hint="default"/>
          <w:spacing w:val="1"/>
        </w:rPr>
        <w:t> </w:t>
      </w:r>
      <w:r>
        <w:rPr>
          <w:spacing w:val="-3"/>
        </w:rPr>
        <w:t>股（占其所持公司股份总数</w:t>
      </w:r>
      <w:r>
        <w:rPr>
          <w:spacing w:val="-36"/>
        </w:rPr>
        <w:t> </w:t>
      </w:r>
      <w:r>
        <w:rPr>
          <w:rFonts w:ascii="Times New Roman" w:hAnsi="Times New Roman" w:cs="Times New Roman" w:eastAsia="Times New Roman" w:hint="default"/>
          <w:spacing w:val="-3"/>
        </w:rPr>
        <w:t>8.20%</w:t>
      </w:r>
      <w:r>
        <w:rPr>
          <w:spacing w:val="-3"/>
        </w:rPr>
        <w:t>，占公司股份总数的</w:t>
      </w:r>
      <w:r>
        <w:rPr>
          <w:spacing w:val="-34"/>
        </w:rPr>
        <w:t> </w:t>
      </w:r>
      <w:r>
        <w:rPr>
          <w:rFonts w:ascii="Times New Roman" w:hAnsi="Times New Roman" w:cs="Times New Roman" w:eastAsia="Times New Roman" w:hint="default"/>
        </w:rPr>
        <w:t>2.78%</w:t>
      </w:r>
      <w:r>
        <w:rPr/>
        <w:t>）</w:t>
      </w:r>
      <w:r>
        <w:rPr>
          <w:spacing w:val="-97"/>
        </w:rPr>
        <w:t> </w:t>
      </w:r>
      <w:r>
        <w:rPr>
          <w:spacing w:val="-5"/>
          <w:w w:val="100"/>
        </w:rPr>
        <w:t>限售股解除质押。详见公司于同日在巨潮资讯网披露的《关于公司控股股东解除股份质押及质押的公告》。</w:t>
      </w:r>
    </w:p>
    <w:p>
      <w:pPr>
        <w:spacing w:after="0" w:line="386" w:lineRule="auto"/>
        <w:jc w:val="left"/>
        <w:sectPr>
          <w:pgSz w:w="11910" w:h="16840"/>
          <w:pgMar w:header="882" w:footer="1132" w:top="1280" w:bottom="1320" w:left="980" w:right="920"/>
        </w:sectPr>
      </w:pPr>
    </w:p>
    <w:p>
      <w:pPr>
        <w:spacing w:line="240" w:lineRule="auto" w:before="5"/>
        <w:rPr>
          <w:rFonts w:ascii="宋体" w:hAnsi="宋体" w:cs="宋体" w:eastAsia="宋体" w:hint="default"/>
          <w:sz w:val="13"/>
          <w:szCs w:val="13"/>
        </w:rPr>
      </w:pPr>
    </w:p>
    <w:p>
      <w:pPr>
        <w:pStyle w:val="BodyText"/>
        <w:spacing w:line="386" w:lineRule="auto" w:before="36"/>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日接到公司控股股东、实际控制人陈江涛先生的通知，陈江涛先生将其质押给</w:t>
      </w:r>
      <w:r>
        <w:rPr>
          <w:w w:val="100"/>
        </w:rPr>
        <w:t> </w:t>
      </w:r>
      <w:r>
        <w:rPr/>
        <w:t>兴业证券股份有限公司的</w:t>
      </w:r>
      <w:r>
        <w:rPr>
          <w:spacing w:val="-39"/>
        </w:rPr>
        <w:t> </w:t>
      </w:r>
      <w:r>
        <w:rPr>
          <w:rFonts w:ascii="Times New Roman" w:hAnsi="Times New Roman" w:cs="Times New Roman" w:eastAsia="Times New Roman" w:hint="default"/>
        </w:rPr>
        <w:t>16,081,026</w:t>
      </w:r>
      <w:r>
        <w:rPr>
          <w:rFonts w:ascii="Times New Roman" w:hAnsi="Times New Roman" w:cs="Times New Roman" w:eastAsia="Times New Roman" w:hint="default"/>
          <w:spacing w:val="-5"/>
        </w:rPr>
        <w:t> </w:t>
      </w:r>
      <w:r>
        <w:rPr/>
        <w:t>股（占其所持公司股份总数</w:t>
      </w:r>
      <w:r>
        <w:rPr>
          <w:spacing w:val="-37"/>
        </w:rPr>
        <w:t> </w:t>
      </w:r>
      <w:r>
        <w:rPr>
          <w:rFonts w:ascii="Times New Roman" w:hAnsi="Times New Roman" w:cs="Times New Roman" w:eastAsia="Times New Roman" w:hint="default"/>
        </w:rPr>
        <w:t>4.12%</w:t>
      </w:r>
      <w:r>
        <w:rPr/>
        <w:t>，占公司股份总数的</w:t>
      </w:r>
      <w:r>
        <w:rPr>
          <w:spacing w:val="-39"/>
        </w:rPr>
        <w:t> </w:t>
      </w:r>
      <w:r>
        <w:rPr>
          <w:rFonts w:ascii="Times New Roman" w:hAnsi="Times New Roman" w:cs="Times New Roman" w:eastAsia="Times New Roman" w:hint="default"/>
        </w:rPr>
        <w:t>1.40%</w:t>
      </w:r>
      <w:r>
        <w:rPr/>
        <w:t>）限售</w:t>
      </w:r>
      <w:r>
        <w:rPr>
          <w:w w:val="100"/>
        </w:rPr>
        <w:t> </w:t>
      </w:r>
      <w:r>
        <w:rPr>
          <w:spacing w:val="-4"/>
          <w:w w:val="100"/>
        </w:rPr>
        <w:t>股解除质押。详见公司于同日在巨潮资讯网披露的《关于控股股东股份解除质押的公告》。</w:t>
      </w:r>
    </w:p>
    <w:p>
      <w:pPr>
        <w:pStyle w:val="BodyText"/>
        <w:spacing w:line="386" w:lineRule="auto" w:before="166"/>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与兴业证券股份有限公司以其持有的公司股份</w:t>
      </w:r>
      <w:r>
        <w:rPr>
          <w:spacing w:val="-44"/>
        </w:rPr>
        <w:t> </w:t>
      </w:r>
      <w:r>
        <w:rPr>
          <w:rFonts w:ascii="Times New Roman" w:hAnsi="Times New Roman" w:cs="Times New Roman" w:eastAsia="Times New Roman" w:hint="default"/>
        </w:rPr>
        <w:t>20,500,000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5.25%</w:t>
      </w:r>
      <w:r>
        <w:rPr/>
        <w:t>，占公司股份</w:t>
      </w:r>
      <w:r>
        <w:rPr>
          <w:w w:val="100"/>
        </w:rPr>
        <w:t> </w:t>
      </w:r>
      <w:r>
        <w:rPr/>
        <w:t>总数的 </w:t>
      </w:r>
      <w:r>
        <w:rPr>
          <w:rFonts w:ascii="Times New Roman" w:hAnsi="Times New Roman" w:cs="Times New Roman" w:eastAsia="Times New Roman" w:hint="default"/>
          <w:spacing w:val="-2"/>
        </w:rPr>
        <w:t>1.78%</w:t>
      </w:r>
      <w:r>
        <w:rPr>
          <w:spacing w:val="-2"/>
        </w:rPr>
        <w:t>）办理了股票质押式回购业务。详见公司于同日在巨潮资讯网披露的《关于公司控股股东股</w:t>
      </w:r>
      <w:r>
        <w:rPr>
          <w:spacing w:val="-63"/>
        </w:rPr>
        <w:t> </w:t>
      </w:r>
      <w:r>
        <w:rPr>
          <w:spacing w:val="-63"/>
        </w:rPr>
      </w:r>
      <w:r>
        <w:rPr>
          <w:spacing w:val="-15"/>
          <w:w w:val="100"/>
        </w:rPr>
        <w:t>份质押的公告》。</w:t>
      </w:r>
    </w:p>
    <w:p>
      <w:pPr>
        <w:pStyle w:val="BodyText"/>
        <w:spacing w:line="386" w:lineRule="auto" w:before="164"/>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与兴业证券股份有限公司以其持有的公司股份</w:t>
      </w:r>
      <w:r>
        <w:rPr>
          <w:spacing w:val="-45"/>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6"/>
        </w:rPr>
        <w:t> </w:t>
      </w:r>
      <w:r>
        <w:rPr>
          <w:spacing w:val="-5"/>
        </w:rPr>
        <w:t>股（占其所持公司股份总数</w:t>
      </w:r>
      <w:r>
        <w:rPr>
          <w:spacing w:val="-46"/>
        </w:rPr>
        <w:t> </w:t>
      </w:r>
      <w:r>
        <w:rPr>
          <w:rFonts w:ascii="Times New Roman" w:hAnsi="Times New Roman" w:cs="Times New Roman" w:eastAsia="Times New Roman" w:hint="default"/>
          <w:spacing w:val="-5"/>
        </w:rPr>
        <w:t>0.72%</w:t>
      </w:r>
      <w:r>
        <w:rPr>
          <w:spacing w:val="-5"/>
        </w:rPr>
        <w:t>，占公司股份总</w:t>
      </w:r>
      <w:r>
        <w:rPr>
          <w:spacing w:val="-101"/>
        </w:rPr>
        <w:t> </w:t>
      </w:r>
      <w:r>
        <w:rPr>
          <w:spacing w:val="-101"/>
        </w:rPr>
      </w:r>
      <w:r>
        <w:rPr/>
        <w:t>数的 </w:t>
      </w:r>
      <w:r>
        <w:rPr>
          <w:rFonts w:ascii="Times New Roman" w:hAnsi="Times New Roman" w:cs="Times New Roman" w:eastAsia="Times New Roman" w:hint="default"/>
          <w:spacing w:val="-2"/>
        </w:rPr>
        <w:t>0.02%</w:t>
      </w:r>
      <w:r>
        <w:rPr>
          <w:spacing w:val="-2"/>
        </w:rPr>
        <w:t>）办理了股票质押式回购业务。详见公司于同日在巨潮资讯网披露的《关于控股股东股份质押</w:t>
      </w:r>
      <w:r>
        <w:rPr>
          <w:spacing w:val="-60"/>
        </w:rPr>
        <w:t> </w:t>
      </w:r>
      <w:r>
        <w:rPr>
          <w:spacing w:val="-60"/>
        </w:rPr>
      </w:r>
      <w:r>
        <w:rPr>
          <w:spacing w:val="-22"/>
          <w:w w:val="100"/>
        </w:rPr>
        <w:t>的公告》。</w:t>
      </w:r>
    </w:p>
    <w:p>
      <w:pPr>
        <w:pStyle w:val="BodyText"/>
        <w:spacing w:line="386" w:lineRule="auto" w:before="166"/>
        <w:ind w:right="146"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与长城证券股份有限公司以其持有的公司股份</w:t>
      </w:r>
      <w:r>
        <w:rPr>
          <w:spacing w:val="-45"/>
        </w:rPr>
        <w:t> </w:t>
      </w:r>
      <w:r>
        <w:rPr>
          <w:rFonts w:ascii="Times New Roman" w:hAnsi="Times New Roman" w:cs="Times New Roman" w:eastAsia="Times New Roman" w:hint="default"/>
        </w:rPr>
        <w:t>36,380,000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9.32%</w:t>
      </w:r>
      <w:r>
        <w:rPr/>
        <w:t>，占公司股份</w:t>
      </w:r>
      <w:r>
        <w:rPr>
          <w:w w:val="100"/>
        </w:rPr>
        <w:t> </w:t>
      </w:r>
      <w:r>
        <w:rPr/>
        <w:t>总数的 </w:t>
      </w:r>
      <w:r>
        <w:rPr>
          <w:rFonts w:ascii="Times New Roman" w:hAnsi="Times New Roman" w:cs="Times New Roman" w:eastAsia="Times New Roman" w:hint="default"/>
          <w:spacing w:val="-2"/>
        </w:rPr>
        <w:t>3.10%</w:t>
      </w:r>
      <w:r>
        <w:rPr>
          <w:spacing w:val="-2"/>
        </w:rPr>
        <w:t>）办理了股票质押式回购业务。详见公司于同日在巨潮资讯网披露的《关于控股股东股份质</w:t>
      </w:r>
      <w:r>
        <w:rPr>
          <w:spacing w:val="-62"/>
        </w:rPr>
        <w:t> </w:t>
      </w:r>
      <w:r>
        <w:rPr>
          <w:spacing w:val="-62"/>
        </w:rPr>
      </w:r>
      <w:r>
        <w:rPr>
          <w:spacing w:val="-19"/>
          <w:w w:val="100"/>
        </w:rPr>
        <w:t>押的公告》。</w:t>
      </w:r>
    </w:p>
    <w:p>
      <w:pPr>
        <w:pStyle w:val="BodyText"/>
        <w:spacing w:line="386" w:lineRule="auto" w:before="166"/>
        <w:ind w:right="146" w:firstLine="420"/>
        <w:jc w:val="both"/>
      </w:pPr>
      <w:r>
        <w:rPr/>
        <w:t>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 </w:t>
      </w:r>
      <w:r>
        <w:rPr>
          <w:spacing w:val="-5"/>
        </w:rPr>
        <w:t>日接到公司控股股东、实际控制人陈江涛先生的通知，陈江涛先生将其质押给长</w:t>
      </w:r>
      <w:r>
        <w:rPr>
          <w:w w:val="100"/>
        </w:rPr>
        <w:t> </w:t>
      </w:r>
      <w:r>
        <w:rPr/>
        <w:t>城证券股份有限公司的</w:t>
      </w:r>
      <w:r>
        <w:rPr>
          <w:spacing w:val="-37"/>
        </w:rPr>
        <w:t> </w:t>
      </w:r>
      <w:r>
        <w:rPr>
          <w:rFonts w:ascii="Times New Roman" w:hAnsi="Times New Roman" w:cs="Times New Roman" w:eastAsia="Times New Roman" w:hint="default"/>
        </w:rPr>
        <w:t>36,120,000</w:t>
      </w:r>
      <w:r>
        <w:rPr>
          <w:rFonts w:ascii="Times New Roman" w:hAnsi="Times New Roman" w:cs="Times New Roman" w:eastAsia="Times New Roman" w:hint="default"/>
          <w:spacing w:val="-8"/>
        </w:rPr>
        <w:t> </w:t>
      </w:r>
      <w:r>
        <w:rPr/>
        <w:t>股（占其所持公司股份总数</w:t>
      </w:r>
      <w:r>
        <w:rPr>
          <w:spacing w:val="-37"/>
        </w:rPr>
        <w:t> </w:t>
      </w:r>
      <w:r>
        <w:rPr>
          <w:rFonts w:ascii="Times New Roman" w:hAnsi="Times New Roman" w:cs="Times New Roman" w:eastAsia="Times New Roman" w:hint="default"/>
        </w:rPr>
        <w:t>9.25%</w:t>
      </w:r>
      <w:r>
        <w:rPr/>
        <w:t>，占公司股份总数的</w:t>
      </w:r>
      <w:r>
        <w:rPr>
          <w:spacing w:val="-39"/>
        </w:rPr>
        <w:t> </w:t>
      </w:r>
      <w:r>
        <w:rPr>
          <w:rFonts w:ascii="Times New Roman" w:hAnsi="Times New Roman" w:cs="Times New Roman" w:eastAsia="Times New Roman" w:hint="default"/>
        </w:rPr>
        <w:t>3.08%</w:t>
      </w:r>
      <w:r>
        <w:rPr/>
        <w:t>）限售股</w:t>
      </w:r>
      <w:r>
        <w:rPr>
          <w:w w:val="100"/>
        </w:rPr>
        <w:t> </w:t>
      </w:r>
      <w:r>
        <w:rPr>
          <w:spacing w:val="-4"/>
          <w:w w:val="100"/>
        </w:rPr>
        <w:t>解除质押。详见公司于同日在巨潮资讯网披露的《关于控股股东股份解除质押的公告》。</w:t>
      </w:r>
    </w:p>
    <w:p>
      <w:pPr>
        <w:pStyle w:val="BodyText"/>
        <w:spacing w:line="386" w:lineRule="auto" w:before="163"/>
        <w:ind w:right="145" w:firstLine="420"/>
        <w:jc w:val="both"/>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日接到公司控股股东、实际控制人陈江涛先生的通知，陈江涛先生因个人需要</w:t>
      </w:r>
      <w:r>
        <w:rPr>
          <w:w w:val="100"/>
        </w:rPr>
        <w:t> </w:t>
      </w:r>
      <w:r>
        <w:rPr/>
        <w:t>与长城证券股份有限公司以其持有的公司股份</w:t>
      </w:r>
      <w:r>
        <w:rPr>
          <w:spacing w:val="-44"/>
        </w:rPr>
        <w:t> </w:t>
      </w:r>
      <w:r>
        <w:rPr>
          <w:rFonts w:ascii="Times New Roman" w:hAnsi="Times New Roman" w:cs="Times New Roman" w:eastAsia="Times New Roman" w:hint="default"/>
        </w:rPr>
        <w:t>29,000,000</w:t>
      </w:r>
      <w:r>
        <w:rPr>
          <w:rFonts w:ascii="Times New Roman" w:hAnsi="Times New Roman" w:cs="Times New Roman" w:eastAsia="Times New Roman" w:hint="default"/>
          <w:spacing w:val="-14"/>
        </w:rPr>
        <w:t> </w:t>
      </w:r>
      <w:r>
        <w:rPr/>
        <w:t>股（占其所持公司股份总数</w:t>
      </w:r>
      <w:r>
        <w:rPr>
          <w:spacing w:val="-45"/>
        </w:rPr>
        <w:t> </w:t>
      </w:r>
      <w:r>
        <w:rPr>
          <w:rFonts w:ascii="Times New Roman" w:hAnsi="Times New Roman" w:cs="Times New Roman" w:eastAsia="Times New Roman" w:hint="default"/>
        </w:rPr>
        <w:t>7.43%</w:t>
      </w:r>
      <w:r>
        <w:rPr/>
        <w:t>，占公司股份</w:t>
      </w:r>
      <w:r>
        <w:rPr>
          <w:w w:val="100"/>
        </w:rPr>
        <w:t> </w:t>
      </w:r>
      <w:r>
        <w:rPr/>
        <w:t>总数的 </w:t>
      </w:r>
      <w:r>
        <w:rPr>
          <w:rFonts w:ascii="Times New Roman" w:hAnsi="Times New Roman" w:cs="Times New Roman" w:eastAsia="Times New Roman" w:hint="default"/>
          <w:spacing w:val="-2"/>
        </w:rPr>
        <w:t>2.47%</w:t>
      </w:r>
      <w:r>
        <w:rPr>
          <w:spacing w:val="-2"/>
        </w:rPr>
        <w:t>）办理了股票质押式回购业务。详见公司于同日在巨潮资讯网披露的《关于控股股东股份质</w:t>
      </w:r>
      <w:r>
        <w:rPr>
          <w:spacing w:val="-62"/>
        </w:rPr>
        <w:t> </w:t>
      </w:r>
      <w:r>
        <w:rPr>
          <w:spacing w:val="-62"/>
        </w:rPr>
      </w:r>
      <w:r>
        <w:rPr>
          <w:spacing w:val="-19"/>
          <w:w w:val="100"/>
        </w:rPr>
        <w:t>押的公告》。</w:t>
      </w:r>
    </w:p>
    <w:p>
      <w:pPr>
        <w:pStyle w:val="BodyText"/>
        <w:spacing w:line="240" w:lineRule="auto" w:before="166"/>
        <w:ind w:left="573" w:right="11"/>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日接到公司控股股东、实际控制人陈江涛先生通知，陈江涛先生因个人需要与</w:t>
      </w:r>
    </w:p>
    <w:p>
      <w:pPr>
        <w:pStyle w:val="BodyText"/>
        <w:spacing w:line="386" w:lineRule="auto" w:before="177"/>
        <w:ind w:right="143"/>
        <w:jc w:val="left"/>
      </w:pPr>
      <w:r>
        <w:rPr/>
        <w:t>国联证券股份有限公司办理了股权解除质押业务，解除质押的股份数量为</w:t>
      </w:r>
      <w:r>
        <w:rPr>
          <w:spacing w:val="-62"/>
        </w:rPr>
        <w:t> </w:t>
      </w:r>
      <w:r>
        <w:rPr>
          <w:rFonts w:ascii="Times New Roman" w:hAnsi="Times New Roman" w:cs="Times New Roman" w:eastAsia="Times New Roman" w:hint="default"/>
        </w:rPr>
        <w:t>24,020,000</w:t>
      </w:r>
      <w:r>
        <w:rPr>
          <w:rFonts w:ascii="Times New Roman" w:hAnsi="Times New Roman" w:cs="Times New Roman" w:eastAsia="Times New Roman" w:hint="default"/>
          <w:spacing w:val="-20"/>
        </w:rPr>
        <w:t> </w:t>
      </w:r>
      <w:r>
        <w:rPr/>
        <w:t>股（占其所持公司股</w:t>
      </w:r>
      <w:r>
        <w:rPr>
          <w:w w:val="100"/>
        </w:rPr>
        <w:t> </w:t>
      </w:r>
      <w:r>
        <w:rPr>
          <w:spacing w:val="-1"/>
          <w:w w:val="100"/>
        </w:rPr>
        <w:t>份总数</w:t>
      </w:r>
      <w:r>
        <w:rPr>
          <w:spacing w:val="-45"/>
          <w:w w:val="100"/>
        </w:rPr>
        <w:t> </w:t>
      </w:r>
      <w:r>
        <w:rPr>
          <w:rFonts w:ascii="Times New Roman" w:hAnsi="Times New Roman" w:cs="Times New Roman" w:eastAsia="Times New Roman" w:hint="default"/>
          <w:spacing w:val="-2"/>
          <w:w w:val="100"/>
        </w:rPr>
        <w:t>6.15%</w:t>
      </w:r>
      <w:r>
        <w:rPr>
          <w:spacing w:val="-2"/>
          <w:w w:val="100"/>
        </w:rPr>
        <w:t>，占公司股份总数的</w:t>
      </w:r>
      <w:r>
        <w:rPr>
          <w:spacing w:val="-45"/>
          <w:w w:val="100"/>
        </w:rPr>
        <w:t> </w:t>
      </w:r>
      <w:r>
        <w:rPr>
          <w:rFonts w:ascii="Times New Roman" w:hAnsi="Times New Roman" w:cs="Times New Roman" w:eastAsia="Times New Roman" w:hint="default"/>
          <w:spacing w:val="-32"/>
          <w:w w:val="100"/>
        </w:rPr>
        <w:t>2.05%</w:t>
      </w:r>
      <w:r>
        <w:rPr>
          <w:spacing w:val="-32"/>
          <w:w w:val="100"/>
        </w:rPr>
        <w:t>）；</w:t>
      </w:r>
      <w:r>
        <w:rPr>
          <w:w w:val="100"/>
        </w:rPr>
      </w:r>
    </w:p>
    <w:p>
      <w:pPr>
        <w:pStyle w:val="BodyText"/>
        <w:spacing w:line="240" w:lineRule="auto" w:before="136"/>
        <w:ind w:left="573" w:right="11"/>
        <w:jc w:val="left"/>
      </w:pPr>
      <w:r>
        <w:rPr/>
        <w:t>公司于</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5"/>
        </w:rPr>
        <w:t>日接到公司控股股东、实际控制人陈江涛先生的通知，陈江涛先生因个人需要</w:t>
      </w:r>
    </w:p>
    <w:p>
      <w:pPr>
        <w:pStyle w:val="BodyText"/>
        <w:spacing w:line="240" w:lineRule="auto" w:before="177"/>
        <w:ind w:right="11"/>
        <w:jc w:val="left"/>
      </w:pPr>
      <w:r>
        <w:rPr>
          <w:spacing w:val="-2"/>
        </w:rPr>
        <w:t>与兴业证券股份有限公司、深圳市中小企业信用融资担保集团有限公司以其持有的公司股份</w:t>
      </w:r>
      <w:r>
        <w:rPr/>
        <w:t> </w:t>
      </w:r>
      <w:r>
        <w:rPr>
          <w:rFonts w:ascii="Times New Roman" w:hAnsi="Times New Roman" w:cs="Times New Roman" w:eastAsia="Times New Roman" w:hint="default"/>
          <w:spacing w:val="-1"/>
        </w:rPr>
        <w:t>15,865,000</w:t>
      </w:r>
      <w:r>
        <w:rPr>
          <w:rFonts w:ascii="Times New Roman" w:hAnsi="Times New Roman" w:cs="Times New Roman" w:eastAsia="Times New Roman" w:hint="default"/>
          <w:spacing w:val="6"/>
        </w:rPr>
        <w:t> </w:t>
      </w:r>
      <w:r>
        <w:rPr/>
        <w:t>股</w:t>
      </w:r>
    </w:p>
    <w:p>
      <w:pPr>
        <w:pStyle w:val="BodyText"/>
        <w:spacing w:line="240" w:lineRule="auto" w:before="177"/>
        <w:ind w:right="11"/>
        <w:jc w:val="left"/>
      </w:pPr>
      <w:r>
        <w:rPr/>
        <w:t>（占其所持公司股份总数</w:t>
      </w:r>
      <w:r>
        <w:rPr>
          <w:spacing w:val="-54"/>
        </w:rPr>
        <w:t> </w:t>
      </w:r>
      <w:r>
        <w:rPr>
          <w:rFonts w:ascii="Times New Roman" w:hAnsi="Times New Roman" w:cs="Times New Roman" w:eastAsia="Times New Roman" w:hint="default"/>
        </w:rPr>
        <w:t>4.06%</w:t>
      </w:r>
      <w:r>
        <w:rPr/>
        <w:t>。</w:t>
      </w:r>
    </w:p>
    <w:p>
      <w:pPr>
        <w:spacing w:after="0" w:line="240" w:lineRule="auto"/>
        <w:jc w:val="left"/>
        <w:sectPr>
          <w:footerReference w:type="default" r:id="rId74"/>
          <w:pgSz w:w="11910" w:h="16840"/>
          <w:pgMar w:footer="1132" w:header="882" w:top="1280" w:bottom="1320" w:left="980" w:right="980"/>
          <w:pgNumType w:start="267"/>
        </w:sectPr>
      </w:pPr>
    </w:p>
    <w:p>
      <w:pPr>
        <w:spacing w:line="240" w:lineRule="auto" w:before="5"/>
        <w:rPr>
          <w:rFonts w:ascii="宋体" w:hAnsi="宋体" w:cs="宋体" w:eastAsia="宋体" w:hint="default"/>
          <w:sz w:val="13"/>
          <w:szCs w:val="13"/>
        </w:rPr>
      </w:pPr>
    </w:p>
    <w:p>
      <w:pPr>
        <w:pStyle w:val="BodyText"/>
        <w:spacing w:line="240" w:lineRule="auto" w:before="36"/>
        <w:ind w:left="573" w:right="100"/>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日接到公司控股股东、实际控制人陈江涛先生的通知，陈江涛先生因个人需要</w:t>
      </w:r>
    </w:p>
    <w:p>
      <w:pPr>
        <w:pStyle w:val="BodyText"/>
        <w:spacing w:line="386" w:lineRule="auto" w:before="177"/>
        <w:ind w:right="100"/>
        <w:jc w:val="left"/>
      </w:pPr>
      <w:r>
        <w:rPr/>
        <w:t>与华泰证券股份有限公司办理了解除质押业务，解除质押股份数量为</w:t>
      </w:r>
      <w:r>
        <w:rPr>
          <w:spacing w:val="-48"/>
        </w:rPr>
        <w:t> </w:t>
      </w:r>
      <w:r>
        <w:rPr>
          <w:rFonts w:ascii="Times New Roman" w:hAnsi="Times New Roman" w:cs="Times New Roman" w:eastAsia="Times New Roman" w:hint="default"/>
        </w:rPr>
        <w:t>15,400,000</w:t>
      </w:r>
      <w:r>
        <w:rPr>
          <w:rFonts w:ascii="Times New Roman" w:hAnsi="Times New Roman" w:cs="Times New Roman" w:eastAsia="Times New Roman" w:hint="default"/>
          <w:spacing w:val="-9"/>
        </w:rPr>
        <w:t> </w:t>
      </w:r>
      <w:r>
        <w:rPr>
          <w:spacing w:val="-3"/>
        </w:rPr>
        <w:t>股，占其所持公司股份总</w:t>
      </w:r>
      <w:r>
        <w:rPr>
          <w:w w:val="100"/>
        </w:rPr>
        <w:t> </w:t>
      </w:r>
      <w:r>
        <w:rPr/>
        <w:t>数的</w:t>
      </w:r>
      <w:r>
        <w:rPr>
          <w:spacing w:val="-53"/>
        </w:rPr>
        <w:t> </w:t>
      </w:r>
      <w:r>
        <w:rPr>
          <w:rFonts w:ascii="Times New Roman" w:hAnsi="Times New Roman" w:cs="Times New Roman" w:eastAsia="Times New Roman" w:hint="default"/>
        </w:rPr>
        <w:t>3.95%</w:t>
      </w:r>
      <w:r>
        <w:rPr/>
        <w:t>。</w:t>
      </w:r>
    </w:p>
    <w:p>
      <w:pPr>
        <w:pStyle w:val="BodyText"/>
        <w:spacing w:line="240" w:lineRule="auto" w:before="136"/>
        <w:ind w:left="573" w:right="0"/>
        <w:jc w:val="left"/>
      </w:pPr>
      <w:r>
        <w:rPr/>
        <w:t>公司于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5"/>
        </w:rPr>
        <w:t>日接到公司控股股东、实际控制人陈江涛先生的通知，陈江涛先生因个人需要，</w:t>
      </w:r>
    </w:p>
    <w:p>
      <w:pPr>
        <w:pStyle w:val="BodyText"/>
        <w:spacing w:line="240" w:lineRule="auto" w:before="177"/>
        <w:ind w:right="100"/>
        <w:jc w:val="left"/>
      </w:pPr>
      <w:r>
        <w:rPr>
          <w:spacing w:val="-2"/>
        </w:rPr>
        <w:t>与长城证券股份有限公司办理了股权质押业务，质押股份数量为</w:t>
      </w:r>
      <w:r>
        <w:rPr/>
        <w:t> </w:t>
      </w:r>
      <w:r>
        <w:rPr>
          <w:rFonts w:ascii="Times New Roman" w:hAnsi="Times New Roman" w:cs="Times New Roman" w:eastAsia="Times New Roman" w:hint="default"/>
          <w:spacing w:val="-1"/>
        </w:rPr>
        <w:t>16,700,000</w:t>
      </w:r>
      <w:r>
        <w:rPr>
          <w:rFonts w:ascii="Times New Roman" w:hAnsi="Times New Roman" w:cs="Times New Roman" w:eastAsia="Times New Roman" w:hint="default"/>
          <w:spacing w:val="6"/>
        </w:rPr>
        <w:t> </w:t>
      </w:r>
      <w:r>
        <w:rPr>
          <w:spacing w:val="-2"/>
        </w:rPr>
        <w:t>股，占其所持公司股份总数的</w:t>
      </w:r>
    </w:p>
    <w:p>
      <w:pPr>
        <w:pStyle w:val="BodyText"/>
        <w:spacing w:line="386" w:lineRule="auto" w:before="177"/>
        <w:ind w:right="206"/>
        <w:jc w:val="left"/>
      </w:pPr>
      <w:r>
        <w:rPr>
          <w:rFonts w:ascii="Times New Roman" w:hAnsi="Times New Roman" w:cs="Times New Roman" w:eastAsia="Times New Roman" w:hint="default"/>
        </w:rPr>
        <w:t>4.28%</w:t>
      </w:r>
      <w:r>
        <w:rPr/>
        <w:t>；并与兴业证券股份有限公司办理了解除质押业务，解除质押股份数量为 </w:t>
      </w:r>
      <w:r>
        <w:rPr>
          <w:rFonts w:ascii="Times New Roman" w:hAnsi="Times New Roman" w:cs="Times New Roman" w:eastAsia="Times New Roman" w:hint="default"/>
        </w:rPr>
        <w:t>28,390,000</w:t>
      </w:r>
      <w:r>
        <w:rPr>
          <w:rFonts w:ascii="Times New Roman" w:hAnsi="Times New Roman" w:cs="Times New Roman" w:eastAsia="Times New Roman" w:hint="default"/>
          <w:spacing w:val="3"/>
        </w:rPr>
        <w:t> </w:t>
      </w:r>
      <w:r>
        <w:rPr/>
        <w:t>股，占其所持</w:t>
      </w:r>
      <w:r>
        <w:rPr>
          <w:w w:val="100"/>
        </w:rPr>
        <w:t> </w:t>
      </w:r>
      <w:r>
        <w:rPr/>
        <w:t>公司股份总数的</w:t>
      </w:r>
      <w:r>
        <w:rPr>
          <w:spacing w:val="-56"/>
        </w:rPr>
        <w:t> </w:t>
      </w:r>
      <w:r>
        <w:rPr>
          <w:rFonts w:ascii="Times New Roman" w:hAnsi="Times New Roman" w:cs="Times New Roman" w:eastAsia="Times New Roman" w:hint="default"/>
        </w:rPr>
        <w:t>7.27%</w:t>
      </w:r>
      <w:r>
        <w:rPr/>
        <w:t>。截止本报告披露日，陈江涛先生质押股份占其所持股份总数的</w:t>
      </w:r>
      <w:r>
        <w:rPr>
          <w:spacing w:val="-55"/>
        </w:rPr>
        <w:t> </w:t>
      </w:r>
      <w:r>
        <w:rPr>
          <w:rFonts w:ascii="Times New Roman" w:hAnsi="Times New Roman" w:cs="Times New Roman" w:eastAsia="Times New Roman" w:hint="default"/>
        </w:rPr>
        <w:t>71.78%</w:t>
      </w:r>
      <w:r>
        <w:rPr/>
        <w:t>。</w:t>
      </w:r>
    </w:p>
    <w:p>
      <w:pPr>
        <w:spacing w:after="0" w:line="386" w:lineRule="auto"/>
        <w:jc w:val="left"/>
        <w:sectPr>
          <w:pgSz w:w="11910" w:h="16840"/>
          <w:pgMar w:header="882" w:footer="1132" w:top="1280" w:bottom="1320" w:left="980" w:right="920"/>
        </w:sectPr>
      </w:pPr>
    </w:p>
    <w:p>
      <w:pPr>
        <w:spacing w:line="240" w:lineRule="auto" w:before="3"/>
        <w:rPr>
          <w:rFonts w:ascii="Times New Roman" w:hAnsi="Times New Roman" w:cs="Times New Roman" w:eastAsia="Times New Roman" w:hint="default"/>
          <w:sz w:val="15"/>
          <w:szCs w:val="15"/>
        </w:rPr>
      </w:pPr>
    </w:p>
    <w:p>
      <w:pPr>
        <w:spacing w:line="20" w:lineRule="exact"/>
        <w:ind w:left="1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629"/>
        <w:gridCol w:w="1464"/>
        <w:gridCol w:w="991"/>
        <w:gridCol w:w="1582"/>
        <w:gridCol w:w="1538"/>
        <w:gridCol w:w="2266"/>
        <w:gridCol w:w="1277"/>
        <w:gridCol w:w="992"/>
        <w:gridCol w:w="1838"/>
        <w:gridCol w:w="1599"/>
      </w:tblGrid>
      <w:tr>
        <w:trPr>
          <w:trHeight w:val="821" w:hRule="exact"/>
        </w:trPr>
        <w:tc>
          <w:tcPr>
            <w:tcW w:w="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证券账户号码</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1"/>
              <w:ind w:left="103" w:right="79"/>
              <w:jc w:val="left"/>
              <w:rPr>
                <w:rFonts w:ascii="宋体" w:hAnsi="宋体" w:cs="宋体" w:eastAsia="宋体" w:hint="default"/>
                <w:sz w:val="18"/>
                <w:szCs w:val="18"/>
              </w:rPr>
            </w:pPr>
            <w:r>
              <w:rPr>
                <w:rFonts w:ascii="宋体" w:hAnsi="宋体" w:cs="宋体" w:eastAsia="宋体" w:hint="default"/>
                <w:spacing w:val="14"/>
                <w:sz w:val="18"/>
                <w:szCs w:val="18"/>
              </w:rPr>
              <w:t>证券账户</w:t>
            </w:r>
            <w:r>
              <w:rPr>
                <w:rFonts w:ascii="宋体" w:hAnsi="宋体" w:cs="宋体" w:eastAsia="宋体" w:hint="default"/>
                <w:spacing w:val="-71"/>
                <w:sz w:val="18"/>
                <w:szCs w:val="18"/>
              </w:rPr>
              <w:t> </w:t>
            </w:r>
            <w:r>
              <w:rPr>
                <w:rFonts w:ascii="宋体" w:hAnsi="宋体" w:cs="宋体" w:eastAsia="宋体" w:hint="default"/>
                <w:sz w:val="18"/>
                <w:szCs w:val="18"/>
              </w:rPr>
              <w:t>名称</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持股总数（股）</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冻结股数（股）</w:t>
            </w: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冻结序号</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股份性质</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冻结类型</w:t>
            </w:r>
          </w:p>
        </w:tc>
        <w:tc>
          <w:tcPr>
            <w:tcW w:w="1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质权人名称</w:t>
            </w:r>
          </w:p>
        </w:tc>
        <w:tc>
          <w:tcPr>
            <w:tcW w:w="15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冻结日期</w:t>
            </w:r>
          </w:p>
        </w:tc>
      </w:tr>
      <w:tr>
        <w:trPr>
          <w:trHeight w:val="81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17,300,000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1142241100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信</w:t>
            </w:r>
            <w:r>
              <w:rPr>
                <w:rFonts w:ascii="宋体" w:hAnsi="宋体" w:cs="宋体" w:eastAsia="宋体" w:hint="default"/>
                <w:spacing w:val="-64"/>
                <w:sz w:val="18"/>
                <w:szCs w:val="18"/>
              </w:rPr>
              <w:t> </w:t>
            </w:r>
            <w:r>
              <w:rPr>
                <w:rFonts w:ascii="宋体" w:hAnsi="宋体" w:cs="宋体" w:eastAsia="宋体" w:hint="default"/>
                <w:sz w:val="18"/>
                <w:szCs w:val="18"/>
              </w:rPr>
              <w:t>乾</w:t>
            </w:r>
            <w:r>
              <w:rPr>
                <w:rFonts w:ascii="宋体" w:hAnsi="宋体" w:cs="宋体" w:eastAsia="宋体" w:hint="default"/>
                <w:spacing w:val="-64"/>
                <w:sz w:val="18"/>
                <w:szCs w:val="18"/>
              </w:rPr>
              <w:t> </w:t>
            </w:r>
            <w:r>
              <w:rPr>
                <w:rFonts w:ascii="宋体" w:hAnsi="宋体" w:cs="宋体" w:eastAsia="宋体" w:hint="default"/>
                <w:sz w:val="18"/>
                <w:szCs w:val="18"/>
              </w:rPr>
              <w:t>盛</w:t>
            </w:r>
            <w:r>
              <w:rPr>
                <w:rFonts w:ascii="宋体" w:hAnsi="宋体" w:cs="宋体" w:eastAsia="宋体" w:hint="default"/>
                <w:spacing w:val="-64"/>
                <w:sz w:val="18"/>
                <w:szCs w:val="18"/>
              </w:rPr>
              <w:t> </w:t>
            </w:r>
            <w:r>
              <w:rPr>
                <w:rFonts w:ascii="宋体" w:hAnsi="宋体" w:cs="宋体" w:eastAsia="宋体" w:hint="default"/>
                <w:sz w:val="18"/>
                <w:szCs w:val="18"/>
              </w:rPr>
              <w:t>财</w:t>
            </w:r>
            <w:r>
              <w:rPr>
                <w:rFonts w:ascii="宋体" w:hAnsi="宋体" w:cs="宋体" w:eastAsia="宋体" w:hint="default"/>
                <w:spacing w:val="-64"/>
                <w:sz w:val="18"/>
                <w:szCs w:val="18"/>
              </w:rPr>
              <w:t> </w:t>
            </w:r>
            <w:r>
              <w:rPr>
                <w:rFonts w:ascii="宋体" w:hAnsi="宋体" w:cs="宋体" w:eastAsia="宋体" w:hint="default"/>
                <w:sz w:val="18"/>
                <w:szCs w:val="18"/>
              </w:rPr>
              <w:t>富</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4"/>
                <w:sz w:val="18"/>
                <w:szCs w:val="18"/>
              </w:rPr>
              <w:t> </w:t>
            </w:r>
            <w:r>
              <w:rPr>
                <w:rFonts w:ascii="宋体" w:hAnsi="宋体" w:cs="宋体" w:eastAsia="宋体" w:hint="default"/>
                <w:sz w:val="18"/>
                <w:szCs w:val="18"/>
              </w:rPr>
              <w:t>理</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2015-11-18</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23,170,000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05150020170116I1001014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103" w:right="103"/>
              <w:jc w:val="left"/>
              <w:rPr>
                <w:rFonts w:ascii="宋体" w:hAnsi="宋体" w:cs="宋体" w:eastAsia="宋体" w:hint="default"/>
                <w:sz w:val="18"/>
                <w:szCs w:val="18"/>
              </w:rPr>
            </w:pPr>
            <w:r>
              <w:rPr>
                <w:rFonts w:ascii="宋体" w:hAnsi="宋体" w:cs="宋体" w:eastAsia="宋体" w:hint="default"/>
                <w:sz w:val="18"/>
                <w:szCs w:val="18"/>
              </w:rPr>
              <w:t>兴业证券股份有限公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2017-01-16</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45,420,000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05040020170118B2007202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2017-01-18</w:t>
            </w:r>
          </w:p>
        </w:tc>
      </w:tr>
      <w:tr>
        <w:trPr>
          <w:trHeight w:val="81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20,500,000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24950120170523I7016168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华泰证券股份有限公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2017-05-23</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16,010,000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05040020170726B2006569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2017-07-26</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20,370,000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05040020170726B2006628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2017-07-26</w:t>
            </w:r>
          </w:p>
        </w:tc>
      </w:tr>
      <w:tr>
        <w:trPr>
          <w:trHeight w:val="818"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05040020170815B2004361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2017-08-15</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2,220,000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05150020171031I1000721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103" w:right="103"/>
              <w:jc w:val="left"/>
              <w:rPr>
                <w:rFonts w:ascii="宋体" w:hAnsi="宋体" w:cs="宋体" w:eastAsia="宋体" w:hint="default"/>
                <w:sz w:val="18"/>
                <w:szCs w:val="18"/>
              </w:rPr>
            </w:pPr>
            <w:r>
              <w:rPr>
                <w:rFonts w:ascii="宋体" w:hAnsi="宋体" w:cs="宋体" w:eastAsia="宋体" w:hint="default"/>
                <w:sz w:val="18"/>
                <w:szCs w:val="18"/>
              </w:rPr>
              <w:t>兴业证券股份有限公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2017-10-31</w:t>
            </w:r>
          </w:p>
        </w:tc>
      </w:tr>
      <w:tr>
        <w:trPr>
          <w:trHeight w:val="113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171110B450000125201711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both"/>
              <w:rPr>
                <w:rFonts w:ascii="宋体" w:hAnsi="宋体" w:cs="宋体" w:eastAsia="宋体" w:hint="default"/>
                <w:sz w:val="18"/>
                <w:szCs w:val="18"/>
              </w:rPr>
            </w:pPr>
            <w:r>
              <w:rPr>
                <w:rFonts w:ascii="宋体" w:hAnsi="宋体" w:cs="宋体" w:eastAsia="宋体" w:hint="default"/>
                <w:sz w:val="18"/>
                <w:szCs w:val="18"/>
              </w:rPr>
              <w:t>深圳市中小企业信用 融资担保集团有限公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2017-11-10</w:t>
            </w:r>
          </w:p>
        </w:tc>
      </w:tr>
    </w:tbl>
    <w:p>
      <w:pPr>
        <w:spacing w:after="0" w:line="240" w:lineRule="auto"/>
        <w:jc w:val="left"/>
        <w:rPr>
          <w:rFonts w:ascii="Times New Roman" w:hAnsi="Times New Roman" w:cs="Times New Roman" w:eastAsia="Times New Roman" w:hint="default"/>
          <w:sz w:val="18"/>
          <w:szCs w:val="18"/>
        </w:rPr>
        <w:sectPr>
          <w:headerReference w:type="default" r:id="rId75"/>
          <w:footerReference w:type="default" r:id="rId76"/>
          <w:pgSz w:w="16840" w:h="11910" w:orient="landscape"/>
          <w:pgMar w:header="882" w:footer="1132" w:top="1100" w:bottom="1320" w:left="1220" w:right="1220"/>
          <w:pgNumType w:start="269"/>
        </w:sectPr>
      </w:pPr>
    </w:p>
    <w:p>
      <w:pPr>
        <w:spacing w:line="240" w:lineRule="auto" w:before="4"/>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629"/>
        <w:gridCol w:w="1464"/>
        <w:gridCol w:w="991"/>
        <w:gridCol w:w="1582"/>
        <w:gridCol w:w="1538"/>
        <w:gridCol w:w="2266"/>
        <w:gridCol w:w="1277"/>
        <w:gridCol w:w="992"/>
        <w:gridCol w:w="1838"/>
        <w:gridCol w:w="1599"/>
      </w:tblGrid>
      <w:tr>
        <w:trPr>
          <w:trHeight w:val="827" w:hRule="exact"/>
        </w:trPr>
        <w:tc>
          <w:tcPr>
            <w:tcW w:w="629"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46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证券账户号码</w:t>
            </w:r>
          </w:p>
        </w:tc>
        <w:tc>
          <w:tcPr>
            <w:tcW w:w="991"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103"/>
              <w:ind w:left="103" w:right="79"/>
              <w:jc w:val="left"/>
              <w:rPr>
                <w:rFonts w:ascii="宋体" w:hAnsi="宋体" w:cs="宋体" w:eastAsia="宋体" w:hint="default"/>
                <w:sz w:val="18"/>
                <w:szCs w:val="18"/>
              </w:rPr>
            </w:pPr>
            <w:r>
              <w:rPr>
                <w:rFonts w:ascii="宋体" w:hAnsi="宋体" w:cs="宋体" w:eastAsia="宋体" w:hint="default"/>
                <w:spacing w:val="14"/>
                <w:sz w:val="18"/>
                <w:szCs w:val="18"/>
              </w:rPr>
              <w:t>证券账户</w:t>
            </w:r>
            <w:r>
              <w:rPr>
                <w:rFonts w:ascii="宋体" w:hAnsi="宋体" w:cs="宋体" w:eastAsia="宋体" w:hint="default"/>
                <w:spacing w:val="-71"/>
                <w:sz w:val="18"/>
                <w:szCs w:val="18"/>
              </w:rPr>
              <w:t> </w:t>
            </w:r>
            <w:r>
              <w:rPr>
                <w:rFonts w:ascii="宋体" w:hAnsi="宋体" w:cs="宋体" w:eastAsia="宋体" w:hint="default"/>
                <w:sz w:val="18"/>
                <w:szCs w:val="18"/>
              </w:rPr>
              <w:t>名称</w:t>
            </w:r>
          </w:p>
        </w:tc>
        <w:tc>
          <w:tcPr>
            <w:tcW w:w="158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持股总数（股）</w:t>
            </w:r>
          </w:p>
        </w:tc>
        <w:tc>
          <w:tcPr>
            <w:tcW w:w="153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冻结股数（股）</w:t>
            </w:r>
          </w:p>
        </w:tc>
        <w:tc>
          <w:tcPr>
            <w:tcW w:w="226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冻结序号</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股份性质</w:t>
            </w:r>
          </w:p>
        </w:tc>
        <w:tc>
          <w:tcPr>
            <w:tcW w:w="99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冻结类型</w:t>
            </w:r>
          </w:p>
        </w:tc>
        <w:tc>
          <w:tcPr>
            <w:tcW w:w="183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质权人名称</w:t>
            </w:r>
          </w:p>
        </w:tc>
        <w:tc>
          <w:tcPr>
            <w:tcW w:w="1599"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冻结日期</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05040020171114B2006048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2017-11-14</w:t>
            </w:r>
          </w:p>
        </w:tc>
      </w:tr>
      <w:tr>
        <w:trPr>
          <w:trHeight w:val="819"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05040020171127B2004253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59"/>
              <w:jc w:val="left"/>
              <w:rPr>
                <w:rFonts w:ascii="宋体" w:hAnsi="宋体" w:cs="宋体" w:eastAsia="宋体" w:hint="default"/>
                <w:sz w:val="18"/>
                <w:szCs w:val="18"/>
              </w:rPr>
            </w:pPr>
            <w:r>
              <w:rPr>
                <w:rFonts w:ascii="宋体" w:hAnsi="宋体" w:cs="宋体" w:eastAsia="宋体" w:hint="default"/>
                <w:spacing w:val="32"/>
                <w:sz w:val="18"/>
                <w:szCs w:val="18"/>
              </w:rPr>
              <w:t>无限售流通</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长城证券股份有限公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2017-11-27</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05150020171128I1000369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103" w:right="103"/>
              <w:jc w:val="left"/>
              <w:rPr>
                <w:rFonts w:ascii="宋体" w:hAnsi="宋体" w:cs="宋体" w:eastAsia="宋体" w:hint="default"/>
                <w:sz w:val="18"/>
                <w:szCs w:val="18"/>
              </w:rPr>
            </w:pPr>
            <w:r>
              <w:rPr>
                <w:rFonts w:ascii="宋体" w:hAnsi="宋体" w:cs="宋体" w:eastAsia="宋体" w:hint="default"/>
                <w:sz w:val="18"/>
                <w:szCs w:val="18"/>
              </w:rPr>
              <w:t>兴业证券股份有限公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2017-11-28</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36,527,500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27730020171206A3901199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中国银河证券股份有 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2017-12-06</w:t>
            </w:r>
          </w:p>
        </w:tc>
      </w:tr>
      <w:tr>
        <w:trPr>
          <w:trHeight w:val="821"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0101221227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390,319,728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47,147,800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27730020171206A3901200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103" w:right="103"/>
              <w:jc w:val="left"/>
              <w:rPr>
                <w:rFonts w:ascii="宋体" w:hAnsi="宋体" w:cs="宋体" w:eastAsia="宋体" w:hint="default"/>
                <w:sz w:val="18"/>
                <w:szCs w:val="18"/>
              </w:rPr>
            </w:pPr>
            <w:r>
              <w:rPr>
                <w:rFonts w:ascii="宋体" w:hAnsi="宋体" w:cs="宋体" w:eastAsia="宋体" w:hint="default"/>
                <w:sz w:val="18"/>
                <w:szCs w:val="18"/>
              </w:rPr>
              <w:t>中国银河证券股份有 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2017-12-06</w:t>
            </w:r>
          </w:p>
        </w:tc>
      </w:tr>
    </w:tbl>
    <w:p>
      <w:pPr>
        <w:spacing w:line="240" w:lineRule="auto" w:before="3"/>
        <w:rPr>
          <w:rFonts w:ascii="Times New Roman" w:hAnsi="Times New Roman" w:cs="Times New Roman" w:eastAsia="Times New Roman" w:hint="default"/>
          <w:sz w:val="11"/>
          <w:szCs w:val="11"/>
        </w:rPr>
      </w:pPr>
    </w:p>
    <w:p>
      <w:pPr>
        <w:pStyle w:val="BodyText"/>
        <w:spacing w:line="240" w:lineRule="auto" w:before="36"/>
        <w:ind w:left="640" w:right="0"/>
        <w:jc w:val="left"/>
      </w:pPr>
      <w:r>
        <w:rPr/>
        <w:t>以上股份质押事项详见公司于巨潮资讯网披露的相关公告。</w:t>
      </w:r>
    </w:p>
    <w:p>
      <w:pPr>
        <w:spacing w:after="0" w:line="240" w:lineRule="auto"/>
        <w:jc w:val="left"/>
        <w:sectPr>
          <w:pgSz w:w="16840" w:h="11910" w:orient="landscape"/>
          <w:pgMar w:header="882" w:footer="1132" w:top="1100" w:bottom="1320" w:left="1220" w:right="1220"/>
        </w:sectPr>
      </w:pPr>
    </w:p>
    <w:p>
      <w:pPr>
        <w:spacing w:line="240" w:lineRule="auto" w:before="8"/>
        <w:rPr>
          <w:rFonts w:ascii="宋体" w:hAnsi="宋体" w:cs="宋体" w:eastAsia="宋体" w:hint="default"/>
          <w:sz w:val="16"/>
          <w:szCs w:val="16"/>
        </w:rPr>
      </w:pPr>
    </w:p>
    <w:p>
      <w:pPr>
        <w:pStyle w:val="Heading3"/>
        <w:spacing w:line="240" w:lineRule="auto" w:before="26"/>
        <w:ind w:right="11"/>
        <w:jc w:val="left"/>
      </w:pPr>
      <w:r>
        <w:rPr>
          <w:rFonts w:ascii="Times New Roman" w:hAnsi="Times New Roman" w:cs="Times New Roman" w:eastAsia="Times New Roman" w:hint="default"/>
        </w:rPr>
        <w:t>3.  </w:t>
      </w:r>
      <w:r>
        <w:rPr/>
        <w:t>保函事项</w:t>
      </w:r>
    </w:p>
    <w:p>
      <w:pPr>
        <w:spacing w:line="240" w:lineRule="auto" w:before="1"/>
        <w:rPr>
          <w:rFonts w:ascii="黑体" w:hAnsi="黑体" w:cs="黑体" w:eastAsia="黑体" w:hint="default"/>
          <w:sz w:val="24"/>
          <w:szCs w:val="24"/>
        </w:rPr>
      </w:pPr>
    </w:p>
    <w:p>
      <w:pPr>
        <w:pStyle w:val="BodyText"/>
        <w:spacing w:line="240" w:lineRule="auto"/>
        <w:ind w:left="0" w:right="146"/>
        <w:jc w:val="right"/>
      </w:pPr>
      <w:r>
        <w:rPr/>
        <w:t>截至</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日，北京银行中关村海淀园支行期保函</w:t>
      </w:r>
      <w:r>
        <w:rPr>
          <w:spacing w:val="-50"/>
        </w:rPr>
        <w:t> </w:t>
      </w:r>
      <w:r>
        <w:rPr>
          <w:rFonts w:ascii="Times New Roman" w:hAnsi="Times New Roman" w:cs="Times New Roman" w:eastAsia="Times New Roman" w:hint="default"/>
        </w:rPr>
        <w:t>30,486.39</w:t>
      </w:r>
      <w:r>
        <w:rPr>
          <w:rFonts w:ascii="Times New Roman" w:hAnsi="Times New Roman" w:cs="Times New Roman" w:eastAsia="Times New Roman" w:hint="default"/>
          <w:spacing w:val="-1"/>
        </w:rPr>
        <w:t> </w:t>
      </w:r>
      <w:r>
        <w:rPr>
          <w:spacing w:val="-3"/>
        </w:rPr>
        <w:t>元，民生银行北京成府路支行</w:t>
      </w:r>
    </w:p>
    <w:p>
      <w:pPr>
        <w:pStyle w:val="BodyText"/>
        <w:spacing w:line="240" w:lineRule="auto" w:before="177"/>
        <w:ind w:right="11"/>
        <w:jc w:val="left"/>
      </w:pPr>
      <w:r>
        <w:rPr>
          <w:rFonts w:ascii="Times New Roman" w:hAnsi="Times New Roman" w:cs="Times New Roman" w:eastAsia="Times New Roman" w:hint="default"/>
        </w:rPr>
        <w:t>701,350.12</w:t>
      </w:r>
      <w:r>
        <w:rPr>
          <w:rFonts w:ascii="Times New Roman" w:hAnsi="Times New Roman" w:cs="Times New Roman" w:eastAsia="Times New Roman" w:hint="default"/>
          <w:spacing w:val="6"/>
        </w:rPr>
        <w:t> </w:t>
      </w:r>
      <w:r>
        <w:rPr>
          <w:spacing w:val="-4"/>
        </w:rPr>
        <w:t>元，宁波银行北京分行</w:t>
      </w:r>
      <w:r>
        <w:rPr>
          <w:spacing w:val="-44"/>
        </w:rPr>
        <w:t> </w:t>
      </w:r>
      <w:r>
        <w:rPr>
          <w:rFonts w:ascii="Times New Roman" w:hAnsi="Times New Roman" w:cs="Times New Roman" w:eastAsia="Times New Roman" w:hint="default"/>
        </w:rPr>
        <w:t>2,300,019.23</w:t>
      </w:r>
      <w:r>
        <w:rPr>
          <w:rFonts w:ascii="Times New Roman" w:hAnsi="Times New Roman" w:cs="Times New Roman" w:eastAsia="Times New Roman" w:hint="default"/>
          <w:spacing w:val="5"/>
        </w:rPr>
        <w:t> </w:t>
      </w:r>
      <w:r>
        <w:rPr>
          <w:spacing w:val="-8"/>
        </w:rPr>
        <w:t>元，共计</w:t>
      </w:r>
      <w:r>
        <w:rPr>
          <w:spacing w:val="-44"/>
        </w:rPr>
        <w:t> </w:t>
      </w:r>
      <w:r>
        <w:rPr>
          <w:rFonts w:ascii="Times New Roman" w:hAnsi="Times New Roman" w:cs="Times New Roman" w:eastAsia="Times New Roman" w:hint="default"/>
        </w:rPr>
        <w:t>3,031,855.74</w:t>
      </w:r>
      <w:r>
        <w:rPr>
          <w:rFonts w:ascii="Times New Roman" w:hAnsi="Times New Roman" w:cs="Times New Roman" w:eastAsia="Times New Roman" w:hint="default"/>
          <w:spacing w:val="5"/>
        </w:rPr>
        <w:t> </w:t>
      </w:r>
      <w:r>
        <w:rPr>
          <w:spacing w:val="-3"/>
        </w:rPr>
        <w:t>元；子公司北京泰豪智能工程有限公</w:t>
      </w:r>
    </w:p>
    <w:p>
      <w:pPr>
        <w:pStyle w:val="BodyText"/>
        <w:spacing w:line="240" w:lineRule="auto" w:before="177"/>
        <w:ind w:right="11"/>
        <w:jc w:val="left"/>
        <w:rPr>
          <w:rFonts w:ascii="Times New Roman" w:hAnsi="Times New Roman" w:cs="Times New Roman" w:eastAsia="Times New Roman" w:hint="default"/>
        </w:rPr>
      </w:pPr>
      <w:r>
        <w:rPr>
          <w:w w:val="100"/>
        </w:rPr>
        <w:t>司在</w:t>
      </w:r>
      <w:r>
        <w:rPr>
          <w:spacing w:val="-3"/>
          <w:w w:val="100"/>
        </w:rPr>
        <w:t>银</w:t>
      </w:r>
      <w:r>
        <w:rPr>
          <w:w w:val="100"/>
        </w:rPr>
        <w:t>行</w:t>
      </w:r>
      <w:r>
        <w:rPr>
          <w:spacing w:val="-3"/>
          <w:w w:val="100"/>
        </w:rPr>
        <w:t>开</w:t>
      </w:r>
      <w:r>
        <w:rPr>
          <w:w w:val="100"/>
        </w:rPr>
        <w:t>立</w:t>
      </w:r>
      <w:r>
        <w:rPr>
          <w:spacing w:val="-3"/>
          <w:w w:val="100"/>
        </w:rPr>
        <w:t>保</w:t>
      </w:r>
      <w:r>
        <w:rPr>
          <w:w w:val="100"/>
        </w:rPr>
        <w:t>函</w:t>
      </w:r>
      <w:r>
        <w:rPr>
          <w:spacing w:val="-3"/>
          <w:w w:val="100"/>
        </w:rPr>
        <w:t>主</w:t>
      </w:r>
      <w:r>
        <w:rPr>
          <w:w w:val="100"/>
        </w:rPr>
        <w:t>要</w:t>
      </w:r>
      <w:r>
        <w:rPr>
          <w:spacing w:val="-3"/>
          <w:w w:val="100"/>
        </w:rPr>
        <w:t>包</w:t>
      </w:r>
      <w:r>
        <w:rPr>
          <w:w w:val="100"/>
        </w:rPr>
        <w:t>括履</w:t>
      </w:r>
      <w:r>
        <w:rPr>
          <w:spacing w:val="-3"/>
          <w:w w:val="100"/>
        </w:rPr>
        <w:t>约保</w:t>
      </w:r>
      <w:r>
        <w:rPr>
          <w:w w:val="100"/>
        </w:rPr>
        <w:t>函</w:t>
      </w:r>
      <w:r>
        <w:rPr>
          <w:spacing w:val="-52"/>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66.</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元</w:t>
      </w:r>
      <w:r>
        <w:rPr>
          <w:spacing w:val="-92"/>
          <w:w w:val="100"/>
        </w:rPr>
        <w:t>，</w:t>
      </w:r>
      <w:r>
        <w:rPr>
          <w:w w:val="100"/>
        </w:rPr>
        <w:t>融</w:t>
      </w:r>
      <w:r>
        <w:rPr>
          <w:spacing w:val="-3"/>
          <w:w w:val="100"/>
        </w:rPr>
        <w:t>资</w:t>
      </w:r>
      <w:r>
        <w:rPr>
          <w:w w:val="100"/>
        </w:rPr>
        <w:t>性</w:t>
      </w:r>
      <w:r>
        <w:rPr>
          <w:spacing w:val="-3"/>
          <w:w w:val="100"/>
        </w:rPr>
        <w:t>保</w:t>
      </w:r>
      <w:r>
        <w:rPr>
          <w:w w:val="100"/>
        </w:rPr>
        <w:t>函</w:t>
      </w:r>
      <w:r>
        <w:rPr>
          <w:spacing w:val="-52"/>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美</w:t>
      </w:r>
      <w:r>
        <w:rPr>
          <w:spacing w:val="-3"/>
          <w:w w:val="100"/>
        </w:rPr>
        <w:t>元</w:t>
      </w:r>
      <w:r>
        <w:rPr>
          <w:spacing w:val="-92"/>
          <w:w w:val="100"/>
        </w:rPr>
        <w:t>，</w:t>
      </w:r>
      <w:r>
        <w:rPr>
          <w:w w:val="100"/>
        </w:rPr>
        <w:t>投</w:t>
      </w:r>
      <w:r>
        <w:rPr>
          <w:spacing w:val="-3"/>
          <w:w w:val="100"/>
        </w:rPr>
        <w:t>标</w:t>
      </w:r>
      <w:r>
        <w:rPr>
          <w:w w:val="100"/>
        </w:rPr>
        <w:t>保函</w:t>
      </w:r>
      <w:r>
        <w:rPr>
          <w:spacing w:val="-55"/>
        </w:rPr>
        <w:t> </w:t>
      </w:r>
      <w:r>
        <w:rPr>
          <w:rFonts w:ascii="Times New Roman" w:hAnsi="Times New Roman" w:cs="Times New Roman" w:eastAsia="Times New Roman" w:hint="default"/>
          <w:w w:val="100"/>
        </w:rPr>
        <w:t>800,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240" w:lineRule="auto" w:before="177"/>
        <w:ind w:right="11"/>
        <w:jc w:val="left"/>
      </w:pPr>
      <w:r>
        <w:rPr/>
        <w:t>元，预付款保函</w:t>
      </w:r>
      <w:r>
        <w:rPr>
          <w:spacing w:val="-55"/>
        </w:rPr>
        <w:t> </w:t>
      </w:r>
      <w:r>
        <w:rPr>
          <w:rFonts w:ascii="Times New Roman" w:hAnsi="Times New Roman" w:cs="Times New Roman" w:eastAsia="Times New Roman" w:hint="default"/>
        </w:rPr>
        <w:t>7,937,753.20</w:t>
      </w:r>
      <w:r>
        <w:rPr>
          <w:rFonts w:ascii="Times New Roman" w:hAnsi="Times New Roman" w:cs="Times New Roman" w:eastAsia="Times New Roman" w:hint="default"/>
          <w:spacing w:val="-2"/>
        </w:rPr>
        <w:t> </w:t>
      </w:r>
      <w:r>
        <w:rPr/>
        <w:t>元及质量保函</w:t>
      </w:r>
      <w:r>
        <w:rPr>
          <w:spacing w:val="-55"/>
        </w:rPr>
        <w:t> </w:t>
      </w:r>
      <w:r>
        <w:rPr>
          <w:rFonts w:ascii="Times New Roman" w:hAnsi="Times New Roman" w:cs="Times New Roman" w:eastAsia="Times New Roman" w:hint="default"/>
        </w:rPr>
        <w:t>1,042,685.70</w:t>
      </w:r>
      <w:r>
        <w:rPr>
          <w:rFonts w:ascii="Times New Roman" w:hAnsi="Times New Roman" w:cs="Times New Roman" w:eastAsia="Times New Roman" w:hint="default"/>
          <w:spacing w:val="-2"/>
        </w:rPr>
        <w:t> </w:t>
      </w:r>
      <w:r>
        <w:rPr>
          <w:spacing w:val="-3"/>
        </w:rPr>
        <w:t>元。</w:t>
      </w:r>
      <w:r>
        <w:rPr/>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2</w:t>
      </w:r>
      <w:r>
        <w:rPr/>
        <w:t>）公司没有需要披露的重要或有事项，也应予以说明</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t>公司不存在需要披露的重要或有事项。</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、其他</w:t>
      </w:r>
    </w:p>
    <w:p>
      <w:pPr>
        <w:spacing w:line="240" w:lineRule="auto" w:before="0"/>
        <w:rPr>
          <w:rFonts w:ascii="黑体" w:hAnsi="黑体" w:cs="黑体" w:eastAsia="黑体" w:hint="default"/>
          <w:sz w:val="24"/>
          <w:szCs w:val="24"/>
        </w:rPr>
      </w:pPr>
    </w:p>
    <w:p>
      <w:pPr>
        <w:pStyle w:val="Heading2"/>
        <w:spacing w:line="240" w:lineRule="auto" w:before="163"/>
        <w:ind w:right="11"/>
        <w:jc w:val="left"/>
      </w:pPr>
      <w:r>
        <w:rPr/>
        <w:t>十五、资产负债表日后事项</w:t>
      </w:r>
    </w:p>
    <w:p>
      <w:pPr>
        <w:spacing w:line="240" w:lineRule="auto" w:before="6"/>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、重要的非调整事项</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8"/>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97"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1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6" w:lineRule="auto" w:before="104"/>
              <w:ind w:left="18" w:right="14"/>
              <w:jc w:val="both"/>
              <w:rPr>
                <w:rFonts w:ascii="宋体" w:hAnsi="宋体" w:cs="宋体" w:eastAsia="宋体" w:hint="default"/>
                <w:sz w:val="18"/>
                <w:szCs w:val="18"/>
              </w:rPr>
            </w:pPr>
            <w:r>
              <w:rPr>
                <w:rFonts w:ascii="宋体" w:hAnsi="宋体" w:cs="宋体" w:eastAsia="宋体" w:hint="default"/>
                <w:spacing w:val="7"/>
                <w:sz w:val="18"/>
                <w:szCs w:val="18"/>
              </w:rPr>
              <w:t>为拓宽公司融资渠道，优化 公司财务结构，根据《中华 </w:t>
            </w:r>
            <w:r>
              <w:rPr>
                <w:rFonts w:ascii="宋体" w:hAnsi="宋体" w:cs="宋体" w:eastAsia="宋体" w:hint="default"/>
                <w:spacing w:val="-8"/>
                <w:sz w:val="18"/>
                <w:szCs w:val="18"/>
              </w:rPr>
              <w:t>人民共和国证券法》、《中华</w:t>
            </w:r>
            <w:r>
              <w:rPr>
                <w:rFonts w:ascii="宋体" w:hAnsi="宋体" w:cs="宋体" w:eastAsia="宋体" w:hint="default"/>
                <w:sz w:val="18"/>
                <w:szCs w:val="18"/>
              </w:rPr>
              <w:t> </w:t>
            </w:r>
            <w:r>
              <w:rPr>
                <w:rFonts w:ascii="宋体" w:hAnsi="宋体" w:cs="宋体" w:eastAsia="宋体" w:hint="default"/>
                <w:spacing w:val="7"/>
                <w:sz w:val="18"/>
                <w:szCs w:val="18"/>
              </w:rPr>
              <w:t>人民共和国公司法》和《公</w:t>
            </w:r>
            <w:r>
              <w:rPr>
                <w:rFonts w:ascii="宋体" w:hAnsi="宋体" w:cs="宋体" w:eastAsia="宋体" w:hint="default"/>
                <w:spacing w:val="7"/>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债</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与</w:t>
            </w:r>
            <w:r>
              <w:rPr>
                <w:rFonts w:ascii="宋体" w:hAnsi="宋体" w:cs="宋体" w:eastAsia="宋体" w:hint="default"/>
                <w:spacing w:val="-64"/>
                <w:sz w:val="18"/>
                <w:szCs w:val="18"/>
              </w:rPr>
              <w:t> </w:t>
            </w: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pacing w:val="-64"/>
                <w:sz w:val="18"/>
                <w:szCs w:val="18"/>
              </w:rPr>
              <w:t> </w:t>
            </w:r>
            <w:r>
              <w:rPr>
                <w:rFonts w:ascii="宋体" w:hAnsi="宋体" w:cs="宋体" w:eastAsia="宋体" w:hint="default"/>
                <w:sz w:val="18"/>
                <w:szCs w:val="18"/>
              </w:rPr>
              <w:t>管</w:t>
            </w:r>
            <w:r>
              <w:rPr>
                <w:rFonts w:ascii="宋体" w:hAnsi="宋体" w:cs="宋体" w:eastAsia="宋体" w:hint="default"/>
                <w:spacing w:val="-64"/>
                <w:sz w:val="18"/>
                <w:szCs w:val="18"/>
              </w:rPr>
              <w:t> </w:t>
            </w:r>
            <w:r>
              <w:rPr>
                <w:rFonts w:ascii="宋体" w:hAnsi="宋体" w:cs="宋体" w:eastAsia="宋体" w:hint="default"/>
                <w:sz w:val="18"/>
                <w:szCs w:val="18"/>
              </w:rPr>
              <w:t>理</w:t>
            </w:r>
            <w:r>
              <w:rPr>
                <w:rFonts w:ascii="宋体" w:hAnsi="宋体" w:cs="宋体" w:eastAsia="宋体" w:hint="default"/>
                <w:spacing w:val="-64"/>
                <w:sz w:val="18"/>
                <w:szCs w:val="18"/>
              </w:rPr>
              <w:t> </w:t>
            </w:r>
            <w:r>
              <w:rPr>
                <w:rFonts w:ascii="宋体" w:hAnsi="宋体" w:cs="宋体" w:eastAsia="宋体" w:hint="default"/>
                <w:sz w:val="18"/>
                <w:szCs w:val="18"/>
              </w:rPr>
              <w:t>办</w:t>
            </w:r>
            <w:r>
              <w:rPr>
                <w:rFonts w:ascii="宋体" w:hAnsi="宋体" w:cs="宋体" w:eastAsia="宋体" w:hint="default"/>
                <w:sz w:val="18"/>
                <w:szCs w:val="18"/>
              </w:rPr>
              <w:t> </w:t>
            </w:r>
            <w:r>
              <w:rPr>
                <w:rFonts w:ascii="宋体" w:hAnsi="宋体" w:cs="宋体" w:eastAsia="宋体" w:hint="default"/>
                <w:spacing w:val="7"/>
                <w:sz w:val="18"/>
                <w:szCs w:val="18"/>
              </w:rPr>
              <w:t>法》等法律、法规和规范性</w:t>
            </w:r>
            <w:r>
              <w:rPr>
                <w:rFonts w:ascii="宋体" w:hAnsi="宋体" w:cs="宋体" w:eastAsia="宋体" w:hint="default"/>
                <w:spacing w:val="7"/>
                <w:sz w:val="18"/>
                <w:szCs w:val="18"/>
              </w:rPr>
              <w:t> 文件的规定，并结合公司业 务发展需要，公司拟发行不 </w:t>
            </w:r>
            <w:r>
              <w:rPr>
                <w:rFonts w:ascii="宋体" w:hAnsi="宋体" w:cs="宋体" w:eastAsia="宋体" w:hint="default"/>
                <w:sz w:val="18"/>
                <w:szCs w:val="18"/>
              </w:rPr>
              <w:t>超过人民币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亿元（含</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亿元）的公司债券。</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尚未开始发行</w:t>
            </w:r>
          </w:p>
        </w:tc>
      </w:tr>
      <w:tr>
        <w:trPr>
          <w:trHeight w:val="497"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409"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、利润分配情况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0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81,595,352.86</w:t>
            </w:r>
          </w:p>
        </w:tc>
      </w:tr>
      <w:tr>
        <w:trPr>
          <w:trHeight w:val="50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77"/>
          <w:footerReference w:type="default" r:id="rId78"/>
          <w:pgSz w:w="11910" w:h="16840"/>
          <w:pgMar w:header="882" w:footer="1132" w:top="1280" w:bottom="1320" w:left="980" w:right="980"/>
          <w:pgNumType w:start="271"/>
        </w:sectPr>
      </w:pPr>
    </w:p>
    <w:p>
      <w:pPr>
        <w:spacing w:line="240" w:lineRule="auto" w:before="2"/>
        <w:rPr>
          <w:rFonts w:ascii="宋体" w:hAnsi="宋体" w:cs="宋体" w:eastAsia="宋体" w:hint="default"/>
          <w:sz w:val="15"/>
          <w:szCs w:val="15"/>
        </w:rPr>
      </w:pPr>
    </w:p>
    <w:p>
      <w:pPr>
        <w:pStyle w:val="Heading3"/>
        <w:spacing w:line="240" w:lineRule="auto" w:before="26"/>
        <w:ind w:right="0"/>
        <w:jc w:val="both"/>
      </w:pPr>
      <w:r>
        <w:rPr>
          <w:rFonts w:ascii="Times New Roman" w:hAnsi="Times New Roman" w:cs="Times New Roman" w:eastAsia="Times New Roman" w:hint="default"/>
        </w:rPr>
        <w:t>3</w:t>
      </w:r>
      <w:r>
        <w:rPr/>
        <w:t>、销售退回</w:t>
      </w:r>
    </w:p>
    <w:p>
      <w:pPr>
        <w:spacing w:line="240" w:lineRule="auto" w:before="11"/>
        <w:rPr>
          <w:rFonts w:ascii="黑体" w:hAnsi="黑体" w:cs="黑体" w:eastAsia="黑体" w:hint="default"/>
          <w:sz w:val="24"/>
          <w:szCs w:val="24"/>
        </w:rPr>
      </w:pPr>
    </w:p>
    <w:p>
      <w:pPr>
        <w:pStyle w:val="Heading3"/>
        <w:spacing w:line="240" w:lineRule="auto"/>
        <w:ind w:right="0"/>
        <w:jc w:val="both"/>
      </w:pPr>
      <w:r>
        <w:rPr>
          <w:rFonts w:ascii="Times New Roman" w:hAnsi="Times New Roman" w:cs="Times New Roman" w:eastAsia="Times New Roman" w:hint="default"/>
        </w:rPr>
        <w:t>4</w:t>
      </w:r>
      <w:r>
        <w:rPr/>
        <w:t>、其他资产负债表日后事项说明</w:t>
      </w:r>
    </w:p>
    <w:p>
      <w:pPr>
        <w:spacing w:line="240" w:lineRule="auto" w:before="3"/>
        <w:rPr>
          <w:rFonts w:ascii="黑体" w:hAnsi="黑体" w:cs="黑体" w:eastAsia="黑体" w:hint="default"/>
          <w:sz w:val="24"/>
          <w:szCs w:val="24"/>
        </w:rPr>
      </w:pPr>
    </w:p>
    <w:p>
      <w:pPr>
        <w:pStyle w:val="Heading4"/>
        <w:spacing w:line="240" w:lineRule="auto"/>
        <w:ind w:right="11"/>
        <w:jc w:val="left"/>
        <w:rPr>
          <w:b w:val="0"/>
          <w:bCs w:val="0"/>
        </w:rPr>
      </w:pPr>
      <w:r>
        <w:rPr>
          <w:rFonts w:ascii="Cambria" w:hAnsi="Cambria" w:cs="Cambria" w:eastAsia="Cambria" w:hint="default"/>
        </w:rPr>
        <w:t>1</w:t>
      </w:r>
      <w:r>
        <w:rPr/>
        <w:t>）以自有资金增资非全资子公司伏羲大数据</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left="573" w:right="11"/>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日召开第三届董事会第五十三次会议，审议通过了《关于使用自有资金增资北</w:t>
      </w:r>
    </w:p>
    <w:p>
      <w:pPr>
        <w:pStyle w:val="BodyText"/>
        <w:spacing w:line="386" w:lineRule="auto" w:before="177"/>
        <w:ind w:right="146"/>
        <w:jc w:val="both"/>
      </w:pPr>
      <w:r>
        <w:rPr>
          <w:spacing w:val="-8"/>
          <w:w w:val="100"/>
        </w:rPr>
        <w:t>京旋极伏羲大数据技术有限公司的议案》，同意公司使用自有资金</w:t>
      </w:r>
      <w:r>
        <w:rPr>
          <w:spacing w:val="-36"/>
          <w:w w:val="100"/>
        </w:rPr>
        <w:t> </w:t>
      </w:r>
      <w:r>
        <w:rPr>
          <w:rFonts w:ascii="Times New Roman" w:hAnsi="Times New Roman" w:cs="Times New Roman" w:eastAsia="Times New Roman" w:hint="default"/>
          <w:spacing w:val="-2"/>
          <w:w w:val="100"/>
        </w:rPr>
        <w:t>2,000</w:t>
      </w:r>
      <w:r>
        <w:rPr>
          <w:rFonts w:ascii="Times New Roman" w:hAnsi="Times New Roman" w:cs="Times New Roman" w:eastAsia="Times New Roman" w:hint="default"/>
          <w:spacing w:val="3"/>
          <w:w w:val="100"/>
        </w:rPr>
        <w:t> </w:t>
      </w:r>
      <w:r>
        <w:rPr>
          <w:spacing w:val="-2"/>
          <w:w w:val="100"/>
        </w:rPr>
        <w:t>万元对控股子公司北京旋极伏羲大</w:t>
      </w:r>
      <w:r>
        <w:rPr>
          <w:spacing w:val="-99"/>
          <w:w w:val="100"/>
        </w:rPr>
        <w:t> </w:t>
      </w:r>
      <w:r>
        <w:rPr>
          <w:spacing w:val="-99"/>
          <w:w w:val="100"/>
        </w:rPr>
      </w:r>
      <w:r>
        <w:rPr>
          <w:spacing w:val="-2"/>
        </w:rPr>
        <w:t>数据技术有限公司（以下简称</w:t>
      </w:r>
      <w:r>
        <w:rPr>
          <w:rFonts w:ascii="Times New Roman" w:hAnsi="Times New Roman" w:cs="Times New Roman" w:eastAsia="Times New Roman" w:hint="default"/>
          <w:spacing w:val="-2"/>
        </w:rPr>
        <w:t>“</w:t>
      </w:r>
      <w:r>
        <w:rPr>
          <w:spacing w:val="-2"/>
        </w:rPr>
        <w:t>旋极伏羲</w:t>
      </w:r>
      <w:r>
        <w:rPr>
          <w:rFonts w:ascii="Times New Roman" w:hAnsi="Times New Roman" w:cs="Times New Roman" w:eastAsia="Times New Roman" w:hint="default"/>
          <w:spacing w:val="-2"/>
        </w:rPr>
        <w:t>”</w:t>
      </w:r>
      <w:r>
        <w:rPr>
          <w:spacing w:val="-2"/>
        </w:rPr>
        <w:t>）进行增资。增资完成后，公司将持有旋极伏羲</w:t>
      </w:r>
      <w:r>
        <w:rPr/>
        <w:t> </w:t>
      </w:r>
      <w:r>
        <w:rPr>
          <w:rFonts w:ascii="Times New Roman" w:hAnsi="Times New Roman" w:cs="Times New Roman" w:eastAsia="Times New Roman" w:hint="default"/>
          <w:spacing w:val="-2"/>
        </w:rPr>
        <w:t>64%</w:t>
      </w:r>
      <w:r>
        <w:rPr>
          <w:spacing w:val="-2"/>
        </w:rPr>
        <w:t>股权，旋极</w:t>
      </w:r>
      <w:r>
        <w:rPr>
          <w:spacing w:val="-89"/>
        </w:rPr>
        <w:t> </w:t>
      </w:r>
      <w:r>
        <w:rPr>
          <w:spacing w:val="-89"/>
        </w:rPr>
      </w:r>
      <w:r>
        <w:rPr/>
        <w:t>伏羲其他股东放弃增资权利。公司于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日与旋极伏羲及其全体股东共同签署《北京旋极伏羲</w:t>
      </w:r>
      <w:r>
        <w:rPr>
          <w:w w:val="100"/>
        </w:rPr>
        <w:t> </w:t>
      </w:r>
      <w:r>
        <w:rPr>
          <w:spacing w:val="-5"/>
          <w:w w:val="100"/>
        </w:rPr>
        <w:t>大数据技术有限公司之增资协议》，并已完成完成了相关工商变更登记手续。</w:t>
      </w:r>
    </w:p>
    <w:p>
      <w:pPr>
        <w:spacing w:line="240" w:lineRule="auto" w:before="2"/>
        <w:rPr>
          <w:rFonts w:ascii="宋体" w:hAnsi="宋体" w:cs="宋体" w:eastAsia="宋体" w:hint="default"/>
          <w:sz w:val="14"/>
          <w:szCs w:val="14"/>
        </w:rPr>
      </w:pPr>
    </w:p>
    <w:p>
      <w:pPr>
        <w:pStyle w:val="Heading4"/>
        <w:spacing w:line="240" w:lineRule="auto"/>
        <w:ind w:right="11"/>
        <w:jc w:val="left"/>
        <w:rPr>
          <w:b w:val="0"/>
          <w:bCs w:val="0"/>
        </w:rPr>
      </w:pPr>
      <w:r>
        <w:rPr>
          <w:rFonts w:ascii="Cambria" w:hAnsi="Cambria" w:cs="Cambria" w:eastAsia="Cambria" w:hint="default"/>
        </w:rPr>
        <w:t>2</w:t>
      </w:r>
      <w:r>
        <w:rPr/>
        <w:t>）以自有资金投资对外投资设立北京泰豪慧城科技有限公司</w:t>
      </w:r>
      <w:r>
        <w:rPr>
          <w:b w:val="0"/>
          <w:bCs w:val="0"/>
        </w:rPr>
      </w:r>
    </w:p>
    <w:p>
      <w:pPr>
        <w:spacing w:line="240" w:lineRule="auto" w:before="8"/>
        <w:rPr>
          <w:rFonts w:ascii="宋体" w:hAnsi="宋体" w:cs="宋体" w:eastAsia="宋体" w:hint="default"/>
          <w:b/>
          <w:bCs/>
          <w:sz w:val="22"/>
          <w:szCs w:val="22"/>
        </w:rPr>
      </w:pPr>
    </w:p>
    <w:p>
      <w:pPr>
        <w:pStyle w:val="BodyText"/>
        <w:spacing w:line="386" w:lineRule="auto"/>
        <w:ind w:right="146" w:firstLine="420"/>
        <w:jc w:val="both"/>
      </w:pPr>
      <w:r>
        <w:rPr/>
        <w:t>公司</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spacing w:val="-3"/>
        </w:rPr>
        <w:t>日召开第四届董事会第二次会议，审议通过了《关于全资子公司对外投资设立北</w:t>
      </w:r>
      <w:r>
        <w:rPr>
          <w:w w:val="100"/>
        </w:rPr>
        <w:t> </w:t>
      </w:r>
      <w:r>
        <w:rPr>
          <w:spacing w:val="-6"/>
          <w:w w:val="100"/>
        </w:rPr>
        <w:t>京泰豪慧城科技有限公司的议案》，全资子公司北京泰豪智能工程有限公司（以下简称</w:t>
      </w:r>
      <w:r>
        <w:rPr>
          <w:rFonts w:ascii="Times New Roman" w:hAnsi="Times New Roman" w:cs="Times New Roman" w:eastAsia="Times New Roman" w:hint="default"/>
          <w:spacing w:val="-6"/>
          <w:w w:val="100"/>
        </w:rPr>
        <w:t>“</w:t>
      </w:r>
      <w:r>
        <w:rPr>
          <w:spacing w:val="-6"/>
          <w:w w:val="100"/>
        </w:rPr>
        <w:t>泰豪智能</w:t>
      </w:r>
      <w:r>
        <w:rPr>
          <w:rFonts w:ascii="Times New Roman" w:hAnsi="Times New Roman" w:cs="Times New Roman" w:eastAsia="Times New Roman" w:hint="default"/>
          <w:spacing w:val="-6"/>
          <w:w w:val="100"/>
        </w:rPr>
        <w:t>”</w:t>
      </w:r>
      <w:r>
        <w:rPr>
          <w:spacing w:val="-6"/>
          <w:w w:val="100"/>
        </w:rPr>
        <w:t>）拟使用</w:t>
      </w:r>
      <w:r>
        <w:rPr>
          <w:spacing w:val="-93"/>
          <w:w w:val="100"/>
        </w:rPr>
        <w:t> </w:t>
      </w:r>
      <w:r>
        <w:rPr>
          <w:spacing w:val="-93"/>
          <w:w w:val="100"/>
        </w:rPr>
      </w:r>
      <w:r>
        <w:rPr>
          <w:spacing w:val="-1"/>
          <w:w w:val="100"/>
        </w:rPr>
        <w:t>自有资金</w:t>
      </w:r>
      <w:r>
        <w:rPr>
          <w:spacing w:val="-37"/>
          <w:w w:val="100"/>
        </w:rPr>
        <w:t> </w:t>
      </w:r>
      <w:r>
        <w:rPr>
          <w:rFonts w:ascii="Times New Roman" w:hAnsi="Times New Roman" w:cs="Times New Roman" w:eastAsia="Times New Roman" w:hint="default"/>
          <w:spacing w:val="-1"/>
          <w:w w:val="100"/>
        </w:rPr>
        <w:t>5,000</w:t>
      </w:r>
      <w:r>
        <w:rPr>
          <w:rFonts w:ascii="Times New Roman" w:hAnsi="Times New Roman" w:cs="Times New Roman" w:eastAsia="Times New Roman" w:hint="default"/>
          <w:spacing w:val="11"/>
          <w:w w:val="100"/>
        </w:rPr>
        <w:t> </w:t>
      </w:r>
      <w:r>
        <w:rPr>
          <w:spacing w:val="-6"/>
          <w:w w:val="100"/>
        </w:rPr>
        <w:t>万元对外投资设立北京泰豪慧城科技有限公司（以下简称</w:t>
      </w:r>
      <w:r>
        <w:rPr>
          <w:rFonts w:ascii="Times New Roman" w:hAnsi="Times New Roman" w:cs="Times New Roman" w:eastAsia="Times New Roman" w:hint="default"/>
          <w:spacing w:val="-6"/>
          <w:w w:val="100"/>
        </w:rPr>
        <w:t>“</w:t>
      </w:r>
      <w:r>
        <w:rPr>
          <w:spacing w:val="-6"/>
          <w:w w:val="100"/>
        </w:rPr>
        <w:t>泰豪慧城</w:t>
      </w:r>
      <w:r>
        <w:rPr>
          <w:rFonts w:ascii="Times New Roman" w:hAnsi="Times New Roman" w:cs="Times New Roman" w:eastAsia="Times New Roman" w:hint="default"/>
          <w:spacing w:val="-6"/>
          <w:w w:val="100"/>
        </w:rPr>
        <w:t>”</w:t>
      </w:r>
      <w:r>
        <w:rPr>
          <w:spacing w:val="-6"/>
          <w:w w:val="100"/>
        </w:rPr>
        <w:t>）。投资完成后，泰豪</w:t>
      </w:r>
      <w:r>
        <w:rPr>
          <w:spacing w:val="-99"/>
          <w:w w:val="100"/>
        </w:rPr>
        <w:t> </w:t>
      </w:r>
      <w:r>
        <w:rPr>
          <w:spacing w:val="-99"/>
          <w:w w:val="100"/>
        </w:rPr>
      </w:r>
      <w:r>
        <w:rPr/>
        <w:t>智能将持有泰豪慧城</w:t>
      </w:r>
      <w:r>
        <w:rPr>
          <w:spacing w:val="-52"/>
        </w:rPr>
        <w:t> </w:t>
      </w:r>
      <w:r>
        <w:rPr>
          <w:rFonts w:ascii="Times New Roman" w:hAnsi="Times New Roman" w:cs="Times New Roman" w:eastAsia="Times New Roman" w:hint="default"/>
        </w:rPr>
        <w:t>100%</w:t>
      </w:r>
      <w:r>
        <w:rPr/>
        <w:t>股权。</w:t>
      </w:r>
    </w:p>
    <w:p>
      <w:pPr>
        <w:pStyle w:val="Heading4"/>
        <w:spacing w:line="240" w:lineRule="auto" w:before="155"/>
        <w:ind w:right="11"/>
        <w:jc w:val="left"/>
        <w:rPr>
          <w:b w:val="0"/>
          <w:bCs w:val="0"/>
        </w:rPr>
      </w:pPr>
      <w:r>
        <w:rPr>
          <w:rFonts w:ascii="Cambria" w:hAnsi="Cambria" w:cs="Cambria" w:eastAsia="Cambria" w:hint="default"/>
        </w:rPr>
        <w:t>3</w:t>
      </w:r>
      <w:r>
        <w:rPr/>
        <w:t>）以自有资金投资北京都在哪网讯科技有限公司</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left="573" w:right="11"/>
        <w:jc w:val="left"/>
      </w:pPr>
      <w:r>
        <w:rPr/>
        <w:t>公司于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spacing w:val="-3"/>
        </w:rPr>
        <w:t>日召开第三届董事会第五十三次会议，审议通过了《关于增资北京都在哪网讯</w:t>
      </w:r>
    </w:p>
    <w:p>
      <w:pPr>
        <w:pStyle w:val="BodyText"/>
        <w:spacing w:line="240" w:lineRule="auto" w:before="177"/>
        <w:ind w:right="0"/>
        <w:jc w:val="both"/>
      </w:pPr>
      <w:r>
        <w:rPr>
          <w:w w:val="100"/>
        </w:rPr>
        <w:t>科技有限公司</w:t>
      </w:r>
      <w:r>
        <w:rPr>
          <w:spacing w:val="-3"/>
          <w:w w:val="100"/>
        </w:rPr>
        <w:t>暨</w:t>
      </w:r>
      <w:r>
        <w:rPr>
          <w:w w:val="100"/>
        </w:rPr>
        <w:t>关联交</w:t>
      </w:r>
      <w:r>
        <w:rPr>
          <w:spacing w:val="-3"/>
          <w:w w:val="100"/>
        </w:rPr>
        <w:t>易</w:t>
      </w:r>
      <w:r>
        <w:rPr>
          <w:w w:val="100"/>
        </w:rPr>
        <w:t>的议</w:t>
      </w:r>
      <w:r>
        <w:rPr>
          <w:spacing w:val="-3"/>
          <w:w w:val="100"/>
        </w:rPr>
        <w:t>案</w:t>
      </w:r>
      <w:r>
        <w:rPr>
          <w:spacing w:val="-104"/>
          <w:w w:val="100"/>
        </w:rPr>
        <w:t>》</w:t>
      </w:r>
      <w:r>
        <w:rPr>
          <w:w w:val="100"/>
        </w:rPr>
        <w:t>，同意</w:t>
      </w:r>
      <w:r>
        <w:rPr>
          <w:spacing w:val="-3"/>
          <w:w w:val="100"/>
        </w:rPr>
        <w:t>公</w:t>
      </w:r>
      <w:r>
        <w:rPr>
          <w:w w:val="100"/>
        </w:rPr>
        <w:t>司使用</w:t>
      </w:r>
      <w:r>
        <w:rPr>
          <w:spacing w:val="-3"/>
          <w:w w:val="100"/>
        </w:rPr>
        <w:t>自</w:t>
      </w:r>
      <w:r>
        <w:rPr>
          <w:w w:val="100"/>
        </w:rPr>
        <w:t>有资金</w:t>
      </w:r>
      <w:r>
        <w:rPr>
          <w:spacing w:val="1"/>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w w:val="100"/>
        </w:rPr>
        <w:t>万元</w:t>
      </w:r>
      <w:r>
        <w:rPr>
          <w:spacing w:val="-3"/>
          <w:w w:val="100"/>
        </w:rPr>
        <w:t>增</w:t>
      </w:r>
      <w:r>
        <w:rPr>
          <w:w w:val="100"/>
        </w:rPr>
        <w:t>资</w:t>
      </w:r>
      <w:r>
        <w:rPr>
          <w:spacing w:val="-3"/>
          <w:w w:val="100"/>
        </w:rPr>
        <w:t>北</w:t>
      </w:r>
      <w:r>
        <w:rPr>
          <w:w w:val="100"/>
        </w:rPr>
        <w:t>京都在哪网讯</w:t>
      </w:r>
      <w:r>
        <w:rPr>
          <w:spacing w:val="-3"/>
          <w:w w:val="100"/>
        </w:rPr>
        <w:t>科</w:t>
      </w:r>
      <w:r>
        <w:rPr>
          <w:w w:val="100"/>
        </w:rPr>
        <w:t>技有限</w:t>
      </w:r>
      <w:r>
        <w:rPr>
          <w:spacing w:val="-3"/>
          <w:w w:val="100"/>
        </w:rPr>
        <w:t>公</w:t>
      </w:r>
      <w:r>
        <w:rPr>
          <w:w w:val="100"/>
        </w:rPr>
        <w:t>司</w:t>
      </w:r>
    </w:p>
    <w:p>
      <w:pPr>
        <w:pStyle w:val="BodyText"/>
        <w:spacing w:line="240" w:lineRule="auto" w:before="177"/>
        <w:ind w:right="0"/>
        <w:jc w:val="both"/>
      </w:pPr>
      <w:r>
        <w:rPr>
          <w:w w:val="100"/>
        </w:rPr>
        <w:t>（以</w:t>
      </w:r>
      <w:r>
        <w:rPr>
          <w:spacing w:val="-3"/>
          <w:w w:val="100"/>
        </w:rPr>
        <w:t>下</w:t>
      </w:r>
      <w:r>
        <w:rPr>
          <w:w w:val="100"/>
        </w:rPr>
        <w:t>简</w:t>
      </w:r>
      <w:r>
        <w:rPr>
          <w:spacing w:val="-3"/>
          <w:w w:val="100"/>
        </w:rPr>
        <w:t>称</w:t>
      </w:r>
      <w:r>
        <w:rPr>
          <w:rFonts w:ascii="Times New Roman" w:hAnsi="Times New Roman" w:cs="Times New Roman" w:eastAsia="Times New Roman" w:hint="default"/>
          <w:spacing w:val="-1"/>
          <w:w w:val="100"/>
        </w:rPr>
        <w:t>“</w:t>
      </w:r>
      <w:r>
        <w:rPr>
          <w:spacing w:val="-3"/>
          <w:w w:val="100"/>
        </w:rPr>
        <w:t>都</w:t>
      </w:r>
      <w:r>
        <w:rPr>
          <w:w w:val="100"/>
        </w:rPr>
        <w:t>在</w:t>
      </w:r>
      <w:r>
        <w:rPr>
          <w:spacing w:val="-3"/>
          <w:w w:val="100"/>
        </w:rPr>
        <w:t>哪</w:t>
      </w:r>
      <w:r>
        <w:rPr>
          <w:w w:val="100"/>
        </w:rPr>
        <w:t>网</w:t>
      </w:r>
      <w:r>
        <w:rPr>
          <w:spacing w:val="-1"/>
          <w:w w:val="100"/>
        </w:rPr>
        <w:t>讯</w:t>
      </w:r>
      <w:r>
        <w:rPr>
          <w:rFonts w:ascii="Times New Roman" w:hAnsi="Times New Roman" w:cs="Times New Roman" w:eastAsia="Times New Roman" w:hint="default"/>
          <w:spacing w:val="-1"/>
          <w:w w:val="100"/>
        </w:rPr>
        <w:t>”</w:t>
      </w:r>
      <w:r>
        <w:rPr>
          <w:spacing w:val="-108"/>
          <w:w w:val="100"/>
        </w:rPr>
        <w:t>）</w:t>
      </w:r>
      <w:r>
        <w:rPr>
          <w:w w:val="100"/>
        </w:rPr>
        <w:t>，增</w:t>
      </w:r>
      <w:r>
        <w:rPr>
          <w:spacing w:val="-3"/>
          <w:w w:val="100"/>
        </w:rPr>
        <w:t>资</w:t>
      </w:r>
      <w:r>
        <w:rPr>
          <w:w w:val="100"/>
        </w:rPr>
        <w:t>完</w:t>
      </w:r>
      <w:r>
        <w:rPr>
          <w:spacing w:val="-3"/>
          <w:w w:val="100"/>
        </w:rPr>
        <w:t>成</w:t>
      </w:r>
      <w:r>
        <w:rPr>
          <w:w w:val="100"/>
        </w:rPr>
        <w:t>后</w:t>
      </w:r>
      <w:r>
        <w:rPr>
          <w:spacing w:val="-3"/>
          <w:w w:val="100"/>
        </w:rPr>
        <w:t>，</w:t>
      </w:r>
      <w:r>
        <w:rPr>
          <w:w w:val="100"/>
        </w:rPr>
        <w:t>公</w:t>
      </w:r>
      <w:r>
        <w:rPr>
          <w:spacing w:val="-3"/>
          <w:w w:val="100"/>
        </w:rPr>
        <w:t>司</w:t>
      </w:r>
      <w:r>
        <w:rPr>
          <w:w w:val="100"/>
        </w:rPr>
        <w:t>持</w:t>
      </w:r>
      <w:r>
        <w:rPr>
          <w:spacing w:val="-3"/>
          <w:w w:val="100"/>
        </w:rPr>
        <w:t>有</w:t>
      </w:r>
      <w:r>
        <w:rPr>
          <w:w w:val="100"/>
        </w:rPr>
        <w:t>都在</w:t>
      </w:r>
      <w:r>
        <w:rPr>
          <w:spacing w:val="-3"/>
          <w:w w:val="100"/>
        </w:rPr>
        <w:t>哪网</w:t>
      </w:r>
      <w:r>
        <w:rPr>
          <w:w w:val="100"/>
        </w:rPr>
        <w:t>讯</w:t>
      </w:r>
      <w:r>
        <w:rPr>
          <w:spacing w:val="-52"/>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4"/>
          <w:w w:val="100"/>
        </w:rPr>
        <w:t>%</w:t>
      </w:r>
      <w:r>
        <w:rPr>
          <w:w w:val="100"/>
        </w:rPr>
        <w:t>股</w:t>
      </w:r>
      <w:r>
        <w:rPr>
          <w:spacing w:val="-3"/>
          <w:w w:val="100"/>
        </w:rPr>
        <w:t>权</w:t>
      </w:r>
      <w:r>
        <w:rPr>
          <w:w w:val="100"/>
        </w:rPr>
        <w:t>。</w:t>
      </w:r>
    </w:p>
    <w:p>
      <w:pPr>
        <w:spacing w:line="240" w:lineRule="auto" w:before="0"/>
        <w:rPr>
          <w:rFonts w:ascii="宋体" w:hAnsi="宋体" w:cs="宋体" w:eastAsia="宋体" w:hint="default"/>
          <w:sz w:val="22"/>
          <w:szCs w:val="22"/>
        </w:rPr>
      </w:pPr>
    </w:p>
    <w:p>
      <w:pPr>
        <w:pStyle w:val="Heading2"/>
        <w:spacing w:line="240" w:lineRule="auto" w:before="170"/>
        <w:ind w:right="0"/>
        <w:jc w:val="both"/>
      </w:pPr>
      <w:r>
        <w:rPr/>
        <w:t>十六、其他重要事项</w:t>
      </w:r>
    </w:p>
    <w:p>
      <w:pPr>
        <w:spacing w:line="240" w:lineRule="auto" w:before="9"/>
        <w:rPr>
          <w:rFonts w:ascii="黑体" w:hAnsi="黑体" w:cs="黑体" w:eastAsia="黑体" w:hint="default"/>
          <w:sz w:val="38"/>
          <w:szCs w:val="38"/>
        </w:rPr>
      </w:pPr>
    </w:p>
    <w:p>
      <w:pPr>
        <w:pStyle w:val="Heading3"/>
        <w:spacing w:line="240" w:lineRule="auto"/>
        <w:ind w:right="0"/>
        <w:jc w:val="both"/>
      </w:pPr>
      <w:r>
        <w:rPr>
          <w:rFonts w:ascii="Times New Roman" w:hAnsi="Times New Roman" w:cs="Times New Roman" w:eastAsia="Times New Roman" w:hint="default"/>
        </w:rPr>
        <w:t>1</w:t>
      </w:r>
      <w:r>
        <w:rPr/>
        <w:t>、前期会计差错更正</w:t>
      </w:r>
    </w:p>
    <w:p>
      <w:pPr>
        <w:spacing w:line="240" w:lineRule="auto" w:before="1"/>
        <w:rPr>
          <w:rFonts w:ascii="黑体" w:hAnsi="黑体" w:cs="黑体" w:eastAsia="黑体" w:hint="default"/>
          <w:sz w:val="25"/>
          <w:szCs w:val="25"/>
        </w:rPr>
      </w:pPr>
    </w:p>
    <w:p>
      <w:pPr>
        <w:pStyle w:val="Heading3"/>
        <w:spacing w:line="240" w:lineRule="auto"/>
        <w:ind w:right="0"/>
        <w:jc w:val="both"/>
      </w:pPr>
      <w:r>
        <w:rPr/>
        <w:t>（</w:t>
      </w:r>
      <w:r>
        <w:rPr>
          <w:rFonts w:ascii="Times New Roman" w:hAnsi="Times New Roman" w:cs="Times New Roman" w:eastAsia="Times New Roman" w:hint="default"/>
        </w:rPr>
        <w:t>1</w:t>
      </w:r>
      <w:r>
        <w:rPr/>
        <w:t>）追溯重述法</w:t>
      </w:r>
    </w:p>
    <w:p>
      <w:pPr>
        <w:spacing w:line="240" w:lineRule="auto" w:before="3"/>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496"/>
        <w:gridCol w:w="2295"/>
        <w:gridCol w:w="2391"/>
        <w:gridCol w:w="2391"/>
      </w:tblGrid>
      <w:tr>
        <w:trPr>
          <w:trHeight w:val="820"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23" w:right="20"/>
              <w:jc w:val="left"/>
              <w:rPr>
                <w:rFonts w:ascii="宋体" w:hAnsi="宋体" w:cs="宋体" w:eastAsia="宋体" w:hint="default"/>
                <w:sz w:val="18"/>
                <w:szCs w:val="18"/>
              </w:rPr>
            </w:pPr>
            <w:r>
              <w:rPr>
                <w:rFonts w:ascii="宋体" w:hAnsi="宋体" w:cs="宋体" w:eastAsia="宋体" w:hint="default"/>
                <w:spacing w:val="14"/>
                <w:sz w:val="18"/>
                <w:szCs w:val="18"/>
              </w:rPr>
              <w:t>受影响的各个比较期间报表</w:t>
            </w:r>
            <w:r>
              <w:rPr>
                <w:rFonts w:ascii="宋体" w:hAnsi="宋体" w:cs="宋体" w:eastAsia="宋体" w:hint="default"/>
                <w:sz w:val="18"/>
                <w:szCs w:val="18"/>
              </w:rPr>
              <w:t>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2</w:t>
      </w:r>
      <w:r>
        <w:rPr/>
        <w:t>）未来适用法</w:t>
      </w:r>
    </w:p>
    <w:p>
      <w:pPr>
        <w:spacing w:after="0" w:line="240" w:lineRule="auto"/>
        <w:jc w:val="left"/>
        <w:sectPr>
          <w:pgSz w:w="11910" w:h="16840"/>
          <w:pgMar w:header="882" w:footer="1132" w:top="1280" w:bottom="1320" w:left="980" w:right="980"/>
        </w:sectPr>
      </w:pPr>
    </w:p>
    <w:p>
      <w:pPr>
        <w:spacing w:line="240" w:lineRule="auto" w:before="2"/>
        <w:rPr>
          <w:rFonts w:ascii="黑体" w:hAnsi="黑体" w:cs="黑体" w:eastAsia="黑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3327"/>
        <w:gridCol w:w="3060"/>
        <w:gridCol w:w="3174"/>
      </w:tblGrid>
      <w:tr>
        <w:trPr>
          <w:trHeight w:val="50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2"/>
        <w:rPr>
          <w:rFonts w:ascii="黑体" w:hAnsi="黑体" w:cs="黑体" w:eastAsia="黑体" w:hint="default"/>
          <w:sz w:val="12"/>
          <w:szCs w:val="12"/>
        </w:rPr>
      </w:pPr>
    </w:p>
    <w:p>
      <w:pPr>
        <w:pStyle w:val="Heading3"/>
        <w:spacing w:line="240" w:lineRule="auto" w:before="26"/>
        <w:ind w:right="11"/>
        <w:jc w:val="left"/>
      </w:pPr>
      <w:r>
        <w:rPr>
          <w:rFonts w:ascii="Times New Roman" w:hAnsi="Times New Roman" w:cs="Times New Roman" w:eastAsia="Times New Roman" w:hint="default"/>
        </w:rPr>
        <w:t>2</w:t>
      </w:r>
      <w:r>
        <w:rPr/>
        <w:t>、债务重组</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3</w:t>
      </w:r>
      <w:r>
        <w:rPr/>
        <w:t>、资产置换</w:t>
      </w:r>
    </w:p>
    <w:p>
      <w:pPr>
        <w:spacing w:line="240" w:lineRule="auto" w:before="1"/>
        <w:rPr>
          <w:rFonts w:ascii="黑体" w:hAnsi="黑体" w:cs="黑体" w:eastAsia="黑体" w:hint="default"/>
          <w:sz w:val="24"/>
          <w:szCs w:val="24"/>
        </w:rPr>
      </w:pPr>
    </w:p>
    <w:p>
      <w:pPr>
        <w:pStyle w:val="Heading4"/>
        <w:spacing w:line="240" w:lineRule="auto"/>
        <w:ind w:right="11"/>
        <w:jc w:val="left"/>
        <w:rPr>
          <w:b w:val="0"/>
          <w:bCs w:val="0"/>
        </w:rPr>
      </w:pPr>
      <w:r>
        <w:rPr/>
        <w:t>（</w:t>
      </w:r>
      <w:r>
        <w:rPr>
          <w:rFonts w:ascii="Cambria" w:hAnsi="Cambria" w:cs="Cambria" w:eastAsia="Cambria" w:hint="default"/>
        </w:rPr>
        <w:t>1</w:t>
      </w:r>
      <w:r>
        <w:rPr/>
        <w:t>）非货币性资产交换</w:t>
      </w:r>
      <w:r>
        <w:rPr>
          <w:b w:val="0"/>
          <w:bCs w:val="0"/>
        </w:rPr>
      </w:r>
    </w:p>
    <w:p>
      <w:pPr>
        <w:spacing w:line="240" w:lineRule="auto" w:before="8"/>
        <w:rPr>
          <w:rFonts w:ascii="宋体" w:hAnsi="宋体" w:cs="宋体" w:eastAsia="宋体" w:hint="default"/>
          <w:b/>
          <w:bCs/>
          <w:sz w:val="22"/>
          <w:szCs w:val="22"/>
        </w:rPr>
      </w:pPr>
    </w:p>
    <w:p>
      <w:pPr>
        <w:pStyle w:val="Heading4"/>
        <w:spacing w:line="240" w:lineRule="auto"/>
        <w:ind w:right="11"/>
        <w:jc w:val="left"/>
        <w:rPr>
          <w:b w:val="0"/>
          <w:bCs w:val="0"/>
        </w:rPr>
      </w:pPr>
      <w:r>
        <w:rPr/>
        <w:t>（</w:t>
      </w:r>
      <w:r>
        <w:rPr>
          <w:rFonts w:ascii="Cambria" w:hAnsi="Cambria" w:cs="Cambria" w:eastAsia="Cambria" w:hint="default"/>
        </w:rPr>
        <w:t>2</w:t>
      </w:r>
      <w:r>
        <w:rPr/>
        <w:t>）其他资产置换</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1"/>
        <w:jc w:val="left"/>
      </w:pPr>
      <w:r>
        <w:rPr>
          <w:rFonts w:ascii="Times New Roman" w:hAnsi="Times New Roman" w:cs="Times New Roman" w:eastAsia="Times New Roman" w:hint="default"/>
        </w:rPr>
        <w:t>4</w:t>
      </w:r>
      <w:r>
        <w:rPr/>
        <w:t>、年金计划</w:t>
      </w:r>
    </w:p>
    <w:p>
      <w:pPr>
        <w:spacing w:line="240" w:lineRule="auto" w:before="1"/>
        <w:rPr>
          <w:rFonts w:ascii="黑体" w:hAnsi="黑体" w:cs="黑体" w:eastAsia="黑体" w:hint="default"/>
          <w:sz w:val="25"/>
          <w:szCs w:val="25"/>
        </w:rPr>
      </w:pPr>
    </w:p>
    <w:p>
      <w:pPr>
        <w:pStyle w:val="Heading3"/>
        <w:spacing w:line="240" w:lineRule="auto"/>
        <w:ind w:right="11"/>
        <w:jc w:val="left"/>
      </w:pPr>
      <w:r>
        <w:rPr>
          <w:rFonts w:ascii="Times New Roman" w:hAnsi="Times New Roman" w:cs="Times New Roman" w:eastAsia="Times New Roman" w:hint="default"/>
        </w:rPr>
        <w:t>5</w:t>
      </w:r>
      <w:r>
        <w:rPr/>
        <w:t>、终止经营</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13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0"/>
              <w:jc w:val="both"/>
              <w:rPr>
                <w:rFonts w:ascii="宋体" w:hAnsi="宋体" w:cs="宋体" w:eastAsia="宋体" w:hint="default"/>
                <w:sz w:val="18"/>
                <w:szCs w:val="18"/>
              </w:rPr>
            </w:pPr>
            <w:r>
              <w:rPr>
                <w:rFonts w:ascii="宋体" w:hAnsi="宋体" w:cs="宋体" w:eastAsia="宋体" w:hint="default"/>
                <w:spacing w:val="7"/>
                <w:sz w:val="18"/>
                <w:szCs w:val="18"/>
              </w:rPr>
              <w:t>归属于母公司所</w:t>
            </w:r>
            <w:r>
              <w:rPr>
                <w:rFonts w:ascii="宋体" w:hAnsi="宋体" w:cs="宋体" w:eastAsia="宋体" w:hint="default"/>
                <w:sz w:val="18"/>
                <w:szCs w:val="18"/>
              </w:rPr>
              <w:t> </w:t>
            </w:r>
            <w:r>
              <w:rPr>
                <w:rFonts w:ascii="宋体" w:hAnsi="宋体" w:cs="宋体" w:eastAsia="宋体" w:hint="default"/>
                <w:spacing w:val="7"/>
                <w:sz w:val="18"/>
                <w:szCs w:val="18"/>
              </w:rPr>
              <w:t>有者的终止经营</w:t>
            </w:r>
            <w:r>
              <w:rPr>
                <w:rFonts w:ascii="宋体" w:hAnsi="宋体" w:cs="宋体" w:eastAsia="宋体" w:hint="default"/>
                <w:sz w:val="18"/>
                <w:szCs w:val="18"/>
              </w:rPr>
              <w:t> 利润</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6</w:t>
      </w:r>
      <w:r>
        <w:rPr/>
        <w:t>、分部信息</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1</w:t>
      </w:r>
      <w:r>
        <w:rPr/>
        <w:t>）报告分部的确定依据与会计政策</w:t>
      </w:r>
    </w:p>
    <w:p>
      <w:pPr>
        <w:spacing w:line="240" w:lineRule="auto" w:before="3"/>
        <w:rPr>
          <w:rFonts w:ascii="黑体" w:hAnsi="黑体" w:cs="黑体" w:eastAsia="黑体" w:hint="default"/>
          <w:sz w:val="24"/>
          <w:szCs w:val="24"/>
        </w:rPr>
      </w:pPr>
    </w:p>
    <w:p>
      <w:pPr>
        <w:pStyle w:val="BodyText"/>
        <w:spacing w:line="403" w:lineRule="auto"/>
        <w:ind w:right="125" w:firstLine="420"/>
        <w:jc w:val="both"/>
      </w:pPr>
      <w:r>
        <w:rPr/>
        <w:t>根据本公司的内部组织结构、管理要求及不同业务类型内部报告制度确定了</w:t>
      </w:r>
      <w:r>
        <w:rPr>
          <w:spacing w:val="-29"/>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spacing w:val="-4"/>
        </w:rPr>
        <w:t>个产品业务分部，分别</w:t>
      </w:r>
      <w:r>
        <w:rPr>
          <w:w w:val="100"/>
        </w:rPr>
        <w:t> </w:t>
      </w:r>
      <w:r>
        <w:rPr>
          <w:spacing w:val="-2"/>
        </w:rPr>
        <w:t>为：嵌入式系统及元器件测试业务、信息安全业务、能源信息化业务、智慧建筑业务、其他产品。本公司</w:t>
      </w:r>
      <w:r>
        <w:rPr>
          <w:spacing w:val="-42"/>
        </w:rPr>
        <w:t> </w:t>
      </w:r>
      <w:r>
        <w:rPr>
          <w:spacing w:val="-42"/>
        </w:rPr>
      </w:r>
      <w:r>
        <w:rPr>
          <w:spacing w:val="-2"/>
        </w:rPr>
        <w:t>的各个报告分部分别提供不同的产品或服务，或在不同地区从事经营活动。由于每个分部需要不同的技术</w:t>
      </w:r>
      <w:r>
        <w:rPr>
          <w:spacing w:val="-42"/>
        </w:rPr>
        <w:t> </w:t>
      </w:r>
      <w:r>
        <w:rPr>
          <w:spacing w:val="-42"/>
        </w:rPr>
      </w:r>
      <w:r>
        <w:rPr>
          <w:spacing w:val="-2"/>
        </w:rPr>
        <w:t>或市场策略，本公司管理层分别单独管理各个报告分部的经营活动，定期评价这些报告分部的经营成果，</w:t>
      </w:r>
      <w:r>
        <w:rPr>
          <w:spacing w:val="-21"/>
        </w:rPr>
        <w:t> </w:t>
      </w:r>
      <w:r>
        <w:rPr>
          <w:spacing w:val="-21"/>
        </w:rPr>
      </w:r>
      <w:r>
        <w:rPr>
          <w:spacing w:val="-2"/>
        </w:rPr>
        <w:t>以决定向其分配资源及评价其业绩。分部间如有交易，转移价格按照实际交易价格为基础确定，各个分部</w:t>
      </w:r>
      <w:r>
        <w:rPr>
          <w:spacing w:val="-43"/>
        </w:rPr>
        <w:t> </w:t>
      </w:r>
      <w:r>
        <w:rPr>
          <w:spacing w:val="-43"/>
        </w:rPr>
      </w:r>
      <w:r>
        <w:rPr/>
        <w:t>独立核算运营。</w:t>
      </w:r>
    </w:p>
    <w:p>
      <w:pPr>
        <w:spacing w:line="240" w:lineRule="auto" w:before="11"/>
        <w:rPr>
          <w:rFonts w:ascii="宋体" w:hAnsi="宋体" w:cs="宋体" w:eastAsia="宋体" w:hint="default"/>
          <w:sz w:val="13"/>
          <w:szCs w:val="13"/>
        </w:rPr>
      </w:pPr>
    </w:p>
    <w:p>
      <w:pPr>
        <w:pStyle w:val="Heading3"/>
        <w:spacing w:line="240" w:lineRule="auto"/>
        <w:ind w:right="11"/>
        <w:jc w:val="left"/>
      </w:pPr>
      <w:r>
        <w:rPr/>
        <w:t>（</w:t>
      </w:r>
      <w:r>
        <w:rPr>
          <w:rFonts w:ascii="Times New Roman" w:hAnsi="Times New Roman" w:cs="Times New Roman" w:eastAsia="Times New Roman" w:hint="default"/>
        </w:rPr>
        <w:t>2</w:t>
      </w:r>
      <w:r>
        <w:rPr/>
        <w:t>）报告分部的财务信息</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583"/>
        <w:gridCol w:w="1593"/>
        <w:gridCol w:w="1596"/>
        <w:gridCol w:w="1594"/>
        <w:gridCol w:w="1594"/>
        <w:gridCol w:w="1594"/>
      </w:tblGrid>
      <w:tr>
        <w:trPr>
          <w:trHeight w:val="509"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50" w:right="0"/>
              <w:jc w:val="left"/>
              <w:rPr>
                <w:rFonts w:ascii="宋体" w:hAnsi="宋体" w:cs="宋体" w:eastAsia="宋体" w:hint="default"/>
                <w:sz w:val="18"/>
                <w:szCs w:val="18"/>
              </w:rPr>
            </w:pPr>
            <w:r>
              <w:rPr>
                <w:rFonts w:ascii="宋体" w:hAnsi="宋体" w:cs="宋体" w:eastAsia="宋体" w:hint="default"/>
                <w:sz w:val="18"/>
                <w:szCs w:val="18"/>
              </w:rPr>
              <w:t>智慧防务业务</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信息安全业务</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7"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424,442,598.57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1,030,321,120.32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2" w:right="0"/>
              <w:jc w:val="left"/>
              <w:rPr>
                <w:rFonts w:ascii="Times New Roman" w:hAnsi="Times New Roman" w:cs="Times New Roman" w:eastAsia="Times New Roman" w:hint="default"/>
                <w:sz w:val="18"/>
                <w:szCs w:val="18"/>
              </w:rPr>
            </w:pPr>
            <w:r>
              <w:rPr>
                <w:rFonts w:ascii="Times New Roman"/>
                <w:sz w:val="18"/>
              </w:rPr>
              <w:t>1,845,343,949.49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-2,966,822.44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3,297,140,845.94</w:t>
            </w:r>
          </w:p>
        </w:tc>
      </w:tr>
      <w:tr>
        <w:trPr>
          <w:trHeight w:val="509"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184,925,245.64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299,169,516.60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02" w:right="0"/>
              <w:jc w:val="left"/>
              <w:rPr>
                <w:rFonts w:ascii="Times New Roman" w:hAnsi="Times New Roman" w:cs="Times New Roman" w:eastAsia="Times New Roman" w:hint="default"/>
                <w:sz w:val="18"/>
                <w:szCs w:val="18"/>
              </w:rPr>
            </w:pPr>
            <w:r>
              <w:rPr>
                <w:rFonts w:ascii="Times New Roman"/>
                <w:sz w:val="18"/>
              </w:rPr>
              <w:t>1,428,379,334.57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-2,907,485.99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1,909,566,610.82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13"/>
        <w:rPr>
          <w:rFonts w:ascii="宋体" w:hAnsi="宋体" w:cs="宋体" w:eastAsia="宋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3</w:t>
      </w:r>
      <w:r>
        <w:rPr/>
        <w:t>）公司无报告分部的，或者不能披露各报告分部的资产总额和负债总额的，应说明原因</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）其他说明</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w w:val="100"/>
        </w:rPr>
        <w:t>无</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7</w:t>
      </w:r>
      <w:r>
        <w:rPr/>
        <w:t>、其他对投资者决策有影响的重要交易和事项</w:t>
      </w:r>
    </w:p>
    <w:p>
      <w:pPr>
        <w:spacing w:line="240" w:lineRule="auto" w:before="1"/>
        <w:rPr>
          <w:rFonts w:ascii="黑体" w:hAnsi="黑体" w:cs="黑体" w:eastAsia="黑体" w:hint="default"/>
          <w:sz w:val="24"/>
          <w:szCs w:val="24"/>
        </w:rPr>
      </w:pPr>
    </w:p>
    <w:p>
      <w:pPr>
        <w:pStyle w:val="BodyText"/>
        <w:spacing w:line="386" w:lineRule="auto"/>
        <w:ind w:right="146" w:firstLine="420"/>
        <w:jc w:val="both"/>
      </w:pPr>
      <w:r>
        <w:rPr>
          <w:w w:val="100"/>
        </w:rPr>
        <w:t>公司于</w:t>
      </w:r>
      <w:r>
        <w:rPr>
          <w:spacing w:val="-76"/>
          <w:w w:val="10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3"/>
          <w:w w:val="100"/>
        </w:rPr>
        <w:t> </w:t>
      </w:r>
      <w:r>
        <w:rPr>
          <w:w w:val="100"/>
        </w:rPr>
        <w:t>年</w:t>
      </w:r>
      <w:r>
        <w:rPr>
          <w:spacing w:val="-7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1"/>
          <w:w w:val="100"/>
        </w:rPr>
        <w:t> </w:t>
      </w:r>
      <w:r>
        <w:rPr>
          <w:w w:val="100"/>
        </w:rPr>
        <w:t>月</w:t>
      </w:r>
      <w:r>
        <w:rPr>
          <w:spacing w:val="-73"/>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23"/>
          <w:w w:val="100"/>
        </w:rPr>
        <w:t> </w:t>
      </w:r>
      <w:r>
        <w:rPr>
          <w:spacing w:val="-1"/>
          <w:w w:val="100"/>
        </w:rPr>
        <w:t>日使用自有资金</w:t>
      </w:r>
      <w:r>
        <w:rPr>
          <w:spacing w:val="-75"/>
          <w:w w:val="100"/>
        </w:rPr>
        <w:t> </w:t>
      </w:r>
      <w:r>
        <w:rPr>
          <w:rFonts w:ascii="Times New Roman" w:hAnsi="Times New Roman" w:cs="Times New Roman" w:eastAsia="Times New Roman" w:hint="default"/>
          <w:w w:val="100"/>
        </w:rPr>
        <w:t>6,000</w:t>
      </w:r>
      <w:r>
        <w:rPr>
          <w:rFonts w:ascii="Times New Roman" w:hAnsi="Times New Roman" w:cs="Times New Roman" w:eastAsia="Times New Roman" w:hint="default"/>
          <w:spacing w:val="-23"/>
          <w:w w:val="100"/>
        </w:rPr>
        <w:t> </w:t>
      </w:r>
      <w:r>
        <w:rPr>
          <w:spacing w:val="-6"/>
          <w:w w:val="100"/>
        </w:rPr>
        <w:t>万元增资苏州市江海通讯发展实业有限公司（以下简称</w:t>
      </w:r>
      <w:r>
        <w:rPr>
          <w:rFonts w:ascii="Times New Roman" w:hAnsi="Times New Roman" w:cs="Times New Roman" w:eastAsia="Times New Roman" w:hint="default"/>
          <w:spacing w:val="-6"/>
          <w:w w:val="100"/>
        </w:rPr>
        <w:t>“</w:t>
      </w:r>
      <w:r>
        <w:rPr>
          <w:spacing w:val="-6"/>
          <w:w w:val="100"/>
        </w:rPr>
        <w:t>江</w:t>
      </w:r>
      <w:r>
        <w:rPr>
          <w:w w:val="100"/>
        </w:rPr>
        <w:t> </w:t>
      </w:r>
      <w:r>
        <w:rPr>
          <w:spacing w:val="-7"/>
          <w:w w:val="100"/>
        </w:rPr>
        <w:t>海通讯</w:t>
      </w:r>
      <w:r>
        <w:rPr>
          <w:rFonts w:ascii="Times New Roman" w:hAnsi="Times New Roman" w:cs="Times New Roman" w:eastAsia="Times New Roman" w:hint="default"/>
          <w:spacing w:val="-7"/>
          <w:w w:val="100"/>
        </w:rPr>
        <w:t>”</w:t>
      </w:r>
      <w:r>
        <w:rPr>
          <w:spacing w:val="-7"/>
          <w:w w:val="100"/>
        </w:rPr>
        <w:t>），投资完成后，公司持有江海通讯</w:t>
      </w:r>
      <w:r>
        <w:rPr>
          <w:spacing w:val="-21"/>
          <w:w w:val="100"/>
        </w:rPr>
        <w:t> </w:t>
      </w:r>
      <w:r>
        <w:rPr>
          <w:rFonts w:ascii="Times New Roman" w:hAnsi="Times New Roman" w:cs="Times New Roman" w:eastAsia="Times New Roman" w:hint="default"/>
          <w:spacing w:val="-2"/>
          <w:w w:val="100"/>
        </w:rPr>
        <w:t>20%</w:t>
      </w:r>
      <w:r>
        <w:rPr>
          <w:spacing w:val="-2"/>
          <w:w w:val="100"/>
        </w:rPr>
        <w:t>的股份。由于江海通讯未完成</w:t>
      </w:r>
      <w:r>
        <w:rPr>
          <w:spacing w:val="-18"/>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32"/>
          <w:w w:val="100"/>
        </w:rPr>
        <w:t> </w:t>
      </w:r>
      <w:r>
        <w:rPr>
          <w:spacing w:val="-2"/>
          <w:w w:val="100"/>
        </w:rPr>
        <w:t>年承诺的业绩目标，</w:t>
      </w:r>
      <w:r>
        <w:rPr>
          <w:spacing w:val="-103"/>
          <w:w w:val="100"/>
        </w:rPr>
        <w:t> </w:t>
      </w:r>
      <w:r>
        <w:rPr>
          <w:spacing w:val="-103"/>
          <w:w w:val="100"/>
        </w:rPr>
      </w:r>
      <w:r>
        <w:rPr>
          <w:spacing w:val="-3"/>
        </w:rPr>
        <w:t>公司根据原《增资协议》行使股份赎回权，于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日召开第三届董事会第四十九次会议，审议</w:t>
      </w:r>
      <w:r>
        <w:rPr>
          <w:spacing w:val="-103"/>
        </w:rPr>
        <w:t> </w:t>
      </w:r>
      <w:r>
        <w:rPr>
          <w:spacing w:val="-103"/>
        </w:rPr>
      </w:r>
      <w:r>
        <w:rPr>
          <w:spacing w:val="-3"/>
        </w:rPr>
        <w:t>通过了《关于转让苏州市江海通讯发展实业有限公司全部股权的议案》将持有的江海通讯 </w:t>
      </w:r>
      <w:r>
        <w:rPr>
          <w:rFonts w:ascii="Times New Roman" w:hAnsi="Times New Roman" w:cs="Times New Roman" w:eastAsia="Times New Roman" w:hint="default"/>
        </w:rPr>
        <w:t>20%</w:t>
      </w:r>
      <w:r>
        <w:rPr/>
        <w:t>股权转让给</w:t>
      </w:r>
      <w:r>
        <w:rPr>
          <w:spacing w:val="-88"/>
        </w:rPr>
        <w:t> </w:t>
      </w:r>
      <w:r>
        <w:rPr>
          <w:spacing w:val="-88"/>
        </w:rPr>
      </w:r>
      <w:r>
        <w:rPr>
          <w:spacing w:val="-6"/>
          <w:w w:val="100"/>
        </w:rPr>
        <w:t>江海通讯原股东苏州孔雀信天游电子有限公司（以下简称</w:t>
      </w:r>
      <w:r>
        <w:rPr>
          <w:rFonts w:ascii="Times New Roman" w:hAnsi="Times New Roman" w:cs="Times New Roman" w:eastAsia="Times New Roman" w:hint="default"/>
          <w:spacing w:val="-6"/>
          <w:w w:val="100"/>
        </w:rPr>
        <w:t>“</w:t>
      </w:r>
      <w:r>
        <w:rPr>
          <w:spacing w:val="-6"/>
          <w:w w:val="100"/>
        </w:rPr>
        <w:t>孔雀信天游</w:t>
      </w:r>
      <w:r>
        <w:rPr>
          <w:rFonts w:ascii="Times New Roman" w:hAnsi="Times New Roman" w:cs="Times New Roman" w:eastAsia="Times New Roman" w:hint="default"/>
          <w:spacing w:val="-6"/>
          <w:w w:val="100"/>
        </w:rPr>
        <w:t>”</w:t>
      </w:r>
      <w:r>
        <w:rPr>
          <w:spacing w:val="-6"/>
          <w:w w:val="100"/>
        </w:rPr>
        <w:t>），转让价格依据为公司所付全部增</w:t>
      </w:r>
      <w:r>
        <w:rPr>
          <w:spacing w:val="-91"/>
          <w:w w:val="100"/>
        </w:rPr>
        <w:t> </w:t>
      </w:r>
      <w:r>
        <w:rPr>
          <w:spacing w:val="-91"/>
          <w:w w:val="100"/>
        </w:rPr>
      </w:r>
      <w:r>
        <w:rPr/>
        <w:t>资款本金加上按</w:t>
      </w:r>
      <w:r>
        <w:rPr>
          <w:spacing w:val="-17"/>
        </w:rPr>
        <w:t> </w:t>
      </w:r>
      <w:r>
        <w:rPr>
          <w:rFonts w:ascii="Times New Roman" w:hAnsi="Times New Roman" w:cs="Times New Roman" w:eastAsia="Times New Roman" w:hint="default"/>
          <w:spacing w:val="-4"/>
        </w:rPr>
        <w:t>15%/</w:t>
      </w:r>
      <w:r>
        <w:rPr>
          <w:spacing w:val="-4"/>
        </w:rPr>
        <w:t>年计算的增资款利息，再减去原股东向公司支付的业绩补偿款，各方最终协商确定转</w:t>
      </w:r>
      <w:r>
        <w:rPr>
          <w:spacing w:val="-87"/>
        </w:rPr>
        <w:t> </w:t>
      </w:r>
      <w:r>
        <w:rPr>
          <w:spacing w:val="-87"/>
        </w:rPr>
      </w:r>
      <w:r>
        <w:rPr/>
        <w:t>让价款共计人民币</w:t>
      </w:r>
      <w:r>
        <w:rPr>
          <w:spacing w:val="-57"/>
        </w:rPr>
        <w:t> </w:t>
      </w:r>
      <w:r>
        <w:rPr>
          <w:rFonts w:ascii="Times New Roman" w:hAnsi="Times New Roman" w:cs="Times New Roman" w:eastAsia="Times New Roman" w:hint="default"/>
        </w:rPr>
        <w:t>7,129.22</w:t>
      </w:r>
      <w:r>
        <w:rPr>
          <w:rFonts w:ascii="Times New Roman" w:hAnsi="Times New Roman" w:cs="Times New Roman" w:eastAsia="Times New Roman" w:hint="default"/>
          <w:spacing w:val="-4"/>
        </w:rPr>
        <w:t> </w:t>
      </w:r>
      <w:r>
        <w:rPr/>
        <w:t>万元。江海通讯股东北京西兆文化传播有限公司（以下简称</w:t>
      </w:r>
      <w:r>
        <w:rPr>
          <w:rFonts w:ascii="Times New Roman" w:hAnsi="Times New Roman" w:cs="Times New Roman" w:eastAsia="Times New Roman" w:hint="default"/>
        </w:rPr>
        <w:t>“</w:t>
      </w:r>
      <w:r>
        <w:rPr/>
        <w:t>西兆文化</w:t>
      </w:r>
      <w:r>
        <w:rPr>
          <w:rFonts w:ascii="Times New Roman" w:hAnsi="Times New Roman" w:cs="Times New Roman" w:eastAsia="Times New Roman" w:hint="default"/>
        </w:rPr>
        <w:t>”</w:t>
      </w:r>
      <w:r>
        <w:rPr/>
        <w:t>）为本</w:t>
      </w:r>
    </w:p>
    <w:p>
      <w:pPr>
        <w:pStyle w:val="BodyText"/>
        <w:spacing w:line="240" w:lineRule="auto" w:before="36"/>
        <w:ind w:right="11"/>
        <w:jc w:val="left"/>
      </w:pPr>
      <w:r>
        <w:rPr>
          <w:spacing w:val="-3"/>
        </w:rPr>
        <w:t>次交易担保人。转让后，公司不再持有江海通讯股权。该事项确认处置投资收益 </w:t>
      </w:r>
      <w:r>
        <w:rPr>
          <w:rFonts w:ascii="Times New Roman" w:hAnsi="Times New Roman" w:cs="Times New Roman" w:eastAsia="Times New Roman" w:hint="default"/>
        </w:rPr>
        <w:t>10,774,391.12</w:t>
      </w:r>
      <w:r>
        <w:rPr>
          <w:rFonts w:ascii="Times New Roman" w:hAnsi="Times New Roman" w:cs="Times New Roman" w:eastAsia="Times New Roman" w:hint="default"/>
          <w:spacing w:val="-1"/>
        </w:rPr>
        <w:t> </w:t>
      </w:r>
      <w:r>
        <w:rPr>
          <w:spacing w:val="-5"/>
        </w:rPr>
        <w:t>元，确认业</w:t>
      </w:r>
    </w:p>
    <w:p>
      <w:pPr>
        <w:pStyle w:val="BodyText"/>
        <w:spacing w:line="240" w:lineRule="auto" w:before="177"/>
        <w:ind w:right="11"/>
        <w:jc w:val="left"/>
      </w:pPr>
      <w:r>
        <w:rPr/>
        <w:t>绩补偿款营业外收入</w:t>
      </w:r>
      <w:r>
        <w:rPr>
          <w:spacing w:val="-54"/>
        </w:rPr>
        <w:t> </w:t>
      </w:r>
      <w:r>
        <w:rPr>
          <w:rFonts w:ascii="Times New Roman" w:hAnsi="Times New Roman" w:cs="Times New Roman" w:eastAsia="Times New Roman" w:hint="default"/>
        </w:rPr>
        <w:t>5,351,600.00</w:t>
      </w:r>
      <w:r>
        <w:rPr>
          <w:rFonts w:ascii="Times New Roman" w:hAnsi="Times New Roman" w:cs="Times New Roman" w:eastAsia="Times New Roman" w:hint="default"/>
          <w:spacing w:val="-1"/>
        </w:rPr>
        <w:t> </w:t>
      </w:r>
      <w:r>
        <w:rPr>
          <w:spacing w:val="-3"/>
        </w:rPr>
        <w:t>元。</w:t>
      </w:r>
      <w:r>
        <w:rPr/>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8</w:t>
      </w:r>
      <w:r>
        <w:rPr/>
        <w:t>、其他</w:t>
      </w:r>
    </w:p>
    <w:p>
      <w:pPr>
        <w:spacing w:line="240" w:lineRule="auto" w:before="0"/>
        <w:rPr>
          <w:rFonts w:ascii="黑体" w:hAnsi="黑体" w:cs="黑体" w:eastAsia="黑体" w:hint="default"/>
          <w:sz w:val="24"/>
          <w:szCs w:val="24"/>
        </w:rPr>
      </w:pPr>
    </w:p>
    <w:p>
      <w:pPr>
        <w:pStyle w:val="Heading2"/>
        <w:spacing w:line="240" w:lineRule="auto" w:before="163"/>
        <w:ind w:right="11"/>
        <w:jc w:val="left"/>
      </w:pPr>
      <w:r>
        <w:rPr/>
        <w:t>十七、母公司财务报表主要项目注释</w:t>
      </w:r>
    </w:p>
    <w:p>
      <w:pPr>
        <w:spacing w:line="240" w:lineRule="auto" w:before="9"/>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、应收账款</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）应收账款分类披露</w:t>
      </w:r>
    </w:p>
    <w:p>
      <w:pPr>
        <w:spacing w:line="240" w:lineRule="auto" w:before="1"/>
        <w:rPr>
          <w:rFonts w:ascii="黑体" w:hAnsi="黑体" w:cs="黑体" w:eastAsia="黑体" w:hint="default"/>
          <w:sz w:val="24"/>
          <w:szCs w:val="24"/>
        </w:rPr>
      </w:pPr>
    </w:p>
    <w:p>
      <w:pPr>
        <w:pStyle w:val="BodyText"/>
        <w:spacing w:line="240" w:lineRule="auto"/>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51"/>
        <w:gridCol w:w="813"/>
        <w:gridCol w:w="642"/>
        <w:gridCol w:w="761"/>
        <w:gridCol w:w="814"/>
        <w:gridCol w:w="934"/>
        <w:gridCol w:w="931"/>
      </w:tblGrid>
      <w:tr>
        <w:trPr>
          <w:trHeight w:val="504"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3" w:type="dxa"/>
            <w:vMerge w:val="restart"/>
            <w:tcBorders>
              <w:top w:val="single" w:sz="4" w:space="0" w:color="000000"/>
              <w:left w:val="single" w:sz="4" w:space="0" w:color="000000"/>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4"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right w:val="single" w:sz="4" w:space="0" w:color="000000"/>
            </w:tcBorders>
            <w:shd w:val="clear" w:color="auto" w:fill="D2D2D2"/>
          </w:tcPr>
          <w:p>
            <w:pPr/>
          </w:p>
        </w:tc>
        <w:tc>
          <w:tcPr>
            <w:tcW w:w="1514" w:type="dxa"/>
            <w:gridSpan w:val="2"/>
            <w:vMerge/>
            <w:tcBorders>
              <w:left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1403" w:type="dxa"/>
            <w:gridSpan w:val="2"/>
            <w:vMerge/>
            <w:tcBorders>
              <w:left w:val="single" w:sz="4" w:space="0" w:color="000000"/>
              <w:right w:val="single" w:sz="4" w:space="0" w:color="000000"/>
            </w:tcBorders>
            <w:shd w:val="clear" w:color="auto" w:fill="D2D2D2"/>
          </w:tcPr>
          <w:p>
            <w:pPr/>
          </w:p>
        </w:tc>
        <w:tc>
          <w:tcPr>
            <w:tcW w:w="1748" w:type="dxa"/>
            <w:gridSpan w:val="2"/>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92" w:hRule="exact"/>
        </w:trPr>
        <w:tc>
          <w:tcPr>
            <w:tcW w:w="1624" w:type="dxa"/>
            <w:vMerge/>
            <w:tcBorders>
              <w:left w:val="single" w:sz="4" w:space="0" w:color="000000"/>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3"/>
              <w:ind w:left="288" w:right="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3" w:type="dxa"/>
            <w:vMerge/>
            <w:tcBorders>
              <w:left w:val="single" w:sz="4" w:space="0" w:color="000000"/>
              <w:right w:val="single" w:sz="4" w:space="0" w:color="000000"/>
            </w:tcBorders>
            <w:shd w:val="clear" w:color="auto" w:fill="D2D2D2"/>
          </w:tcPr>
          <w:p>
            <w:pP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245"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9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98"/>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9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54"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13" w:type="dxa"/>
            <w:vMerge w:val="restart"/>
            <w:tcBorders>
              <w:top w:val="nil" w:sz="6" w:space="0" w:color="auto"/>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82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50"/>
              <w:ind w:left="24" w:right="12"/>
              <w:jc w:val="left"/>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86" w:right="0"/>
              <w:jc w:val="center"/>
              <w:rPr>
                <w:rFonts w:ascii="Times New Roman" w:hAnsi="Times New Roman" w:cs="Times New Roman" w:eastAsia="Times New Roman" w:hint="default"/>
                <w:sz w:val="18"/>
                <w:szCs w:val="18"/>
              </w:rPr>
            </w:pPr>
            <w:r>
              <w:rPr>
                <w:rFonts w:ascii="Times New Roman"/>
                <w:sz w:val="18"/>
              </w:rPr>
              <w:t>165,694,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010.77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15,095,2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50.69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9.11%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 w:right="0"/>
              <w:jc w:val="left"/>
              <w:rPr>
                <w:rFonts w:ascii="Times New Roman" w:hAnsi="Times New Roman" w:cs="Times New Roman" w:eastAsia="Times New Roman" w:hint="default"/>
                <w:sz w:val="18"/>
                <w:szCs w:val="18"/>
              </w:rPr>
            </w:pPr>
            <w:r>
              <w:rPr>
                <w:rFonts w:ascii="Times New Roman"/>
                <w:sz w:val="18"/>
              </w:rPr>
              <w:t>150,598,7</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60.08</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 w:right="0"/>
              <w:jc w:val="left"/>
              <w:rPr>
                <w:rFonts w:ascii="Times New Roman" w:hAnsi="Times New Roman" w:cs="Times New Roman" w:eastAsia="Times New Roman" w:hint="default"/>
                <w:sz w:val="18"/>
                <w:szCs w:val="18"/>
              </w:rPr>
            </w:pPr>
            <w:r>
              <w:rPr>
                <w:rFonts w:ascii="Times New Roman"/>
                <w:sz w:val="18"/>
              </w:rPr>
              <w:t>184,520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,654.86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12,695,30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 w:right="0"/>
              <w:jc w:val="left"/>
              <w:rPr>
                <w:rFonts w:ascii="Times New Roman" w:hAnsi="Times New Roman" w:cs="Times New Roman" w:eastAsia="Times New Roman" w:hint="default"/>
                <w:sz w:val="18"/>
                <w:szCs w:val="18"/>
              </w:rPr>
            </w:pPr>
            <w:r>
              <w:rPr>
                <w:rFonts w:ascii="Times New Roman"/>
                <w:sz w:val="18"/>
              </w:rPr>
              <w:t>171,825,34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8.66</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0" w:right="0"/>
              <w:jc w:val="center"/>
              <w:rPr>
                <w:rFonts w:ascii="Times New Roman" w:hAnsi="Times New Roman" w:cs="Times New Roman" w:eastAsia="Times New Roman" w:hint="default"/>
                <w:sz w:val="18"/>
                <w:szCs w:val="18"/>
              </w:rPr>
            </w:pPr>
            <w:r>
              <w:rPr>
                <w:rFonts w:ascii="Times New Roman"/>
                <w:sz w:val="18"/>
              </w:rPr>
              <w:t>165,694,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010.77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15,095,2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9.11%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150,598,7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60.08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 w:right="0"/>
              <w:jc w:val="left"/>
              <w:rPr>
                <w:rFonts w:ascii="Times New Roman" w:hAnsi="Times New Roman" w:cs="Times New Roman" w:eastAsia="Times New Roman" w:hint="default"/>
                <w:sz w:val="18"/>
                <w:szCs w:val="18"/>
              </w:rPr>
            </w:pPr>
            <w:r>
              <w:rPr>
                <w:rFonts w:ascii="Times New Roman"/>
                <w:sz w:val="18"/>
              </w:rPr>
              <w:t>184,520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,654.86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 w:right="0"/>
              <w:jc w:val="left"/>
              <w:rPr>
                <w:rFonts w:ascii="Times New Roman" w:hAnsi="Times New Roman" w:cs="Times New Roman" w:eastAsia="Times New Roman" w:hint="default"/>
                <w:sz w:val="18"/>
                <w:szCs w:val="18"/>
              </w:rPr>
            </w:pPr>
            <w:r>
              <w:rPr>
                <w:rFonts w:ascii="Times New Roman"/>
                <w:sz w:val="18"/>
              </w:rPr>
              <w:t>12,695,30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 w:right="0"/>
              <w:jc w:val="left"/>
              <w:rPr>
                <w:rFonts w:ascii="Times New Roman" w:hAnsi="Times New Roman" w:cs="Times New Roman" w:eastAsia="Times New Roman" w:hint="default"/>
                <w:sz w:val="18"/>
                <w:szCs w:val="18"/>
              </w:rPr>
            </w:pPr>
            <w:r>
              <w:rPr>
                <w:rFonts w:ascii="Times New Roman"/>
                <w:sz w:val="18"/>
              </w:rPr>
              <w:t>171,825,34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8.66</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期末单项金额重大并单项计提坏账准备的应收账款：</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90"/>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59"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48"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64"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06"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67,785,489.28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3,389,274.46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5.00%</w:t>
            </w:r>
          </w:p>
        </w:tc>
      </w:tr>
      <w:tr>
        <w:trPr>
          <w:trHeight w:val="509"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22,787,237.77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2,278,723.78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13,399,667.25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2,679,933.45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6"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2,891,960.00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1,445,980.00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2,613,144.00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1,306,572.00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3,994,767.00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3,994,767.00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509"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113,472,265.30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15,095,250.69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496" w:lineRule="auto" w:before="36"/>
        <w:ind w:left="573" w:right="11"/>
        <w:jc w:val="left"/>
      </w:pPr>
      <w:r>
        <w:rPr/>
        <w:t>确定该组合依据的说明：</w:t>
      </w:r>
      <w:r>
        <w:rPr>
          <w:w w:val="100"/>
        </w:rPr>
        <w:t> </w:t>
      </w:r>
      <w:r>
        <w:rPr>
          <w:spacing w:val="-2"/>
        </w:rPr>
        <w:t>相同账龄的应收账款具有类似信用风险特征。对集团内部往来，不计提坏账。</w:t>
      </w:r>
      <w:r>
        <w:rPr>
          <w:spacing w:val="-42"/>
        </w:rPr>
        <w:t> </w:t>
      </w:r>
      <w:r>
        <w:rPr>
          <w:spacing w:val="-42"/>
        </w:rPr>
      </w:r>
      <w:r>
        <w:rPr/>
        <w:t>组合中，采用余额百分比法计提坏账准备的应收账款：</w:t>
      </w:r>
    </w:p>
    <w:p>
      <w:pPr>
        <w:pStyle w:val="BodyText"/>
        <w:spacing w:line="470" w:lineRule="auto" w:before="67"/>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Heading3"/>
        <w:spacing w:line="240" w:lineRule="auto" w:before="124"/>
        <w:ind w:right="11"/>
        <w:jc w:val="left"/>
      </w:pPr>
      <w:r>
        <w:rPr/>
        <w:t>（</w:t>
      </w:r>
      <w:r>
        <w:rPr>
          <w:rFonts w:ascii="Times New Roman" w:hAnsi="Times New Roman" w:cs="Times New Roman" w:eastAsia="Times New Roman" w:hint="default"/>
        </w:rPr>
        <w:t>2</w:t>
      </w:r>
      <w:r>
        <w:rPr/>
        <w:t>）本期计提、收回或转回的坏账准备情况</w:t>
      </w:r>
    </w:p>
    <w:p>
      <w:pPr>
        <w:spacing w:line="240" w:lineRule="auto" w:before="1"/>
        <w:rPr>
          <w:rFonts w:ascii="黑体" w:hAnsi="黑体" w:cs="黑体" w:eastAsia="黑体" w:hint="default"/>
          <w:sz w:val="24"/>
          <w:szCs w:val="24"/>
        </w:rPr>
      </w:pPr>
    </w:p>
    <w:p>
      <w:pPr>
        <w:pStyle w:val="BodyText"/>
        <w:spacing w:line="468" w:lineRule="auto"/>
        <w:ind w:left="573" w:right="2019"/>
        <w:jc w:val="left"/>
      </w:pPr>
      <w:r>
        <w:rPr/>
        <w:t>本期计提坏账准备金额</w:t>
      </w:r>
      <w:r>
        <w:rPr>
          <w:spacing w:val="-54"/>
        </w:rPr>
        <w:t> </w:t>
      </w:r>
      <w:r>
        <w:rPr>
          <w:rFonts w:ascii="Times New Roman" w:hAnsi="Times New Roman" w:cs="Times New Roman" w:eastAsia="Times New Roman" w:hint="default"/>
        </w:rPr>
        <w:t>2,399,944.49</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spacing w:val="-3"/>
          <w:w w:val="100"/>
        </w:rPr>
        <w:t> </w:t>
      </w:r>
      <w:r>
        <w:rPr/>
        <w:t>其中本期坏账准备收回或转回金额重要的：</w:t>
      </w:r>
    </w:p>
    <w:p>
      <w:pPr>
        <w:spacing w:after="0" w:line="468"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370"/>
        <w:gridCol w:w="3102"/>
        <w:gridCol w:w="3088"/>
      </w:tblGrid>
      <w:tr>
        <w:trPr>
          <w:trHeight w:val="506"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3</w:t>
      </w:r>
      <w:r>
        <w:rPr/>
        <w:t>）本期实际核销的应收账款情况</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0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其中重要的应收账款核销情况：</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82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4"/>
              <w:jc w:val="left"/>
              <w:rPr>
                <w:rFonts w:ascii="宋体" w:hAnsi="宋体" w:cs="宋体" w:eastAsia="宋体" w:hint="default"/>
                <w:sz w:val="18"/>
                <w:szCs w:val="18"/>
              </w:rPr>
            </w:pPr>
            <w:r>
              <w:rPr>
                <w:rFonts w:ascii="宋体" w:hAnsi="宋体" w:cs="宋体" w:eastAsia="宋体" w:hint="default"/>
                <w:spacing w:val="14"/>
                <w:sz w:val="18"/>
                <w:szCs w:val="18"/>
              </w:rPr>
              <w:t>款项是否由关联交</w:t>
            </w:r>
            <w:r>
              <w:rPr>
                <w:rFonts w:ascii="宋体" w:hAnsi="宋体" w:cs="宋体" w:eastAsia="宋体" w:hint="default"/>
                <w:spacing w:val="-74"/>
                <w:sz w:val="18"/>
                <w:szCs w:val="18"/>
              </w:rPr>
              <w:t> </w:t>
            </w:r>
            <w:r>
              <w:rPr>
                <w:rFonts w:ascii="宋体" w:hAnsi="宋体" w:cs="宋体" w:eastAsia="宋体" w:hint="default"/>
                <w:sz w:val="18"/>
                <w:szCs w:val="18"/>
              </w:rPr>
              <w:t>易产生</w:t>
            </w:r>
          </w:p>
        </w:tc>
      </w:tr>
    </w:tbl>
    <w:p>
      <w:pPr>
        <w:spacing w:line="240" w:lineRule="auto" w:before="12"/>
        <w:rPr>
          <w:rFonts w:ascii="宋体" w:hAnsi="宋体" w:cs="宋体" w:eastAsia="宋体" w:hint="default"/>
          <w:sz w:val="9"/>
          <w:szCs w:val="9"/>
        </w:rPr>
      </w:pPr>
    </w:p>
    <w:p>
      <w:pPr>
        <w:pStyle w:val="BodyText"/>
        <w:spacing w:line="240" w:lineRule="auto" w:before="36"/>
        <w:ind w:left="573" w:right="11"/>
        <w:jc w:val="left"/>
      </w:pPr>
      <w:r>
        <w:rPr/>
        <w:t>应收账款核销说明：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）按欠款方归集的期末余额前五名的应收账款情况</w:t>
      </w:r>
    </w:p>
    <w:p>
      <w:pPr>
        <w:spacing w:line="240" w:lineRule="auto" w:before="2"/>
        <w:rPr>
          <w:rFonts w:ascii="黑体" w:hAnsi="黑体" w:cs="黑体" w:eastAsia="黑体"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3925"/>
        <w:gridCol w:w="2091"/>
        <w:gridCol w:w="1454"/>
        <w:gridCol w:w="2189"/>
      </w:tblGrid>
      <w:tr>
        <w:trPr>
          <w:trHeight w:val="533" w:hRule="exact"/>
        </w:trPr>
        <w:tc>
          <w:tcPr>
            <w:tcW w:w="392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73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938" w:hRule="exact"/>
        </w:trPr>
        <w:tc>
          <w:tcPr>
            <w:tcW w:w="3925" w:type="dxa"/>
            <w:vMerge/>
            <w:tcBorders>
              <w:left w:val="single" w:sz="6" w:space="0" w:color="000000"/>
              <w:bottom w:val="single" w:sz="6" w:space="0" w:color="000000"/>
              <w:right w:val="single" w:sz="6" w:space="0" w:color="000000"/>
            </w:tcBorders>
            <w:shd w:val="clear" w:color="auto" w:fill="D9D9D9"/>
          </w:tcPr>
          <w:p>
            <w:pPr/>
          </w:p>
        </w:tc>
        <w:tc>
          <w:tcPr>
            <w:tcW w:w="20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9"/>
              <w:ind w:left="105" w:right="86" w:hanging="15"/>
              <w:jc w:val="left"/>
              <w:rPr>
                <w:rFonts w:ascii="宋体" w:hAnsi="宋体" w:cs="宋体" w:eastAsia="宋体"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黑体" w:hAnsi="黑体" w:cs="黑体" w:eastAsia="黑体" w:hint="default"/>
                <w:sz w:val="24"/>
                <w:szCs w:val="24"/>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32,400,461.12</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19.55</w:t>
            </w:r>
          </w:p>
        </w:tc>
        <w:tc>
          <w:tcPr>
            <w:tcW w:w="2189"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中国航空工业集团公司洛阳电光设备研究所</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Times New Roman" w:hAnsi="Times New Roman" w:cs="Times New Roman" w:eastAsia="Times New Roman" w:hint="default"/>
                <w:sz w:val="18"/>
                <w:szCs w:val="18"/>
              </w:rPr>
            </w:pPr>
            <w:r>
              <w:rPr>
                <w:rFonts w:ascii="Times New Roman"/>
                <w:spacing w:val="-1"/>
                <w:sz w:val="18"/>
              </w:rPr>
              <w:t>15,767,296.00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Times New Roman" w:hAnsi="Times New Roman" w:cs="Times New Roman" w:eastAsia="Times New Roman" w:hint="default"/>
                <w:sz w:val="18"/>
                <w:szCs w:val="18"/>
              </w:rPr>
            </w:pPr>
            <w:r>
              <w:rPr>
                <w:rFonts w:ascii="Times New Roman"/>
                <w:spacing w:val="-1"/>
                <w:sz w:val="18"/>
              </w:rPr>
              <w:t>9.52</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1,006,416.90</w:t>
            </w:r>
          </w:p>
        </w:tc>
      </w:tr>
      <w:tr>
        <w:trPr>
          <w:trHeight w:val="53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北方自动控制技术研究所</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12,450,387.00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7.51</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1,572,249.60</w:t>
            </w:r>
          </w:p>
        </w:tc>
      </w:tr>
      <w:tr>
        <w:trPr>
          <w:trHeight w:val="53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河北英创科技有限公司</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11,684,340.00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7.05</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584,217.00</w:t>
            </w:r>
          </w:p>
        </w:tc>
      </w:tr>
      <w:tr>
        <w:trPr>
          <w:trHeight w:val="53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10,249,047.57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6.19</w:t>
            </w:r>
          </w:p>
        </w:tc>
        <w:tc>
          <w:tcPr>
            <w:tcW w:w="2189"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right"/>
              <w:rPr>
                <w:rFonts w:ascii="Times New Roman" w:hAnsi="Times New Roman" w:cs="Times New Roman" w:eastAsia="Times New Roman" w:hint="default"/>
                <w:sz w:val="18"/>
                <w:szCs w:val="18"/>
              </w:rPr>
            </w:pPr>
            <w:r>
              <w:rPr>
                <w:rFonts w:ascii="Times New Roman"/>
                <w:spacing w:val="-1"/>
                <w:sz w:val="18"/>
              </w:rPr>
              <w:t>82,551,531.69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49.82</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3,162,883.50</w:t>
            </w:r>
          </w:p>
        </w:tc>
      </w:tr>
    </w:tbl>
    <w:p>
      <w:pPr>
        <w:spacing w:line="240" w:lineRule="auto" w:before="12"/>
        <w:rPr>
          <w:rFonts w:ascii="黑体" w:hAnsi="黑体" w:cs="黑体" w:eastAsia="黑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）因金融资产转移而终止确认的应收账款</w:t>
      </w:r>
    </w:p>
    <w:p>
      <w:pPr>
        <w:spacing w:line="240" w:lineRule="auto" w:before="11"/>
        <w:rPr>
          <w:rFonts w:ascii="黑体" w:hAnsi="黑体" w:cs="黑体" w:eastAsia="黑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6</w:t>
      </w:r>
      <w:r>
        <w:rPr/>
        <w:t>）转移应收账款且继续涉入形成的资产、负债金额</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t>其他说明：</w:t>
      </w:r>
    </w:p>
    <w:p>
      <w:pPr>
        <w:spacing w:line="240" w:lineRule="auto" w:before="12"/>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2</w:t>
      </w:r>
      <w:r>
        <w:rPr/>
        <w:t>、其他应收款</w:t>
      </w:r>
    </w:p>
    <w:p>
      <w:pPr>
        <w:spacing w:after="0" w:line="240" w:lineRule="auto"/>
        <w:jc w:val="left"/>
        <w:sectPr>
          <w:pgSz w:w="11910" w:h="16840"/>
          <w:pgMar w:header="882" w:footer="1132" w:top="1280" w:bottom="1320" w:left="980" w:right="980"/>
        </w:sectPr>
      </w:pPr>
    </w:p>
    <w:p>
      <w:pPr>
        <w:spacing w:line="240" w:lineRule="auto" w:before="13"/>
        <w:rPr>
          <w:rFonts w:ascii="黑体" w:hAnsi="黑体" w:cs="黑体" w:eastAsia="黑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1</w:t>
      </w:r>
      <w:r>
        <w:rPr/>
        <w:t>）其他应收款分类披露</w:t>
      </w:r>
    </w:p>
    <w:p>
      <w:pPr>
        <w:spacing w:line="240" w:lineRule="auto" w:before="7"/>
        <w:rPr>
          <w:rFonts w:ascii="黑体" w:hAnsi="黑体" w:cs="黑体" w:eastAsia="黑体" w:hint="default"/>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5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4"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right w:val="single" w:sz="4" w:space="0" w:color="000000"/>
            </w:tcBorders>
            <w:shd w:val="clear" w:color="auto" w:fill="D2D2D2"/>
          </w:tcPr>
          <w:p>
            <w:pPr/>
          </w:p>
        </w:tc>
        <w:tc>
          <w:tcPr>
            <w:tcW w:w="1526" w:type="dxa"/>
            <w:gridSpan w:val="2"/>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right w:val="single" w:sz="4" w:space="0" w:color="000000"/>
            </w:tcBorders>
            <w:shd w:val="clear" w:color="auto" w:fill="D2D2D2"/>
          </w:tcPr>
          <w:p>
            <w:pPr/>
          </w:p>
        </w:tc>
        <w:tc>
          <w:tcPr>
            <w:tcW w:w="1748" w:type="dxa"/>
            <w:gridSpan w:val="2"/>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612" w:type="dxa"/>
            <w:vMerge/>
            <w:tcBorders>
              <w:left w:val="single" w:sz="4" w:space="0" w:color="000000"/>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6"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247"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9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54"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13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2"/>
              <w:jc w:val="both"/>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23,137,1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92.63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558,113.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2.41%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22,579,07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9.26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6,469,5</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10.50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413,099.6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6,056,410.8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18"/>
                <w:szCs w:val="18"/>
              </w:rPr>
            </w:pPr>
            <w:r>
              <w:rPr>
                <w:rFonts w:ascii="Times New Roman"/>
                <w:sz w:val="18"/>
              </w:rPr>
              <w:t>23,137,1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92.63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558,113.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2.41%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22,579,07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9.26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44"/>
              <w:ind w:left="62" w:right="0"/>
              <w:jc w:val="center"/>
              <w:rPr>
                <w:rFonts w:ascii="Times New Roman" w:hAnsi="Times New Roman" w:cs="Times New Roman" w:eastAsia="Times New Roman" w:hint="default"/>
                <w:sz w:val="18"/>
                <w:szCs w:val="18"/>
              </w:rPr>
            </w:pPr>
            <w:r>
              <w:rPr>
                <w:rFonts w:ascii="Times New Roman"/>
                <w:sz w:val="18"/>
              </w:rPr>
              <w:t>6,469,5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10.50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413,099.6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6.39%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6,056,410.8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499"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期末单项金额重大并单项计提坏账准备的其他应收款：</w:t>
      </w:r>
    </w:p>
    <w:p>
      <w:pPr>
        <w:spacing w:line="240" w:lineRule="auto" w:before="4"/>
        <w:rPr>
          <w:rFonts w:ascii="宋体" w:hAnsi="宋体" w:cs="宋体" w:eastAsia="宋体" w:hint="default"/>
          <w:sz w:val="22"/>
          <w:szCs w:val="22"/>
        </w:rPr>
      </w:pPr>
    </w:p>
    <w:p>
      <w:pPr>
        <w:pStyle w:val="BodyText"/>
        <w:spacing w:line="470"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92"/>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59"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64"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3,720,526.62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186,026.33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5.00%</w:t>
            </w:r>
          </w:p>
        </w:tc>
      </w:tr>
      <w:tr>
        <w:trPr>
          <w:trHeight w:val="507"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475,014.40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47,501.44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10.00%</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767,568.90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153,513.78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20.00%</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206,045.00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103,022.50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136,098.63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68,049.32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50.00%</w:t>
            </w:r>
          </w:p>
        </w:tc>
      </w:tr>
      <w:tr>
        <w:trPr>
          <w:trHeight w:val="50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5,305,253.55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558,113.37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9"/>
          <w:szCs w:val="9"/>
        </w:rPr>
      </w:pPr>
    </w:p>
    <w:p>
      <w:pPr>
        <w:pStyle w:val="BodyText"/>
        <w:spacing w:line="494" w:lineRule="auto" w:before="36"/>
        <w:ind w:left="573" w:right="11"/>
        <w:jc w:val="left"/>
      </w:pPr>
      <w:r>
        <w:rPr/>
        <w:t>确定该组合依据的说明：</w:t>
      </w:r>
      <w:r>
        <w:rPr>
          <w:w w:val="100"/>
        </w:rPr>
        <w:t> </w:t>
      </w:r>
      <w:r>
        <w:rPr>
          <w:spacing w:val="-2"/>
        </w:rPr>
        <w:t>相同账龄的应收账款具有类似信用风险特征。对集团内部往来，不计提坏账。</w:t>
      </w:r>
    </w:p>
    <w:p>
      <w:pPr>
        <w:spacing w:after="0" w:line="494" w:lineRule="auto"/>
        <w:jc w:val="left"/>
        <w:sectPr>
          <w:pgSz w:w="11910" w:h="16840"/>
          <w:pgMar w:header="882" w:footer="1132" w:top="1280" w:bottom="1320" w:left="980" w:right="980"/>
        </w:sectPr>
      </w:pPr>
    </w:p>
    <w:p>
      <w:pPr>
        <w:spacing w:line="240" w:lineRule="auto" w:before="5"/>
        <w:rPr>
          <w:rFonts w:ascii="宋体" w:hAnsi="宋体" w:cs="宋体" w:eastAsia="宋体" w:hint="default"/>
          <w:sz w:val="13"/>
          <w:szCs w:val="13"/>
        </w:rPr>
      </w:pPr>
    </w:p>
    <w:p>
      <w:pPr>
        <w:pStyle w:val="BodyText"/>
        <w:spacing w:line="240" w:lineRule="auto" w:before="36"/>
        <w:ind w:left="573" w:right="11"/>
        <w:jc w:val="left"/>
      </w:pPr>
      <w:r>
        <w:rPr/>
        <w:t>组合中，采用余额百分比法计提坏账准备的其他应收款：</w:t>
      </w:r>
    </w:p>
    <w:p>
      <w:pPr>
        <w:spacing w:line="240" w:lineRule="auto" w:before="6"/>
        <w:rPr>
          <w:rFonts w:ascii="宋体" w:hAnsi="宋体" w:cs="宋体" w:eastAsia="宋体" w:hint="default"/>
          <w:sz w:val="22"/>
          <w:szCs w:val="22"/>
        </w:rPr>
      </w:pPr>
    </w:p>
    <w:p>
      <w:pPr>
        <w:pStyle w:val="BodyText"/>
        <w:spacing w:line="468" w:lineRule="auto"/>
        <w:ind w:left="573" w:right="33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94"/>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2</w:t>
      </w:r>
      <w:r>
        <w:rPr/>
        <w:t>）本期计提、收回或转回的坏账准备情况</w:t>
      </w:r>
    </w:p>
    <w:p>
      <w:pPr>
        <w:spacing w:line="240" w:lineRule="auto" w:before="1"/>
        <w:rPr>
          <w:rFonts w:ascii="黑体" w:hAnsi="黑体" w:cs="黑体" w:eastAsia="黑体" w:hint="default"/>
          <w:sz w:val="24"/>
          <w:szCs w:val="24"/>
        </w:rPr>
      </w:pPr>
    </w:p>
    <w:p>
      <w:pPr>
        <w:pStyle w:val="BodyText"/>
        <w:spacing w:line="468" w:lineRule="auto"/>
        <w:ind w:left="573" w:right="2640"/>
        <w:jc w:val="left"/>
      </w:pPr>
      <w:r>
        <w:rPr/>
        <w:t>本期计提坏账准备金额</w:t>
      </w:r>
      <w:r>
        <w:rPr>
          <w:spacing w:val="-56"/>
        </w:rPr>
        <w:t> </w:t>
      </w:r>
      <w:r>
        <w:rPr>
          <w:rFonts w:ascii="Times New Roman" w:hAnsi="Times New Roman" w:cs="Times New Roman" w:eastAsia="Times New Roman" w:hint="default"/>
        </w:rPr>
        <w:t>145,013.72</w:t>
      </w:r>
      <w:r>
        <w:rPr>
          <w:rFonts w:ascii="Times New Roman" w:hAnsi="Times New Roman" w:cs="Times New Roman" w:eastAsia="Times New Roman" w:hint="default"/>
          <w:spacing w:val="-4"/>
        </w:rPr>
        <w:t> </w:t>
      </w:r>
      <w:r>
        <w:rPr/>
        <w:t>元；本期收回或转回坏账准备金额元。</w:t>
      </w:r>
      <w:r>
        <w:rPr>
          <w:w w:val="100"/>
        </w:rPr>
        <w:t> </w:t>
      </w:r>
      <w:r>
        <w:rPr/>
        <w:t>其中本期坏账准备转回或收回金额重要的：</w:t>
      </w:r>
    </w:p>
    <w:p>
      <w:pPr>
        <w:pStyle w:val="BodyText"/>
        <w:spacing w:line="240" w:lineRule="auto" w:before="94"/>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3370"/>
        <w:gridCol w:w="3102"/>
        <w:gridCol w:w="3088"/>
      </w:tblGrid>
      <w:tr>
        <w:trPr>
          <w:trHeight w:val="508"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0"/>
        <w:rPr>
          <w:rFonts w:ascii="宋体" w:hAnsi="宋体" w:cs="宋体" w:eastAsia="宋体" w:hint="default"/>
          <w:sz w:val="13"/>
          <w:szCs w:val="13"/>
        </w:rPr>
      </w:pPr>
    </w:p>
    <w:p>
      <w:pPr>
        <w:pStyle w:val="Heading3"/>
        <w:spacing w:line="240" w:lineRule="auto" w:before="26"/>
        <w:ind w:right="11"/>
        <w:jc w:val="left"/>
      </w:pPr>
      <w:r>
        <w:rPr/>
        <w:t>（</w:t>
      </w:r>
      <w:r>
        <w:rPr>
          <w:rFonts w:ascii="Times New Roman" w:hAnsi="Times New Roman" w:cs="Times New Roman" w:eastAsia="Times New Roman" w:hint="default"/>
        </w:rPr>
        <w:t>3</w:t>
      </w:r>
      <w:r>
        <w:rPr/>
        <w:t>）本期实际核销的其他应收款情况</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50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其中重要的其他应收款核销情况：</w:t>
      </w:r>
    </w:p>
    <w:p>
      <w:pPr>
        <w:spacing w:line="240" w:lineRule="auto" w:before="7"/>
        <w:rPr>
          <w:rFonts w:ascii="宋体" w:hAnsi="宋体" w:cs="宋体" w:eastAsia="宋体" w:hint="default"/>
          <w:sz w:val="19"/>
          <w:szCs w:val="19"/>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82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4"/>
              <w:jc w:val="left"/>
              <w:rPr>
                <w:rFonts w:ascii="宋体" w:hAnsi="宋体" w:cs="宋体" w:eastAsia="宋体" w:hint="default"/>
                <w:sz w:val="18"/>
                <w:szCs w:val="18"/>
              </w:rPr>
            </w:pPr>
            <w:r>
              <w:rPr>
                <w:rFonts w:ascii="宋体" w:hAnsi="宋体" w:cs="宋体" w:eastAsia="宋体" w:hint="default"/>
                <w:spacing w:val="14"/>
                <w:sz w:val="18"/>
                <w:szCs w:val="18"/>
              </w:rPr>
              <w:t>款项是否由关联交</w:t>
            </w:r>
            <w:r>
              <w:rPr>
                <w:rFonts w:ascii="宋体" w:hAnsi="宋体" w:cs="宋体" w:eastAsia="宋体" w:hint="default"/>
                <w:spacing w:val="-74"/>
                <w:sz w:val="18"/>
                <w:szCs w:val="18"/>
              </w:rPr>
              <w:t> </w:t>
            </w:r>
            <w:r>
              <w:rPr>
                <w:rFonts w:ascii="宋体" w:hAnsi="宋体" w:cs="宋体" w:eastAsia="宋体" w:hint="default"/>
                <w:sz w:val="18"/>
                <w:szCs w:val="18"/>
              </w:rPr>
              <w:t>易产生</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t>其他应收款核销说明：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t>（</w:t>
      </w:r>
      <w:r>
        <w:rPr>
          <w:rFonts w:ascii="Times New Roman" w:hAnsi="Times New Roman" w:cs="Times New Roman" w:eastAsia="Times New Roman" w:hint="default"/>
        </w:rPr>
        <w:t>4</w:t>
      </w:r>
      <w:r>
        <w:rPr/>
        <w:t>）其他应收款按款项性质分类情况</w:t>
      </w:r>
    </w:p>
    <w:p>
      <w:pPr>
        <w:spacing w:line="240" w:lineRule="auto" w:before="5"/>
        <w:rPr>
          <w:rFonts w:ascii="黑体" w:hAnsi="黑体" w:cs="黑体" w:eastAsia="黑体" w:hint="default"/>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509"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06"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23,137,192.63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6,469,510.50</w:t>
            </w:r>
          </w:p>
        </w:tc>
      </w:tr>
      <w:tr>
        <w:trPr>
          <w:trHeight w:val="509"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23,137,192.63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6,469,510.50</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5</w:t>
      </w:r>
      <w:r>
        <w:rPr/>
        <w:t>）按欠款方归集的期末余额前五名的其他应收款情况</w:t>
      </w:r>
    </w:p>
    <w:p>
      <w:pPr>
        <w:spacing w:line="240" w:lineRule="auto" w:before="7"/>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after="0" w:line="240" w:lineRule="auto"/>
        <w:jc w:val="right"/>
        <w:sectPr>
          <w:pgSz w:w="11910" w:h="16840"/>
          <w:pgMar w:header="882" w:footer="1132" w:top="1280" w:bottom="1320" w:left="980" w:right="980"/>
        </w:sectPr>
      </w:pP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82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81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5"/>
              <w:jc w:val="left"/>
              <w:rPr>
                <w:rFonts w:ascii="宋体" w:hAnsi="宋体" w:cs="宋体" w:eastAsia="宋体" w:hint="default"/>
                <w:sz w:val="18"/>
                <w:szCs w:val="18"/>
              </w:rPr>
            </w:pPr>
            <w:r>
              <w:rPr>
                <w:rFonts w:ascii="宋体" w:hAnsi="宋体" w:cs="宋体" w:eastAsia="宋体" w:hint="default"/>
                <w:sz w:val="18"/>
                <w:szCs w:val="18"/>
              </w:rPr>
              <w:t>北京泰豪智能工程有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16,151,975.34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5"/>
              <w:jc w:val="left"/>
              <w:rPr>
                <w:rFonts w:ascii="宋体" w:hAnsi="宋体" w:cs="宋体" w:eastAsia="宋体" w:hint="default"/>
                <w:sz w:val="18"/>
                <w:szCs w:val="18"/>
              </w:rPr>
            </w:pPr>
            <w:r>
              <w:rPr>
                <w:rFonts w:ascii="宋体" w:hAnsi="宋体" w:cs="宋体" w:eastAsia="宋体" w:hint="default"/>
                <w:sz w:val="18"/>
                <w:szCs w:val="18"/>
              </w:rPr>
              <w:t>深圳市旋极历通科技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873,580.00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5"/>
              <w:jc w:val="left"/>
              <w:rPr>
                <w:rFonts w:ascii="宋体" w:hAnsi="宋体" w:cs="宋体" w:eastAsia="宋体" w:hint="default"/>
                <w:sz w:val="18"/>
                <w:szCs w:val="18"/>
              </w:rPr>
            </w:pPr>
            <w:r>
              <w:rPr>
                <w:rFonts w:ascii="宋体" w:hAnsi="宋体" w:cs="宋体" w:eastAsia="宋体" w:hint="default"/>
                <w:sz w:val="18"/>
                <w:szCs w:val="18"/>
              </w:rPr>
              <w:t>成都交投城市停车管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749,350.00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374,675.00</w:t>
            </w:r>
          </w:p>
        </w:tc>
      </w:tr>
      <w:tr>
        <w:trPr>
          <w:trHeight w:val="81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25"/>
              <w:jc w:val="left"/>
              <w:rPr>
                <w:rFonts w:ascii="宋体" w:hAnsi="宋体" w:cs="宋体" w:eastAsia="宋体" w:hint="default"/>
                <w:sz w:val="18"/>
                <w:szCs w:val="18"/>
              </w:rPr>
            </w:pPr>
            <w:r>
              <w:rPr>
                <w:rFonts w:ascii="宋体" w:hAnsi="宋体" w:cs="宋体" w:eastAsia="宋体" w:hint="default"/>
                <w:sz w:val="18"/>
                <w:szCs w:val="18"/>
              </w:rPr>
              <w:t>中钢招标有限责任公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620,665.00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31,033.25</w:t>
            </w:r>
          </w:p>
        </w:tc>
      </w:tr>
      <w:tr>
        <w:trPr>
          <w:trHeight w:val="82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25"/>
              <w:jc w:val="left"/>
              <w:rPr>
                <w:rFonts w:ascii="宋体" w:hAnsi="宋体" w:cs="宋体" w:eastAsia="宋体" w:hint="default"/>
                <w:sz w:val="18"/>
                <w:szCs w:val="18"/>
              </w:rPr>
            </w:pPr>
            <w:r>
              <w:rPr>
                <w:rFonts w:ascii="宋体" w:hAnsi="宋体" w:cs="宋体" w:eastAsia="宋体" w:hint="default"/>
                <w:sz w:val="18"/>
                <w:szCs w:val="18"/>
              </w:rPr>
              <w:t>北京百旺金赋科技有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356,666.67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18,752,237.01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81.05%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405,708.25</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6</w:t>
      </w:r>
      <w:r>
        <w:rPr/>
        <w:t>）涉及政府补助的应收款项</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821"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23" w:right="2"/>
              <w:jc w:val="left"/>
              <w:rPr>
                <w:rFonts w:ascii="宋体" w:hAnsi="宋体" w:cs="宋体" w:eastAsia="宋体" w:hint="default"/>
                <w:sz w:val="18"/>
                <w:szCs w:val="18"/>
              </w:rPr>
            </w:pPr>
            <w:r>
              <w:rPr>
                <w:rFonts w:ascii="宋体" w:hAnsi="宋体" w:cs="宋体" w:eastAsia="宋体" w:hint="default"/>
                <w:spacing w:val="9"/>
                <w:sz w:val="18"/>
                <w:szCs w:val="18"/>
              </w:rPr>
              <w:t>预计收取的时间、金额 </w:t>
            </w:r>
            <w:r>
              <w:rPr>
                <w:rFonts w:ascii="宋体" w:hAnsi="宋体" w:cs="宋体" w:eastAsia="宋体" w:hint="default"/>
                <w:sz w:val="18"/>
                <w:szCs w:val="18"/>
              </w:rPr>
              <w:t>及依据</w:t>
            </w:r>
          </w:p>
        </w:tc>
      </w:tr>
    </w:tbl>
    <w:p>
      <w:pPr>
        <w:spacing w:line="240" w:lineRule="auto" w:before="12"/>
        <w:rPr>
          <w:rFonts w:ascii="宋体" w:hAnsi="宋体" w:cs="宋体" w:eastAsia="宋体" w:hint="default"/>
          <w:sz w:val="12"/>
          <w:szCs w:val="12"/>
        </w:rPr>
      </w:pPr>
    </w:p>
    <w:p>
      <w:pPr>
        <w:pStyle w:val="Heading3"/>
        <w:spacing w:line="240" w:lineRule="auto" w:before="26"/>
        <w:ind w:right="11"/>
        <w:jc w:val="left"/>
      </w:pPr>
      <w:r>
        <w:rPr/>
        <w:t>（</w:t>
      </w:r>
      <w:r>
        <w:rPr>
          <w:rFonts w:ascii="Times New Roman" w:hAnsi="Times New Roman" w:cs="Times New Roman" w:eastAsia="Times New Roman" w:hint="default"/>
        </w:rPr>
        <w:t>7</w:t>
      </w:r>
      <w:r>
        <w:rPr/>
        <w:t>）因金融资产转移而终止确认的其他应收款</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8</w:t>
      </w:r>
      <w:r>
        <w:rPr/>
        <w:t>）转移其他应收款且继续涉入形成的资产、负债金额</w:t>
      </w:r>
    </w:p>
    <w:p>
      <w:pPr>
        <w:spacing w:line="240" w:lineRule="auto" w:before="3"/>
        <w:rPr>
          <w:rFonts w:ascii="黑体" w:hAnsi="黑体" w:cs="黑体" w:eastAsia="黑体" w:hint="default"/>
          <w:sz w:val="24"/>
          <w:szCs w:val="24"/>
        </w:rPr>
      </w:pPr>
    </w:p>
    <w:p>
      <w:pPr>
        <w:pStyle w:val="BodyText"/>
        <w:spacing w:line="240" w:lineRule="auto"/>
        <w:ind w:left="108" w:right="7852"/>
        <w:jc w:val="center"/>
      </w:pPr>
      <w:r>
        <w:rPr/>
        <w:t>其他说明：</w:t>
      </w:r>
    </w:p>
    <w:p>
      <w:pPr>
        <w:spacing w:line="240" w:lineRule="auto" w:before="10"/>
        <w:rPr>
          <w:rFonts w:ascii="宋体" w:hAnsi="宋体" w:cs="宋体" w:eastAsia="宋体" w:hint="default"/>
          <w:sz w:val="24"/>
          <w:szCs w:val="24"/>
        </w:rPr>
      </w:pPr>
    </w:p>
    <w:p>
      <w:pPr>
        <w:pStyle w:val="Heading3"/>
        <w:spacing w:line="240" w:lineRule="auto"/>
        <w:ind w:right="11"/>
        <w:jc w:val="left"/>
      </w:pPr>
      <w:r>
        <w:rPr>
          <w:rFonts w:ascii="Times New Roman" w:hAnsi="Times New Roman" w:cs="Times New Roman" w:eastAsia="Times New Roman" w:hint="default"/>
        </w:rPr>
        <w:t>3</w:t>
      </w:r>
      <w:r>
        <w:rPr/>
        <w:t>、长期股权投资</w:t>
      </w:r>
    </w:p>
    <w:p>
      <w:pPr>
        <w:spacing w:line="240" w:lineRule="auto" w:before="4"/>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5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2,664,873,667.48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8,736,000.00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2,656,137,667.48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2,623,473,667.48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0" w:right="0"/>
              <w:jc w:val="center"/>
              <w:rPr>
                <w:rFonts w:ascii="Times New Roman" w:hAnsi="Times New Roman" w:cs="Times New Roman" w:eastAsia="Times New Roman" w:hint="default"/>
                <w:sz w:val="18"/>
                <w:szCs w:val="18"/>
              </w:rPr>
            </w:pPr>
            <w:r>
              <w:rPr>
                <w:rFonts w:ascii="Times New Roman"/>
                <w:sz w:val="18"/>
              </w:rPr>
              <w:t>2,620,737,667.48</w:t>
            </w:r>
          </w:p>
        </w:tc>
      </w:tr>
      <w:tr>
        <w:trPr>
          <w:trHeight w:val="82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8"/>
              <w:jc w:val="left"/>
              <w:rPr>
                <w:rFonts w:ascii="宋体" w:hAnsi="宋体" w:cs="宋体" w:eastAsia="宋体" w:hint="default"/>
                <w:sz w:val="18"/>
                <w:szCs w:val="18"/>
              </w:rPr>
            </w:pPr>
            <w:r>
              <w:rPr>
                <w:rFonts w:ascii="宋体" w:hAnsi="宋体" w:cs="宋体" w:eastAsia="宋体" w:hint="default"/>
                <w:spacing w:val="7"/>
                <w:sz w:val="18"/>
                <w:szCs w:val="18"/>
              </w:rPr>
              <w:t>对联营、合营企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193,886,362.86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193,886,362.86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244,096,733.55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236,096,733.55</w:t>
            </w:r>
          </w:p>
        </w:tc>
      </w:tr>
      <w:tr>
        <w:trPr>
          <w:trHeight w:val="50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2,858,760,030.34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8,736,000.00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2,850,024,030.34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2,867,570,401.03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 w:right="0"/>
              <w:jc w:val="center"/>
              <w:rPr>
                <w:rFonts w:ascii="Times New Roman" w:hAnsi="Times New Roman" w:cs="Times New Roman" w:eastAsia="Times New Roman" w:hint="default"/>
                <w:sz w:val="18"/>
                <w:szCs w:val="18"/>
              </w:rPr>
            </w:pPr>
            <w:r>
              <w:rPr>
                <w:rFonts w:ascii="Times New Roman"/>
                <w:sz w:val="18"/>
              </w:rPr>
              <w:t>2,856,834,401.03</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13"/>
        <w:rPr>
          <w:rFonts w:ascii="宋体" w:hAnsi="宋体" w:cs="宋体" w:eastAsia="宋体" w:hint="default"/>
          <w:sz w:val="14"/>
          <w:szCs w:val="14"/>
        </w:rPr>
      </w:pPr>
    </w:p>
    <w:p>
      <w:pPr>
        <w:pStyle w:val="Heading3"/>
        <w:spacing w:line="240" w:lineRule="auto" w:before="26"/>
        <w:ind w:right="11"/>
        <w:jc w:val="left"/>
      </w:pPr>
      <w:r>
        <w:rPr/>
        <w:t>（</w:t>
      </w:r>
      <w:r>
        <w:rPr>
          <w:rFonts w:ascii="Times New Roman" w:hAnsi="Times New Roman" w:cs="Times New Roman" w:eastAsia="Times New Roman" w:hint="default"/>
        </w:rPr>
        <w:t>1</w:t>
      </w:r>
      <w:r>
        <w:rPr/>
        <w:t>）对子公司投资</w:t>
      </w:r>
    </w:p>
    <w:p>
      <w:pPr>
        <w:spacing w:line="240" w:lineRule="auto" w:before="6"/>
        <w:rPr>
          <w:rFonts w:ascii="黑体" w:hAnsi="黑体" w:cs="黑体" w:eastAsia="黑体" w:hint="default"/>
          <w:sz w:val="21"/>
          <w:szCs w:val="21"/>
        </w:rPr>
      </w:pPr>
    </w:p>
    <w:p>
      <w:pPr>
        <w:pStyle w:val="BodyText"/>
        <w:spacing w:line="240" w:lineRule="auto" w:before="36"/>
        <w:ind w:left="0" w:right="148"/>
        <w:jc w:val="right"/>
      </w:pPr>
      <w:r>
        <w:rPr/>
        <w:t>单位：</w:t>
      </w:r>
      <w:r>
        <w:rPr>
          <w:spacing w:val="2"/>
        </w:rPr>
        <w:t> </w:t>
      </w:r>
      <w:r>
        <w:rPr/>
        <w:t>元</w:t>
      </w:r>
    </w:p>
    <w:p>
      <w:pPr>
        <w:spacing w:line="240" w:lineRule="auto" w:before="6"/>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820"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北京麦禾信通科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6,334,766.48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6,334,766.48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81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北京百旺金赋科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0"/>
              <w:jc w:val="left"/>
              <w:rPr>
                <w:rFonts w:ascii="宋体" w:hAnsi="宋体" w:cs="宋体" w:eastAsia="宋体" w:hint="default"/>
                <w:sz w:val="18"/>
                <w:szCs w:val="18"/>
              </w:rPr>
            </w:pPr>
            <w:r>
              <w:rPr>
                <w:rFonts w:ascii="宋体" w:hAnsi="宋体" w:cs="宋体" w:eastAsia="宋体" w:hint="default"/>
                <w:spacing w:val="18"/>
                <w:sz w:val="18"/>
                <w:szCs w:val="18"/>
              </w:rPr>
              <w:t>杭州百旺金赋科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深圳旋极历通科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1,736,000.00</w:t>
            </w:r>
          </w:p>
        </w:tc>
      </w:tr>
      <w:tr>
        <w:trPr>
          <w:trHeight w:val="81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成都旋极历通信</w:t>
            </w:r>
            <w:r>
              <w:rPr>
                <w:rFonts w:ascii="宋体" w:hAnsi="宋体" w:cs="宋体" w:eastAsia="宋体" w:hint="default"/>
                <w:spacing w:val="-69"/>
                <w:sz w:val="18"/>
                <w:szCs w:val="18"/>
              </w:rPr>
              <w:t> </w:t>
            </w:r>
            <w:r>
              <w:rPr>
                <w:rFonts w:ascii="宋体" w:hAnsi="宋体" w:cs="宋体" w:eastAsia="宋体" w:hint="default"/>
                <w:sz w:val="18"/>
                <w:szCs w:val="18"/>
              </w:rPr>
              <w:t>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1,812,701.00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1,812,701.00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0"/>
              <w:jc w:val="left"/>
              <w:rPr>
                <w:rFonts w:ascii="宋体" w:hAnsi="宋体" w:cs="宋体" w:eastAsia="宋体" w:hint="default"/>
                <w:sz w:val="18"/>
                <w:szCs w:val="18"/>
              </w:rPr>
            </w:pPr>
            <w:r>
              <w:rPr>
                <w:rFonts w:ascii="宋体" w:hAnsi="宋体" w:cs="宋体" w:eastAsia="宋体" w:hint="default"/>
                <w:spacing w:val="18"/>
                <w:sz w:val="18"/>
                <w:szCs w:val="18"/>
              </w:rPr>
              <w:t>上海旋极信息技</w:t>
            </w:r>
            <w:r>
              <w:rPr>
                <w:rFonts w:ascii="宋体" w:hAnsi="宋体" w:cs="宋体" w:eastAsia="宋体" w:hint="default"/>
                <w:spacing w:val="-69"/>
                <w:sz w:val="18"/>
                <w:szCs w:val="18"/>
              </w:rPr>
              <w:t> </w:t>
            </w:r>
            <w:r>
              <w:rPr>
                <w:rFonts w:ascii="宋体" w:hAnsi="宋体" w:cs="宋体" w:eastAsia="宋体" w:hint="default"/>
                <w:sz w:val="18"/>
                <w:szCs w:val="18"/>
              </w:rPr>
              <w:t>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44,485,000.00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1"/>
              <w:ind w:left="24" w:right="-38"/>
              <w:jc w:val="left"/>
              <w:rPr>
                <w:rFonts w:ascii="宋体" w:hAnsi="宋体" w:cs="宋体" w:eastAsia="宋体" w:hint="default"/>
                <w:sz w:val="18"/>
                <w:szCs w:val="18"/>
              </w:rPr>
            </w:pPr>
            <w:r>
              <w:rPr>
                <w:rFonts w:ascii="宋体" w:hAnsi="宋体" w:cs="宋体" w:eastAsia="宋体" w:hint="default"/>
                <w:sz w:val="18"/>
                <w:szCs w:val="18"/>
              </w:rPr>
              <w:t>旋极国际（香港）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宁波百旺金赋信</w:t>
            </w:r>
            <w:r>
              <w:rPr>
                <w:rFonts w:ascii="宋体" w:hAnsi="宋体" w:cs="宋体" w:eastAsia="宋体" w:hint="default"/>
                <w:spacing w:val="-69"/>
                <w:sz w:val="18"/>
                <w:szCs w:val="18"/>
              </w:rPr>
              <w:t> </w:t>
            </w:r>
            <w:r>
              <w:rPr>
                <w:rFonts w:ascii="宋体" w:hAnsi="宋体" w:cs="宋体" w:eastAsia="宋体" w:hint="default"/>
                <w:sz w:val="18"/>
                <w:szCs w:val="18"/>
              </w:rPr>
              <w:t>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0"/>
              <w:jc w:val="left"/>
              <w:rPr>
                <w:rFonts w:ascii="宋体" w:hAnsi="宋体" w:cs="宋体" w:eastAsia="宋体" w:hint="default"/>
                <w:sz w:val="18"/>
                <w:szCs w:val="18"/>
              </w:rPr>
            </w:pPr>
            <w:r>
              <w:rPr>
                <w:rFonts w:ascii="宋体" w:hAnsi="宋体" w:cs="宋体" w:eastAsia="宋体" w:hint="default"/>
                <w:spacing w:val="18"/>
                <w:sz w:val="18"/>
                <w:szCs w:val="18"/>
              </w:rPr>
              <w:t>天津百望金赋科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宁夏百旺金赋科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北京中软金卡信</w:t>
            </w:r>
            <w:r>
              <w:rPr>
                <w:rFonts w:ascii="宋体" w:hAnsi="宋体" w:cs="宋体" w:eastAsia="宋体" w:hint="default"/>
                <w:spacing w:val="-69"/>
                <w:sz w:val="18"/>
                <w:szCs w:val="18"/>
              </w:rPr>
              <w:t> </w:t>
            </w:r>
            <w:r>
              <w:rPr>
                <w:rFonts w:ascii="宋体" w:hAnsi="宋体" w:cs="宋体" w:eastAsia="宋体" w:hint="default"/>
                <w:sz w:val="18"/>
                <w:szCs w:val="18"/>
              </w:rPr>
              <w:t>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4" w:right="20"/>
              <w:jc w:val="left"/>
              <w:rPr>
                <w:rFonts w:ascii="宋体" w:hAnsi="宋体" w:cs="宋体" w:eastAsia="宋体" w:hint="default"/>
                <w:sz w:val="18"/>
                <w:szCs w:val="18"/>
              </w:rPr>
            </w:pPr>
            <w:r>
              <w:rPr>
                <w:rFonts w:ascii="宋体" w:hAnsi="宋体" w:cs="宋体" w:eastAsia="宋体" w:hint="default"/>
                <w:spacing w:val="-7"/>
                <w:sz w:val="18"/>
                <w:szCs w:val="18"/>
              </w:rPr>
              <w:t>赛瑞工信科技（北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北京旋极百旺科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101"/>
              <w:ind w:left="24" w:right="-38"/>
              <w:jc w:val="left"/>
              <w:rPr>
                <w:rFonts w:ascii="宋体" w:hAnsi="宋体" w:cs="宋体" w:eastAsia="宋体" w:hint="default"/>
                <w:sz w:val="18"/>
                <w:szCs w:val="18"/>
              </w:rPr>
            </w:pPr>
            <w:r>
              <w:rPr>
                <w:rFonts w:ascii="宋体" w:hAnsi="宋体" w:cs="宋体" w:eastAsia="宋体" w:hint="default"/>
                <w:sz w:val="18"/>
                <w:szCs w:val="18"/>
              </w:rPr>
              <w:t>航泰恒通（北京） 科技有限公司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32" w:top="1280" w:bottom="1320" w:left="980" w:right="980"/>
        </w:sectPr>
      </w:pPr>
    </w:p>
    <w:p>
      <w:pPr>
        <w:spacing w:line="240" w:lineRule="auto" w:before="8"/>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4" w:right="0"/>
              <w:jc w:val="left"/>
              <w:rPr>
                <w:rFonts w:ascii="宋体" w:hAnsi="宋体" w:cs="宋体" w:eastAsia="宋体" w:hint="default"/>
                <w:sz w:val="18"/>
                <w:szCs w:val="18"/>
              </w:rPr>
            </w:pPr>
            <w:r>
              <w:rPr>
                <w:rFonts w:ascii="宋体" w:hAnsi="宋体" w:cs="宋体" w:eastAsia="宋体" w:hint="default"/>
                <w:spacing w:val="18"/>
                <w:sz w:val="18"/>
                <w:szCs w:val="18"/>
              </w:rPr>
              <w:t>西安西谷微电子</w:t>
            </w:r>
            <w:r>
              <w:rPr>
                <w:rFonts w:ascii="宋体" w:hAnsi="宋体" w:cs="宋体" w:eastAsia="宋体" w:hint="default"/>
                <w:spacing w:val="-69"/>
                <w:sz w:val="18"/>
                <w:szCs w:val="18"/>
              </w:rPr>
              <w:t> </w:t>
            </w:r>
            <w:r>
              <w:rPr>
                <w:rFonts w:ascii="宋体" w:hAnsi="宋体" w:cs="宋体" w:eastAsia="宋体" w:hint="default"/>
                <w:sz w:val="18"/>
                <w:szCs w:val="18"/>
              </w:rPr>
              <w:t>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both"/>
              <w:rPr>
                <w:rFonts w:ascii="宋体" w:hAnsi="宋体" w:cs="宋体" w:eastAsia="宋体" w:hint="default"/>
                <w:sz w:val="18"/>
                <w:szCs w:val="18"/>
              </w:rPr>
            </w:pPr>
            <w:r>
              <w:rPr>
                <w:rFonts w:ascii="宋体" w:hAnsi="宋体" w:cs="宋体" w:eastAsia="宋体" w:hint="default"/>
                <w:spacing w:val="18"/>
                <w:sz w:val="18"/>
                <w:szCs w:val="18"/>
              </w:rPr>
              <w:t>北京旋极伏羲大</w:t>
            </w:r>
            <w:r>
              <w:rPr>
                <w:rFonts w:ascii="宋体" w:hAnsi="宋体" w:cs="宋体" w:eastAsia="宋体" w:hint="default"/>
                <w:spacing w:val="-69"/>
                <w:sz w:val="18"/>
                <w:szCs w:val="18"/>
              </w:rPr>
              <w:t> </w:t>
            </w:r>
            <w:r>
              <w:rPr>
                <w:rFonts w:ascii="宋体" w:hAnsi="宋体" w:cs="宋体" w:eastAsia="宋体" w:hint="default"/>
                <w:spacing w:val="18"/>
                <w:sz w:val="18"/>
                <w:szCs w:val="18"/>
              </w:rPr>
              <w:t>数据技术有限公</w:t>
            </w:r>
            <w:r>
              <w:rPr>
                <w:rFonts w:ascii="宋体" w:hAnsi="宋体" w:cs="宋体" w:eastAsia="宋体" w:hint="default"/>
                <w:spacing w:val="-69"/>
                <w:sz w:val="18"/>
                <w:szCs w:val="18"/>
              </w:rPr>
              <w:t> </w:t>
            </w: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北京云网信服信</w:t>
            </w:r>
            <w:r>
              <w:rPr>
                <w:rFonts w:ascii="宋体" w:hAnsi="宋体" w:cs="宋体" w:eastAsia="宋体" w:hint="default"/>
                <w:spacing w:val="-69"/>
                <w:sz w:val="18"/>
                <w:szCs w:val="18"/>
              </w:rPr>
              <w:t> </w:t>
            </w:r>
            <w:r>
              <w:rPr>
                <w:rFonts w:ascii="宋体" w:hAnsi="宋体" w:cs="宋体" w:eastAsia="宋体" w:hint="default"/>
                <w:sz w:val="18"/>
                <w:szCs w:val="18"/>
              </w:rPr>
              <w:t>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北京泰豪智能工</w:t>
            </w:r>
            <w:r>
              <w:rPr>
                <w:rFonts w:ascii="宋体" w:hAnsi="宋体" w:cs="宋体" w:eastAsia="宋体" w:hint="default"/>
                <w:spacing w:val="-69"/>
                <w:sz w:val="18"/>
                <w:szCs w:val="18"/>
              </w:rPr>
              <w:t> </w:t>
            </w:r>
            <w:r>
              <w:rPr>
                <w:rFonts w:ascii="宋体" w:hAnsi="宋体" w:cs="宋体" w:eastAsia="宋体" w:hint="default"/>
                <w:sz w:val="18"/>
                <w:szCs w:val="18"/>
              </w:rPr>
              <w:t>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北京分贝海洋信</w:t>
            </w:r>
            <w:r>
              <w:rPr>
                <w:rFonts w:ascii="宋体" w:hAnsi="宋体" w:cs="宋体" w:eastAsia="宋体" w:hint="default"/>
                <w:spacing w:val="-69"/>
                <w:sz w:val="18"/>
                <w:szCs w:val="18"/>
              </w:rPr>
              <w:t> </w:t>
            </w:r>
            <w:r>
              <w:rPr>
                <w:rFonts w:ascii="宋体" w:hAnsi="宋体" w:cs="宋体" w:eastAsia="宋体" w:hint="default"/>
                <w:sz w:val="18"/>
                <w:szCs w:val="18"/>
              </w:rPr>
              <w:t>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0"/>
              <w:jc w:val="left"/>
              <w:rPr>
                <w:rFonts w:ascii="宋体" w:hAnsi="宋体" w:cs="宋体" w:eastAsia="宋体" w:hint="default"/>
                <w:sz w:val="18"/>
                <w:szCs w:val="18"/>
              </w:rPr>
            </w:pPr>
            <w:r>
              <w:rPr>
                <w:rFonts w:ascii="宋体" w:hAnsi="宋体" w:cs="宋体" w:eastAsia="宋体" w:hint="default"/>
                <w:spacing w:val="18"/>
                <w:sz w:val="18"/>
                <w:szCs w:val="18"/>
              </w:rPr>
              <w:t>沈阳旋飞航空技</w:t>
            </w:r>
            <w:r>
              <w:rPr>
                <w:rFonts w:ascii="宋体" w:hAnsi="宋体" w:cs="宋体" w:eastAsia="宋体" w:hint="default"/>
                <w:spacing w:val="-69"/>
                <w:sz w:val="18"/>
                <w:szCs w:val="18"/>
              </w:rPr>
              <w:t> </w:t>
            </w:r>
            <w:r>
              <w:rPr>
                <w:rFonts w:ascii="宋体" w:hAnsi="宋体" w:cs="宋体" w:eastAsia="宋体" w:hint="default"/>
                <w:sz w:val="18"/>
                <w:szCs w:val="18"/>
              </w:rPr>
              <w:t>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2,623,473,667.48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45,400,000.00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2,664,873,667.48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0" w:right="0"/>
              <w:jc w:val="left"/>
              <w:rPr>
                <w:rFonts w:ascii="Times New Roman" w:hAnsi="Times New Roman" w:cs="Times New Roman" w:eastAsia="Times New Roman" w:hint="default"/>
                <w:sz w:val="18"/>
                <w:szCs w:val="18"/>
              </w:rPr>
            </w:pPr>
            <w:r>
              <w:rPr>
                <w:rFonts w:ascii="Times New Roman"/>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0" w:right="0"/>
              <w:jc w:val="left"/>
              <w:rPr>
                <w:rFonts w:ascii="Times New Roman" w:hAnsi="Times New Roman" w:cs="Times New Roman" w:eastAsia="Times New Roman" w:hint="default"/>
                <w:sz w:val="18"/>
                <w:szCs w:val="18"/>
              </w:rPr>
            </w:pPr>
            <w:r>
              <w:rPr>
                <w:rFonts w:ascii="Times New Roman"/>
                <w:sz w:val="18"/>
              </w:rPr>
              <w:t>8,736,000.00</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3"/>
        <w:rPr>
          <w:rFonts w:ascii="Times New Roman" w:hAnsi="Times New Roman" w:cs="Times New Roman" w:eastAsia="Times New Roman" w:hint="default"/>
          <w:sz w:val="15"/>
          <w:szCs w:val="15"/>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69"/>
        <w:ind w:left="140" w:right="8264"/>
        <w:jc w:val="left"/>
      </w:pPr>
      <w:r>
        <w:rPr/>
        <w:t>（</w:t>
      </w:r>
      <w:r>
        <w:rPr>
          <w:rFonts w:ascii="Times New Roman" w:hAnsi="Times New Roman" w:cs="Times New Roman" w:eastAsia="Times New Roman" w:hint="default"/>
        </w:rPr>
        <w:t>2</w:t>
      </w:r>
      <w:r>
        <w:rPr/>
        <w:t>）对联营、合营企业投资</w:t>
      </w:r>
    </w:p>
    <w:p>
      <w:pPr>
        <w:spacing w:line="240" w:lineRule="auto" w:before="6"/>
        <w:rPr>
          <w:rFonts w:ascii="黑体" w:hAnsi="黑体" w:cs="黑体" w:eastAsia="黑体" w:hint="default"/>
          <w:sz w:val="21"/>
          <w:szCs w:val="21"/>
        </w:rPr>
      </w:pPr>
    </w:p>
    <w:p>
      <w:pPr>
        <w:pStyle w:val="BodyText"/>
        <w:spacing w:line="240" w:lineRule="auto" w:before="36"/>
        <w:ind w:left="0" w:right="251"/>
        <w:jc w:val="right"/>
      </w:pPr>
      <w:r>
        <w:rPr/>
        <w:t>单位：</w:t>
      </w:r>
      <w:r>
        <w:rPr>
          <w:spacing w:val="2"/>
        </w:rPr>
        <w:t> </w:t>
      </w:r>
      <w:r>
        <w:rPr/>
        <w:t>元</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164"/>
        <w:gridCol w:w="1181"/>
        <w:gridCol w:w="1165"/>
        <w:gridCol w:w="1164"/>
        <w:gridCol w:w="1166"/>
        <w:gridCol w:w="1167"/>
        <w:gridCol w:w="1166"/>
        <w:gridCol w:w="1166"/>
        <w:gridCol w:w="1167"/>
        <w:gridCol w:w="1164"/>
        <w:gridCol w:w="1183"/>
        <w:gridCol w:w="1164"/>
      </w:tblGrid>
      <w:tr>
        <w:trPr>
          <w:trHeight w:val="508" w:hRule="exact"/>
        </w:trPr>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2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396" w:right="36"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820" w:hRule="exact"/>
        </w:trPr>
        <w:tc>
          <w:tcPr>
            <w:tcW w:w="116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129" w:right="36"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398" w:right="36"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3"/>
              <w:ind w:left="129" w:right="36"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06"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1"/>
              <w:jc w:val="left"/>
              <w:rPr>
                <w:rFonts w:ascii="宋体" w:hAnsi="宋体" w:cs="宋体" w:eastAsia="宋体" w:hint="default"/>
                <w:sz w:val="18"/>
                <w:szCs w:val="18"/>
              </w:rPr>
            </w:pPr>
            <w:r>
              <w:rPr>
                <w:rFonts w:ascii="宋体" w:hAnsi="宋体" w:cs="宋体" w:eastAsia="宋体" w:hint="default"/>
                <w:spacing w:val="4"/>
                <w:sz w:val="18"/>
                <w:szCs w:val="18"/>
              </w:rPr>
              <w:t>上海索乐互娱 </w:t>
            </w:r>
            <w:r>
              <w:rPr>
                <w:rFonts w:ascii="宋体" w:hAnsi="宋体" w:cs="宋体" w:eastAsia="宋体" w:hint="default"/>
                <w:sz w:val="18"/>
                <w:szCs w:val="18"/>
              </w:rPr>
              <w:t>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58,330,577.66</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-3,566,509.01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54,764,068.65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both"/>
              <w:rPr>
                <w:rFonts w:ascii="宋体" w:hAnsi="宋体" w:cs="宋体" w:eastAsia="宋体" w:hint="default"/>
                <w:sz w:val="18"/>
                <w:szCs w:val="18"/>
              </w:rPr>
            </w:pPr>
            <w:r>
              <w:rPr>
                <w:rFonts w:ascii="宋体" w:hAnsi="宋体" w:cs="宋体" w:eastAsia="宋体" w:hint="default"/>
                <w:spacing w:val="4"/>
                <w:sz w:val="18"/>
                <w:szCs w:val="18"/>
              </w:rPr>
              <w:t>北京中科微电 子技术有限公 </w:t>
            </w:r>
            <w:r>
              <w:rPr>
                <w:rFonts w:ascii="宋体" w:hAnsi="宋体" w:cs="宋体" w:eastAsia="宋体" w:hint="default"/>
                <w:sz w:val="18"/>
                <w:szCs w:val="18"/>
              </w:rPr>
              <w:t>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3,797,564.31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-288,646.87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3,508,917.44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both"/>
              <w:rPr>
                <w:rFonts w:ascii="宋体" w:hAnsi="宋体" w:cs="宋体" w:eastAsia="宋体" w:hint="default"/>
                <w:sz w:val="18"/>
                <w:szCs w:val="18"/>
              </w:rPr>
            </w:pPr>
            <w:r>
              <w:rPr>
                <w:rFonts w:ascii="宋体" w:hAnsi="宋体" w:cs="宋体" w:eastAsia="宋体" w:hint="default"/>
                <w:spacing w:val="4"/>
                <w:sz w:val="18"/>
                <w:szCs w:val="18"/>
              </w:rPr>
              <w:t>北京唯致动力 网络信息科技 </w:t>
            </w:r>
            <w:r>
              <w:rPr>
                <w:rFonts w:ascii="宋体" w:hAnsi="宋体" w:cs="宋体" w:eastAsia="宋体" w:hint="default"/>
                <w:sz w:val="18"/>
                <w:szCs w:val="18"/>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21,373,416.10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-267,429.38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21,105,986.72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4"/>
              <w:ind w:left="23" w:right="21"/>
              <w:jc w:val="left"/>
              <w:rPr>
                <w:rFonts w:ascii="宋体" w:hAnsi="宋体" w:cs="宋体" w:eastAsia="宋体" w:hint="default"/>
                <w:sz w:val="18"/>
                <w:szCs w:val="18"/>
              </w:rPr>
            </w:pPr>
            <w:r>
              <w:rPr>
                <w:rFonts w:ascii="宋体" w:hAnsi="宋体" w:cs="宋体" w:eastAsia="宋体" w:hint="default"/>
                <w:spacing w:val="4"/>
                <w:sz w:val="18"/>
                <w:szCs w:val="18"/>
              </w:rPr>
              <w:t>北京旋极星达 </w:t>
            </w:r>
            <w:r>
              <w:rPr>
                <w:rFonts w:ascii="宋体" w:hAnsi="宋体" w:cs="宋体" w:eastAsia="宋体" w:hint="default"/>
                <w:sz w:val="18"/>
                <w:szCs w:val="18"/>
              </w:rPr>
              <w:t>技术有限公司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8,960,211.32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-2,052,794.70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8,907,416.62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23" w:right="21"/>
              <w:jc w:val="both"/>
              <w:rPr>
                <w:rFonts w:ascii="宋体" w:hAnsi="宋体" w:cs="宋体" w:eastAsia="宋体" w:hint="default"/>
                <w:sz w:val="18"/>
                <w:szCs w:val="18"/>
              </w:rPr>
            </w:pPr>
            <w:r>
              <w:rPr>
                <w:rFonts w:ascii="宋体" w:hAnsi="宋体" w:cs="宋体" w:eastAsia="宋体" w:hint="default"/>
                <w:spacing w:val="4"/>
                <w:sz w:val="18"/>
                <w:szCs w:val="18"/>
              </w:rPr>
              <w:t>沈阳捷程汉荣 停车管理有限 </w:t>
            </w:r>
            <w:r>
              <w:rPr>
                <w:rFonts w:ascii="宋体" w:hAnsi="宋体" w:cs="宋体" w:eastAsia="宋体" w:hint="default"/>
                <w:sz w:val="18"/>
                <w:szCs w:val="18"/>
              </w:rPr>
              <w:t>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2,470,816.99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41,188.92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2,512,005.91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pacing w:val="4"/>
                <w:sz w:val="18"/>
                <w:szCs w:val="18"/>
              </w:rPr>
              <w:t>北京汉荣捷通</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1,479,359.59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-1,237,925.46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241,434.13</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9"/>
          <w:footerReference w:type="default" r:id="rId80"/>
          <w:pgSz w:w="16840" w:h="11910" w:orient="landscape"/>
          <w:pgMar w:header="882" w:footer="1132" w:top="1100" w:bottom="1320" w:left="1300" w:right="1280"/>
          <w:pgNumType w:start="282"/>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164"/>
        <w:gridCol w:w="1181"/>
        <w:gridCol w:w="1165"/>
        <w:gridCol w:w="1164"/>
        <w:gridCol w:w="1166"/>
        <w:gridCol w:w="1167"/>
        <w:gridCol w:w="1166"/>
        <w:gridCol w:w="1166"/>
        <w:gridCol w:w="1167"/>
        <w:gridCol w:w="1164"/>
        <w:gridCol w:w="1183"/>
        <w:gridCol w:w="1164"/>
      </w:tblGrid>
      <w:tr>
        <w:trPr>
          <w:trHeight w:val="427" w:hRule="exact"/>
        </w:trPr>
        <w:tc>
          <w:tcPr>
            <w:tcW w:w="11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right="24"/>
              <w:jc w:val="center"/>
              <w:rPr>
                <w:rFonts w:ascii="宋体" w:hAnsi="宋体" w:cs="宋体" w:eastAsia="宋体" w:hint="default"/>
                <w:sz w:val="18"/>
                <w:szCs w:val="18"/>
              </w:rPr>
            </w:pPr>
            <w:r>
              <w:rPr>
                <w:rFonts w:ascii="宋体" w:hAnsi="宋体" w:cs="宋体" w:eastAsia="宋体" w:hint="default"/>
                <w:sz w:val="18"/>
                <w:szCs w:val="18"/>
              </w:rPr>
              <w:t>技术有限公司</w:t>
            </w:r>
          </w:p>
        </w:tc>
        <w:tc>
          <w:tcPr>
            <w:tcW w:w="1181"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7"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7"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c>
          <w:tcPr>
            <w:tcW w:w="1183"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r>
      <w:tr>
        <w:trPr>
          <w:trHeight w:val="113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both"/>
              <w:rPr>
                <w:rFonts w:ascii="宋体" w:hAnsi="宋体" w:cs="宋体" w:eastAsia="宋体" w:hint="default"/>
                <w:sz w:val="18"/>
                <w:szCs w:val="18"/>
              </w:rPr>
            </w:pPr>
            <w:r>
              <w:rPr>
                <w:rFonts w:ascii="宋体" w:hAnsi="宋体" w:cs="宋体" w:eastAsia="宋体" w:hint="default"/>
                <w:spacing w:val="4"/>
                <w:sz w:val="18"/>
                <w:szCs w:val="18"/>
              </w:rPr>
              <w:t>苏州市江海通 讯发展实业有 </w:t>
            </w:r>
            <w:r>
              <w:rPr>
                <w:rFonts w:ascii="宋体" w:hAnsi="宋体" w:cs="宋体" w:eastAsia="宋体" w:hint="default"/>
                <w:sz w:val="18"/>
                <w:szCs w:val="18"/>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68,340,154.16</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69,073,902.69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733,748.53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3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both"/>
              <w:rPr>
                <w:rFonts w:ascii="宋体" w:hAnsi="宋体" w:cs="宋体" w:eastAsia="宋体" w:hint="default"/>
                <w:sz w:val="18"/>
                <w:szCs w:val="18"/>
              </w:rPr>
            </w:pPr>
            <w:r>
              <w:rPr>
                <w:rFonts w:ascii="宋体" w:hAnsi="宋体" w:cs="宋体" w:eastAsia="宋体" w:hint="default"/>
                <w:spacing w:val="4"/>
                <w:sz w:val="18"/>
                <w:szCs w:val="18"/>
              </w:rPr>
              <w:t>北京旋极拉卡 拉信息技术有 </w:t>
            </w:r>
            <w:r>
              <w:rPr>
                <w:rFonts w:ascii="宋体" w:hAnsi="宋体" w:cs="宋体" w:eastAsia="宋体" w:hint="default"/>
                <w:sz w:val="18"/>
                <w:szCs w:val="18"/>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5,434,385.37</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47,655.13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5,482,040.50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百望股份有限 </w:t>
            </w: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38,545,980.89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3,644,833.43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42,190,814.32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北京中航通用 </w:t>
            </w:r>
            <w:r>
              <w:rPr>
                <w:rFonts w:ascii="宋体" w:hAnsi="宋体" w:cs="宋体" w:eastAsia="宋体" w:hint="default"/>
                <w:sz w:val="18"/>
                <w:szCs w:val="18"/>
              </w:rPr>
              <w:t>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348,414.65</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-348,414.65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湖南苏科智能 </w:t>
            </w:r>
            <w:r>
              <w:rPr>
                <w:rFonts w:ascii="宋体" w:hAnsi="宋体" w:cs="宋体" w:eastAsia="宋体" w:hint="default"/>
                <w:sz w:val="18"/>
                <w:szCs w:val="18"/>
              </w:rPr>
              <w:t>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9,867,359.35</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-413,951.01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9,453,408.34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13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both"/>
              <w:rPr>
                <w:rFonts w:ascii="宋体" w:hAnsi="宋体" w:cs="宋体" w:eastAsia="宋体" w:hint="default"/>
                <w:sz w:val="18"/>
                <w:szCs w:val="18"/>
              </w:rPr>
            </w:pPr>
            <w:r>
              <w:rPr>
                <w:rFonts w:ascii="宋体" w:hAnsi="宋体" w:cs="宋体" w:eastAsia="宋体" w:hint="default"/>
                <w:spacing w:val="4"/>
                <w:sz w:val="18"/>
                <w:szCs w:val="18"/>
              </w:rPr>
              <w:t>深圳市斯普瑞 特通信技术有 </w:t>
            </w:r>
            <w:r>
              <w:rPr>
                <w:rFonts w:ascii="宋体" w:hAnsi="宋体" w:cs="宋体" w:eastAsia="宋体" w:hint="default"/>
                <w:sz w:val="18"/>
                <w:szCs w:val="18"/>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7,497,492.47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8,000,000.00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1,738,837.06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17,236,329.53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北京航星中云 </w:t>
            </w:r>
            <w:r>
              <w:rPr>
                <w:rFonts w:ascii="宋体" w:hAnsi="宋体" w:cs="宋体" w:eastAsia="宋体" w:hint="default"/>
                <w:sz w:val="18"/>
                <w:szCs w:val="18"/>
              </w:rPr>
              <w:t>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-2,289,094.51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27,710,905.49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2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沈阳旋飞航空 </w:t>
            </w:r>
            <w:r>
              <w:rPr>
                <w:rFonts w:ascii="宋体" w:hAnsi="宋体" w:cs="宋体" w:eastAsia="宋体" w:hint="default"/>
                <w:sz w:val="18"/>
                <w:szCs w:val="18"/>
              </w:rPr>
              <w:t>技术有限公司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-2,310,417.52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1,500,000.00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-810,417.52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81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21"/>
              <w:jc w:val="left"/>
              <w:rPr>
                <w:rFonts w:ascii="宋体" w:hAnsi="宋体" w:cs="宋体" w:eastAsia="宋体" w:hint="default"/>
                <w:sz w:val="18"/>
                <w:szCs w:val="18"/>
              </w:rPr>
            </w:pPr>
            <w:r>
              <w:rPr>
                <w:rFonts w:ascii="宋体" w:hAnsi="宋体" w:cs="宋体" w:eastAsia="宋体" w:hint="default"/>
                <w:spacing w:val="4"/>
                <w:sz w:val="18"/>
                <w:szCs w:val="18"/>
              </w:rPr>
              <w:t>上海海多投资 </w:t>
            </w:r>
            <w:r>
              <w:rPr>
                <w:rFonts w:ascii="宋体" w:hAnsi="宋体" w:cs="宋体" w:eastAsia="宋体" w:hint="default"/>
                <w:sz w:val="18"/>
                <w:szCs w:val="18"/>
              </w:rPr>
              <w:t>发展有限公司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2,651,000.69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-2,632,227.56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18,773.13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pacing w:val="4"/>
                <w:sz w:val="18"/>
                <w:szCs w:val="18"/>
              </w:rPr>
              <w:t>北京蓝鲸众合</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0" w:right="0"/>
              <w:jc w:val="center"/>
              <w:rPr>
                <w:rFonts w:ascii="Times New Roman" w:hAnsi="Times New Roman" w:cs="Times New Roman" w:eastAsia="Times New Roman" w:hint="default"/>
                <w:sz w:val="18"/>
                <w:szCs w:val="18"/>
              </w:rPr>
            </w:pPr>
            <w:r>
              <w:rPr>
                <w:rFonts w:ascii="Times New Roman"/>
                <w:sz w:val="18"/>
              </w:rPr>
              <w:t>1,744,099.00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-179,419.40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1,564,679.60</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9"/>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164"/>
        <w:gridCol w:w="1181"/>
        <w:gridCol w:w="1165"/>
        <w:gridCol w:w="1164"/>
        <w:gridCol w:w="1166"/>
        <w:gridCol w:w="1167"/>
        <w:gridCol w:w="1166"/>
        <w:gridCol w:w="1166"/>
        <w:gridCol w:w="1167"/>
        <w:gridCol w:w="1164"/>
        <w:gridCol w:w="1183"/>
        <w:gridCol w:w="1164"/>
      </w:tblGrid>
      <w:tr>
        <w:trPr>
          <w:trHeight w:val="739" w:hRule="exact"/>
        </w:trPr>
        <w:tc>
          <w:tcPr>
            <w:tcW w:w="1164"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5"/>
              <w:ind w:left="23" w:right="21"/>
              <w:jc w:val="left"/>
              <w:rPr>
                <w:rFonts w:ascii="宋体" w:hAnsi="宋体" w:cs="宋体" w:eastAsia="宋体" w:hint="default"/>
                <w:sz w:val="18"/>
                <w:szCs w:val="18"/>
              </w:rPr>
            </w:pPr>
            <w:r>
              <w:rPr>
                <w:rFonts w:ascii="宋体" w:hAnsi="宋体" w:cs="宋体" w:eastAsia="宋体" w:hint="default"/>
                <w:spacing w:val="4"/>
                <w:sz w:val="18"/>
                <w:szCs w:val="18"/>
              </w:rPr>
              <w:t>投资管理有限 </w:t>
            </w:r>
            <w:r>
              <w:rPr>
                <w:rFonts w:ascii="宋体" w:hAnsi="宋体" w:cs="宋体" w:eastAsia="宋体" w:hint="default"/>
                <w:sz w:val="18"/>
                <w:szCs w:val="18"/>
              </w:rPr>
              <w:t>公司</w:t>
            </w:r>
          </w:p>
        </w:tc>
        <w:tc>
          <w:tcPr>
            <w:tcW w:w="1181" w:type="dxa"/>
            <w:tcBorders>
              <w:top w:val="single" w:sz="10" w:space="0" w:color="000000"/>
              <w:left w:val="single" w:sz="4" w:space="0" w:color="000000"/>
              <w:bottom w:val="single" w:sz="4" w:space="0" w:color="000000"/>
              <w:right w:val="single" w:sz="4" w:space="0" w:color="000000"/>
            </w:tcBorders>
          </w:tcPr>
          <w:p>
            <w:pPr/>
          </w:p>
        </w:tc>
        <w:tc>
          <w:tcPr>
            <w:tcW w:w="1165"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7"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6" w:type="dxa"/>
            <w:tcBorders>
              <w:top w:val="single" w:sz="10" w:space="0" w:color="000000"/>
              <w:left w:val="single" w:sz="4" w:space="0" w:color="000000"/>
              <w:bottom w:val="single" w:sz="4" w:space="0" w:color="000000"/>
              <w:right w:val="single" w:sz="4" w:space="0" w:color="000000"/>
            </w:tcBorders>
          </w:tcPr>
          <w:p>
            <w:pPr/>
          </w:p>
        </w:tc>
        <w:tc>
          <w:tcPr>
            <w:tcW w:w="1167"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c>
          <w:tcPr>
            <w:tcW w:w="1183" w:type="dxa"/>
            <w:tcBorders>
              <w:top w:val="single" w:sz="10" w:space="0" w:color="000000"/>
              <w:left w:val="single" w:sz="4" w:space="0" w:color="000000"/>
              <w:bottom w:val="single" w:sz="4" w:space="0" w:color="000000"/>
              <w:right w:val="single" w:sz="4" w:space="0" w:color="000000"/>
            </w:tcBorders>
          </w:tcPr>
          <w:p>
            <w:pPr/>
          </w:p>
        </w:tc>
        <w:tc>
          <w:tcPr>
            <w:tcW w:w="1164" w:type="dxa"/>
            <w:tcBorders>
              <w:top w:val="single" w:sz="10" w:space="0" w:color="000000"/>
              <w:left w:val="single" w:sz="4" w:space="0" w:color="000000"/>
              <w:bottom w:val="single" w:sz="4" w:space="0" w:color="000000"/>
              <w:right w:val="single" w:sz="4" w:space="0" w:color="000000"/>
            </w:tcBorders>
          </w:tcPr>
          <w:p>
            <w:pPr/>
          </w:p>
        </w:tc>
      </w:tr>
      <w:tr>
        <w:trPr>
          <w:trHeight w:val="50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244,096,733.55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 w:right="0"/>
              <w:jc w:val="center"/>
              <w:rPr>
                <w:rFonts w:ascii="Times New Roman" w:hAnsi="Times New Roman" w:cs="Times New Roman" w:eastAsia="Times New Roman" w:hint="default"/>
                <w:sz w:val="18"/>
                <w:szCs w:val="18"/>
              </w:rPr>
            </w:pPr>
            <w:r>
              <w:rPr>
                <w:rFonts w:ascii="Times New Roman"/>
                <w:sz w:val="18"/>
              </w:rPr>
              <w:t>26,744,099.00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69,073,902.69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-9,380,567.00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193,886,362.86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244,096,733.55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 w:right="0"/>
              <w:jc w:val="center"/>
              <w:rPr>
                <w:rFonts w:ascii="Times New Roman" w:hAnsi="Times New Roman" w:cs="Times New Roman" w:eastAsia="Times New Roman" w:hint="default"/>
                <w:sz w:val="18"/>
                <w:szCs w:val="18"/>
              </w:rPr>
            </w:pPr>
            <w:r>
              <w:rPr>
                <w:rFonts w:ascii="Times New Roman"/>
                <w:sz w:val="18"/>
              </w:rPr>
              <w:t>26,744,099.00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69,073,902.69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-9,380,567.00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193,886,362.86</w:t>
            </w: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32" w:top="1100" w:bottom="1320" w:left="1300" w:right="1280"/>
        </w:sectPr>
      </w:pPr>
    </w:p>
    <w:p>
      <w:pPr>
        <w:spacing w:line="240" w:lineRule="auto" w:before="0"/>
        <w:rPr>
          <w:rFonts w:ascii="Times New Roman" w:hAnsi="Times New Roman" w:cs="Times New Roman" w:eastAsia="Times New Roman" w:hint="default"/>
          <w:sz w:val="17"/>
          <w:szCs w:val="17"/>
        </w:rPr>
      </w:pPr>
    </w:p>
    <w:p>
      <w:pPr>
        <w:pStyle w:val="Heading3"/>
        <w:spacing w:line="240" w:lineRule="auto" w:before="26"/>
        <w:ind w:right="100"/>
        <w:jc w:val="left"/>
      </w:pPr>
      <w:r>
        <w:rPr/>
        <w:t>（</w:t>
      </w:r>
      <w:r>
        <w:rPr>
          <w:rFonts w:ascii="Times New Roman" w:hAnsi="Times New Roman" w:cs="Times New Roman" w:eastAsia="Times New Roman" w:hint="default"/>
        </w:rPr>
        <w:t>3</w:t>
      </w:r>
      <w:r>
        <w:rPr/>
        <w:t>）其他说明</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7"/>
        <w:rPr>
          <w:rFonts w:ascii="黑体" w:hAnsi="黑体" w:cs="黑体" w:eastAsia="黑体" w:hint="default"/>
          <w:sz w:val="19"/>
          <w:szCs w:val="19"/>
        </w:rPr>
      </w:pPr>
    </w:p>
    <w:p>
      <w:pPr>
        <w:pStyle w:val="BodyText"/>
        <w:spacing w:line="240" w:lineRule="auto"/>
        <w:ind w:left="573" w:right="0"/>
        <w:jc w:val="left"/>
      </w:pPr>
      <w:r>
        <w:rPr>
          <w:rFonts w:ascii="Times New Roman" w:hAnsi="Times New Roman" w:cs="Times New Roman" w:eastAsia="Times New Roman" w:hint="default"/>
          <w:spacing w:val="-4"/>
        </w:rPr>
        <w:t>1</w:t>
      </w:r>
      <w:r>
        <w:rPr>
          <w:spacing w:val="-4"/>
        </w:rPr>
        <w:t>、上海旋极信息技术有限公司</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3"/>
        </w:rPr>
        <w:t>年因业务发展需要，北京旋极使用自有资金对其增资</w:t>
      </w:r>
      <w:r>
        <w:rPr>
          <w:spacing w:val="-3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21"/>
          <w:szCs w:val="21"/>
        </w:rPr>
      </w:pPr>
    </w:p>
    <w:p>
      <w:pPr>
        <w:pStyle w:val="BodyText"/>
        <w:spacing w:line="240" w:lineRule="auto"/>
        <w:ind w:left="0" w:right="205"/>
        <w:jc w:val="right"/>
        <w:rPr>
          <w:rFonts w:ascii="Times New Roman" w:hAnsi="Times New Roman" w:cs="Times New Roman" w:eastAsia="Times New Roman" w:hint="default"/>
        </w:rPr>
      </w:pPr>
      <w:r>
        <w:rPr>
          <w:rFonts w:ascii="Times New Roman" w:hAnsi="Times New Roman" w:cs="Times New Roman" w:eastAsia="Times New Roman" w:hint="default"/>
          <w:spacing w:val="-5"/>
        </w:rPr>
        <w:t>2</w:t>
      </w:r>
      <w:r>
        <w:rPr>
          <w:spacing w:val="-5"/>
        </w:rPr>
        <w:t>、北京旋极伏羲大数据技术有限公司，原注册资本</w:t>
      </w:r>
      <w:r>
        <w:rPr>
          <w:spacing w:val="-4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5"/>
        </w:rPr>
        <w:t> </w:t>
      </w:r>
      <w:r>
        <w:rPr>
          <w:spacing w:val="-6"/>
        </w:rPr>
        <w:t>万元，</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月原股东安浒将持有的</w:t>
      </w:r>
      <w:r>
        <w:rPr>
          <w:spacing w:val="-43"/>
        </w:rPr>
        <w:t> </w:t>
      </w:r>
      <w:r>
        <w:rPr>
          <w:rFonts w:ascii="Times New Roman" w:hAnsi="Times New Roman" w:cs="Times New Roman" w:eastAsia="Times New Roman" w:hint="default"/>
        </w:rPr>
        <w:t>9%</w:t>
      </w:r>
    </w:p>
    <w:p>
      <w:pPr>
        <w:pStyle w:val="BodyText"/>
        <w:spacing w:line="470" w:lineRule="auto" w:before="177"/>
        <w:ind w:left="573" w:right="100" w:hanging="421"/>
        <w:jc w:val="left"/>
        <w:rPr>
          <w:rFonts w:ascii="Times New Roman" w:hAnsi="Times New Roman" w:cs="Times New Roman" w:eastAsia="Times New Roman" w:hint="default"/>
        </w:rPr>
      </w:pPr>
      <w:r>
        <w:rPr/>
        <w:t>的股权转让给北京旋极，本次股权转让后，北京旋极所持股份为</w:t>
      </w:r>
      <w:r>
        <w:rPr>
          <w:spacing w:val="-53"/>
        </w:rPr>
        <w:t> </w:t>
      </w:r>
      <w:r>
        <w:rPr>
          <w:rFonts w:ascii="Times New Roman" w:hAnsi="Times New Roman" w:cs="Times New Roman" w:eastAsia="Times New Roman" w:hint="default"/>
        </w:rPr>
        <w:t>60%</w:t>
      </w:r>
      <w:r>
        <w:rPr/>
        <w:t>；</w:t>
      </w:r>
      <w:r>
        <w:rPr>
          <w:w w:val="100"/>
        </w:rPr>
        <w:t> </w:t>
      </w:r>
      <w:r>
        <w:rPr>
          <w:rFonts w:ascii="Times New Roman" w:hAnsi="Times New Roman" w:cs="Times New Roman" w:eastAsia="Times New Roman" w:hint="default"/>
          <w:spacing w:val="-3"/>
        </w:rPr>
        <w:t>3</w:t>
      </w:r>
      <w:r>
        <w:rPr>
          <w:spacing w:val="-3"/>
        </w:rPr>
        <w:t>、公司原持有沈阳旋飞航空技术有限公司</w:t>
      </w:r>
      <w:r>
        <w:rPr>
          <w:spacing w:val="-45"/>
        </w:rPr>
        <w:t> </w:t>
      </w:r>
      <w:r>
        <w:rPr>
          <w:rFonts w:ascii="Times New Roman" w:hAnsi="Times New Roman" w:cs="Times New Roman" w:eastAsia="Times New Roman" w:hint="default"/>
          <w:spacing w:val="-3"/>
        </w:rPr>
        <w:t>100.00%</w:t>
      </w:r>
      <w:r>
        <w:rPr>
          <w:spacing w:val="-3"/>
        </w:rPr>
        <w:t>股权，投资总额</w:t>
      </w:r>
      <w:r>
        <w:rPr>
          <w:spacing w:val="-47"/>
        </w:rPr>
        <w:t> </w:t>
      </w:r>
      <w:r>
        <w:rPr>
          <w:rFonts w:ascii="Times New Roman" w:hAnsi="Times New Roman" w:cs="Times New Roman" w:eastAsia="Times New Roman" w:hint="default"/>
        </w:rPr>
        <w:t>400</w:t>
      </w:r>
      <w:r>
        <w:rPr>
          <w:rFonts w:ascii="Times New Roman" w:hAnsi="Times New Roman" w:cs="Times New Roman" w:eastAsia="Times New Roman" w:hint="default"/>
          <w:spacing w:val="-4"/>
        </w:rPr>
        <w:t> </w:t>
      </w:r>
      <w:r>
        <w:rPr>
          <w:spacing w:val="-6"/>
        </w:rPr>
        <w:t>万元，</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月处置</w:t>
      </w:r>
      <w:r>
        <w:rPr>
          <w:spacing w:val="-45"/>
        </w:rPr>
        <w:t> </w:t>
      </w:r>
      <w:r>
        <w:rPr>
          <w:rFonts w:ascii="Times New Roman" w:hAnsi="Times New Roman" w:cs="Times New Roman" w:eastAsia="Times New Roman" w:hint="default"/>
        </w:rPr>
        <w:t>62.5%</w:t>
      </w:r>
    </w:p>
    <w:p>
      <w:pPr>
        <w:pStyle w:val="BodyText"/>
        <w:spacing w:line="245" w:lineRule="exact"/>
        <w:ind w:right="0"/>
        <w:jc w:val="left"/>
      </w:pPr>
      <w:r>
        <w:rPr>
          <w:spacing w:val="-3"/>
        </w:rPr>
        <w:t>股权，丧失控制权，并将剩余投资成本重分类至长期股权投资权益法核算，</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月因其他股东增资，</w:t>
      </w:r>
    </w:p>
    <w:p>
      <w:pPr>
        <w:pStyle w:val="BodyText"/>
        <w:spacing w:line="240" w:lineRule="auto" w:before="177"/>
        <w:ind w:right="100"/>
        <w:jc w:val="left"/>
      </w:pPr>
      <w:r>
        <w:rPr/>
        <w:t>导致持股由</w:t>
      </w:r>
      <w:r>
        <w:rPr>
          <w:spacing w:val="-55"/>
        </w:rPr>
        <w:t> </w:t>
      </w:r>
      <w:r>
        <w:rPr>
          <w:rFonts w:ascii="Times New Roman" w:hAnsi="Times New Roman" w:cs="Times New Roman" w:eastAsia="Times New Roman" w:hint="default"/>
        </w:rPr>
        <w:t>37.5%</w:t>
      </w:r>
      <w:r>
        <w:rPr/>
        <w:t>变为</w:t>
      </w:r>
      <w:r>
        <w:rPr>
          <w:spacing w:val="-56"/>
        </w:rPr>
        <w:t> </w:t>
      </w:r>
      <w:r>
        <w:rPr>
          <w:rFonts w:ascii="Times New Roman" w:hAnsi="Times New Roman" w:cs="Times New Roman" w:eastAsia="Times New Roman" w:hint="default"/>
        </w:rPr>
        <w:t>15.63%</w:t>
      </w:r>
      <w:r>
        <w:rPr/>
        <w:t>，仍具有重大影响，采用权益法核算。</w:t>
      </w:r>
    </w:p>
    <w:p>
      <w:pPr>
        <w:spacing w:line="240" w:lineRule="auto" w:before="7"/>
        <w:rPr>
          <w:rFonts w:ascii="宋体" w:hAnsi="宋体" w:cs="宋体" w:eastAsia="宋体" w:hint="default"/>
          <w:sz w:val="23"/>
          <w:szCs w:val="23"/>
        </w:rPr>
      </w:pPr>
    </w:p>
    <w:p>
      <w:pPr>
        <w:pStyle w:val="Heading3"/>
        <w:spacing w:line="240" w:lineRule="auto"/>
        <w:ind w:right="100"/>
        <w:jc w:val="left"/>
      </w:pPr>
      <w:r>
        <w:rPr>
          <w:rFonts w:ascii="Times New Roman" w:hAnsi="Times New Roman" w:cs="Times New Roman" w:eastAsia="Times New Roman" w:hint="default"/>
        </w:rPr>
        <w:t>4</w:t>
      </w:r>
      <w:r>
        <w:rPr/>
        <w:t>、营业收入和营业成本</w:t>
      </w:r>
    </w:p>
    <w:p>
      <w:pPr>
        <w:spacing w:line="240" w:lineRule="auto" w:before="3"/>
        <w:rPr>
          <w:rFonts w:ascii="黑体" w:hAnsi="黑体" w:cs="黑体" w:eastAsia="黑体" w:hint="default"/>
          <w:sz w:val="24"/>
          <w:szCs w:val="24"/>
        </w:rPr>
      </w:pPr>
    </w:p>
    <w:p>
      <w:pPr>
        <w:pStyle w:val="BodyText"/>
        <w:spacing w:line="240" w:lineRule="auto"/>
        <w:ind w:left="0" w:right="20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59"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59"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507"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145,792,225.43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74,602,236.18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156,956,129.83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52,156,271.12</w:t>
            </w:r>
          </w:p>
        </w:tc>
      </w:tr>
      <w:tr>
        <w:trPr>
          <w:trHeight w:val="509"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862,883.43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301,371.12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1,465,886.47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301,371.12</w:t>
            </w:r>
          </w:p>
        </w:tc>
      </w:tr>
      <w:tr>
        <w:trPr>
          <w:trHeight w:val="509"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146,655,108.86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74,903,607.30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158,422,016.30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52,457,642.24</w:t>
            </w:r>
          </w:p>
        </w:tc>
      </w:tr>
    </w:tbl>
    <w:p>
      <w:pPr>
        <w:spacing w:line="240" w:lineRule="auto" w:before="11"/>
        <w:rPr>
          <w:rFonts w:ascii="宋体" w:hAnsi="宋体" w:cs="宋体" w:eastAsia="宋体" w:hint="default"/>
          <w:sz w:val="9"/>
          <w:szCs w:val="9"/>
        </w:rPr>
      </w:pPr>
    </w:p>
    <w:p>
      <w:pPr>
        <w:pStyle w:val="BodyText"/>
        <w:spacing w:line="240" w:lineRule="auto" w:before="36"/>
        <w:ind w:left="573" w:right="100"/>
        <w:jc w:val="left"/>
      </w:pPr>
      <w:r>
        <w:rPr/>
        <w:t>其他说明：</w:t>
      </w:r>
    </w:p>
    <w:p>
      <w:pPr>
        <w:spacing w:line="240" w:lineRule="auto" w:before="13"/>
        <w:rPr>
          <w:rFonts w:ascii="宋体" w:hAnsi="宋体" w:cs="宋体" w:eastAsia="宋体" w:hint="default"/>
          <w:sz w:val="17"/>
          <w:szCs w:val="17"/>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、投资收益</w:t>
      </w:r>
    </w:p>
    <w:p>
      <w:pPr>
        <w:spacing w:line="240" w:lineRule="auto" w:before="0"/>
        <w:rPr>
          <w:rFonts w:ascii="宋体" w:hAnsi="宋体" w:cs="宋体" w:eastAsia="宋体" w:hint="default"/>
          <w:sz w:val="14"/>
          <w:szCs w:val="14"/>
        </w:rPr>
      </w:pPr>
    </w:p>
    <w:p>
      <w:pPr>
        <w:pStyle w:val="BodyText"/>
        <w:spacing w:line="240" w:lineRule="auto" w:before="36"/>
        <w:ind w:left="0" w:right="20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198,000,000.00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49,361,780.27</w:t>
            </w:r>
          </w:p>
        </w:tc>
      </w:tr>
      <w:tr>
        <w:trPr>
          <w:trHeight w:val="50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-9,380,567.00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175,130.91</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10,774,391.12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-10,554.81</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319,985.81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15,500,170.00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215,213,979.93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49,526,356.37</w:t>
            </w:r>
          </w:p>
        </w:tc>
      </w:tr>
    </w:tbl>
    <w:p>
      <w:pPr>
        <w:spacing w:line="240" w:lineRule="auto" w:before="12"/>
        <w:rPr>
          <w:rFonts w:ascii="宋体" w:hAnsi="宋体" w:cs="宋体" w:eastAsia="宋体" w:hint="default"/>
          <w:sz w:val="12"/>
          <w:szCs w:val="12"/>
        </w:rPr>
      </w:pPr>
    </w:p>
    <w:p>
      <w:pPr>
        <w:pStyle w:val="Heading3"/>
        <w:spacing w:line="240" w:lineRule="auto" w:before="26"/>
        <w:ind w:right="100"/>
        <w:jc w:val="left"/>
      </w:pPr>
      <w:r>
        <w:rPr>
          <w:rFonts w:ascii="Times New Roman" w:hAnsi="Times New Roman" w:cs="Times New Roman" w:eastAsia="Times New Roman" w:hint="default"/>
        </w:rPr>
        <w:t>6</w:t>
      </w:r>
      <w:r>
        <w:rPr/>
        <w:t>、其他</w:t>
      </w:r>
    </w:p>
    <w:p>
      <w:pPr>
        <w:spacing w:after="0" w:line="240" w:lineRule="auto"/>
        <w:jc w:val="left"/>
        <w:sectPr>
          <w:headerReference w:type="default" r:id="rId81"/>
          <w:footerReference w:type="default" r:id="rId82"/>
          <w:pgSz w:w="11910" w:h="16840"/>
          <w:pgMar w:header="882" w:footer="1132" w:top="1280" w:bottom="1320" w:left="980" w:right="920"/>
          <w:pgNumType w:start="285"/>
        </w:sectPr>
      </w:pPr>
    </w:p>
    <w:p>
      <w:pPr>
        <w:spacing w:line="240" w:lineRule="auto" w:before="11"/>
        <w:rPr>
          <w:rFonts w:ascii="黑体" w:hAnsi="黑体" w:cs="黑体" w:eastAsia="黑体" w:hint="default"/>
          <w:sz w:val="16"/>
          <w:szCs w:val="16"/>
        </w:rPr>
      </w:pPr>
    </w:p>
    <w:p>
      <w:pPr>
        <w:pStyle w:val="Heading2"/>
        <w:spacing w:line="240" w:lineRule="auto"/>
        <w:ind w:right="11"/>
        <w:jc w:val="left"/>
      </w:pPr>
      <w:r>
        <w:rPr/>
        <w:t>十八、补充资料</w:t>
      </w:r>
    </w:p>
    <w:p>
      <w:pPr>
        <w:spacing w:line="240" w:lineRule="auto" w:before="6"/>
        <w:rPr>
          <w:rFonts w:ascii="黑体" w:hAnsi="黑体" w:cs="黑体" w:eastAsia="黑体" w:hint="default"/>
          <w:sz w:val="38"/>
          <w:szCs w:val="38"/>
        </w:rPr>
      </w:pPr>
    </w:p>
    <w:p>
      <w:pPr>
        <w:pStyle w:val="Heading3"/>
        <w:spacing w:line="240" w:lineRule="auto"/>
        <w:ind w:right="11"/>
        <w:jc w:val="left"/>
      </w:pPr>
      <w:r>
        <w:rPr>
          <w:rFonts w:ascii="Times New Roman" w:hAnsi="Times New Roman" w:cs="Times New Roman" w:eastAsia="Times New Roman" w:hint="default"/>
        </w:rPr>
        <w:t>1</w:t>
      </w:r>
      <w:r>
        <w:rPr/>
        <w:t>、当期非经常性损益明细表</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8"/>
          <w:szCs w:val="18"/>
        </w:rPr>
      </w:pPr>
    </w:p>
    <w:p>
      <w:pPr>
        <w:pStyle w:val="BodyText"/>
        <w:spacing w:line="240" w:lineRule="auto" w:before="36"/>
        <w:ind w:left="0" w:right="148"/>
        <w:jc w:val="right"/>
      </w:pPr>
      <w:r>
        <w:rPr/>
        <w:t>单位：</w:t>
      </w:r>
      <w:r>
        <w:rPr>
          <w:spacing w:val="2"/>
        </w:rPr>
        <w:t> </w:t>
      </w:r>
      <w:r>
        <w:rPr/>
        <w:t>元</w:t>
      </w:r>
    </w:p>
    <w:p>
      <w:pPr>
        <w:spacing w:line="240" w:lineRule="auto" w:before="5"/>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12,582,672.51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主要是处置长期股权投资产生</w:t>
            </w:r>
          </w:p>
        </w:tc>
      </w:tr>
      <w:tr>
        <w:trPr>
          <w:trHeight w:val="11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1"/>
              <w:ind w:left="12"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切相关，按照国家统一标准定额或定量享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17,640,564.97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75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4"/>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值业务外，持有交易性金融资产、交易性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金融负债产生的公允价值变动损益，以及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处置交易性金融资产、交易性金融负债和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16,775,039.30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主要是处置可供出售金融资产产生</w:t>
            </w: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-10,827,010.70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主要是对外捐赠</w:t>
            </w:r>
          </w:p>
        </w:tc>
      </w:tr>
      <w:tr>
        <w:trPr>
          <w:trHeight w:val="50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5,915,189.30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925,128.79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pacing w:val="-1"/>
                <w:sz w:val="18"/>
              </w:rPr>
              <w:t>29,330,947.99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9"/>
          <w:szCs w:val="9"/>
        </w:rPr>
      </w:pPr>
    </w:p>
    <w:p>
      <w:pPr>
        <w:pStyle w:val="BodyText"/>
        <w:spacing w:line="240" w:lineRule="auto" w:before="36"/>
        <w:ind w:left="573" w:right="11"/>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386" w:lineRule="auto" w:before="177"/>
        <w:ind w:right="140"/>
        <w:jc w:val="left"/>
      </w:pPr>
      <w:r>
        <w:rPr/>
        <w:t>性损益项目，以及把《公开发行证券的公司信息披露解释性公告第</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p>
    <w:p>
      <w:pPr>
        <w:pStyle w:val="BodyText"/>
        <w:spacing w:line="240" w:lineRule="auto" w:before="163"/>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
        <w:jc w:val="left"/>
      </w:pPr>
      <w:r>
        <w:rPr>
          <w:rFonts w:ascii="Times New Roman" w:hAnsi="Times New Roman" w:cs="Times New Roman" w:eastAsia="Times New Roman" w:hint="default"/>
        </w:rPr>
        <w:t>2</w:t>
      </w:r>
      <w:r>
        <w:rPr/>
        <w:t>、净资产收益率及每股收益</w:t>
      </w:r>
    </w:p>
    <w:p>
      <w:pPr>
        <w:spacing w:line="240" w:lineRule="auto" w:before="2"/>
        <w:rPr>
          <w:rFonts w:ascii="黑体" w:hAnsi="黑体" w:cs="黑体" w:eastAsia="黑体"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59"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5"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54"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57"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09"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0.3387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0.3387</w:t>
            </w:r>
          </w:p>
        </w:tc>
      </w:tr>
      <w:tr>
        <w:trPr>
          <w:trHeight w:val="82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2"/>
              <w:ind w:left="12" w:right="22"/>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扣除非经常性损益后归属于公司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0.3132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32" w:top="1280" w:bottom="1320" w:left="980" w:right="980"/>
        </w:sectPr>
      </w:pPr>
    </w:p>
    <w:p>
      <w:pPr>
        <w:spacing w:line="240" w:lineRule="auto" w:before="13"/>
        <w:rPr>
          <w:rFonts w:ascii="黑体" w:hAnsi="黑体" w:cs="黑体" w:eastAsia="黑体" w:hint="default"/>
          <w:sz w:val="14"/>
          <w:szCs w:val="14"/>
        </w:rPr>
      </w:pPr>
    </w:p>
    <w:p>
      <w:pPr>
        <w:pStyle w:val="Heading3"/>
        <w:spacing w:line="240" w:lineRule="auto" w:before="26"/>
        <w:ind w:right="11"/>
        <w:jc w:val="left"/>
      </w:pPr>
      <w:r>
        <w:rPr>
          <w:rFonts w:ascii="Times New Roman" w:hAnsi="Times New Roman" w:cs="Times New Roman" w:eastAsia="Times New Roman" w:hint="default"/>
        </w:rPr>
        <w:t>3</w:t>
      </w:r>
      <w:r>
        <w:rPr/>
        <w:t>、境内外会计准则下会计数据差异</w:t>
      </w:r>
    </w:p>
    <w:p>
      <w:pPr>
        <w:spacing w:line="240" w:lineRule="auto" w:before="1"/>
        <w:rPr>
          <w:rFonts w:ascii="黑体" w:hAnsi="黑体" w:cs="黑体" w:eastAsia="黑体" w:hint="default"/>
          <w:sz w:val="25"/>
          <w:szCs w:val="25"/>
        </w:rPr>
      </w:pPr>
    </w:p>
    <w:p>
      <w:pPr>
        <w:pStyle w:val="Heading3"/>
        <w:spacing w:line="240" w:lineRule="auto"/>
        <w:ind w:right="11"/>
        <w:jc w:val="left"/>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p>
    <w:p>
      <w:pPr>
        <w:spacing w:line="240" w:lineRule="auto" w:before="3"/>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11"/>
        <w:jc w:val="left"/>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p>
    <w:p>
      <w:pPr>
        <w:spacing w:line="240" w:lineRule="auto" w:before="1"/>
        <w:rPr>
          <w:rFonts w:ascii="黑体" w:hAnsi="黑体" w:cs="黑体" w:eastAsia="黑体" w:hint="default"/>
          <w:sz w:val="24"/>
          <w:szCs w:val="24"/>
        </w:rPr>
      </w:pPr>
    </w:p>
    <w:p>
      <w:pPr>
        <w:pStyle w:val="BodyText"/>
        <w:spacing w:line="240" w:lineRule="auto"/>
        <w:ind w:left="573"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3"/>
          <w:szCs w:val="23"/>
        </w:rPr>
      </w:pPr>
    </w:p>
    <w:p>
      <w:pPr>
        <w:pStyle w:val="Heading3"/>
        <w:spacing w:line="388" w:lineRule="auto"/>
        <w:ind w:right="136"/>
        <w:jc w:val="left"/>
      </w:pPr>
      <w:r>
        <w:rPr>
          <w:spacing w:val="-2"/>
        </w:rPr>
        <w:t>（</w:t>
      </w:r>
      <w:r>
        <w:rPr>
          <w:rFonts w:ascii="Times New Roman" w:hAnsi="Times New Roman" w:cs="Times New Roman" w:eastAsia="Times New Roman" w:hint="default"/>
          <w:spacing w:val="-2"/>
        </w:rPr>
        <w:t>3</w:t>
      </w:r>
      <w:r>
        <w:rPr>
          <w:spacing w:val="-2"/>
        </w:rPr>
        <w:t>）境内外会计准则下会计数据差异原因说明，对已经境外审计机构审计的数据进行差异调</w:t>
      </w:r>
      <w:r>
        <w:rPr/>
        <w:t> 节的，应注明该境外机构的名称</w:t>
      </w:r>
    </w:p>
    <w:p>
      <w:pPr>
        <w:pStyle w:val="Heading3"/>
        <w:spacing w:line="240" w:lineRule="auto" w:before="197"/>
        <w:ind w:right="11"/>
        <w:jc w:val="left"/>
      </w:pPr>
      <w:r>
        <w:rPr>
          <w:rFonts w:ascii="Times New Roman" w:hAnsi="Times New Roman" w:cs="Times New Roman" w:eastAsia="Times New Roman" w:hint="default"/>
        </w:rPr>
        <w:t>4</w:t>
      </w:r>
      <w:r>
        <w:rPr/>
        <w:t>、其他</w:t>
      </w:r>
    </w:p>
    <w:p>
      <w:pPr>
        <w:spacing w:after="0" w:line="240" w:lineRule="auto"/>
        <w:jc w:val="left"/>
        <w:sectPr>
          <w:pgSz w:w="11910" w:h="16840"/>
          <w:pgMar w:header="882" w:footer="1132" w:top="1280" w:bottom="1320" w:left="980" w:right="980"/>
        </w:sectPr>
      </w:pPr>
    </w:p>
    <w:p>
      <w:pPr>
        <w:spacing w:line="240" w:lineRule="auto" w:before="13"/>
        <w:rPr>
          <w:rFonts w:ascii="黑体" w:hAnsi="黑体" w:cs="黑体" w:eastAsia="黑体" w:hint="default"/>
          <w:sz w:val="22"/>
          <w:szCs w:val="22"/>
        </w:rPr>
      </w:pPr>
    </w:p>
    <w:p>
      <w:pPr>
        <w:pStyle w:val="Heading1"/>
        <w:spacing w:line="240" w:lineRule="auto"/>
        <w:ind w:left="3293" w:right="11"/>
        <w:jc w:val="left"/>
      </w:pPr>
      <w:bookmarkStart w:name="_bookmark11" w:id="12"/>
      <w:bookmarkEnd w:id="12"/>
      <w:r>
        <w:rPr/>
      </w:r>
      <w:r>
        <w:rPr/>
        <w:t>第十二节</w:t>
      </w:r>
      <w:r>
        <w:rPr>
          <w:spacing w:val="-3"/>
        </w:rPr>
        <w:t> </w:t>
      </w:r>
      <w:r>
        <w:rPr/>
        <w:t>备查文件目录</w:t>
      </w:r>
    </w:p>
    <w:p>
      <w:pPr>
        <w:spacing w:line="240" w:lineRule="auto" w:before="10"/>
        <w:rPr>
          <w:rFonts w:ascii="黑体" w:hAnsi="黑体" w:cs="黑体" w:eastAsia="黑体" w:hint="default"/>
          <w:sz w:val="46"/>
          <w:szCs w:val="46"/>
        </w:rPr>
      </w:pPr>
    </w:p>
    <w:p>
      <w:pPr>
        <w:pStyle w:val="BodyText"/>
        <w:spacing w:line="240" w:lineRule="auto"/>
        <w:ind w:left="573" w:right="11"/>
        <w:jc w:val="left"/>
      </w:pPr>
      <w:r>
        <w:rPr>
          <w:rFonts w:ascii="Times New Roman" w:hAnsi="Times New Roman" w:cs="Times New Roman" w:eastAsia="Times New Roman" w:hint="default"/>
        </w:rPr>
        <w:t>1</w:t>
      </w:r>
      <w:r>
        <w:rPr/>
        <w:t>、载有公司法定代表人签名的</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年年度报告文本；</w:t>
      </w:r>
    </w:p>
    <w:p>
      <w:pPr>
        <w:spacing w:line="240" w:lineRule="auto" w:before="3"/>
        <w:rPr>
          <w:rFonts w:ascii="宋体" w:hAnsi="宋体" w:cs="宋体" w:eastAsia="宋体" w:hint="default"/>
          <w:sz w:val="21"/>
          <w:szCs w:val="21"/>
        </w:rPr>
      </w:pPr>
    </w:p>
    <w:p>
      <w:pPr>
        <w:pStyle w:val="BodyText"/>
        <w:spacing w:line="386" w:lineRule="auto"/>
        <w:ind w:right="11" w:firstLine="420"/>
        <w:jc w:val="left"/>
      </w:pPr>
      <w:r>
        <w:rPr>
          <w:rFonts w:ascii="Times New Roman" w:hAnsi="Times New Roman" w:cs="Times New Roman" w:eastAsia="Times New Roman" w:hint="default"/>
        </w:rPr>
        <w:t>2</w:t>
      </w:r>
      <w:r>
        <w:rPr/>
        <w:t>、载有单位负责人、主管会计工作负责人、公司会计机构负责人（会计主管人员）签名并盖章的财</w:t>
      </w:r>
      <w:r>
        <w:rPr>
          <w:w w:val="100"/>
        </w:rPr>
        <w:t> </w:t>
      </w:r>
      <w:r>
        <w:rPr/>
        <w:t>务报表；</w:t>
      </w:r>
    </w:p>
    <w:p>
      <w:pPr>
        <w:pStyle w:val="BodyText"/>
        <w:spacing w:line="240" w:lineRule="auto" w:before="166"/>
        <w:ind w:left="573" w:right="11"/>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1"/>
        <w:rPr>
          <w:rFonts w:ascii="宋体" w:hAnsi="宋体" w:cs="宋体" w:eastAsia="宋体" w:hint="default"/>
          <w:sz w:val="21"/>
          <w:szCs w:val="21"/>
        </w:rPr>
      </w:pPr>
    </w:p>
    <w:p>
      <w:pPr>
        <w:pStyle w:val="BodyText"/>
        <w:spacing w:line="240" w:lineRule="auto"/>
        <w:ind w:left="573" w:right="11"/>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spacing w:line="240" w:lineRule="auto" w:before="3"/>
        <w:rPr>
          <w:rFonts w:ascii="宋体" w:hAnsi="宋体" w:cs="宋体" w:eastAsia="宋体" w:hint="default"/>
          <w:sz w:val="21"/>
          <w:szCs w:val="21"/>
        </w:rPr>
      </w:pPr>
    </w:p>
    <w:p>
      <w:pPr>
        <w:pStyle w:val="BodyText"/>
        <w:spacing w:line="470" w:lineRule="auto"/>
        <w:ind w:left="573" w:right="5647"/>
        <w:jc w:val="left"/>
      </w:pPr>
      <w:r>
        <w:rPr>
          <w:rFonts w:ascii="Times New Roman" w:hAnsi="Times New Roman" w:cs="Times New Roman" w:eastAsia="Times New Roman" w:hint="default"/>
        </w:rPr>
        <w:t>5</w:t>
      </w:r>
      <w:r>
        <w:rPr/>
        <w:t>、其他有关资料。</w:t>
      </w:r>
      <w:r>
        <w:rPr>
          <w:w w:val="100"/>
        </w:rPr>
        <w:t> </w:t>
      </w:r>
      <w:r>
        <w:rPr>
          <w:spacing w:val="-2"/>
        </w:rPr>
        <w:t>以上备查文件的备置地点：公司证券部</w:t>
      </w:r>
    </w:p>
    <w:sectPr>
      <w:pgSz w:w="11910" w:h="16840"/>
      <w:pgMar w:header="882" w:footer="1132" w:top="1280" w:bottom="13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MS Gothic">
    <w:altName w:val="MS Gothic"/>
    <w:charset w:val="0"/>
    <w:family w:val="modern"/>
    <w:pitch w:val="fixed"/>
  </w:font>
  <w:font w:name="Arial">
    <w:altName w:val="Arial"/>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85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47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7.47998pt;margin-top:527.718628pt;width:14.6pt;height:12.6pt;mso-position-horizontal-relative:page;mso-position-vertical-relative:page;z-index:-119735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28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25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23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2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18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16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7.47998pt;margin-top:527.718628pt;width:14.6pt;height:12.6pt;mso-position-horizontal-relative:page;mso-position-vertical-relative:page;z-index:-119711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04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7.47998pt;margin-top:527.718628pt;width:14.6pt;height:12.6pt;mso-position-horizontal-relative:page;mso-position-vertical-relative:page;z-index:-119778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01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47998pt;margin-top:527.718628pt;width:12.6pt;height:12.6pt;mso-position-horizontal-relative:page;mso-position-vertical-relative:page;z-index:-1196968"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320007pt;margin-top:527.718628pt;width:17.850pt;height:12.6pt;mso-position-horizontal-relative:page;mso-position-vertical-relative:page;z-index:-119694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320007pt;margin-top:527.718628pt;width:17.850pt;height:12.6pt;mso-position-horizontal-relative:page;mso-position-vertical-relative:page;z-index:-1196920"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84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2.320007pt;margin-top:527.718628pt;width:19.850pt;height:12.6pt;mso-position-horizontal-relative:page;mso-position-vertical-relative:page;z-index:-119680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7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149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68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152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65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154</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63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68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6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164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58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165</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2.320007pt;margin-top:527.718628pt;width:19.850pt;height:12.6pt;mso-position-horizontal-relative:page;mso-position-vertical-relative:page;z-index:-119653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196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46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44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206</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2.320007pt;margin-top:527.718628pt;width:19.850pt;height:12.6pt;mso-position-horizontal-relative:page;mso-position-vertical-relative:page;z-index:-119639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249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32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251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29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261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27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66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2.320007pt;margin-top:527.718628pt;width:19.850pt;height:12.6pt;mso-position-horizontal-relative:page;mso-position-vertical-relative:page;z-index:-119622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269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15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271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2.320007pt;margin-top:527.718628pt;width:19.850pt;height:12.6pt;mso-position-horizontal-relative:page;mso-position-vertical-relative:page;z-index:-11961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282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0.940002pt;margin-top:774.342651pt;width:19.850pt;height:12.6pt;mso-position-horizontal-relative:page;mso-position-vertical-relative:page;z-index:-119603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64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61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7.47998pt;margin-top:527.718628pt;width:14.6pt;height:12.6pt;mso-position-horizontal-relative:page;mso-position-vertical-relative:page;z-index:-119756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099976pt;margin-top:774.342651pt;width:14.6pt;height:12.6pt;mso-position-horizontal-relative:page;mso-position-vertical-relative:page;z-index:-119749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904"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880"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7376"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328"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304"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7136"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088"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064"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992"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896"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872"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824"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776"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752"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728"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560"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7832"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r>
      <w:rPr/>
      <w:pict>
        <v:shape style="position:absolute;margin-left:722.099976pt;margin-top:70.105011pt;width:44.15pt;height:12.6pt;mso-position-horizontal-relative:page;mso-position-vertical-relative:page;z-index:-1197808" type="#_x0000_t202" filled="false" stroked="false">
          <v:textbox inset="0,0,0,0">
            <w:txbxContent>
              <w:p>
                <w:pPr>
                  <w:pStyle w:val="BodyText"/>
                  <w:spacing w:line="231" w:lineRule="exact"/>
                  <w:ind w:left="20" w:right="0"/>
                  <w:jc w:val="left"/>
                </w:pPr>
                <w:r>
                  <w:rPr/>
                  <w:t>单位：元</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512"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488"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416"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368"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344"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248"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200"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176"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6128"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6080"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6056"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7760"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736"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712"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50024pt;margin-top:43.085007pt;width:248.9pt;height:13.15pt;mso-position-horizontal-relative:page;mso-position-vertical-relative:page;z-index:-1197592" type="#_x0000_t202" filled="false" stroked="false">
          <v:textbox inset="0,0,0,0">
            <w:txbxContent>
              <w:p>
                <w:pPr>
                  <w:pStyle w:val="BodyText"/>
                  <w:spacing w:line="247" w:lineRule="exact"/>
                  <w:ind w:left="20" w:right="0"/>
                  <w:jc w:val="left"/>
                </w:pPr>
                <w:r>
                  <w:rPr/>
                  <w:t>北京旋极信息技术股份有限公司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544"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520"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769989pt;margin-top:43.084984pt;width:248.95pt;height:13.15pt;mso-position-horizontal-relative:page;mso-position-vertical-relative:page;z-index:-1197448"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4.319984pt;width:484.9pt;height:.1pt;mso-position-horizontal-relative:page;mso-position-vertical-relative:page;z-index:-1197424" coordorigin="1104,1286" coordsize="9698,2">
          <v:shape style="position:absolute;left:1104;top:1286;width:9698;height:2" coordorigin="1104,1286" coordsize="9698,0" path="m1104,1286l10802,1286e" filled="false" stroked="true" strokeweight=".72pt" strokecolor="#000000">
            <v:path arrowok="t"/>
          </v:shape>
          <w10:wrap type="none"/>
        </v:group>
      </w:pict>
    </w:r>
    <w:r>
      <w:rPr/>
      <w:pict>
        <v:shape style="position:absolute;margin-left:290.769989pt;margin-top:43.084984pt;width:248.95pt;height:13.15pt;mso-position-horizontal-relative:page;mso-position-vertical-relative:page;z-index:-1197400" type="#_x0000_t202" filled="false" stroked="false">
          <v:textbox inset="0,0,0,0">
            <w:txbxContent>
              <w:p>
                <w:pPr>
                  <w:pStyle w:val="BodyText"/>
                  <w:spacing w:line="247" w:lineRule="exact"/>
                  <w:ind w:left="20" w:right="0"/>
                  <w:jc w:val="left"/>
                </w:pPr>
                <w:r>
                  <w:rPr/>
                  <w:t>北京旋极信息技术股份有限公司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8"/>
      <w:ind w:left="573"/>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555"/>
      <w:outlineLvl w:val="1"/>
    </w:pPr>
    <w:rPr>
      <w:rFonts w:ascii="黑体" w:hAnsi="黑体" w:eastAsia="黑体"/>
      <w:sz w:val="32"/>
      <w:szCs w:val="32"/>
    </w:rPr>
  </w:style>
  <w:style w:styleId="Heading2" w:type="paragraph">
    <w:name w:val="Heading 2"/>
    <w:basedOn w:val="Normal"/>
    <w:uiPriority w:val="1"/>
    <w:qFormat/>
    <w:pPr>
      <w:spacing w:before="14"/>
      <w:ind w:left="152"/>
      <w:outlineLvl w:val="2"/>
    </w:pPr>
    <w:rPr>
      <w:rFonts w:ascii="黑体" w:hAnsi="黑体" w:eastAsia="黑体"/>
      <w:sz w:val="28"/>
      <w:szCs w:val="28"/>
    </w:rPr>
  </w:style>
  <w:style w:styleId="Heading3" w:type="paragraph">
    <w:name w:val="Heading 3"/>
    <w:basedOn w:val="Normal"/>
    <w:uiPriority w:val="1"/>
    <w:qFormat/>
    <w:pPr>
      <w:ind w:left="152"/>
      <w:outlineLvl w:val="3"/>
    </w:pPr>
    <w:rPr>
      <w:rFonts w:ascii="黑体" w:hAnsi="黑体" w:eastAsia="黑体"/>
      <w:sz w:val="24"/>
      <w:szCs w:val="24"/>
    </w:rPr>
  </w:style>
  <w:style w:styleId="Heading4" w:type="paragraph">
    <w:name w:val="Heading 4"/>
    <w:basedOn w:val="Normal"/>
    <w:uiPriority w:val="1"/>
    <w:qFormat/>
    <w:pPr>
      <w:ind w:left="575"/>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watertek.com/" TargetMode="External"/><Relationship Id="rId13" Type="http://schemas.openxmlformats.org/officeDocument/2006/relationships/hyperlink" Target="mailto:investor@watertek.com" TargetMode="External"/><Relationship Id="rId14" Type="http://schemas.openxmlformats.org/officeDocument/2006/relationships/hyperlink" Target="http://www.cninfo.com.cn/"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footer" Target="footer11.xml"/><Relationship Id="rId34" Type="http://schemas.openxmlformats.org/officeDocument/2006/relationships/header" Target="head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12.xml"/><Relationship Id="rId42" Type="http://schemas.openxmlformats.org/officeDocument/2006/relationships/footer" Target="footer18.xml"/><Relationship Id="rId43" Type="http://schemas.openxmlformats.org/officeDocument/2006/relationships/header" Target="header13.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14.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15.xml"/><Relationship Id="rId51" Type="http://schemas.openxmlformats.org/officeDocument/2006/relationships/footer" Target="footer24.xml"/><Relationship Id="rId52" Type="http://schemas.openxmlformats.org/officeDocument/2006/relationships/header" Target="header16.xml"/><Relationship Id="rId53" Type="http://schemas.openxmlformats.org/officeDocument/2006/relationships/footer" Target="footer25.xml"/><Relationship Id="rId54" Type="http://schemas.openxmlformats.org/officeDocument/2006/relationships/header" Target="header17.xml"/><Relationship Id="rId55" Type="http://schemas.openxmlformats.org/officeDocument/2006/relationships/header" Target="header18.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footer" Target="footer30.xml"/><Relationship Id="rId61" Type="http://schemas.openxmlformats.org/officeDocument/2006/relationships/footer" Target="footer31.xml"/><Relationship Id="rId62" Type="http://schemas.openxmlformats.org/officeDocument/2006/relationships/header" Target="header19.xml"/><Relationship Id="rId63" Type="http://schemas.openxmlformats.org/officeDocument/2006/relationships/footer" Target="footer32.xml"/><Relationship Id="rId64" Type="http://schemas.openxmlformats.org/officeDocument/2006/relationships/header" Target="header20.xml"/><Relationship Id="rId65" Type="http://schemas.openxmlformats.org/officeDocument/2006/relationships/footer" Target="footer33.xml"/><Relationship Id="rId66" Type="http://schemas.openxmlformats.org/officeDocument/2006/relationships/header" Target="header21.xml"/><Relationship Id="rId67" Type="http://schemas.openxmlformats.org/officeDocument/2006/relationships/footer" Target="footer34.xml"/><Relationship Id="rId68" Type="http://schemas.openxmlformats.org/officeDocument/2006/relationships/footer" Target="footer35.xml"/><Relationship Id="rId69" Type="http://schemas.openxmlformats.org/officeDocument/2006/relationships/header" Target="header22.xml"/><Relationship Id="rId70" Type="http://schemas.openxmlformats.org/officeDocument/2006/relationships/footer" Target="footer36.xml"/><Relationship Id="rId71" Type="http://schemas.openxmlformats.org/officeDocument/2006/relationships/header" Target="header23.xml"/><Relationship Id="rId72" Type="http://schemas.openxmlformats.org/officeDocument/2006/relationships/footer" Target="footer37.xml"/><Relationship Id="rId73" Type="http://schemas.openxmlformats.org/officeDocument/2006/relationships/footer" Target="footer38.xml"/><Relationship Id="rId74" Type="http://schemas.openxmlformats.org/officeDocument/2006/relationships/footer" Target="footer39.xml"/><Relationship Id="rId75" Type="http://schemas.openxmlformats.org/officeDocument/2006/relationships/header" Target="header24.xml"/><Relationship Id="rId76" Type="http://schemas.openxmlformats.org/officeDocument/2006/relationships/footer" Target="footer40.xml"/><Relationship Id="rId77" Type="http://schemas.openxmlformats.org/officeDocument/2006/relationships/header" Target="header25.xml"/><Relationship Id="rId78" Type="http://schemas.openxmlformats.org/officeDocument/2006/relationships/footer" Target="footer41.xml"/><Relationship Id="rId79" Type="http://schemas.openxmlformats.org/officeDocument/2006/relationships/header" Target="header26.xml"/><Relationship Id="rId80" Type="http://schemas.openxmlformats.org/officeDocument/2006/relationships/footer" Target="footer42.xml"/><Relationship Id="rId81" Type="http://schemas.openxmlformats.org/officeDocument/2006/relationships/header" Target="header27.xml"/><Relationship Id="rId82" Type="http://schemas.openxmlformats.org/officeDocument/2006/relationships/footer" Target="foot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北京旋极信息技术股份有限公司</dc:creator>
  <dc:title>北京旋极信息技术股份有限公司2017年年度报告全文</dc:title>
  <dcterms:created xsi:type="dcterms:W3CDTF">2020-05-03T00:32:19Z</dcterms:created>
  <dcterms:modified xsi:type="dcterms:W3CDTF">2020-05-03T00:32:19Z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Word 2010</vt:lpwstr>
  </property>
  <property fmtid="{D5CDD505-2E9C-101B-9397-08002B2CF9AE}" pid="4" name="LastSaved">
    <vt:filetime>2020-05-02T00:00:00Z</vt:filetime>
  </property>
</Properties>
</file>